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FF6730">
      <w:pPr>
        <w:spacing w:line="1239" w:lineRule="exact"/>
        <w:ind w:left="220"/>
        <w:rPr>
          <w:rFonts w:hint="default" w:ascii="Times New Roman" w:hAnsi="Times New Roman" w:cs="Times New Roman"/>
          <w:color w:val="auto"/>
          <w:sz w:val="72"/>
          <w:lang w:eastAsia="zh-CN"/>
        </w:rPr>
      </w:pPr>
      <w:r>
        <w:rPr>
          <w:rFonts w:hint="default" w:ascii="Times New Roman" w:hAnsi="Times New Roman" w:cs="Times New Roman"/>
          <w:b/>
          <w:bCs/>
          <w:color w:val="auto"/>
          <w:sz w:val="72"/>
          <w:lang w:eastAsia="zh-CN"/>
        </w:rPr>
        <w:t>建设项目环境影响报告表</w:t>
      </w:r>
    </w:p>
    <w:p w14:paraId="70C45F34">
      <w:pPr>
        <w:spacing w:before="225"/>
        <w:ind w:left="2692"/>
        <w:rPr>
          <w:rFonts w:hint="default" w:ascii="Times New Roman" w:hAnsi="Times New Roman" w:cs="Times New Roman"/>
          <w:color w:val="auto"/>
          <w:sz w:val="48"/>
          <w:lang w:eastAsia="zh-CN"/>
        </w:rPr>
      </w:pPr>
      <w:r>
        <w:rPr>
          <w:rFonts w:hint="default" w:ascii="Times New Roman" w:hAnsi="Times New Roman" w:cs="Times New Roman"/>
          <w:color w:val="auto"/>
          <w:sz w:val="48"/>
          <w:lang w:eastAsia="zh-CN"/>
        </w:rPr>
        <w:t>（污染影响类）</w:t>
      </w:r>
    </w:p>
    <w:p w14:paraId="3C625D5F">
      <w:pPr>
        <w:pStyle w:val="7"/>
        <w:rPr>
          <w:rFonts w:hint="default" w:ascii="Times New Roman" w:hAnsi="Times New Roman" w:eastAsia="宋体" w:cs="Times New Roman"/>
          <w:color w:val="auto"/>
          <w:sz w:val="48"/>
          <w:lang w:eastAsia="zh-CN"/>
        </w:rPr>
      </w:pPr>
    </w:p>
    <w:p w14:paraId="26637770">
      <w:pPr>
        <w:pStyle w:val="7"/>
        <w:rPr>
          <w:rFonts w:hint="default" w:ascii="Times New Roman" w:hAnsi="Times New Roman" w:cs="Times New Roman"/>
          <w:color w:val="auto"/>
          <w:sz w:val="48"/>
          <w:lang w:eastAsia="zh-CN"/>
        </w:rPr>
      </w:pPr>
    </w:p>
    <w:p w14:paraId="5A6512CE">
      <w:pPr>
        <w:pStyle w:val="7"/>
        <w:rPr>
          <w:rFonts w:hint="default" w:ascii="Times New Roman" w:hAnsi="Times New Roman" w:cs="Times New Roman"/>
          <w:color w:val="auto"/>
          <w:sz w:val="48"/>
          <w:lang w:eastAsia="zh-CN"/>
        </w:rPr>
      </w:pPr>
    </w:p>
    <w:p w14:paraId="0572EC8D">
      <w:pPr>
        <w:pStyle w:val="7"/>
        <w:rPr>
          <w:rFonts w:hint="default" w:ascii="Times New Roman" w:hAnsi="Times New Roman" w:cs="Times New Roman"/>
          <w:color w:val="auto"/>
          <w:sz w:val="48"/>
          <w:lang w:eastAsia="zh-CN"/>
        </w:rPr>
      </w:pPr>
    </w:p>
    <w:p w14:paraId="77303E9A">
      <w:pPr>
        <w:pStyle w:val="7"/>
        <w:rPr>
          <w:rFonts w:hint="default" w:ascii="Times New Roman" w:hAnsi="Times New Roman" w:cs="Times New Roman"/>
          <w:color w:val="auto"/>
          <w:sz w:val="48"/>
          <w:lang w:eastAsia="zh-CN"/>
        </w:rPr>
      </w:pPr>
    </w:p>
    <w:p w14:paraId="5A974169">
      <w:pPr>
        <w:pStyle w:val="7"/>
        <w:rPr>
          <w:rFonts w:hint="default" w:ascii="Times New Roman" w:hAnsi="Times New Roman" w:cs="Times New Roman"/>
          <w:color w:val="auto"/>
          <w:sz w:val="48"/>
          <w:lang w:eastAsia="zh-CN"/>
        </w:rPr>
      </w:pPr>
    </w:p>
    <w:p w14:paraId="1F6C6B07">
      <w:pPr>
        <w:pStyle w:val="7"/>
        <w:rPr>
          <w:rFonts w:hint="default" w:ascii="Times New Roman" w:hAnsi="Times New Roman" w:cs="Times New Roman"/>
          <w:color w:val="auto"/>
          <w:sz w:val="48"/>
          <w:lang w:eastAsia="zh-CN"/>
        </w:rPr>
      </w:pPr>
    </w:p>
    <w:p w14:paraId="6C5685C6">
      <w:pPr>
        <w:pStyle w:val="7"/>
        <w:rPr>
          <w:rFonts w:hint="default" w:ascii="Times New Roman" w:hAnsi="Times New Roman" w:cs="Times New Roman"/>
          <w:color w:val="auto"/>
          <w:sz w:val="48"/>
          <w:lang w:eastAsia="zh-CN"/>
        </w:rPr>
      </w:pPr>
    </w:p>
    <w:p w14:paraId="4A2E9408">
      <w:pPr>
        <w:pStyle w:val="7"/>
        <w:rPr>
          <w:rFonts w:hint="default" w:ascii="Times New Roman" w:hAnsi="Times New Roman" w:cs="Times New Roman"/>
          <w:color w:val="auto"/>
          <w:sz w:val="48"/>
          <w:lang w:eastAsia="zh-CN"/>
        </w:rPr>
      </w:pPr>
    </w:p>
    <w:p w14:paraId="7104ACBB">
      <w:pPr>
        <w:pStyle w:val="7"/>
        <w:rPr>
          <w:rFonts w:hint="default" w:ascii="Times New Roman" w:hAnsi="Times New Roman" w:cs="Times New Roman"/>
          <w:color w:val="auto"/>
          <w:sz w:val="48"/>
          <w:lang w:eastAsia="zh-CN"/>
        </w:rPr>
      </w:pPr>
    </w:p>
    <w:p w14:paraId="00E3BB09">
      <w:pPr>
        <w:pStyle w:val="7"/>
        <w:rPr>
          <w:rFonts w:hint="default" w:ascii="Times New Roman" w:hAnsi="Times New Roman" w:cs="Times New Roman"/>
          <w:color w:val="auto"/>
          <w:sz w:val="48"/>
          <w:lang w:eastAsia="zh-CN"/>
        </w:rPr>
      </w:pPr>
    </w:p>
    <w:p w14:paraId="1ABE3260">
      <w:pPr>
        <w:pStyle w:val="7"/>
        <w:rPr>
          <w:rFonts w:hint="default" w:ascii="Times New Roman" w:hAnsi="Times New Roman" w:cs="Times New Roman"/>
          <w:color w:val="auto"/>
          <w:sz w:val="48"/>
          <w:lang w:eastAsia="zh-CN"/>
        </w:rPr>
      </w:pPr>
    </w:p>
    <w:p w14:paraId="09CA9CDD">
      <w:pPr>
        <w:pStyle w:val="7"/>
        <w:rPr>
          <w:rFonts w:hint="default" w:ascii="Times New Roman" w:hAnsi="Times New Roman" w:cs="Times New Roman"/>
          <w:color w:val="auto"/>
          <w:sz w:val="48"/>
          <w:lang w:eastAsia="zh-CN"/>
        </w:rPr>
      </w:pPr>
    </w:p>
    <w:p w14:paraId="1A30638F">
      <w:pPr>
        <w:adjustRightInd w:val="0"/>
        <w:snapToGrid w:val="0"/>
        <w:rPr>
          <w:rFonts w:hint="default" w:ascii="Times New Roman" w:hAnsi="Times New Roman" w:cs="Times New Roman"/>
          <w:color w:val="auto"/>
          <w:sz w:val="36"/>
          <w:szCs w:val="36"/>
          <w:u w:val="single"/>
          <w:lang w:eastAsia="zh-CN"/>
        </w:rPr>
      </w:pPr>
      <w:r>
        <w:rPr>
          <w:rFonts w:hint="default" w:ascii="Times New Roman" w:hAnsi="Times New Roman" w:cs="Times New Roman"/>
          <w:color w:val="auto"/>
          <w:sz w:val="36"/>
          <w:szCs w:val="36"/>
          <w:lang w:eastAsia="zh-CN"/>
        </w:rPr>
        <w:t xml:space="preserve">项目名称： </w:t>
      </w:r>
      <w:r>
        <w:rPr>
          <w:rFonts w:hint="default" w:ascii="Times New Roman" w:hAnsi="Times New Roman" w:cs="Times New Roman"/>
          <w:color w:val="auto"/>
          <w:sz w:val="36"/>
          <w:szCs w:val="36"/>
          <w:u w:val="single"/>
          <w:lang w:eastAsia="zh-CN"/>
        </w:rPr>
        <w:t xml:space="preserve">老厂太桥双壹拌合站建设项目               </w:t>
      </w:r>
    </w:p>
    <w:p w14:paraId="41056B71">
      <w:pPr>
        <w:adjustRightInd w:val="0"/>
        <w:snapToGrid w:val="0"/>
        <w:rPr>
          <w:rFonts w:hint="default" w:ascii="Times New Roman" w:hAnsi="Times New Roman" w:cs="Times New Roman"/>
          <w:color w:val="auto"/>
          <w:sz w:val="36"/>
          <w:szCs w:val="36"/>
          <w:u w:val="single"/>
          <w:lang w:eastAsia="zh-CN"/>
        </w:rPr>
      </w:pPr>
      <w:r>
        <w:rPr>
          <w:rFonts w:hint="default" w:ascii="Times New Roman" w:hAnsi="Times New Roman" w:cs="Times New Roman"/>
          <w:color w:val="auto"/>
          <w:sz w:val="36"/>
          <w:szCs w:val="36"/>
          <w:lang w:eastAsia="zh-CN"/>
        </w:rPr>
        <w:t>建设单位（盖章）：</w:t>
      </w:r>
      <w:r>
        <w:rPr>
          <w:rFonts w:hint="default" w:ascii="Times New Roman" w:hAnsi="Times New Roman" w:cs="Times New Roman"/>
          <w:color w:val="auto"/>
          <w:sz w:val="36"/>
          <w:szCs w:val="36"/>
          <w:u w:val="single"/>
          <w:lang w:eastAsia="zh-CN"/>
        </w:rPr>
        <w:t xml:space="preserve">新平双壹农业有限公司                </w:t>
      </w:r>
    </w:p>
    <w:p w14:paraId="225BAF5C">
      <w:pPr>
        <w:adjustRightInd w:val="0"/>
        <w:snapToGrid w:val="0"/>
        <w:rPr>
          <w:rFonts w:hint="default" w:ascii="Times New Roman" w:hAnsi="Times New Roman" w:cs="Times New Roman"/>
          <w:color w:val="auto"/>
          <w:sz w:val="36"/>
          <w:szCs w:val="36"/>
          <w:u w:val="single"/>
          <w:lang w:eastAsia="zh-CN"/>
        </w:rPr>
      </w:pPr>
      <w:r>
        <w:rPr>
          <w:rFonts w:hint="default" w:ascii="Times New Roman" w:hAnsi="Times New Roman" w:cs="Times New Roman"/>
          <w:color w:val="auto"/>
          <w:sz w:val="36"/>
          <w:szCs w:val="36"/>
          <w:lang w:eastAsia="zh-CN"/>
        </w:rPr>
        <w:t>编制日期：</w:t>
      </w:r>
      <w:r>
        <w:rPr>
          <w:rFonts w:hint="default" w:ascii="Times New Roman" w:hAnsi="Times New Roman" w:cs="Times New Roman"/>
          <w:color w:val="auto"/>
          <w:sz w:val="36"/>
          <w:szCs w:val="36"/>
          <w:u w:val="single"/>
          <w:lang w:eastAsia="zh-CN"/>
        </w:rPr>
        <w:t xml:space="preserve">          二〇二</w:t>
      </w:r>
      <w:r>
        <w:rPr>
          <w:rFonts w:hint="default" w:ascii="Times New Roman" w:hAnsi="Times New Roman" w:cs="Times New Roman"/>
          <w:color w:val="auto"/>
          <w:sz w:val="36"/>
          <w:szCs w:val="36"/>
          <w:u w:val="single"/>
          <w:lang w:val="en-US" w:eastAsia="zh-CN"/>
        </w:rPr>
        <w:t>六</w:t>
      </w:r>
      <w:r>
        <w:rPr>
          <w:rFonts w:hint="default" w:ascii="Times New Roman" w:hAnsi="Times New Roman" w:cs="Times New Roman"/>
          <w:color w:val="auto"/>
          <w:sz w:val="36"/>
          <w:szCs w:val="36"/>
          <w:u w:val="single"/>
          <w:lang w:eastAsia="zh-CN"/>
        </w:rPr>
        <w:t>年</w:t>
      </w:r>
      <w:r>
        <w:rPr>
          <w:rFonts w:hint="default" w:ascii="Times New Roman" w:hAnsi="Times New Roman" w:cs="Times New Roman"/>
          <w:color w:val="auto"/>
          <w:sz w:val="36"/>
          <w:szCs w:val="36"/>
          <w:u w:val="single"/>
          <w:lang w:val="en-US" w:eastAsia="zh-CN"/>
        </w:rPr>
        <w:t>六</w:t>
      </w:r>
      <w:r>
        <w:rPr>
          <w:rFonts w:hint="default" w:ascii="Times New Roman" w:hAnsi="Times New Roman" w:cs="Times New Roman"/>
          <w:color w:val="auto"/>
          <w:sz w:val="36"/>
          <w:szCs w:val="36"/>
          <w:u w:val="single"/>
          <w:lang w:eastAsia="zh-CN"/>
        </w:rPr>
        <w:t xml:space="preserve">月               </w:t>
      </w:r>
    </w:p>
    <w:p w14:paraId="418EF8A1">
      <w:pPr>
        <w:adjustRightInd w:val="0"/>
        <w:snapToGrid w:val="0"/>
        <w:spacing w:line="288" w:lineRule="auto"/>
        <w:ind w:firstLine="720"/>
        <w:rPr>
          <w:rFonts w:hint="default" w:ascii="Times New Roman" w:hAnsi="Times New Roman" w:cs="Times New Roman"/>
          <w:color w:val="auto"/>
          <w:sz w:val="36"/>
          <w:szCs w:val="36"/>
          <w:u w:val="single"/>
          <w:lang w:eastAsia="zh-CN"/>
        </w:rPr>
      </w:pPr>
      <w:bookmarkStart w:id="0" w:name="_Hlk57884087"/>
    </w:p>
    <w:p w14:paraId="1CE83B3A">
      <w:pPr>
        <w:adjustRightInd w:val="0"/>
        <w:snapToGrid w:val="0"/>
        <w:spacing w:line="288" w:lineRule="auto"/>
        <w:ind w:firstLine="720"/>
        <w:rPr>
          <w:rFonts w:hint="default" w:ascii="Times New Roman" w:hAnsi="Times New Roman" w:cs="Times New Roman"/>
          <w:color w:val="auto"/>
          <w:sz w:val="36"/>
          <w:szCs w:val="36"/>
          <w:lang w:eastAsia="zh-CN"/>
        </w:rPr>
      </w:pPr>
    </w:p>
    <w:p w14:paraId="4DF78FCC">
      <w:pPr>
        <w:adjustRightInd w:val="0"/>
        <w:snapToGrid w:val="0"/>
        <w:spacing w:line="288" w:lineRule="auto"/>
        <w:ind w:firstLine="720"/>
        <w:rPr>
          <w:rFonts w:hint="default" w:ascii="Times New Roman" w:hAnsi="Times New Roman" w:cs="Times New Roman"/>
          <w:color w:val="auto"/>
          <w:sz w:val="36"/>
          <w:szCs w:val="36"/>
          <w:lang w:eastAsia="zh-CN"/>
        </w:rPr>
      </w:pPr>
    </w:p>
    <w:bookmarkEnd w:id="0"/>
    <w:p w14:paraId="6187DC38">
      <w:pPr>
        <w:spacing w:before="50"/>
        <w:ind w:left="2032"/>
        <w:rPr>
          <w:rFonts w:hint="default" w:ascii="Times New Roman" w:hAnsi="Times New Roman" w:cs="Times New Roman"/>
          <w:color w:val="auto"/>
          <w:sz w:val="36"/>
          <w:lang w:eastAsia="zh-CN"/>
        </w:rPr>
      </w:pPr>
      <w:r>
        <w:rPr>
          <w:rFonts w:hint="default" w:ascii="Times New Roman" w:hAnsi="Times New Roman" w:cs="Times New Roman"/>
          <w:color w:val="auto"/>
          <w:sz w:val="36"/>
          <w:szCs w:val="36"/>
          <w:lang w:eastAsia="zh-CN"/>
        </w:rPr>
        <w:t>中华人民共和国生态环境部制</w:t>
      </w:r>
    </w:p>
    <w:p w14:paraId="5BE9D369">
      <w:pPr>
        <w:rPr>
          <w:rFonts w:hint="default" w:ascii="Times New Roman" w:hAnsi="Times New Roman" w:cs="Times New Roman"/>
          <w:color w:val="auto"/>
          <w:sz w:val="36"/>
          <w:lang w:eastAsia="zh-CN"/>
        </w:rPr>
        <w:sectPr>
          <w:pgSz w:w="11910" w:h="16840"/>
          <w:pgMar w:top="1580" w:right="1500" w:bottom="280" w:left="1580" w:header="720" w:footer="720" w:gutter="0"/>
          <w:pgBorders>
            <w:top w:val="none" w:sz="0" w:space="0"/>
            <w:left w:val="none" w:sz="0" w:space="0"/>
            <w:bottom w:val="none" w:sz="0" w:space="0"/>
            <w:right w:val="none" w:sz="0" w:space="0"/>
          </w:pgBorders>
          <w:cols w:space="720" w:num="1"/>
        </w:sectPr>
      </w:pPr>
    </w:p>
    <w:p w14:paraId="11BC9EC2">
      <w:pPr>
        <w:pStyle w:val="7"/>
        <w:spacing w:before="6"/>
        <w:rPr>
          <w:rFonts w:hint="default" w:ascii="Times New Roman" w:hAnsi="Times New Roman" w:cs="Times New Roman"/>
          <w:b/>
          <w:color w:val="auto"/>
          <w:sz w:val="10"/>
        </w:rPr>
      </w:pPr>
      <w:bookmarkStart w:id="1" w:name="1.现状照片"/>
      <w:bookmarkEnd w:id="1"/>
    </w:p>
    <w:p w14:paraId="3CE9ADB1">
      <w:pPr>
        <w:spacing w:before="61"/>
        <w:ind w:left="225" w:right="304"/>
        <w:jc w:val="center"/>
        <w:rPr>
          <w:rFonts w:hint="default" w:ascii="Times New Roman" w:hAnsi="Times New Roman" w:cs="Times New Roman"/>
          <w:b/>
          <w:color w:val="auto"/>
          <w:sz w:val="28"/>
        </w:rPr>
      </w:pPr>
      <w:bookmarkStart w:id="2" w:name="2.文本"/>
      <w:bookmarkEnd w:id="2"/>
    </w:p>
    <w:p w14:paraId="7E0201FB">
      <w:pPr>
        <w:pStyle w:val="26"/>
        <w:ind w:firstLine="48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zh-CN"/>
        </w:rPr>
        <w:t>目录</w:t>
      </w:r>
    </w:p>
    <w:p w14:paraId="55670662">
      <w:pPr>
        <w:pStyle w:val="17"/>
        <w:tabs>
          <w:tab w:val="right" w:leader="dot" w:pos="8830"/>
        </w:tabs>
        <w:ind w:firstLine="480"/>
        <w:rPr>
          <w:rFonts w:hint="default" w:ascii="Times New Roman" w:hAnsi="Times New Roman" w:cs="Times New Roman"/>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TOC \o "1-3" \h \z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"_Toc17285" </w:instrText>
      </w:r>
      <w:r>
        <w:rPr>
          <w:rFonts w:hint="default" w:ascii="Times New Roman" w:hAnsi="Times New Roman" w:cs="Times New Roman"/>
          <w:color w:val="auto"/>
        </w:rPr>
        <w:fldChar w:fldCharType="separate"/>
      </w:r>
      <w:r>
        <w:rPr>
          <w:rFonts w:hint="default" w:ascii="Times New Roman" w:hAnsi="Times New Roman" w:cs="Times New Roman"/>
          <w:snapToGrid w:val="0"/>
          <w:color w:val="auto"/>
          <w:sz w:val="30"/>
          <w:szCs w:val="30"/>
        </w:rPr>
        <w:t>一、建设项目基本情况</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_Toc17285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1</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14:paraId="2E22703B">
      <w:pPr>
        <w:pStyle w:val="17"/>
        <w:tabs>
          <w:tab w:val="right" w:leader="dot" w:pos="8830"/>
        </w:tabs>
        <w:ind w:firstLine="600"/>
        <w:rPr>
          <w:rFonts w:hint="default" w:ascii="Times New Roman" w:hAnsi="Times New Roman" w:cs="Times New Roman"/>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"_Toc12752" </w:instrText>
      </w:r>
      <w:r>
        <w:rPr>
          <w:rFonts w:hint="default" w:ascii="Times New Roman" w:hAnsi="Times New Roman" w:cs="Times New Roman"/>
          <w:color w:val="auto"/>
        </w:rPr>
        <w:fldChar w:fldCharType="separate"/>
      </w:r>
      <w:r>
        <w:rPr>
          <w:rFonts w:hint="default" w:ascii="Times New Roman" w:hAnsi="Times New Roman" w:cs="Times New Roman"/>
          <w:bCs/>
          <w:snapToGrid w:val="0"/>
          <w:color w:val="auto"/>
          <w:kern w:val="44"/>
          <w:sz w:val="30"/>
          <w:szCs w:val="30"/>
        </w:rPr>
        <w:t>二、建设项目工程分析</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_Toc12752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28</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14:paraId="267C7E5A">
      <w:pPr>
        <w:pStyle w:val="17"/>
        <w:tabs>
          <w:tab w:val="right" w:leader="dot" w:pos="8830"/>
        </w:tabs>
        <w:ind w:firstLine="600"/>
        <w:rPr>
          <w:rFonts w:hint="default" w:ascii="Times New Roman" w:hAnsi="Times New Roman" w:cs="Times New Roman"/>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"_Toc20605" </w:instrText>
      </w:r>
      <w:r>
        <w:rPr>
          <w:rFonts w:hint="default" w:ascii="Times New Roman" w:hAnsi="Times New Roman" w:cs="Times New Roman"/>
          <w:color w:val="auto"/>
        </w:rPr>
        <w:fldChar w:fldCharType="separate"/>
      </w:r>
      <w:r>
        <w:rPr>
          <w:rFonts w:hint="default" w:ascii="Times New Roman" w:hAnsi="Times New Roman" w:cs="Times New Roman"/>
          <w:bCs/>
          <w:snapToGrid w:val="0"/>
          <w:color w:val="auto"/>
          <w:kern w:val="44"/>
          <w:sz w:val="30"/>
          <w:szCs w:val="30"/>
        </w:rPr>
        <w:t>三、区域环境质量现状、环境保护目标及评价标准</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_Toc20605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48</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14:paraId="7E34729D">
      <w:pPr>
        <w:pStyle w:val="17"/>
        <w:tabs>
          <w:tab w:val="right" w:leader="dot" w:pos="8830"/>
        </w:tabs>
        <w:ind w:firstLine="600"/>
        <w:rPr>
          <w:rFonts w:hint="default" w:ascii="Times New Roman" w:hAnsi="Times New Roman" w:cs="Times New Roman"/>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"_Toc28931" </w:instrText>
      </w:r>
      <w:r>
        <w:rPr>
          <w:rFonts w:hint="default" w:ascii="Times New Roman" w:hAnsi="Times New Roman" w:cs="Times New Roman"/>
          <w:color w:val="auto"/>
        </w:rPr>
        <w:fldChar w:fldCharType="separate"/>
      </w:r>
      <w:r>
        <w:rPr>
          <w:rFonts w:hint="default" w:ascii="Times New Roman" w:hAnsi="Times New Roman" w:cs="Times New Roman"/>
          <w:snapToGrid w:val="0"/>
          <w:color w:val="auto"/>
          <w:sz w:val="30"/>
          <w:szCs w:val="30"/>
        </w:rPr>
        <w:t>四、主要环境影响和保护措施</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_Toc28931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56</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14:paraId="4361B68A">
      <w:pPr>
        <w:pStyle w:val="17"/>
        <w:tabs>
          <w:tab w:val="right" w:leader="dot" w:pos="8830"/>
        </w:tabs>
        <w:ind w:firstLine="600"/>
        <w:rPr>
          <w:rFonts w:hint="default" w:ascii="Times New Roman" w:hAnsi="Times New Roman" w:cs="Times New Roman"/>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"_Toc22022" </w:instrText>
      </w:r>
      <w:r>
        <w:rPr>
          <w:rFonts w:hint="default" w:ascii="Times New Roman" w:hAnsi="Times New Roman" w:cs="Times New Roman"/>
          <w:color w:val="auto"/>
        </w:rPr>
        <w:fldChar w:fldCharType="separate"/>
      </w:r>
      <w:r>
        <w:rPr>
          <w:rFonts w:hint="default" w:ascii="Times New Roman" w:hAnsi="Times New Roman" w:cs="Times New Roman"/>
          <w:snapToGrid w:val="0"/>
          <w:color w:val="auto"/>
          <w:sz w:val="30"/>
          <w:szCs w:val="30"/>
        </w:rPr>
        <w:t>五、环境保护措施监督检查清单</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_Toc22022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90</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14:paraId="2594F314">
      <w:pPr>
        <w:pStyle w:val="17"/>
        <w:tabs>
          <w:tab w:val="right" w:leader="dot" w:pos="8830"/>
        </w:tabs>
        <w:ind w:firstLine="600"/>
        <w:rPr>
          <w:rFonts w:hint="default" w:ascii="Times New Roman" w:hAnsi="Times New Roman" w:cs="Times New Roman"/>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"_Toc21910" </w:instrText>
      </w:r>
      <w:r>
        <w:rPr>
          <w:rFonts w:hint="default" w:ascii="Times New Roman" w:hAnsi="Times New Roman" w:cs="Times New Roman"/>
          <w:color w:val="auto"/>
        </w:rPr>
        <w:fldChar w:fldCharType="separate"/>
      </w:r>
      <w:r>
        <w:rPr>
          <w:rFonts w:hint="default" w:ascii="Times New Roman" w:hAnsi="Times New Roman" w:cs="Times New Roman"/>
          <w:snapToGrid w:val="0"/>
          <w:color w:val="auto"/>
          <w:sz w:val="30"/>
          <w:szCs w:val="30"/>
        </w:rPr>
        <w:t>六、结论</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_Toc21910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92</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14:paraId="417479EC">
      <w:pPr>
        <w:pStyle w:val="17"/>
        <w:tabs>
          <w:tab w:val="right" w:leader="dot" w:pos="8830"/>
        </w:tabs>
        <w:ind w:firstLine="6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"_Toc18104" </w:instrText>
      </w:r>
      <w:r>
        <w:rPr>
          <w:rFonts w:hint="default" w:ascii="Times New Roman" w:hAnsi="Times New Roman" w:cs="Times New Roman"/>
          <w:color w:val="auto"/>
        </w:rPr>
        <w:fldChar w:fldCharType="separate"/>
      </w:r>
      <w:r>
        <w:rPr>
          <w:rFonts w:hint="default" w:ascii="Times New Roman" w:hAnsi="Times New Roman" w:cs="Times New Roman"/>
          <w:bCs/>
          <w:snapToGrid w:val="0"/>
          <w:color w:val="auto"/>
          <w:sz w:val="30"/>
          <w:szCs w:val="30"/>
        </w:rPr>
        <w:t>附表</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_Toc18104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93</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14:paraId="036ADA75">
      <w:pPr>
        <w:pStyle w:val="7"/>
        <w:spacing w:before="160"/>
        <w:ind w:left="225" w:right="304"/>
        <w:jc w:val="center"/>
        <w:rPr>
          <w:rFonts w:hint="default" w:ascii="Times New Roman" w:hAnsi="Times New Roman" w:cs="Times New Roman"/>
          <w:color w:val="auto"/>
        </w:rPr>
      </w:pPr>
      <w:r>
        <w:rPr>
          <w:rFonts w:hint="default" w:ascii="Times New Roman" w:hAnsi="Times New Roman" w:cs="Times New Roman"/>
          <w:bCs/>
          <w:color w:val="auto"/>
          <w:kern w:val="2"/>
          <w:lang w:val="zh-CN" w:eastAsia="zh-CN"/>
        </w:rPr>
        <w:fldChar w:fldCharType="end"/>
      </w:r>
    </w:p>
    <w:p w14:paraId="731F6491">
      <w:pPr>
        <w:jc w:val="center"/>
        <w:rPr>
          <w:rFonts w:hint="default" w:ascii="Times New Roman" w:hAnsi="Times New Roman" w:cs="Times New Roman"/>
          <w:color w:val="auto"/>
        </w:rPr>
      </w:pPr>
    </w:p>
    <w:p w14:paraId="65F8964E">
      <w:pPr>
        <w:bidi w:val="0"/>
        <w:rPr>
          <w:rFonts w:hint="default" w:ascii="Times New Roman" w:hAnsi="Times New Roman" w:eastAsia="宋体" w:cs="Times New Roman"/>
          <w:color w:val="auto"/>
          <w:sz w:val="22"/>
          <w:szCs w:val="22"/>
          <w:lang w:val="en-US" w:eastAsia="en-US" w:bidi="ar-SA"/>
        </w:rPr>
      </w:pPr>
    </w:p>
    <w:p w14:paraId="21234008">
      <w:pPr>
        <w:bidi w:val="0"/>
        <w:rPr>
          <w:rFonts w:hint="default" w:ascii="Times New Roman" w:hAnsi="Times New Roman" w:cs="Times New Roman"/>
          <w:color w:val="auto"/>
          <w:lang w:val="en-US" w:eastAsia="en-US"/>
        </w:rPr>
      </w:pPr>
    </w:p>
    <w:p w14:paraId="51E43D5B">
      <w:pPr>
        <w:bidi w:val="0"/>
        <w:rPr>
          <w:rFonts w:hint="default" w:ascii="Times New Roman" w:hAnsi="Times New Roman" w:cs="Times New Roman"/>
          <w:color w:val="auto"/>
          <w:lang w:val="en-US" w:eastAsia="en-US"/>
        </w:rPr>
      </w:pPr>
    </w:p>
    <w:p w14:paraId="3DD9C07B">
      <w:pPr>
        <w:tabs>
          <w:tab w:val="left" w:pos="3005"/>
        </w:tabs>
        <w:bidi w:val="0"/>
        <w:jc w:val="left"/>
        <w:rPr>
          <w:rFonts w:hint="default" w:ascii="Times New Roman" w:hAnsi="Times New Roman" w:eastAsia="宋体" w:cs="Times New Roman"/>
          <w:color w:val="auto"/>
          <w:lang w:val="en-US" w:eastAsia="zh-CN"/>
        </w:rPr>
        <w:sectPr>
          <w:headerReference r:id="rId3" w:type="default"/>
          <w:pgSz w:w="11910" w:h="16840"/>
          <w:pgMar w:top="1360" w:right="1500" w:bottom="280" w:left="1580" w:header="904" w:footer="0" w:gutter="0"/>
          <w:pgBorders>
            <w:top w:val="none" w:sz="0" w:space="0"/>
            <w:left w:val="none" w:sz="0" w:space="0"/>
            <w:bottom w:val="none" w:sz="0" w:space="0"/>
            <w:right w:val="none" w:sz="0" w:space="0"/>
          </w:pgBorders>
          <w:cols w:space="720" w:num="1"/>
        </w:sectPr>
      </w:pPr>
      <w:r>
        <w:rPr>
          <w:rFonts w:hint="default" w:ascii="Times New Roman" w:hAnsi="Times New Roman" w:cs="Times New Roman"/>
          <w:color w:val="auto"/>
          <w:lang w:val="en-US" w:eastAsia="zh-CN"/>
        </w:rPr>
        <w:tab/>
      </w:r>
    </w:p>
    <w:p w14:paraId="7172B405">
      <w:pPr>
        <w:pStyle w:val="7"/>
        <w:rPr>
          <w:rFonts w:hint="default" w:ascii="Times New Roman" w:hAnsi="Times New Roman" w:cs="Times New Roman"/>
          <w:color w:val="auto"/>
          <w:lang w:eastAsia="zh-CN"/>
        </w:rPr>
      </w:pPr>
      <w:r>
        <w:rPr>
          <w:rFonts w:hint="default" w:ascii="Times New Roman" w:hAnsi="Times New Roman" w:cs="Times New Roman"/>
          <w:color w:val="auto"/>
          <w:lang w:eastAsia="zh-CN"/>
        </w:rPr>
        <w:t>附图：</w:t>
      </w:r>
    </w:p>
    <w:p w14:paraId="12E2DA89">
      <w:pPr>
        <w:pStyle w:val="7"/>
        <w:tabs>
          <w:tab w:val="left" w:pos="1599"/>
        </w:tabs>
        <w:spacing w:before="161"/>
        <w:ind w:left="700"/>
        <w:rPr>
          <w:rFonts w:hint="default" w:ascii="Times New Roman" w:hAnsi="Times New Roman" w:cs="Times New Roman"/>
          <w:color w:val="auto"/>
          <w:lang w:eastAsia="zh-CN"/>
        </w:rPr>
      </w:pPr>
      <w:r>
        <w:rPr>
          <w:rFonts w:hint="default" w:ascii="Times New Roman" w:hAnsi="Times New Roman" w:cs="Times New Roman"/>
          <w:color w:val="auto"/>
          <w:lang w:eastAsia="zh-CN"/>
        </w:rPr>
        <w:t>附图</w:t>
      </w:r>
      <w:r>
        <w:rPr>
          <w:rFonts w:hint="default" w:ascii="Times New Roman" w:hAnsi="Times New Roman" w:cs="Times New Roman"/>
          <w:color w:val="auto"/>
          <w:spacing w:val="-60"/>
          <w:lang w:eastAsia="zh-CN"/>
        </w:rPr>
        <w:t xml:space="preserve"> </w:t>
      </w:r>
      <w:r>
        <w:rPr>
          <w:rFonts w:hint="default" w:ascii="Times New Roman" w:hAnsi="Times New Roman" w:cs="Times New Roman"/>
          <w:color w:val="auto"/>
          <w:lang w:eastAsia="zh-CN"/>
        </w:rPr>
        <w:t>1  项目地理位置图</w:t>
      </w:r>
    </w:p>
    <w:p w14:paraId="0D169A86">
      <w:pPr>
        <w:pStyle w:val="7"/>
        <w:tabs>
          <w:tab w:val="left" w:pos="1599"/>
        </w:tabs>
        <w:spacing w:before="160"/>
        <w:ind w:left="700"/>
        <w:rPr>
          <w:rFonts w:hint="default" w:ascii="Times New Roman" w:hAnsi="Times New Roman" w:cs="Times New Roman"/>
          <w:color w:val="auto"/>
          <w:lang w:eastAsia="zh-CN"/>
        </w:rPr>
      </w:pPr>
      <w:r>
        <w:rPr>
          <w:rFonts w:hint="default" w:ascii="Times New Roman" w:hAnsi="Times New Roman" w:cs="Times New Roman"/>
          <w:color w:val="auto"/>
          <w:lang w:eastAsia="zh-CN"/>
        </w:rPr>
        <w:t>附图</w:t>
      </w:r>
      <w:r>
        <w:rPr>
          <w:rFonts w:hint="default" w:ascii="Times New Roman" w:hAnsi="Times New Roman" w:cs="Times New Roman"/>
          <w:color w:val="auto"/>
          <w:spacing w:val="-60"/>
          <w:lang w:eastAsia="zh-CN"/>
        </w:rPr>
        <w:t xml:space="preserve"> </w:t>
      </w:r>
      <w:r>
        <w:rPr>
          <w:rFonts w:hint="default" w:ascii="Times New Roman" w:hAnsi="Times New Roman" w:cs="Times New Roman"/>
          <w:color w:val="auto"/>
          <w:lang w:eastAsia="zh-CN"/>
        </w:rPr>
        <w:t>2  项目所在区域水系图</w:t>
      </w:r>
    </w:p>
    <w:p w14:paraId="126F5BA5">
      <w:pPr>
        <w:pStyle w:val="7"/>
        <w:tabs>
          <w:tab w:val="left" w:pos="1599"/>
        </w:tabs>
        <w:spacing w:before="161"/>
        <w:ind w:left="700"/>
        <w:rPr>
          <w:rFonts w:hint="default" w:ascii="Times New Roman" w:hAnsi="Times New Roman" w:cs="Times New Roman"/>
          <w:color w:val="auto"/>
          <w:lang w:eastAsia="zh-CN"/>
        </w:rPr>
      </w:pPr>
      <w:r>
        <w:rPr>
          <w:rFonts w:hint="default" w:ascii="Times New Roman" w:hAnsi="Times New Roman" w:cs="Times New Roman"/>
          <w:color w:val="auto"/>
          <w:lang w:eastAsia="zh-CN"/>
        </w:rPr>
        <w:t>附图</w:t>
      </w:r>
      <w:r>
        <w:rPr>
          <w:rFonts w:hint="default" w:ascii="Times New Roman" w:hAnsi="Times New Roman" w:cs="Times New Roman"/>
          <w:color w:val="auto"/>
          <w:spacing w:val="-60"/>
          <w:lang w:eastAsia="zh-CN"/>
        </w:rPr>
        <w:t xml:space="preserve"> </w:t>
      </w:r>
      <w:r>
        <w:rPr>
          <w:rFonts w:hint="default" w:ascii="Times New Roman" w:hAnsi="Times New Roman" w:cs="Times New Roman"/>
          <w:color w:val="auto"/>
          <w:lang w:eastAsia="zh-CN"/>
        </w:rPr>
        <w:t>3  环境保护目标分布图</w:t>
      </w:r>
    </w:p>
    <w:p w14:paraId="311F09AA">
      <w:pPr>
        <w:pStyle w:val="7"/>
        <w:tabs>
          <w:tab w:val="left" w:pos="1599"/>
        </w:tabs>
        <w:spacing w:before="160"/>
        <w:ind w:left="7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附图</w:t>
      </w:r>
      <w:r>
        <w:rPr>
          <w:rFonts w:hint="default" w:ascii="Times New Roman" w:hAnsi="Times New Roman" w:cs="Times New Roman"/>
          <w:color w:val="auto"/>
          <w:spacing w:val="-60"/>
          <w:lang w:eastAsia="zh-CN"/>
        </w:rPr>
        <w:t xml:space="preserve"> </w:t>
      </w:r>
      <w:r>
        <w:rPr>
          <w:rFonts w:hint="default" w:ascii="Times New Roman" w:hAnsi="Times New Roman" w:cs="Times New Roman"/>
          <w:color w:val="auto"/>
          <w:lang w:eastAsia="zh-CN"/>
        </w:rPr>
        <w:t>4  项目总平面布置</w:t>
      </w:r>
      <w:r>
        <w:rPr>
          <w:rFonts w:hint="default" w:ascii="Times New Roman" w:hAnsi="Times New Roman" w:cs="Times New Roman"/>
          <w:color w:val="auto"/>
          <w:lang w:val="en-US" w:eastAsia="zh-CN"/>
        </w:rPr>
        <w:t>与环保设施分布图</w:t>
      </w:r>
    </w:p>
    <w:p w14:paraId="0F0E3F7B">
      <w:pPr>
        <w:pStyle w:val="7"/>
        <w:spacing w:before="161"/>
        <w:ind w:left="700"/>
        <w:rPr>
          <w:rFonts w:hint="default" w:ascii="Times New Roman" w:hAnsi="Times New Roman" w:cs="Times New Roman"/>
          <w:color w:val="auto"/>
          <w:lang w:eastAsia="zh-CN"/>
        </w:rPr>
      </w:pPr>
      <w:r>
        <w:rPr>
          <w:rFonts w:hint="default" w:ascii="Times New Roman" w:hAnsi="Times New Roman" w:cs="Times New Roman"/>
          <w:color w:val="auto"/>
          <w:lang w:eastAsia="zh-CN"/>
        </w:rPr>
        <w:t>附图5  本项目与云南省禁止开发区域分布关系图</w:t>
      </w:r>
    </w:p>
    <w:p w14:paraId="64E591CD">
      <w:pPr>
        <w:pStyle w:val="7"/>
        <w:spacing w:before="160"/>
        <w:ind w:left="700"/>
        <w:rPr>
          <w:rFonts w:hint="default" w:ascii="Times New Roman" w:hAnsi="Times New Roman" w:cs="Times New Roman"/>
          <w:color w:val="auto"/>
          <w:lang w:eastAsia="zh-CN"/>
        </w:rPr>
      </w:pPr>
      <w:r>
        <w:rPr>
          <w:rFonts w:hint="default" w:ascii="Times New Roman" w:hAnsi="Times New Roman" w:cs="Times New Roman"/>
          <w:color w:val="auto"/>
          <w:lang w:eastAsia="zh-CN"/>
        </w:rPr>
        <w:t>附图6  本项目与云南省主体功能区划位置关系图</w:t>
      </w:r>
    </w:p>
    <w:p w14:paraId="748EC59F">
      <w:pPr>
        <w:pStyle w:val="7"/>
        <w:spacing w:before="161"/>
        <w:ind w:left="700"/>
        <w:rPr>
          <w:rFonts w:hint="default" w:ascii="Times New Roman" w:hAnsi="Times New Roman" w:cs="Times New Roman"/>
          <w:color w:val="auto"/>
          <w:lang w:eastAsia="zh-CN"/>
        </w:rPr>
      </w:pPr>
      <w:r>
        <w:rPr>
          <w:rFonts w:hint="default" w:ascii="Times New Roman" w:hAnsi="Times New Roman" w:cs="Times New Roman"/>
          <w:color w:val="auto"/>
          <w:lang w:eastAsia="zh-CN"/>
        </w:rPr>
        <w:t>附图7  本项目与云南省限</w:t>
      </w:r>
      <w:r>
        <w:rPr>
          <w:rFonts w:hint="default" w:ascii="Times New Roman" w:hAnsi="Times New Roman" w:cs="Times New Roman"/>
          <w:color w:val="auto"/>
          <w:lang w:val="en-US" w:eastAsia="zh-CN"/>
        </w:rPr>
        <w:t>制</w:t>
      </w:r>
      <w:r>
        <w:rPr>
          <w:rFonts w:hint="default" w:ascii="Times New Roman" w:hAnsi="Times New Roman" w:cs="Times New Roman"/>
          <w:color w:val="auto"/>
          <w:lang w:eastAsia="zh-CN"/>
        </w:rPr>
        <w:t>开发区域（农产品主产区）分布关系图</w:t>
      </w:r>
    </w:p>
    <w:p w14:paraId="3A366CD1">
      <w:pPr>
        <w:pStyle w:val="7"/>
        <w:spacing w:before="142"/>
        <w:ind w:left="220"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附图8  本项目与云南省生态功能区划位置关系图</w:t>
      </w:r>
    </w:p>
    <w:p w14:paraId="1C0996F9">
      <w:pPr>
        <w:pStyle w:val="7"/>
        <w:spacing w:before="142"/>
        <w:ind w:left="220"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附图9  老厂太桥双壹拌合站租地地块面积量算图</w:t>
      </w:r>
    </w:p>
    <w:p w14:paraId="359491A8">
      <w:pPr>
        <w:pStyle w:val="7"/>
        <w:spacing w:before="142"/>
        <w:rPr>
          <w:rFonts w:hint="default" w:ascii="Times New Roman" w:hAnsi="Times New Roman" w:cs="Times New Roman"/>
          <w:color w:val="auto"/>
          <w:lang w:eastAsia="zh-CN"/>
        </w:rPr>
      </w:pPr>
      <w:r>
        <w:rPr>
          <w:rFonts w:hint="default" w:ascii="Times New Roman" w:hAnsi="Times New Roman" w:cs="Times New Roman"/>
          <w:color w:val="auto"/>
          <w:lang w:eastAsia="zh-CN"/>
        </w:rPr>
        <w:t>附件：</w:t>
      </w:r>
    </w:p>
    <w:p w14:paraId="11513FE6">
      <w:pPr>
        <w:pStyle w:val="7"/>
        <w:spacing w:before="161"/>
        <w:ind w:left="7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附件</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 xml:space="preserve">  委托书</w:t>
      </w:r>
    </w:p>
    <w:p w14:paraId="25E4E747">
      <w:pPr>
        <w:pStyle w:val="7"/>
        <w:spacing w:before="160"/>
        <w:ind w:left="700"/>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附件</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 xml:space="preserve">  投资项目备案证</w:t>
      </w:r>
    </w:p>
    <w:p w14:paraId="4CF5C438">
      <w:pPr>
        <w:pStyle w:val="7"/>
        <w:spacing w:before="161" w:line="360" w:lineRule="auto"/>
        <w:ind w:left="697"/>
        <w:rPr>
          <w:rFonts w:hint="default" w:ascii="Times New Roman" w:hAnsi="Times New Roman" w:cs="Times New Roman"/>
          <w:color w:val="auto"/>
          <w:lang w:eastAsia="zh-CN"/>
        </w:rPr>
      </w:pPr>
      <w:r>
        <w:rPr>
          <w:rFonts w:hint="default" w:ascii="Times New Roman" w:hAnsi="Times New Roman" w:cs="Times New Roman"/>
          <w:color w:val="auto"/>
          <w:lang w:eastAsia="zh-CN"/>
        </w:rPr>
        <w:t>附件</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 xml:space="preserve">  建设单位营业执照</w:t>
      </w:r>
    </w:p>
    <w:p w14:paraId="243DA330">
      <w:pPr>
        <w:pStyle w:val="7"/>
        <w:adjustRightInd w:val="0"/>
        <w:snapToGrid w:val="0"/>
        <w:spacing w:line="360" w:lineRule="auto"/>
        <w:ind w:left="697"/>
        <w:rPr>
          <w:rFonts w:hint="default" w:ascii="Times New Roman" w:hAnsi="Times New Roman" w:cs="Times New Roman"/>
          <w:color w:val="auto"/>
          <w:lang w:eastAsia="zh-CN"/>
        </w:rPr>
      </w:pPr>
      <w:r>
        <w:rPr>
          <w:rFonts w:hint="default" w:ascii="Times New Roman" w:hAnsi="Times New Roman" w:cs="Times New Roman"/>
          <w:color w:val="auto"/>
          <w:lang w:eastAsia="zh-CN"/>
        </w:rPr>
        <w:t>附件</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 xml:space="preserve">  新平双壹农业有限公司老厂太桥双壹拌合站建设项目环境质量现状监测</w:t>
      </w:r>
    </w:p>
    <w:p w14:paraId="75A45F08">
      <w:pPr>
        <w:pStyle w:val="7"/>
        <w:adjustRightInd w:val="0"/>
        <w:snapToGrid w:val="0"/>
        <w:spacing w:line="360" w:lineRule="auto"/>
        <w:ind w:left="697"/>
        <w:rPr>
          <w:rFonts w:hint="default" w:ascii="Times New Roman" w:hAnsi="Times New Roman" w:cs="Times New Roman"/>
          <w:color w:val="auto"/>
          <w:lang w:eastAsia="zh-CN"/>
        </w:rPr>
      </w:pPr>
      <w:r>
        <w:rPr>
          <w:rFonts w:hint="default" w:ascii="Times New Roman" w:hAnsi="Times New Roman" w:cs="Times New Roman"/>
          <w:color w:val="auto"/>
          <w:lang w:eastAsia="zh-CN"/>
        </w:rPr>
        <w:t>附件5  关于老厂太桥双壹拌合站建设项目是否占用新平县生态保护红线的查询结果查询结果</w:t>
      </w:r>
    </w:p>
    <w:p w14:paraId="31BADF49">
      <w:pPr>
        <w:pStyle w:val="7"/>
        <w:adjustRightInd w:val="0"/>
        <w:snapToGrid w:val="0"/>
        <w:spacing w:line="360" w:lineRule="auto"/>
        <w:ind w:left="697"/>
        <w:rPr>
          <w:rFonts w:hint="default" w:ascii="Times New Roman" w:hAnsi="Times New Roman" w:cs="Times New Roman"/>
          <w:color w:val="auto"/>
          <w:lang w:eastAsia="zh-CN"/>
        </w:rPr>
      </w:pPr>
      <w:r>
        <w:rPr>
          <w:rFonts w:hint="default" w:ascii="Times New Roman" w:hAnsi="Times New Roman" w:cs="Times New Roman"/>
          <w:color w:val="auto"/>
          <w:lang w:eastAsia="zh-CN"/>
        </w:rPr>
        <w:t>附件6  关于新平双壹农业有限公司老厂太桥双壹拌合站项目涉河情况的回复</w:t>
      </w:r>
    </w:p>
    <w:p w14:paraId="7B37A8DF">
      <w:pPr>
        <w:pStyle w:val="7"/>
        <w:adjustRightInd w:val="0"/>
        <w:snapToGrid w:val="0"/>
        <w:spacing w:line="360" w:lineRule="auto"/>
        <w:ind w:left="697"/>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附件7  关于新平双壹农业有限公司《老厂太桥双壹拌合站建设项目》是否占用新平县“三线一单”的查询申请的复函</w:t>
      </w:r>
    </w:p>
    <w:p w14:paraId="18CAE2F6">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附件8  新平彝族傣族自治县老厂乡人民政府出具的同意项目建设的证明</w:t>
      </w:r>
    </w:p>
    <w:p w14:paraId="7706BA71">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附件9  租地合同</w:t>
      </w:r>
    </w:p>
    <w:p w14:paraId="7BE4F465">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附件10  土壤（拌合料）检验检测报告</w:t>
      </w:r>
    </w:p>
    <w:p w14:paraId="2F59B2F3">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附件11  碎石土监测报告</w:t>
      </w:r>
    </w:p>
    <w:p w14:paraId="7F031B99">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附件12  原矿及废石放射性检验检测报告，报告编号：23TI060</w:t>
      </w:r>
    </w:p>
    <w:p w14:paraId="44E68EAA">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附件13  尾矿浸出液检测报告，报告编号：H20250828-02</w:t>
      </w:r>
    </w:p>
    <w:p w14:paraId="4F850633">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附件14  老厂集镇西侧滑坡治理及综合开发利用项目填方前补测》的地表水现状监测报告，报告编号：YNZKBG20250808011</w:t>
      </w:r>
    </w:p>
    <w:p w14:paraId="7A4D5367">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附件15  新平彝族傣族自治县人民政府关于批准实施老厂集镇西侧滑坡治理及综合开发利用项目的批复</w:t>
      </w:r>
    </w:p>
    <w:p w14:paraId="2DFE1124">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附件16  技术咨询合同</w:t>
      </w:r>
    </w:p>
    <w:p w14:paraId="7A81C95B">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附件17  周边地下水环境质量监测报告</w:t>
      </w:r>
    </w:p>
    <w:p w14:paraId="200D42B3">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附件18  尾矿回采试运行申请说明</w:t>
      </w:r>
    </w:p>
    <w:p w14:paraId="45A504BA">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附件19  新平县自然资源局关于老厂太桥双壹拌合站建设项目现状地类查询情况的说明</w:t>
      </w:r>
    </w:p>
    <w:p w14:paraId="7EBCF882">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附件20  2026年1月21日取得云南省玉溪市应急管理局安全生产行政审批管理事务事项许可决定书，编号：审决字[2025]第217号</w:t>
      </w:r>
    </w:p>
    <w:p w14:paraId="0A3C3423">
      <w:pPr>
        <w:pStyle w:val="7"/>
        <w:adjustRightInd w:val="0"/>
        <w:snapToGrid w:val="0"/>
        <w:spacing w:line="360" w:lineRule="auto"/>
        <w:ind w:left="69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附件21  关于新平双壹农业有限公司老厂太桥双壹拌合站建设项目立案调查的情况说明</w:t>
      </w:r>
    </w:p>
    <w:p w14:paraId="5554CAFA">
      <w:pPr>
        <w:pStyle w:val="7"/>
        <w:adjustRightInd w:val="0"/>
        <w:snapToGrid w:val="0"/>
        <w:spacing w:line="360" w:lineRule="auto"/>
        <w:ind w:left="6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附件22  项目审核表+项目进度控制表</w:t>
      </w:r>
    </w:p>
    <w:p w14:paraId="683069EB">
      <w:pPr>
        <w:pStyle w:val="7"/>
        <w:adjustRightInd w:val="0"/>
        <w:snapToGrid w:val="0"/>
        <w:spacing w:line="360" w:lineRule="auto"/>
        <w:ind w:left="6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附件23  《老厂太桥双壹拌合站建设项目环境影响报告表》专家评审意见+签到表+修改说明；《老厂太桥双壹拌合站建设项目环评报告表》专家复核意见+修改说明</w:t>
      </w:r>
    </w:p>
    <w:p w14:paraId="34669B6F">
      <w:pPr>
        <w:pStyle w:val="7"/>
        <w:rPr>
          <w:rFonts w:hint="default" w:ascii="Times New Roman" w:hAnsi="Times New Roman" w:cs="Times New Roman"/>
          <w:color w:val="auto"/>
          <w:sz w:val="26"/>
          <w:lang w:eastAsia="zh-CN"/>
        </w:rPr>
      </w:pPr>
    </w:p>
    <w:p w14:paraId="57E0A1A6">
      <w:pPr>
        <w:pStyle w:val="7"/>
        <w:spacing w:before="1"/>
        <w:rPr>
          <w:rFonts w:hint="default" w:ascii="Times New Roman" w:hAnsi="Times New Roman" w:cs="Times New Roman"/>
          <w:color w:val="auto"/>
          <w:sz w:val="23"/>
          <w:lang w:eastAsia="zh-CN"/>
        </w:rPr>
      </w:pPr>
    </w:p>
    <w:p w14:paraId="58842826">
      <w:pPr>
        <w:rPr>
          <w:rFonts w:hint="default" w:ascii="Times New Roman" w:hAnsi="Times New Roman" w:cs="Times New Roman"/>
          <w:color w:val="auto"/>
          <w:lang w:eastAsia="zh-CN"/>
        </w:rPr>
        <w:sectPr>
          <w:pgSz w:w="11910" w:h="16840"/>
          <w:pgMar w:top="1360" w:right="1500" w:bottom="280" w:left="1580" w:header="904" w:footer="0" w:gutter="0"/>
          <w:pgBorders>
            <w:top w:val="none" w:sz="0" w:space="0"/>
            <w:left w:val="none" w:sz="0" w:space="0"/>
            <w:bottom w:val="none" w:sz="0" w:space="0"/>
            <w:right w:val="none" w:sz="0" w:space="0"/>
          </w:pgBorders>
          <w:cols w:space="720" w:num="1"/>
        </w:sectPr>
      </w:pPr>
    </w:p>
    <w:p w14:paraId="21C09475">
      <w:pPr>
        <w:pStyle w:val="4"/>
        <w:ind w:left="0"/>
        <w:jc w:val="center"/>
        <w:rPr>
          <w:rFonts w:hint="default" w:ascii="Times New Roman" w:hAnsi="Times New Roman" w:cs="Times New Roman"/>
          <w:snapToGrid w:val="0"/>
          <w:color w:val="auto"/>
        </w:rPr>
      </w:pPr>
      <w:bookmarkStart w:id="3" w:name="一、建设项目基本情况"/>
      <w:bookmarkEnd w:id="3"/>
      <w:bookmarkStart w:id="4" w:name="_bookmark0"/>
      <w:bookmarkEnd w:id="4"/>
      <w:bookmarkStart w:id="5" w:name="_Toc17285"/>
      <w:bookmarkStart w:id="6" w:name="_Toc77840036"/>
      <w:r>
        <w:rPr>
          <w:rFonts w:hint="default" w:ascii="Times New Roman" w:hAnsi="Times New Roman" w:cs="Times New Roman"/>
          <w:snapToGrid w:val="0"/>
          <w:color w:val="auto"/>
        </w:rPr>
        <w:t>一、建设项目基本情况</w:t>
      </w:r>
      <w:bookmarkEnd w:id="5"/>
      <w:bookmarkEnd w:id="6"/>
    </w:p>
    <w:tbl>
      <w:tblPr>
        <w:tblStyle w:val="2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80"/>
        <w:gridCol w:w="3415"/>
        <w:gridCol w:w="1686"/>
        <w:gridCol w:w="2790"/>
      </w:tblGrid>
      <w:tr w14:paraId="21A9F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0" w:type="dxa"/>
            <w:tcMar>
              <w:top w:w="16" w:type="dxa"/>
              <w:left w:w="16" w:type="dxa"/>
              <w:right w:w="16" w:type="dxa"/>
            </w:tcMar>
            <w:vAlign w:val="center"/>
          </w:tcPr>
          <w:p w14:paraId="263BF6D8">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891" w:type="dxa"/>
            <w:gridSpan w:val="3"/>
            <w:vAlign w:val="center"/>
          </w:tcPr>
          <w:p w14:paraId="62D30237">
            <w:pPr>
              <w:pStyle w:val="27"/>
              <w:rPr>
                <w:rFonts w:hint="default" w:ascii="Times New Roman" w:hAnsi="Times New Roman" w:cs="Times New Roman"/>
                <w:color w:val="auto"/>
              </w:rPr>
            </w:pPr>
            <w:r>
              <w:rPr>
                <w:rFonts w:hint="default" w:ascii="Times New Roman" w:hAnsi="Times New Roman" w:cs="Times New Roman"/>
                <w:color w:val="auto"/>
                <w:sz w:val="24"/>
              </w:rPr>
              <w:t>老厂太桥双壹拌合站建设项目</w:t>
            </w:r>
          </w:p>
        </w:tc>
      </w:tr>
      <w:tr w14:paraId="62D0B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0" w:type="dxa"/>
            <w:tcMar>
              <w:top w:w="16" w:type="dxa"/>
              <w:left w:w="16" w:type="dxa"/>
              <w:right w:w="16" w:type="dxa"/>
            </w:tcMar>
            <w:vAlign w:val="center"/>
          </w:tcPr>
          <w:p w14:paraId="5485DD15">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891" w:type="dxa"/>
            <w:gridSpan w:val="3"/>
            <w:vAlign w:val="center"/>
          </w:tcPr>
          <w:p w14:paraId="35BFD282">
            <w:pPr>
              <w:pStyle w:val="27"/>
              <w:rPr>
                <w:rFonts w:hint="default" w:ascii="Times New Roman" w:hAnsi="Times New Roman" w:cs="Times New Roman"/>
                <w:color w:val="auto"/>
              </w:rPr>
            </w:pPr>
            <w:r>
              <w:rPr>
                <w:rFonts w:hint="default" w:ascii="Times New Roman" w:hAnsi="Times New Roman" w:cs="Times New Roman"/>
                <w:color w:val="auto"/>
                <w:sz w:val="24"/>
              </w:rPr>
              <w:t>2602-530427-04-01-908689</w:t>
            </w:r>
          </w:p>
        </w:tc>
      </w:tr>
      <w:tr w14:paraId="146D9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0" w:type="dxa"/>
            <w:tcMar>
              <w:top w:w="16" w:type="dxa"/>
              <w:left w:w="16" w:type="dxa"/>
              <w:right w:w="16" w:type="dxa"/>
            </w:tcMar>
            <w:vAlign w:val="center"/>
          </w:tcPr>
          <w:p w14:paraId="3705944C">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3415" w:type="dxa"/>
            <w:vAlign w:val="center"/>
          </w:tcPr>
          <w:p w14:paraId="41AD6CEC">
            <w:pPr>
              <w:pStyle w:val="27"/>
              <w:rPr>
                <w:rFonts w:hint="default" w:ascii="Times New Roman" w:hAnsi="Times New Roman" w:cs="Times New Roman"/>
                <w:color w:val="auto"/>
              </w:rPr>
            </w:pPr>
            <w:r>
              <w:rPr>
                <w:rFonts w:hint="default" w:ascii="Times New Roman" w:hAnsi="Times New Roman" w:cs="Times New Roman"/>
                <w:color w:val="auto"/>
                <w:sz w:val="24"/>
              </w:rPr>
              <w:t>张睿</w:t>
            </w:r>
          </w:p>
        </w:tc>
        <w:tc>
          <w:tcPr>
            <w:tcW w:w="1686" w:type="dxa"/>
            <w:vAlign w:val="center"/>
          </w:tcPr>
          <w:p w14:paraId="2EC8C3A2">
            <w:pPr>
              <w:pStyle w:val="27"/>
              <w:rPr>
                <w:rFonts w:hint="default" w:ascii="Times New Roman" w:hAnsi="Times New Roman" w:cs="Times New Roman"/>
                <w:color w:val="auto"/>
              </w:rPr>
            </w:pPr>
            <w:r>
              <w:rPr>
                <w:rFonts w:hint="default" w:ascii="Times New Roman" w:hAnsi="Times New Roman" w:cs="Times New Roman"/>
                <w:color w:val="auto"/>
                <w:sz w:val="24"/>
                <w:szCs w:val="24"/>
              </w:rPr>
              <w:t>联系方式</w:t>
            </w:r>
          </w:p>
        </w:tc>
        <w:tc>
          <w:tcPr>
            <w:tcW w:w="2790" w:type="dxa"/>
            <w:vAlign w:val="center"/>
          </w:tcPr>
          <w:p w14:paraId="4FD21CB9">
            <w:pPr>
              <w:pStyle w:val="27"/>
              <w:rPr>
                <w:rFonts w:hint="default" w:ascii="Times New Roman" w:hAnsi="Times New Roman" w:cs="Times New Roman"/>
                <w:color w:val="auto"/>
              </w:rPr>
            </w:pPr>
            <w:r>
              <w:rPr>
                <w:rFonts w:hint="default" w:ascii="Times New Roman" w:hAnsi="Times New Roman" w:cs="Times New Roman"/>
                <w:color w:val="auto"/>
                <w:sz w:val="24"/>
              </w:rPr>
              <w:t>18608777878</w:t>
            </w:r>
          </w:p>
        </w:tc>
      </w:tr>
      <w:tr w14:paraId="129F3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0" w:type="dxa"/>
            <w:tcMar>
              <w:top w:w="16" w:type="dxa"/>
              <w:left w:w="16" w:type="dxa"/>
              <w:right w:w="16" w:type="dxa"/>
            </w:tcMar>
            <w:vAlign w:val="center"/>
          </w:tcPr>
          <w:p w14:paraId="077CDA88">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891" w:type="dxa"/>
            <w:gridSpan w:val="3"/>
            <w:vAlign w:val="center"/>
          </w:tcPr>
          <w:p w14:paraId="3CAA8355">
            <w:pPr>
              <w:pStyle w:val="27"/>
              <w:rPr>
                <w:rFonts w:hint="default" w:ascii="Times New Roman" w:hAnsi="Times New Roman" w:cs="Times New Roman"/>
                <w:color w:val="auto"/>
              </w:rPr>
            </w:pPr>
            <w:r>
              <w:rPr>
                <w:rFonts w:hint="default" w:ascii="Times New Roman" w:hAnsi="Times New Roman" w:cs="Times New Roman"/>
                <w:color w:val="auto"/>
                <w:sz w:val="24"/>
                <w:u w:val="single"/>
              </w:rPr>
              <w:t>云南</w:t>
            </w:r>
            <w:r>
              <w:rPr>
                <w:rFonts w:hint="default" w:ascii="Times New Roman" w:hAnsi="Times New Roman" w:cs="Times New Roman"/>
                <w:color w:val="auto"/>
                <w:sz w:val="24"/>
              </w:rPr>
              <w:t>省（自治区）</w:t>
            </w:r>
            <w:r>
              <w:rPr>
                <w:rFonts w:hint="default" w:ascii="Times New Roman" w:hAnsi="Times New Roman" w:cs="Times New Roman"/>
                <w:color w:val="auto"/>
                <w:sz w:val="24"/>
                <w:u w:val="single"/>
              </w:rPr>
              <w:t>玉溪</w:t>
            </w:r>
            <w:r>
              <w:rPr>
                <w:rFonts w:hint="default" w:ascii="Times New Roman" w:hAnsi="Times New Roman" w:cs="Times New Roman"/>
                <w:color w:val="auto"/>
                <w:sz w:val="24"/>
              </w:rPr>
              <w:t>市</w:t>
            </w:r>
            <w:r>
              <w:rPr>
                <w:rFonts w:hint="default" w:ascii="Times New Roman" w:hAnsi="Times New Roman" w:cs="Times New Roman"/>
                <w:color w:val="auto"/>
                <w:sz w:val="24"/>
                <w:u w:val="single"/>
              </w:rPr>
              <w:t>新平彝族傣族自治</w:t>
            </w:r>
            <w:r>
              <w:rPr>
                <w:rFonts w:hint="default" w:ascii="Times New Roman" w:hAnsi="Times New Roman" w:cs="Times New Roman"/>
                <w:color w:val="auto"/>
                <w:sz w:val="24"/>
              </w:rPr>
              <w:t>县（区）</w:t>
            </w:r>
            <w:r>
              <w:rPr>
                <w:rFonts w:hint="default" w:ascii="Times New Roman" w:hAnsi="Times New Roman" w:cs="Times New Roman"/>
                <w:color w:val="auto"/>
                <w:sz w:val="24"/>
                <w:u w:val="single"/>
                <w:lang w:val="en-US" w:eastAsia="zh-CN"/>
              </w:rPr>
              <w:t>老厂乡</w:t>
            </w:r>
            <w:r>
              <w:rPr>
                <w:rFonts w:hint="default" w:ascii="Times New Roman" w:hAnsi="Times New Roman" w:cs="Times New Roman"/>
                <w:color w:val="auto"/>
                <w:sz w:val="24"/>
              </w:rPr>
              <w:t>（街道）</w:t>
            </w:r>
          </w:p>
        </w:tc>
      </w:tr>
      <w:tr w14:paraId="2BE76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0" w:type="dxa"/>
            <w:tcMar>
              <w:top w:w="16" w:type="dxa"/>
              <w:left w:w="16" w:type="dxa"/>
              <w:right w:w="16" w:type="dxa"/>
            </w:tcMar>
            <w:vAlign w:val="center"/>
          </w:tcPr>
          <w:p w14:paraId="7DB1F879">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891" w:type="dxa"/>
            <w:gridSpan w:val="3"/>
            <w:vAlign w:val="center"/>
          </w:tcPr>
          <w:p w14:paraId="644F0620">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rPr>
              <w:t>（</w:t>
            </w:r>
            <w:r>
              <w:rPr>
                <w:rFonts w:hint="default" w:ascii="Times New Roman" w:hAnsi="Times New Roman" w:cs="Times New Roman"/>
                <w:color w:val="auto"/>
                <w:sz w:val="24"/>
                <w:u w:val="single"/>
              </w:rPr>
              <w:t>101</w:t>
            </w:r>
            <w:r>
              <w:rPr>
                <w:rFonts w:hint="default" w:ascii="Times New Roman" w:hAnsi="Times New Roman" w:cs="Times New Roman"/>
                <w:color w:val="auto"/>
                <w:sz w:val="24"/>
              </w:rPr>
              <w:t xml:space="preserve"> 度 </w:t>
            </w:r>
            <w:r>
              <w:rPr>
                <w:rFonts w:hint="default" w:ascii="Times New Roman" w:hAnsi="Times New Roman" w:cs="Times New Roman"/>
                <w:color w:val="auto"/>
                <w:sz w:val="24"/>
                <w:u w:val="single"/>
                <w:lang w:val="en-US" w:eastAsia="zh-CN"/>
              </w:rPr>
              <w:t>40</w:t>
            </w:r>
            <w:r>
              <w:rPr>
                <w:rFonts w:hint="default" w:ascii="Times New Roman" w:hAnsi="Times New Roman" w:cs="Times New Roman"/>
                <w:color w:val="auto"/>
                <w:sz w:val="24"/>
              </w:rPr>
              <w:t xml:space="preserve"> 分 </w:t>
            </w:r>
            <w:r>
              <w:rPr>
                <w:rFonts w:hint="default" w:ascii="Times New Roman" w:hAnsi="Times New Roman" w:cs="Times New Roman"/>
                <w:color w:val="auto"/>
                <w:sz w:val="24"/>
                <w:u w:val="single"/>
                <w:lang w:val="en-US" w:eastAsia="zh-CN"/>
              </w:rPr>
              <w:t>48.050</w:t>
            </w:r>
            <w:r>
              <w:rPr>
                <w:rFonts w:hint="default" w:ascii="Times New Roman" w:hAnsi="Times New Roman" w:cs="Times New Roman"/>
                <w:color w:val="auto"/>
                <w:sz w:val="24"/>
              </w:rPr>
              <w:t xml:space="preserve"> 秒，</w:t>
            </w:r>
            <w:r>
              <w:rPr>
                <w:rFonts w:hint="default" w:ascii="Times New Roman" w:hAnsi="Times New Roman" w:cs="Times New Roman"/>
                <w:color w:val="auto"/>
                <w:sz w:val="24"/>
                <w:u w:val="single"/>
              </w:rPr>
              <w:t>24</w:t>
            </w:r>
            <w:r>
              <w:rPr>
                <w:rFonts w:hint="default" w:ascii="Times New Roman" w:hAnsi="Times New Roman" w:cs="Times New Roman"/>
                <w:color w:val="auto"/>
                <w:sz w:val="24"/>
              </w:rPr>
              <w:t xml:space="preserve"> 度</w:t>
            </w:r>
            <w:r>
              <w:rPr>
                <w:rFonts w:hint="default" w:ascii="Times New Roman" w:hAnsi="Times New Roman" w:cs="Times New Roman"/>
                <w:color w:val="auto"/>
                <w:sz w:val="24"/>
                <w:u w:val="single"/>
                <w:lang w:val="en-US" w:eastAsia="zh-CN"/>
              </w:rPr>
              <w:t>10</w:t>
            </w:r>
            <w:r>
              <w:rPr>
                <w:rFonts w:hint="default" w:ascii="Times New Roman" w:hAnsi="Times New Roman" w:cs="Times New Roman"/>
                <w:color w:val="auto"/>
                <w:sz w:val="24"/>
              </w:rPr>
              <w:t xml:space="preserve">分 </w:t>
            </w:r>
            <w:r>
              <w:rPr>
                <w:rFonts w:hint="default" w:ascii="Times New Roman" w:hAnsi="Times New Roman" w:cs="Times New Roman"/>
                <w:color w:val="auto"/>
                <w:sz w:val="24"/>
                <w:u w:val="single"/>
                <w:lang w:val="en-US" w:eastAsia="zh-CN"/>
              </w:rPr>
              <w:t>33.397</w:t>
            </w:r>
            <w:r>
              <w:rPr>
                <w:rFonts w:hint="default" w:ascii="Times New Roman" w:hAnsi="Times New Roman" w:cs="Times New Roman"/>
                <w:color w:val="auto"/>
                <w:sz w:val="24"/>
              </w:rPr>
              <w:t xml:space="preserve"> 秒）</w:t>
            </w:r>
          </w:p>
        </w:tc>
      </w:tr>
      <w:tr w14:paraId="3AC23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0" w:type="dxa"/>
            <w:tcMar>
              <w:top w:w="16" w:type="dxa"/>
              <w:left w:w="16" w:type="dxa"/>
              <w:right w:w="16" w:type="dxa"/>
            </w:tcMar>
            <w:vAlign w:val="center"/>
          </w:tcPr>
          <w:p w14:paraId="2E24321B">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0E7CBA21">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3415" w:type="dxa"/>
            <w:vAlign w:val="center"/>
          </w:tcPr>
          <w:p w14:paraId="138AC5F6">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水泥制品制造</w:t>
            </w:r>
          </w:p>
          <w:p w14:paraId="1AB5BFCD">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lang w:val="en-US" w:eastAsia="zh-CN"/>
              </w:rPr>
              <w:t>3021</w:t>
            </w:r>
            <w:r>
              <w:rPr>
                <w:rFonts w:hint="default" w:ascii="Times New Roman" w:hAnsi="Times New Roman" w:cs="Times New Roman"/>
                <w:color w:val="auto"/>
                <w:sz w:val="24"/>
                <w:szCs w:val="24"/>
              </w:rPr>
              <w:t>）</w:t>
            </w:r>
          </w:p>
        </w:tc>
        <w:tc>
          <w:tcPr>
            <w:tcW w:w="1686" w:type="dxa"/>
            <w:vAlign w:val="center"/>
          </w:tcPr>
          <w:p w14:paraId="1EAC6932">
            <w:pPr>
              <w:pStyle w:val="27"/>
              <w:rPr>
                <w:rFonts w:hint="default" w:ascii="Times New Roman" w:hAnsi="Times New Roman" w:cs="Times New Roman"/>
                <w:color w:val="auto"/>
                <w:sz w:val="24"/>
                <w:szCs w:val="24"/>
              </w:rPr>
            </w:pPr>
            <w:bookmarkStart w:id="7" w:name="_Hlk49843745"/>
            <w:r>
              <w:rPr>
                <w:rFonts w:hint="default" w:ascii="Times New Roman" w:hAnsi="Times New Roman" w:cs="Times New Roman"/>
                <w:color w:val="auto"/>
                <w:sz w:val="24"/>
                <w:szCs w:val="24"/>
              </w:rPr>
              <w:t>建设项目</w:t>
            </w:r>
          </w:p>
          <w:p w14:paraId="63A24145">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7"/>
          </w:p>
        </w:tc>
        <w:tc>
          <w:tcPr>
            <w:tcW w:w="2790" w:type="dxa"/>
            <w:vAlign w:val="center"/>
          </w:tcPr>
          <w:p w14:paraId="2843CC26">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“二十七、非金属矿物制品业</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中“55、</w:t>
            </w:r>
            <w:r>
              <w:rPr>
                <w:rFonts w:hint="default" w:ascii="Times New Roman" w:hAnsi="Times New Roman" w:cs="Times New Roman"/>
                <w:color w:val="auto"/>
                <w:sz w:val="24"/>
                <w:szCs w:val="24"/>
              </w:rPr>
              <w:t>石膏、水泥制品及类似制品制造302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rPr>
              <w:t>商品混凝土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砼结构构件制造；水泥制品制造”</w:t>
            </w:r>
          </w:p>
        </w:tc>
      </w:tr>
      <w:tr w14:paraId="7AB8B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1" w:hRule="atLeast"/>
          <w:jc w:val="center"/>
        </w:trPr>
        <w:tc>
          <w:tcPr>
            <w:tcW w:w="1180" w:type="dxa"/>
            <w:tcMar>
              <w:top w:w="16" w:type="dxa"/>
              <w:left w:w="16" w:type="dxa"/>
              <w:right w:w="16" w:type="dxa"/>
            </w:tcMar>
            <w:vAlign w:val="center"/>
          </w:tcPr>
          <w:p w14:paraId="1416DA1A">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3415" w:type="dxa"/>
            <w:vAlign w:val="center"/>
          </w:tcPr>
          <w:p w14:paraId="7B9A9712">
            <w:pPr>
              <w:pStyle w:val="27"/>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FE"/>
            </w:r>
            <w:r>
              <w:rPr>
                <w:rFonts w:hint="default" w:ascii="Times New Roman" w:hAnsi="Times New Roman" w:cs="Times New Roman"/>
                <w:color w:val="auto"/>
                <w:sz w:val="24"/>
                <w:szCs w:val="24"/>
              </w:rPr>
              <w:t>新建（迁建）</w:t>
            </w:r>
          </w:p>
          <w:p w14:paraId="7B0BDE56">
            <w:pPr>
              <w:pStyle w:val="27"/>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改建</w:t>
            </w:r>
          </w:p>
          <w:p w14:paraId="3203CDFC">
            <w:pPr>
              <w:pStyle w:val="27"/>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14:paraId="662079F1">
            <w:pPr>
              <w:pStyle w:val="27"/>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技术改造</w:t>
            </w:r>
          </w:p>
        </w:tc>
        <w:tc>
          <w:tcPr>
            <w:tcW w:w="1686" w:type="dxa"/>
            <w:vAlign w:val="center"/>
          </w:tcPr>
          <w:p w14:paraId="6371D35C">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建设项目申报情形</w:t>
            </w:r>
          </w:p>
        </w:tc>
        <w:tc>
          <w:tcPr>
            <w:tcW w:w="2790" w:type="dxa"/>
            <w:vAlign w:val="center"/>
          </w:tcPr>
          <w:p w14:paraId="569F08BE">
            <w:pPr>
              <w:pStyle w:val="27"/>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FE"/>
            </w:r>
            <w:r>
              <w:rPr>
                <w:rFonts w:hint="default" w:ascii="Times New Roman" w:hAnsi="Times New Roman" w:cs="Times New Roman"/>
                <w:color w:val="auto"/>
                <w:sz w:val="24"/>
                <w:szCs w:val="24"/>
              </w:rPr>
              <w:t xml:space="preserve">首次申报项目             </w:t>
            </w:r>
          </w:p>
          <w:p w14:paraId="5224C8D7">
            <w:pPr>
              <w:pStyle w:val="27"/>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不予批准后再次申报项目</w:t>
            </w:r>
          </w:p>
          <w:p w14:paraId="3E144C7F">
            <w:pPr>
              <w:pStyle w:val="27"/>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 xml:space="preserve">超五年重新审核项目     </w:t>
            </w:r>
          </w:p>
          <w:p w14:paraId="16CEA2EA">
            <w:pPr>
              <w:pStyle w:val="27"/>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重大变动重新报批项目</w:t>
            </w:r>
          </w:p>
        </w:tc>
      </w:tr>
      <w:tr w14:paraId="4311B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0" w:type="dxa"/>
            <w:tcMar>
              <w:top w:w="16" w:type="dxa"/>
              <w:left w:w="16" w:type="dxa"/>
              <w:right w:w="16" w:type="dxa"/>
            </w:tcMar>
            <w:vAlign w:val="center"/>
          </w:tcPr>
          <w:p w14:paraId="2806A341">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项目审批（核准/备案）部门（选填）</w:t>
            </w:r>
          </w:p>
        </w:tc>
        <w:tc>
          <w:tcPr>
            <w:tcW w:w="3415" w:type="dxa"/>
            <w:vAlign w:val="center"/>
          </w:tcPr>
          <w:p w14:paraId="3094FACA">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新平县发展和改革局</w:t>
            </w:r>
          </w:p>
        </w:tc>
        <w:tc>
          <w:tcPr>
            <w:tcW w:w="1686" w:type="dxa"/>
            <w:vAlign w:val="center"/>
          </w:tcPr>
          <w:p w14:paraId="18DCF151">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项目审批（核准/备案）文号（选填）</w:t>
            </w:r>
          </w:p>
        </w:tc>
        <w:tc>
          <w:tcPr>
            <w:tcW w:w="2790" w:type="dxa"/>
            <w:vAlign w:val="center"/>
          </w:tcPr>
          <w:p w14:paraId="5D4031C2">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新发改投资备案</w:t>
            </w:r>
          </w:p>
          <w:p w14:paraId="20D37F48">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52</w:t>
            </w:r>
            <w:r>
              <w:rPr>
                <w:rFonts w:hint="default" w:ascii="Times New Roman" w:hAnsi="Times New Roman" w:cs="Times New Roman"/>
                <w:color w:val="auto"/>
                <w:sz w:val="24"/>
                <w:szCs w:val="24"/>
              </w:rPr>
              <w:t>号</w:t>
            </w:r>
          </w:p>
        </w:tc>
      </w:tr>
      <w:tr w14:paraId="1CEBD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1180" w:type="dxa"/>
            <w:tcMar>
              <w:top w:w="16" w:type="dxa"/>
              <w:left w:w="16" w:type="dxa"/>
              <w:right w:w="16" w:type="dxa"/>
            </w:tcMar>
            <w:vAlign w:val="center"/>
          </w:tcPr>
          <w:p w14:paraId="0D200F8D">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w:t>
            </w:r>
          </w:p>
          <w:p w14:paraId="3B2AFCE9">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（万元）</w:t>
            </w:r>
          </w:p>
        </w:tc>
        <w:tc>
          <w:tcPr>
            <w:tcW w:w="3415" w:type="dxa"/>
            <w:vAlign w:val="center"/>
          </w:tcPr>
          <w:p w14:paraId="26E2EA8C">
            <w:pPr>
              <w:pStyle w:val="27"/>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2270</w:t>
            </w:r>
          </w:p>
        </w:tc>
        <w:tc>
          <w:tcPr>
            <w:tcW w:w="1686" w:type="dxa"/>
            <w:tcMar>
              <w:top w:w="16" w:type="dxa"/>
              <w:left w:w="16" w:type="dxa"/>
              <w:right w:w="16" w:type="dxa"/>
            </w:tcMar>
            <w:vAlign w:val="center"/>
          </w:tcPr>
          <w:p w14:paraId="303478D6">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790" w:type="dxa"/>
            <w:vAlign w:val="center"/>
          </w:tcPr>
          <w:p w14:paraId="0A9EF0B4">
            <w:pPr>
              <w:pStyle w:val="27"/>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16.82</w:t>
            </w:r>
          </w:p>
        </w:tc>
      </w:tr>
      <w:tr w14:paraId="1A792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0" w:type="dxa"/>
            <w:tcMar>
              <w:top w:w="16" w:type="dxa"/>
              <w:left w:w="16" w:type="dxa"/>
              <w:right w:w="16" w:type="dxa"/>
            </w:tcMar>
            <w:vAlign w:val="center"/>
          </w:tcPr>
          <w:p w14:paraId="20A56055">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3415" w:type="dxa"/>
            <w:vAlign w:val="center"/>
          </w:tcPr>
          <w:p w14:paraId="07DF8B81">
            <w:pPr>
              <w:pStyle w:val="27"/>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eastAsia="zh-CN"/>
              </w:rPr>
              <w:t>0.74</w:t>
            </w:r>
          </w:p>
        </w:tc>
        <w:tc>
          <w:tcPr>
            <w:tcW w:w="1686" w:type="dxa"/>
            <w:tcMar>
              <w:top w:w="16" w:type="dxa"/>
              <w:left w:w="16" w:type="dxa"/>
              <w:right w:w="16" w:type="dxa"/>
            </w:tcMar>
            <w:vAlign w:val="center"/>
          </w:tcPr>
          <w:p w14:paraId="720ED2CA">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790" w:type="dxa"/>
            <w:vAlign w:val="center"/>
          </w:tcPr>
          <w:p w14:paraId="34CFCFB4">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个月</w:t>
            </w:r>
          </w:p>
        </w:tc>
      </w:tr>
      <w:tr w14:paraId="7A341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0" w:type="dxa"/>
            <w:tcMar>
              <w:top w:w="16" w:type="dxa"/>
              <w:left w:w="16" w:type="dxa"/>
              <w:right w:w="16" w:type="dxa"/>
            </w:tcMar>
            <w:vAlign w:val="center"/>
          </w:tcPr>
          <w:p w14:paraId="68B476DE">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3415" w:type="dxa"/>
            <w:vAlign w:val="center"/>
          </w:tcPr>
          <w:p w14:paraId="30662777">
            <w:pPr>
              <w:pStyle w:val="27"/>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否</w:t>
            </w:r>
          </w:p>
          <w:p w14:paraId="33CC94E5">
            <w:pPr>
              <w:pStyle w:val="27"/>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项目的环境影响评价文件未依法经审批部门审查，于2025年10月15日开工建设，2026年3月17日投入使用。该公司行为涉嫌违反《中华人民共和国环境影响评价法》(2018年修正)第二十五条“建设项目的环境影响评价文件未依法经审批部门审查或者审查后未予批准的，建设单位不得开工建设”的规定</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lang w:val="en-US" w:eastAsia="zh-CN"/>
              </w:rPr>
              <w:t>详见附件2</w:t>
            </w:r>
            <w:r>
              <w:rPr>
                <w:rFonts w:hint="eastAsia" w:ascii="Times New Roman" w:hAnsi="Times New Roman" w:cs="Times New Roman"/>
                <w:color w:val="auto"/>
                <w:sz w:val="24"/>
                <w:szCs w:val="24"/>
                <w:u w:val="single"/>
                <w:lang w:val="en-US" w:eastAsia="zh-CN"/>
              </w:rPr>
              <w:t>1</w:t>
            </w:r>
            <w:r>
              <w:rPr>
                <w:rFonts w:hint="default" w:ascii="Times New Roman" w:hAnsi="Times New Roman" w:cs="Times New Roman"/>
                <w:color w:val="auto"/>
                <w:sz w:val="24"/>
                <w:szCs w:val="24"/>
                <w:u w:val="single"/>
                <w:lang w:eastAsia="zh-CN"/>
              </w:rPr>
              <w:t>）。</w:t>
            </w:r>
          </w:p>
        </w:tc>
        <w:tc>
          <w:tcPr>
            <w:tcW w:w="1686" w:type="dxa"/>
            <w:tcMar>
              <w:top w:w="16" w:type="dxa"/>
              <w:left w:w="16" w:type="dxa"/>
              <w:right w:w="16" w:type="dxa"/>
            </w:tcMar>
            <w:vAlign w:val="center"/>
          </w:tcPr>
          <w:p w14:paraId="0C1F17F0">
            <w:pPr>
              <w:pStyle w:val="27"/>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14:paraId="3F28D5D7">
            <w:pPr>
              <w:pStyle w:val="27"/>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790" w:type="dxa"/>
            <w:vAlign w:val="center"/>
          </w:tcPr>
          <w:p w14:paraId="2C83A405">
            <w:pPr>
              <w:pStyle w:val="27"/>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4662</w:t>
            </w:r>
          </w:p>
        </w:tc>
      </w:tr>
      <w:tr w14:paraId="16EA4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80" w:type="dxa"/>
            <w:vAlign w:val="center"/>
          </w:tcPr>
          <w:p w14:paraId="3545610F">
            <w:pPr>
              <w:pStyle w:val="27"/>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891" w:type="dxa"/>
            <w:gridSpan w:val="3"/>
            <w:vAlign w:val="center"/>
          </w:tcPr>
          <w:p w14:paraId="0D5CFA75">
            <w:pPr>
              <w:pStyle w:val="27"/>
              <w:spacing w:line="360" w:lineRule="auto"/>
              <w:ind w:firstLine="480" w:firstLineChars="200"/>
              <w:jc w:val="both"/>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根据《建设项目环境影响报告表编制技术指南（污染影响类）（试行）》本项目不需要设置专项评价，具体情况如下：</w:t>
            </w:r>
          </w:p>
          <w:p w14:paraId="79B57927">
            <w:pPr>
              <w:pStyle w:val="27"/>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表1-1  专项设置原则及本项目专项设置情况一览表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3272"/>
              <w:gridCol w:w="2043"/>
              <w:gridCol w:w="1341"/>
            </w:tblGrid>
            <w:tr w14:paraId="0509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Align w:val="center"/>
                </w:tcPr>
                <w:p w14:paraId="5CE4EC4D">
                  <w:pPr>
                    <w:pStyle w:val="27"/>
                    <w:adjustRightInd w:val="0"/>
                    <w:snapToGrid w:val="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专项评价类别</w:t>
                  </w:r>
                </w:p>
              </w:tc>
              <w:tc>
                <w:tcPr>
                  <w:tcW w:w="2135" w:type="pct"/>
                  <w:vAlign w:val="center"/>
                </w:tcPr>
                <w:p w14:paraId="4B73D84A">
                  <w:pPr>
                    <w:pStyle w:val="27"/>
                    <w:adjustRightInd w:val="0"/>
                    <w:snapToGrid w:val="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设置原则</w:t>
                  </w:r>
                </w:p>
              </w:tc>
              <w:tc>
                <w:tcPr>
                  <w:tcW w:w="1333" w:type="pct"/>
                  <w:vAlign w:val="center"/>
                </w:tcPr>
                <w:p w14:paraId="4C6C4D61">
                  <w:pPr>
                    <w:pStyle w:val="27"/>
                    <w:adjustRightInd w:val="0"/>
                    <w:snapToGrid w:val="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本项目情况</w:t>
                  </w:r>
                </w:p>
              </w:tc>
              <w:tc>
                <w:tcPr>
                  <w:tcW w:w="873" w:type="pct"/>
                  <w:vAlign w:val="center"/>
                </w:tcPr>
                <w:p w14:paraId="2974A031">
                  <w:pPr>
                    <w:pStyle w:val="27"/>
                    <w:adjustRightInd w:val="0"/>
                    <w:snapToGrid w:val="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本项目是否设置专项</w:t>
                  </w:r>
                </w:p>
              </w:tc>
            </w:tr>
            <w:tr w14:paraId="1D04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Align w:val="center"/>
                </w:tcPr>
                <w:p w14:paraId="28F6ACD4">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大气</w:t>
                  </w:r>
                </w:p>
              </w:tc>
              <w:tc>
                <w:tcPr>
                  <w:tcW w:w="2135" w:type="pct"/>
                  <w:vAlign w:val="center"/>
                </w:tcPr>
                <w:p w14:paraId="09A226CA">
                  <w:pPr>
                    <w:pStyle w:val="27"/>
                    <w:adjustRightInd w:val="0"/>
                    <w:snapToGrid w:val="0"/>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排放废气含有毒有害污染物</w:t>
                  </w:r>
                  <w:r>
                    <w:rPr>
                      <w:rFonts w:hint="default" w:ascii="Times New Roman" w:hAnsi="Times New Roman" w:cs="Times New Roman"/>
                      <w:color w:val="auto"/>
                      <w:kern w:val="0"/>
                      <w:szCs w:val="21"/>
                      <w:vertAlign w:val="superscript"/>
                    </w:rPr>
                    <w:t>1</w:t>
                  </w:r>
                  <w:r>
                    <w:rPr>
                      <w:rFonts w:hint="default" w:ascii="Times New Roman" w:hAnsi="Times New Roman" w:cs="Times New Roman"/>
                      <w:color w:val="auto"/>
                      <w:kern w:val="0"/>
                      <w:szCs w:val="21"/>
                    </w:rPr>
                    <w:t>、二噁英、苯并[a]芘、氰化物、氯气且厂界外500米范围内有环境空气保护目标</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的建设项目</w:t>
                  </w:r>
                </w:p>
              </w:tc>
              <w:tc>
                <w:tcPr>
                  <w:tcW w:w="1333" w:type="pct"/>
                  <w:vAlign w:val="center"/>
                </w:tcPr>
                <w:p w14:paraId="1EA7A13E">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本项目产生的废气主要有颗粒物，不涉及《有毒有害大气污染物名录》的污染物、二噁英、苯并[a]芘、氰化物、氯气</w:t>
                  </w:r>
                </w:p>
              </w:tc>
              <w:tc>
                <w:tcPr>
                  <w:tcW w:w="873" w:type="pct"/>
                  <w:vAlign w:val="center"/>
                </w:tcPr>
                <w:p w14:paraId="1BBD6E57">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14:paraId="2644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Align w:val="center"/>
                </w:tcPr>
                <w:p w14:paraId="58E6C3C6">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地表水</w:t>
                  </w:r>
                </w:p>
              </w:tc>
              <w:tc>
                <w:tcPr>
                  <w:tcW w:w="2135" w:type="pct"/>
                  <w:vAlign w:val="center"/>
                </w:tcPr>
                <w:p w14:paraId="4677DD81">
                  <w:pPr>
                    <w:pStyle w:val="27"/>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新增工业废水直排的建设项目（槽罐车外送污水处理厂的除外）；新增废水直排的污水集中处理厂</w:t>
                  </w:r>
                </w:p>
              </w:tc>
              <w:tc>
                <w:tcPr>
                  <w:tcW w:w="1333" w:type="pct"/>
                  <w:vAlign w:val="center"/>
                </w:tcPr>
                <w:p w14:paraId="1D30D087">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本项目不涉及工业废水外排</w:t>
                  </w:r>
                </w:p>
              </w:tc>
              <w:tc>
                <w:tcPr>
                  <w:tcW w:w="873" w:type="pct"/>
                  <w:vAlign w:val="center"/>
                </w:tcPr>
                <w:p w14:paraId="09970FF0">
                  <w:pPr>
                    <w:adjustRightInd w:val="0"/>
                    <w:snapToGrid w:val="0"/>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5619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Align w:val="center"/>
                </w:tcPr>
                <w:p w14:paraId="152C3AA1">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3A2CD5A">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风险</w:t>
                  </w:r>
                </w:p>
              </w:tc>
              <w:tc>
                <w:tcPr>
                  <w:tcW w:w="2135" w:type="pct"/>
                  <w:vAlign w:val="center"/>
                </w:tcPr>
                <w:p w14:paraId="4871BC76">
                  <w:pPr>
                    <w:pStyle w:val="27"/>
                    <w:adjustRightInd w:val="0"/>
                    <w:snapToGrid w:val="0"/>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有毒有害和易燃易爆危险物质存储量超过临界量</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的建设项目</w:t>
                  </w:r>
                </w:p>
              </w:tc>
              <w:tc>
                <w:tcPr>
                  <w:tcW w:w="1333" w:type="pct"/>
                  <w:vAlign w:val="center"/>
                </w:tcPr>
                <w:p w14:paraId="7CF5C94C">
                  <w:pPr>
                    <w:pStyle w:val="27"/>
                    <w:adjustRightInd w:val="0"/>
                    <w:snapToGrid w:val="0"/>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本项目风险物质主要为废机油不超过临界量</w:t>
                  </w:r>
                </w:p>
              </w:tc>
              <w:tc>
                <w:tcPr>
                  <w:tcW w:w="873" w:type="pct"/>
                  <w:vAlign w:val="center"/>
                </w:tcPr>
                <w:p w14:paraId="0EF9774B">
                  <w:pPr>
                    <w:adjustRightInd w:val="0"/>
                    <w:snapToGrid w:val="0"/>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5E19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Align w:val="center"/>
                </w:tcPr>
                <w:p w14:paraId="2BF65D7E">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w:t>
                  </w:r>
                </w:p>
              </w:tc>
              <w:tc>
                <w:tcPr>
                  <w:tcW w:w="2135" w:type="pct"/>
                  <w:vAlign w:val="center"/>
                </w:tcPr>
                <w:p w14:paraId="499CE5BE">
                  <w:pPr>
                    <w:pStyle w:val="27"/>
                    <w:adjustRightInd w:val="0"/>
                    <w:snapToGrid w:val="0"/>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取水口下游500米范围内有重要水生生物的自然产卵场、索饵场、越冬场和洄游通道的新增河道取水的污染类建设项目</w:t>
                  </w:r>
                </w:p>
              </w:tc>
              <w:tc>
                <w:tcPr>
                  <w:tcW w:w="1333" w:type="pct"/>
                  <w:vAlign w:val="center"/>
                </w:tcPr>
                <w:p w14:paraId="4AE4B473">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项目不涉及</w:t>
                  </w:r>
                </w:p>
              </w:tc>
              <w:tc>
                <w:tcPr>
                  <w:tcW w:w="873" w:type="pct"/>
                  <w:vAlign w:val="center"/>
                </w:tcPr>
                <w:p w14:paraId="7F455BDB">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14:paraId="3B7F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Align w:val="center"/>
                </w:tcPr>
                <w:p w14:paraId="506D7447">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海洋</w:t>
                  </w:r>
                </w:p>
              </w:tc>
              <w:tc>
                <w:tcPr>
                  <w:tcW w:w="2135" w:type="pct"/>
                  <w:vAlign w:val="center"/>
                </w:tcPr>
                <w:p w14:paraId="6E6F2803">
                  <w:pPr>
                    <w:pStyle w:val="27"/>
                    <w:adjustRightInd w:val="0"/>
                    <w:snapToGrid w:val="0"/>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直接向海排放污染物的海洋工程建设项目</w:t>
                  </w:r>
                </w:p>
              </w:tc>
              <w:tc>
                <w:tcPr>
                  <w:tcW w:w="1333" w:type="pct"/>
                  <w:vAlign w:val="center"/>
                </w:tcPr>
                <w:p w14:paraId="2891ECAA">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项目不涉及</w:t>
                  </w:r>
                </w:p>
              </w:tc>
              <w:tc>
                <w:tcPr>
                  <w:tcW w:w="873" w:type="pct"/>
                  <w:vAlign w:val="center"/>
                </w:tcPr>
                <w:p w14:paraId="2C7D2B7A">
                  <w:pPr>
                    <w:pStyle w:val="27"/>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14:paraId="6FCC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3A44378E">
                  <w:pPr>
                    <w:pStyle w:val="27"/>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备注：1.废气中有毒有害污染物指纳入《有毒有害大气污染物名录》的污染物（不包括无排放标准的污染物）。</w:t>
                  </w:r>
                </w:p>
                <w:p w14:paraId="5890207C">
                  <w:pPr>
                    <w:pStyle w:val="27"/>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2.环境空气保护目标指自然保护区、风景名胜区、居住区、文化区和农村地区中人群较集中的区域。</w:t>
                  </w:r>
                </w:p>
                <w:p w14:paraId="2B3EB80D">
                  <w:pPr>
                    <w:pStyle w:val="27"/>
                    <w:adjustRightInd w:val="0"/>
                    <w:snapToGrid w:val="0"/>
                    <w:ind w:firstLine="48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3.临界量及其计算方法可参考《建设项目环境风险评价技术导则》（HJ 169）附录B、附录C。</w:t>
                  </w:r>
                </w:p>
              </w:tc>
            </w:tr>
          </w:tbl>
          <w:p w14:paraId="09D895C0">
            <w:pPr>
              <w:pStyle w:val="27"/>
              <w:spacing w:line="360" w:lineRule="auto"/>
              <w:ind w:firstLine="480" w:firstLineChars="200"/>
              <w:jc w:val="both"/>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综上所述，本项目无需设置专项评价。</w:t>
            </w:r>
          </w:p>
        </w:tc>
      </w:tr>
      <w:tr w14:paraId="6877A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180" w:type="dxa"/>
            <w:vAlign w:val="center"/>
          </w:tcPr>
          <w:p w14:paraId="2008B0EB">
            <w:pPr>
              <w:pStyle w:val="27"/>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891" w:type="dxa"/>
            <w:gridSpan w:val="3"/>
            <w:vAlign w:val="center"/>
          </w:tcPr>
          <w:p w14:paraId="01DB6376">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w:t>
            </w:r>
          </w:p>
        </w:tc>
      </w:tr>
      <w:tr w14:paraId="45A66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180" w:type="dxa"/>
            <w:vAlign w:val="center"/>
          </w:tcPr>
          <w:p w14:paraId="67517587">
            <w:pPr>
              <w:pStyle w:val="27"/>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规划环境影响评价情况</w:t>
            </w:r>
          </w:p>
        </w:tc>
        <w:tc>
          <w:tcPr>
            <w:tcW w:w="7891" w:type="dxa"/>
            <w:gridSpan w:val="3"/>
            <w:vAlign w:val="center"/>
          </w:tcPr>
          <w:p w14:paraId="317F83C4">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w:t>
            </w:r>
          </w:p>
        </w:tc>
      </w:tr>
      <w:tr w14:paraId="2E236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180" w:type="dxa"/>
            <w:vAlign w:val="center"/>
          </w:tcPr>
          <w:p w14:paraId="5262925E">
            <w:pPr>
              <w:pStyle w:val="27"/>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7891" w:type="dxa"/>
            <w:gridSpan w:val="3"/>
            <w:vAlign w:val="center"/>
          </w:tcPr>
          <w:p w14:paraId="60EC6108">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w:t>
            </w:r>
          </w:p>
        </w:tc>
      </w:tr>
      <w:tr w14:paraId="6B09D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vAlign w:val="center"/>
          </w:tcPr>
          <w:p w14:paraId="16323ED6">
            <w:pPr>
              <w:pStyle w:val="27"/>
              <w:rPr>
                <w:rFonts w:hint="default" w:ascii="Times New Roman" w:hAnsi="Times New Roman" w:cs="Times New Roman"/>
                <w:color w:val="auto"/>
                <w:sz w:val="24"/>
                <w:szCs w:val="24"/>
              </w:rPr>
            </w:pPr>
          </w:p>
          <w:p w14:paraId="3FEB582F">
            <w:pPr>
              <w:pStyle w:val="27"/>
              <w:rPr>
                <w:rFonts w:hint="default" w:ascii="Times New Roman" w:hAnsi="Times New Roman" w:cs="Times New Roman"/>
                <w:color w:val="auto"/>
                <w:sz w:val="24"/>
                <w:szCs w:val="24"/>
              </w:rPr>
            </w:pPr>
          </w:p>
          <w:p w14:paraId="272D77EC">
            <w:pPr>
              <w:pStyle w:val="27"/>
              <w:rPr>
                <w:rFonts w:hint="default" w:ascii="Times New Roman" w:hAnsi="Times New Roman" w:cs="Times New Roman"/>
                <w:color w:val="auto"/>
                <w:sz w:val="24"/>
                <w:szCs w:val="24"/>
              </w:rPr>
            </w:pPr>
          </w:p>
          <w:p w14:paraId="23FE1F22">
            <w:pPr>
              <w:pStyle w:val="27"/>
              <w:rPr>
                <w:rFonts w:hint="default" w:ascii="Times New Roman" w:hAnsi="Times New Roman" w:cs="Times New Roman"/>
                <w:color w:val="auto"/>
                <w:sz w:val="24"/>
                <w:szCs w:val="24"/>
              </w:rPr>
            </w:pPr>
          </w:p>
          <w:p w14:paraId="70A4112D">
            <w:pPr>
              <w:pStyle w:val="27"/>
              <w:rPr>
                <w:rFonts w:hint="default" w:ascii="Times New Roman" w:hAnsi="Times New Roman" w:cs="Times New Roman"/>
                <w:color w:val="auto"/>
                <w:sz w:val="24"/>
                <w:szCs w:val="24"/>
              </w:rPr>
            </w:pPr>
          </w:p>
          <w:p w14:paraId="398196EE">
            <w:pPr>
              <w:pStyle w:val="27"/>
              <w:rPr>
                <w:rFonts w:hint="default" w:ascii="Times New Roman" w:hAnsi="Times New Roman" w:cs="Times New Roman"/>
                <w:color w:val="auto"/>
                <w:sz w:val="24"/>
                <w:szCs w:val="24"/>
              </w:rPr>
            </w:pPr>
          </w:p>
          <w:p w14:paraId="46841B79">
            <w:pPr>
              <w:pStyle w:val="27"/>
              <w:rPr>
                <w:rFonts w:hint="default" w:ascii="Times New Roman" w:hAnsi="Times New Roman" w:cs="Times New Roman"/>
                <w:color w:val="auto"/>
                <w:sz w:val="24"/>
                <w:szCs w:val="24"/>
              </w:rPr>
            </w:pPr>
          </w:p>
          <w:p w14:paraId="62CCE9EA">
            <w:pPr>
              <w:pStyle w:val="27"/>
              <w:rPr>
                <w:rFonts w:hint="default" w:ascii="Times New Roman" w:hAnsi="Times New Roman" w:cs="Times New Roman"/>
                <w:color w:val="auto"/>
                <w:sz w:val="24"/>
                <w:szCs w:val="24"/>
              </w:rPr>
            </w:pPr>
          </w:p>
          <w:p w14:paraId="08BE3633">
            <w:pPr>
              <w:pStyle w:val="27"/>
              <w:rPr>
                <w:rFonts w:hint="default" w:ascii="Times New Roman" w:hAnsi="Times New Roman" w:cs="Times New Roman"/>
                <w:color w:val="auto"/>
                <w:sz w:val="24"/>
                <w:szCs w:val="24"/>
              </w:rPr>
            </w:pPr>
          </w:p>
          <w:p w14:paraId="66DF24B3">
            <w:pPr>
              <w:pStyle w:val="27"/>
              <w:rPr>
                <w:rFonts w:hint="default" w:ascii="Times New Roman" w:hAnsi="Times New Roman" w:cs="Times New Roman"/>
                <w:color w:val="auto"/>
                <w:sz w:val="24"/>
                <w:szCs w:val="24"/>
              </w:rPr>
            </w:pPr>
          </w:p>
          <w:p w14:paraId="049A1B9F">
            <w:pPr>
              <w:pStyle w:val="27"/>
              <w:rPr>
                <w:rFonts w:hint="default" w:ascii="Times New Roman" w:hAnsi="Times New Roman" w:cs="Times New Roman"/>
                <w:color w:val="auto"/>
                <w:sz w:val="24"/>
                <w:szCs w:val="24"/>
              </w:rPr>
            </w:pPr>
          </w:p>
          <w:p w14:paraId="4D88F5C3">
            <w:pPr>
              <w:pStyle w:val="27"/>
              <w:rPr>
                <w:rFonts w:hint="default" w:ascii="Times New Roman" w:hAnsi="Times New Roman" w:cs="Times New Roman"/>
                <w:color w:val="auto"/>
                <w:sz w:val="24"/>
                <w:szCs w:val="24"/>
              </w:rPr>
            </w:pPr>
          </w:p>
          <w:p w14:paraId="418D3218">
            <w:pPr>
              <w:pStyle w:val="27"/>
              <w:rPr>
                <w:rFonts w:hint="default" w:ascii="Times New Roman" w:hAnsi="Times New Roman" w:cs="Times New Roman"/>
                <w:color w:val="auto"/>
                <w:sz w:val="24"/>
                <w:szCs w:val="24"/>
              </w:rPr>
            </w:pPr>
          </w:p>
          <w:p w14:paraId="35BD8832">
            <w:pPr>
              <w:pStyle w:val="27"/>
              <w:rPr>
                <w:rFonts w:hint="default" w:ascii="Times New Roman" w:hAnsi="Times New Roman" w:cs="Times New Roman"/>
                <w:color w:val="auto"/>
                <w:sz w:val="24"/>
                <w:szCs w:val="24"/>
              </w:rPr>
            </w:pPr>
          </w:p>
          <w:p w14:paraId="6FCDB14F">
            <w:pPr>
              <w:pStyle w:val="27"/>
              <w:rPr>
                <w:rFonts w:hint="default" w:ascii="Times New Roman" w:hAnsi="Times New Roman" w:cs="Times New Roman"/>
                <w:color w:val="auto"/>
                <w:sz w:val="24"/>
                <w:szCs w:val="24"/>
              </w:rPr>
            </w:pPr>
          </w:p>
          <w:p w14:paraId="39C62A45">
            <w:pPr>
              <w:pStyle w:val="27"/>
              <w:rPr>
                <w:rFonts w:hint="default" w:ascii="Times New Roman" w:hAnsi="Times New Roman" w:cs="Times New Roman"/>
                <w:color w:val="auto"/>
                <w:sz w:val="24"/>
                <w:szCs w:val="24"/>
              </w:rPr>
            </w:pPr>
          </w:p>
          <w:p w14:paraId="480E5775">
            <w:pPr>
              <w:pStyle w:val="27"/>
              <w:rPr>
                <w:rFonts w:hint="default" w:ascii="Times New Roman" w:hAnsi="Times New Roman" w:cs="Times New Roman"/>
                <w:color w:val="auto"/>
                <w:sz w:val="24"/>
                <w:szCs w:val="24"/>
              </w:rPr>
            </w:pPr>
          </w:p>
          <w:p w14:paraId="4C979D5E">
            <w:pPr>
              <w:pStyle w:val="27"/>
              <w:rPr>
                <w:rFonts w:hint="default" w:ascii="Times New Roman" w:hAnsi="Times New Roman" w:cs="Times New Roman"/>
                <w:color w:val="auto"/>
                <w:sz w:val="24"/>
                <w:szCs w:val="24"/>
              </w:rPr>
            </w:pPr>
          </w:p>
          <w:p w14:paraId="0ABEDC43">
            <w:pPr>
              <w:pStyle w:val="27"/>
              <w:rPr>
                <w:rFonts w:hint="default" w:ascii="Times New Roman" w:hAnsi="Times New Roman" w:cs="Times New Roman"/>
                <w:color w:val="auto"/>
                <w:sz w:val="24"/>
                <w:szCs w:val="24"/>
              </w:rPr>
            </w:pPr>
          </w:p>
          <w:p w14:paraId="2E48454B">
            <w:pPr>
              <w:pStyle w:val="27"/>
              <w:rPr>
                <w:rFonts w:hint="default" w:ascii="Times New Roman" w:hAnsi="Times New Roman" w:cs="Times New Roman"/>
                <w:color w:val="auto"/>
                <w:sz w:val="24"/>
                <w:szCs w:val="24"/>
              </w:rPr>
            </w:pPr>
          </w:p>
          <w:p w14:paraId="1E6259EC">
            <w:pPr>
              <w:pStyle w:val="27"/>
              <w:rPr>
                <w:rFonts w:hint="default" w:ascii="Times New Roman" w:hAnsi="Times New Roman" w:cs="Times New Roman"/>
                <w:color w:val="auto"/>
                <w:sz w:val="24"/>
                <w:szCs w:val="24"/>
              </w:rPr>
            </w:pPr>
          </w:p>
          <w:p w14:paraId="096D58C1">
            <w:pPr>
              <w:pStyle w:val="2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其他符合性分析</w:t>
            </w:r>
          </w:p>
          <w:p w14:paraId="2340E1B2">
            <w:pPr>
              <w:pStyle w:val="27"/>
              <w:rPr>
                <w:rFonts w:hint="default" w:ascii="Times New Roman" w:hAnsi="Times New Roman" w:cs="Times New Roman"/>
                <w:color w:val="auto"/>
                <w:sz w:val="24"/>
                <w:szCs w:val="24"/>
              </w:rPr>
            </w:pPr>
          </w:p>
          <w:p w14:paraId="774A9616">
            <w:pPr>
              <w:pStyle w:val="27"/>
              <w:rPr>
                <w:rFonts w:hint="default" w:ascii="Times New Roman" w:hAnsi="Times New Roman" w:cs="Times New Roman"/>
                <w:color w:val="auto"/>
                <w:sz w:val="24"/>
                <w:szCs w:val="24"/>
              </w:rPr>
            </w:pPr>
          </w:p>
        </w:tc>
        <w:tc>
          <w:tcPr>
            <w:tcW w:w="7891" w:type="dxa"/>
            <w:gridSpan w:val="3"/>
            <w:vAlign w:val="center"/>
          </w:tcPr>
          <w:p w14:paraId="123ABE04">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一、产业政策符合性分析</w:t>
            </w:r>
          </w:p>
          <w:p w14:paraId="79FD0B36">
            <w:pPr>
              <w:widowControl/>
              <w:spacing w:line="360" w:lineRule="auto"/>
              <w:ind w:firstLine="480" w:firstLineChars="200"/>
              <w:jc w:val="both"/>
              <w:rPr>
                <w:rFonts w:hint="default" w:ascii="Times New Roman" w:hAnsi="Times New Roman" w:cs="Times New Roman"/>
                <w:color w:val="auto"/>
                <w:sz w:val="24"/>
                <w:lang w:eastAsia="zh-CN" w:bidi="ar"/>
              </w:rPr>
            </w:pPr>
            <w:r>
              <w:rPr>
                <w:rFonts w:hint="default" w:ascii="Times New Roman" w:hAnsi="Times New Roman" w:cs="Times New Roman"/>
                <w:color w:val="auto"/>
                <w:sz w:val="24"/>
                <w:lang w:eastAsia="zh-CN" w:bidi="ar"/>
              </w:rPr>
              <w:t>本项目属于拌合料生产项目，</w:t>
            </w:r>
            <w:r>
              <w:rPr>
                <w:rFonts w:hint="default" w:ascii="Times New Roman" w:hAnsi="Times New Roman" w:cs="Times New Roman"/>
                <w:color w:val="auto"/>
                <w:sz w:val="24"/>
              </w:rPr>
              <w:t>根据国家发展改革委令第7号《产业结构调整指导目录（2024年本）》，项目不属于“鼓励类、限制类和淘汰类”，项目涉及的产品、工艺和设备均不属于《产业结构调整指导目录》（2024年本）中的“鼓励类”、“限制类”和“淘汰类”之列，根据《促进产业结构调整暂行规定》（国发〔2005〕40号）第十三条规定，本项目属于“允许类”，同时对照《市场准入负面清单（2022年版）》，本项目不属于禁止事项，符合国家产业政策</w:t>
            </w:r>
            <w:r>
              <w:rPr>
                <w:rFonts w:hint="default" w:ascii="Times New Roman" w:hAnsi="Times New Roman" w:cs="Times New Roman"/>
                <w:color w:val="auto"/>
                <w:sz w:val="24"/>
                <w:lang w:eastAsia="zh-CN" w:bidi="ar"/>
              </w:rPr>
              <w:t>。</w:t>
            </w:r>
          </w:p>
          <w:p w14:paraId="79E6BBFB">
            <w:pPr>
              <w:widowControl/>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lang w:eastAsia="zh-CN" w:bidi="ar"/>
              </w:rPr>
              <w:t>此外，项目已于202</w:t>
            </w:r>
            <w:r>
              <w:rPr>
                <w:rFonts w:hint="default" w:ascii="Times New Roman" w:hAnsi="Times New Roman" w:cs="Times New Roman"/>
                <w:color w:val="auto"/>
                <w:sz w:val="24"/>
                <w:lang w:val="en-US" w:eastAsia="zh-CN" w:bidi="ar"/>
              </w:rPr>
              <w:t>6</w:t>
            </w:r>
            <w:r>
              <w:rPr>
                <w:rFonts w:hint="default" w:ascii="Times New Roman" w:hAnsi="Times New Roman" w:cs="Times New Roman"/>
                <w:color w:val="auto"/>
                <w:sz w:val="24"/>
                <w:lang w:eastAsia="zh-CN" w:bidi="ar"/>
              </w:rPr>
              <w:t>年</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eastAsia="zh-CN" w:bidi="ar"/>
              </w:rPr>
              <w:t>月</w:t>
            </w:r>
            <w:r>
              <w:rPr>
                <w:rFonts w:hint="default" w:ascii="Times New Roman" w:hAnsi="Times New Roman" w:cs="Times New Roman"/>
                <w:color w:val="auto"/>
                <w:sz w:val="24"/>
                <w:lang w:val="en-US" w:eastAsia="zh-CN" w:bidi="ar"/>
              </w:rPr>
              <w:t>13</w:t>
            </w:r>
            <w:r>
              <w:rPr>
                <w:rFonts w:hint="default" w:ascii="Times New Roman" w:hAnsi="Times New Roman" w:cs="Times New Roman"/>
                <w:color w:val="auto"/>
                <w:sz w:val="24"/>
                <w:lang w:eastAsia="zh-CN" w:bidi="ar"/>
              </w:rPr>
              <w:t>日取得</w:t>
            </w:r>
            <w:r>
              <w:rPr>
                <w:rFonts w:hint="default" w:ascii="Times New Roman" w:hAnsi="Times New Roman" w:cs="Times New Roman"/>
                <w:color w:val="auto"/>
                <w:sz w:val="24"/>
                <w:szCs w:val="21"/>
                <w:lang w:eastAsia="zh-CN"/>
              </w:rPr>
              <w:t>新平县发展和改革局</w:t>
            </w:r>
            <w:r>
              <w:rPr>
                <w:rFonts w:hint="default" w:ascii="Times New Roman" w:hAnsi="Times New Roman" w:cs="Times New Roman"/>
                <w:color w:val="auto"/>
                <w:sz w:val="24"/>
                <w:lang w:eastAsia="zh-CN" w:bidi="ar"/>
              </w:rPr>
              <w:t>出具的投资项目备案证（详见附件</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eastAsia="zh-CN" w:bidi="ar"/>
              </w:rPr>
              <w:t>），项目代码：2602-530427-04-01-908689。</w:t>
            </w:r>
            <w:r>
              <w:rPr>
                <w:rFonts w:hint="default" w:ascii="Times New Roman" w:hAnsi="Times New Roman" w:cs="Times New Roman"/>
                <w:color w:val="auto"/>
                <w:sz w:val="24"/>
                <w:lang w:val="en-US" w:eastAsia="zh-CN"/>
              </w:rPr>
              <w:t xml:space="preserve">根据2026年4月22日新平彝族傣族自治县自然资源局出具的关于“ </w:t>
            </w:r>
            <w:r>
              <w:rPr>
                <w:rFonts w:hint="default" w:ascii="Times New Roman" w:hAnsi="Times New Roman" w:cs="Times New Roman"/>
                <w:color w:val="auto"/>
                <w:sz w:val="24"/>
              </w:rPr>
              <w:t>老厂太桥双壹拌合站建设项目</w:t>
            </w:r>
            <w:r>
              <w:rPr>
                <w:rFonts w:hint="default" w:ascii="Times New Roman" w:hAnsi="Times New Roman" w:cs="Times New Roman"/>
                <w:color w:val="auto"/>
                <w:sz w:val="24"/>
                <w:lang w:val="en-US" w:eastAsia="zh-CN"/>
              </w:rPr>
              <w:t>”现状地类查询情况的说明显示，该项目实际建设占地总面积0.3693公顷，全部为建设用地（详见附件19）。根据2026年4月23日新平彝族傣族自治县老厂乡人民政府出具的同意项目建设的证明显示该项目于2026年2月13日取得新平县发展和改革局出具的投资项目备案证，项目代码:2602-530427-04-01-908689。经查该建设用地范围地类为建设用地，评价区域内无风景名胜、文物古迹等需要特殊保护的环境敏感点，该项目建设未对周边村庄造成影响，情况属实，同意本项目建设（详见附件8）。本项目全厂总占地面积根据租地合同总占地面积核算为4662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w:t>
            </w:r>
          </w:p>
          <w:p w14:paraId="556A264F">
            <w:pPr>
              <w:widowControl/>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bidi="ar"/>
              </w:rPr>
              <w:t>综上所</w:t>
            </w:r>
            <w:r>
              <w:rPr>
                <w:rFonts w:hint="default" w:ascii="Times New Roman" w:hAnsi="Times New Roman" w:cs="Times New Roman"/>
                <w:color w:val="auto"/>
                <w:sz w:val="24"/>
                <w:lang w:val="en-US" w:eastAsia="zh-CN" w:bidi="ar"/>
              </w:rPr>
              <w:t>述</w:t>
            </w:r>
            <w:r>
              <w:rPr>
                <w:rFonts w:hint="default" w:ascii="Times New Roman" w:hAnsi="Times New Roman" w:cs="Times New Roman"/>
                <w:color w:val="auto"/>
                <w:sz w:val="24"/>
                <w:lang w:eastAsia="zh-CN" w:bidi="ar"/>
              </w:rPr>
              <w:t>，项目建设符合国家相关产业政策。</w:t>
            </w:r>
          </w:p>
          <w:p w14:paraId="0E6E10A8">
            <w:pPr>
              <w:widowControl/>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二、</w:t>
            </w:r>
            <w:r>
              <w:rPr>
                <w:rFonts w:hint="default" w:ascii="Times New Roman" w:hAnsi="Times New Roman" w:cs="Times New Roman"/>
                <w:b/>
                <w:bCs/>
                <w:color w:val="auto"/>
                <w:sz w:val="24"/>
                <w:lang w:val="en-US" w:eastAsia="zh-CN"/>
              </w:rPr>
              <w:t>与</w:t>
            </w:r>
            <w:r>
              <w:rPr>
                <w:rFonts w:hint="default" w:ascii="Times New Roman" w:hAnsi="Times New Roman" w:cs="Times New Roman"/>
                <w:b/>
                <w:bCs/>
                <w:color w:val="auto"/>
                <w:sz w:val="24"/>
                <w:lang w:eastAsia="zh-CN"/>
              </w:rPr>
              <w:t>“环境分区管控单元”符合性分析</w:t>
            </w:r>
          </w:p>
          <w:p w14:paraId="4FC5420E">
            <w:pPr>
              <w:widowControl/>
              <w:spacing w:line="360" w:lineRule="auto"/>
              <w:ind w:firstLine="480" w:firstLineChars="200"/>
              <w:jc w:val="both"/>
              <w:rPr>
                <w:rFonts w:hint="default" w:ascii="Times New Roman" w:hAnsi="Times New Roman" w:cs="Times New Roman"/>
                <w:color w:val="auto"/>
                <w:sz w:val="24"/>
                <w:lang w:eastAsia="zh-CN" w:bidi="ar"/>
              </w:rPr>
            </w:pPr>
            <w:r>
              <w:rPr>
                <w:rFonts w:hint="default" w:ascii="Times New Roman" w:hAnsi="Times New Roman" w:cs="Times New Roman"/>
                <w:color w:val="auto"/>
                <w:sz w:val="24"/>
                <w:lang w:val="en-US" w:eastAsia="zh-CN" w:bidi="ar"/>
              </w:rPr>
              <w:t>根据</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玉溪市生态环</w:t>
            </w:r>
            <w:r>
              <w:rPr>
                <w:rFonts w:hint="default" w:ascii="Times New Roman" w:hAnsi="Times New Roman" w:eastAsia="宋体" w:cs="Times New Roman"/>
                <w:color w:val="auto"/>
                <w:sz w:val="24"/>
                <w:lang w:val="en-US" w:eastAsia="zh-CN" w:bidi="ar"/>
              </w:rPr>
              <w:t>境局关于印发玉溪市生态环境分区管控动态更新调整方案（2023年）的通知》（玉市环〔2024〕40号）精神，全市环境管控单元数量83个。本项目位于云南省玉溪市新平彝族傣族自治县老厂乡，项目于20</w:t>
            </w:r>
            <w:r>
              <w:rPr>
                <w:rFonts w:hint="default" w:ascii="Times New Roman" w:hAnsi="Times New Roman" w:cs="Times New Roman"/>
                <w:color w:val="auto"/>
                <w:sz w:val="24"/>
                <w:lang w:val="en-US" w:eastAsia="zh-CN" w:bidi="ar"/>
              </w:rPr>
              <w:t>26</w:t>
            </w:r>
            <w:r>
              <w:rPr>
                <w:rFonts w:hint="default" w:ascii="Times New Roman" w:hAnsi="Times New Roman" w:cs="Times New Roman"/>
                <w:color w:val="auto"/>
                <w:sz w:val="24"/>
                <w:lang w:eastAsia="zh-CN" w:bidi="ar"/>
              </w:rPr>
              <w:t>年</w:t>
            </w:r>
            <w:r>
              <w:rPr>
                <w:rFonts w:hint="default" w:ascii="Times New Roman" w:hAnsi="Times New Roman" w:cs="Times New Roman"/>
                <w:color w:val="auto"/>
                <w:sz w:val="24"/>
                <w:lang w:val="en-US" w:eastAsia="zh-CN" w:bidi="ar"/>
              </w:rPr>
              <w:t>3</w:t>
            </w:r>
            <w:r>
              <w:rPr>
                <w:rFonts w:hint="default" w:ascii="Times New Roman" w:hAnsi="Times New Roman" w:cs="Times New Roman"/>
                <w:color w:val="auto"/>
                <w:sz w:val="24"/>
                <w:lang w:eastAsia="zh-CN" w:bidi="ar"/>
              </w:rPr>
              <w:t>月</w:t>
            </w:r>
            <w:r>
              <w:rPr>
                <w:rFonts w:hint="default" w:ascii="Times New Roman" w:hAnsi="Times New Roman" w:cs="Times New Roman"/>
                <w:color w:val="auto"/>
                <w:sz w:val="24"/>
                <w:lang w:val="en-US" w:eastAsia="zh-CN" w:bidi="ar"/>
              </w:rPr>
              <w:t>16</w:t>
            </w:r>
            <w:r>
              <w:rPr>
                <w:rFonts w:hint="default" w:ascii="Times New Roman" w:hAnsi="Times New Roman" w:cs="Times New Roman"/>
                <w:color w:val="auto"/>
                <w:sz w:val="24"/>
                <w:lang w:eastAsia="zh-CN" w:bidi="ar"/>
              </w:rPr>
              <w:t>日取得玉溪市生态环境局新平分局“关于新平双壹农业有限公司《老厂太桥双壹拌合站建设项目》是否占用新平县“三线一单”的查询申请的复函”，结果显示该项目用地涉及占用新平县1个生态管控单元，即新平彝族傣族自治县一般管控单元（单元编码为：ZH53042730001）。不涉及经批准的新平县已划定的饮用水水源保护区等环境敏感区域（详见附件7）。本项目将依据分区管控意见分析项目“三线一单”相符性，详见表1-2。</w:t>
            </w:r>
          </w:p>
          <w:p w14:paraId="03A46983">
            <w:pPr>
              <w:widowControl/>
              <w:jc w:val="center"/>
              <w:rPr>
                <w:rFonts w:hint="default" w:ascii="Times New Roman" w:hAnsi="Times New Roman" w:cs="Times New Roman"/>
                <w:b/>
                <w:bCs/>
                <w:color w:val="auto"/>
                <w:sz w:val="21"/>
                <w:szCs w:val="21"/>
                <w:lang w:eastAsia="zh-CN" w:bidi="ar"/>
              </w:rPr>
            </w:pPr>
            <w:r>
              <w:rPr>
                <w:rFonts w:hint="default" w:ascii="Times New Roman" w:hAnsi="Times New Roman" w:cs="Times New Roman"/>
                <w:b/>
                <w:bCs/>
                <w:color w:val="auto"/>
                <w:sz w:val="21"/>
                <w:szCs w:val="21"/>
                <w:lang w:eastAsia="zh-CN" w:bidi="ar"/>
              </w:rPr>
              <w:t xml:space="preserve">表1-2  </w:t>
            </w:r>
            <w:r>
              <w:rPr>
                <w:rFonts w:hint="default" w:ascii="Times New Roman" w:hAnsi="Times New Roman" w:cs="Times New Roman"/>
                <w:b/>
                <w:bCs/>
                <w:color w:val="auto"/>
                <w:sz w:val="21"/>
                <w:szCs w:val="21"/>
                <w:lang w:val="en-US" w:eastAsia="zh-CN" w:bidi="ar"/>
              </w:rPr>
              <w:t xml:space="preserve"> </w:t>
            </w:r>
            <w:r>
              <w:rPr>
                <w:rFonts w:hint="default" w:ascii="Times New Roman" w:hAnsi="Times New Roman" w:cs="Times New Roman"/>
                <w:b/>
                <w:bCs/>
                <w:color w:val="auto"/>
                <w:sz w:val="21"/>
                <w:szCs w:val="21"/>
                <w:lang w:eastAsia="zh-CN" w:bidi="ar"/>
              </w:rPr>
              <w:t>项目与《玉溪市生态环境分区管控动态更新调整方案》符合性一览表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8"/>
              <w:gridCol w:w="3217"/>
              <w:gridCol w:w="987"/>
            </w:tblGrid>
            <w:tr w14:paraId="4983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shd w:val="clear" w:color="auto" w:fill="auto"/>
                </w:tcPr>
                <w:p w14:paraId="36EC52BE">
                  <w:pPr>
                    <w:widowControl/>
                    <w:jc w:val="center"/>
                    <w:rPr>
                      <w:rFonts w:hint="default" w:ascii="Times New Roman" w:hAnsi="Times New Roman" w:cs="Times New Roman"/>
                      <w:b/>
                      <w:bCs/>
                      <w:color w:val="auto"/>
                      <w:sz w:val="21"/>
                      <w:szCs w:val="21"/>
                      <w:lang w:eastAsia="zh-CN" w:bidi="ar"/>
                    </w:rPr>
                  </w:pPr>
                  <w:r>
                    <w:rPr>
                      <w:rFonts w:hint="default" w:ascii="Times New Roman" w:hAnsi="Times New Roman" w:cs="Times New Roman"/>
                      <w:b/>
                      <w:bCs/>
                      <w:color w:val="auto"/>
                      <w:sz w:val="21"/>
                      <w:szCs w:val="21"/>
                      <w:lang w:eastAsia="zh-CN" w:bidi="ar"/>
                    </w:rPr>
                    <w:t>新平县生态环境准入清单要求符合性分析</w:t>
                  </w:r>
                </w:p>
              </w:tc>
            </w:tr>
            <w:tr w14:paraId="67A2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pct"/>
                  <w:shd w:val="clear" w:color="auto" w:fill="auto"/>
                </w:tcPr>
                <w:p w14:paraId="31B9E3CE">
                  <w:pPr>
                    <w:widowControl/>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eastAsia="zh-CN" w:bidi="ar"/>
                    </w:rPr>
                    <w:t>管控</w:t>
                  </w:r>
                  <w:r>
                    <w:rPr>
                      <w:rFonts w:hint="default" w:ascii="Times New Roman" w:hAnsi="Times New Roman" w:cs="Times New Roman"/>
                      <w:b/>
                      <w:bCs/>
                      <w:color w:val="auto"/>
                      <w:sz w:val="21"/>
                      <w:szCs w:val="21"/>
                      <w:lang w:bidi="ar"/>
                    </w:rPr>
                    <w:t>要求</w:t>
                  </w:r>
                </w:p>
              </w:tc>
              <w:tc>
                <w:tcPr>
                  <w:tcW w:w="2099" w:type="pct"/>
                  <w:shd w:val="clear" w:color="auto" w:fill="auto"/>
                </w:tcPr>
                <w:p w14:paraId="2B519BC1">
                  <w:pPr>
                    <w:widowControl/>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项目情况符合</w:t>
                  </w:r>
                </w:p>
              </w:tc>
              <w:tc>
                <w:tcPr>
                  <w:tcW w:w="642" w:type="pct"/>
                  <w:shd w:val="clear" w:color="auto" w:fill="auto"/>
                </w:tcPr>
                <w:p w14:paraId="09E0BCF1">
                  <w:pPr>
                    <w:widowControl/>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符合性</w:t>
                  </w:r>
                </w:p>
              </w:tc>
            </w:tr>
            <w:tr w14:paraId="754D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shd w:val="clear" w:color="auto" w:fill="auto"/>
                </w:tcPr>
                <w:p w14:paraId="3F10A5E6">
                  <w:pPr>
                    <w:widowControl/>
                    <w:rPr>
                      <w:rFonts w:hint="default" w:ascii="Times New Roman" w:hAnsi="Times New Roman" w:cs="Times New Roman"/>
                      <w:b/>
                      <w:bCs/>
                      <w:color w:val="auto"/>
                      <w:sz w:val="21"/>
                      <w:szCs w:val="21"/>
                      <w:lang w:eastAsia="zh-CN" w:bidi="ar"/>
                    </w:rPr>
                  </w:pPr>
                  <w:r>
                    <w:rPr>
                      <w:rFonts w:hint="default" w:ascii="Times New Roman" w:hAnsi="Times New Roman" w:cs="Times New Roman"/>
                      <w:color w:val="auto"/>
                      <w:sz w:val="21"/>
                      <w:szCs w:val="21"/>
                      <w:lang w:eastAsia="zh-CN" w:bidi="ar"/>
                    </w:rPr>
                    <w:t>（一）新平县生态保护红线优先保护单元</w:t>
                  </w:r>
                </w:p>
              </w:tc>
            </w:tr>
            <w:tr w14:paraId="16B3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2257" w:type="pct"/>
                  <w:shd w:val="clear" w:color="auto" w:fill="auto"/>
                </w:tcPr>
                <w:p w14:paraId="35F57EB9">
                  <w:pPr>
                    <w:widowControl/>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按《自然资源部 生态环境部 国家林业和草原局关于加强生态保护红线管理的通知（试行）》（自然资发〔2022〕142号）和《云南省自然资源厅 云南省生态环境厅 云南省林业和草原局关于加强生态保护红线管理工作的通知》（云自然资〔2023〕98号）执行。后续若国家和省生态保护红线相关管控政策发生调整，按调整后的管控办法执行。</w:t>
                  </w:r>
                </w:p>
              </w:tc>
              <w:tc>
                <w:tcPr>
                  <w:tcW w:w="2099" w:type="pct"/>
                  <w:shd w:val="clear" w:color="auto" w:fill="auto"/>
                </w:tcPr>
                <w:p w14:paraId="011C7DEF">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本项目位于云南省玉溪市新平彝族傣族自治县老厂乡，项目于20</w:t>
                  </w:r>
                  <w:r>
                    <w:rPr>
                      <w:rFonts w:hint="default" w:ascii="Times New Roman" w:hAnsi="Times New Roman" w:cs="Times New Roman"/>
                      <w:color w:val="auto"/>
                      <w:sz w:val="21"/>
                      <w:szCs w:val="21"/>
                      <w:lang w:val="en-US" w:eastAsia="zh-CN" w:bidi="ar"/>
                    </w:rPr>
                    <w:t>26</w:t>
                  </w:r>
                  <w:r>
                    <w:rPr>
                      <w:rFonts w:hint="default" w:ascii="Times New Roman" w:hAnsi="Times New Roman" w:cs="Times New Roman"/>
                      <w:color w:val="auto"/>
                      <w:sz w:val="21"/>
                      <w:szCs w:val="21"/>
                      <w:lang w:eastAsia="zh-CN" w:bidi="ar"/>
                    </w:rPr>
                    <w:t>年</w:t>
                  </w:r>
                  <w:r>
                    <w:rPr>
                      <w:rFonts w:hint="default" w:ascii="Times New Roman" w:hAnsi="Times New Roman" w:cs="Times New Roman"/>
                      <w:color w:val="auto"/>
                      <w:sz w:val="21"/>
                      <w:szCs w:val="21"/>
                      <w:lang w:val="en-US" w:eastAsia="zh-CN" w:bidi="ar"/>
                    </w:rPr>
                    <w:t>3</w:t>
                  </w:r>
                  <w:r>
                    <w:rPr>
                      <w:rFonts w:hint="default" w:ascii="Times New Roman" w:hAnsi="Times New Roman" w:cs="Times New Roman"/>
                      <w:color w:val="auto"/>
                      <w:sz w:val="21"/>
                      <w:szCs w:val="21"/>
                      <w:lang w:eastAsia="zh-CN" w:bidi="ar"/>
                    </w:rPr>
                    <w:t>月</w:t>
                  </w:r>
                  <w:r>
                    <w:rPr>
                      <w:rFonts w:hint="default" w:ascii="Times New Roman" w:hAnsi="Times New Roman" w:cs="Times New Roman"/>
                      <w:color w:val="auto"/>
                      <w:sz w:val="21"/>
                      <w:szCs w:val="21"/>
                      <w:lang w:val="en-US" w:eastAsia="zh-CN" w:bidi="ar"/>
                    </w:rPr>
                    <w:t>16</w:t>
                  </w:r>
                  <w:r>
                    <w:rPr>
                      <w:rFonts w:hint="default" w:ascii="Times New Roman" w:hAnsi="Times New Roman" w:cs="Times New Roman"/>
                      <w:color w:val="auto"/>
                      <w:sz w:val="21"/>
                      <w:szCs w:val="21"/>
                      <w:lang w:eastAsia="zh-CN" w:bidi="ar"/>
                    </w:rPr>
                    <w:t>日取得了新平彝族傣族自治县自然资源局出具的“关于老厂太桥双壹拌合站建设项目是否占用新平县生态保护红线的查询结果”的证明，查询结果显示，项目用地范围不涉及占用新平县生态保护红线，位于优化后城镇开发边界外，未占用耕地后备资源，未占用耕地后备资源补充空间（</w:t>
                  </w:r>
                  <w:r>
                    <w:rPr>
                      <w:rFonts w:hint="default" w:ascii="Times New Roman" w:hAnsi="Times New Roman" w:cs="Times New Roman"/>
                      <w:color w:val="auto"/>
                      <w:sz w:val="21"/>
                      <w:szCs w:val="21"/>
                      <w:lang w:val="en-US" w:eastAsia="zh-CN" w:bidi="ar"/>
                    </w:rPr>
                    <w:t>详见</w:t>
                  </w:r>
                  <w:r>
                    <w:rPr>
                      <w:rFonts w:hint="default" w:ascii="Times New Roman" w:hAnsi="Times New Roman" w:cs="Times New Roman"/>
                      <w:color w:val="auto"/>
                      <w:sz w:val="21"/>
                      <w:szCs w:val="21"/>
                      <w:lang w:eastAsia="zh-CN" w:bidi="ar"/>
                    </w:rPr>
                    <w:t>附件</w:t>
                  </w:r>
                  <w:r>
                    <w:rPr>
                      <w:rFonts w:hint="default"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eastAsia="zh-CN" w:bidi="ar"/>
                    </w:rPr>
                    <w:t>）。</w:t>
                  </w:r>
                </w:p>
              </w:tc>
              <w:tc>
                <w:tcPr>
                  <w:tcW w:w="642" w:type="pct"/>
                  <w:shd w:val="clear" w:color="auto" w:fill="auto"/>
                </w:tcPr>
                <w:p w14:paraId="17A145F6">
                  <w:pPr>
                    <w:widowControl/>
                    <w:rPr>
                      <w:rFonts w:hint="default" w:ascii="Times New Roman" w:hAnsi="Times New Roman" w:cs="Times New Roman"/>
                      <w:color w:val="auto"/>
                      <w:sz w:val="21"/>
                      <w:szCs w:val="21"/>
                      <w:lang w:eastAsia="zh-CN" w:bidi="ar"/>
                    </w:rPr>
                  </w:pPr>
                </w:p>
                <w:p w14:paraId="27B3AB85">
                  <w:pPr>
                    <w:widowControl/>
                    <w:rPr>
                      <w:rFonts w:hint="default" w:ascii="Times New Roman" w:hAnsi="Times New Roman" w:cs="Times New Roman"/>
                      <w:color w:val="auto"/>
                      <w:sz w:val="21"/>
                      <w:szCs w:val="21"/>
                      <w:lang w:eastAsia="zh-CN" w:bidi="ar"/>
                    </w:rPr>
                  </w:pPr>
                </w:p>
                <w:p w14:paraId="4A05DFE6">
                  <w:pPr>
                    <w:widowControl/>
                    <w:rPr>
                      <w:rFonts w:hint="default" w:ascii="Times New Roman" w:hAnsi="Times New Roman" w:cs="Times New Roman"/>
                      <w:color w:val="auto"/>
                      <w:sz w:val="21"/>
                      <w:szCs w:val="21"/>
                      <w:lang w:eastAsia="zh-CN" w:bidi="ar"/>
                    </w:rPr>
                  </w:pPr>
                </w:p>
                <w:p w14:paraId="4589A718">
                  <w:pPr>
                    <w:widowControl/>
                    <w:rPr>
                      <w:rFonts w:hint="default" w:ascii="Times New Roman" w:hAnsi="Times New Roman" w:cs="Times New Roman"/>
                      <w:color w:val="auto"/>
                      <w:sz w:val="21"/>
                      <w:szCs w:val="21"/>
                      <w:lang w:eastAsia="zh-CN" w:bidi="ar"/>
                    </w:rPr>
                  </w:pPr>
                </w:p>
                <w:p w14:paraId="1A63CE41">
                  <w:pPr>
                    <w:widowControl/>
                    <w:rPr>
                      <w:rFonts w:hint="default" w:ascii="Times New Roman" w:hAnsi="Times New Roman" w:cs="Times New Roman"/>
                      <w:color w:val="auto"/>
                      <w:sz w:val="21"/>
                      <w:szCs w:val="21"/>
                      <w:lang w:eastAsia="zh-CN" w:bidi="ar"/>
                    </w:rPr>
                  </w:pPr>
                </w:p>
                <w:p w14:paraId="7307281C">
                  <w:pPr>
                    <w:widowControl/>
                    <w:rPr>
                      <w:rFonts w:hint="default" w:ascii="Times New Roman" w:hAnsi="Times New Roman" w:cs="Times New Roman"/>
                      <w:color w:val="auto"/>
                      <w:sz w:val="21"/>
                      <w:szCs w:val="21"/>
                      <w:lang w:eastAsia="zh-CN" w:bidi="ar"/>
                    </w:rPr>
                  </w:pPr>
                </w:p>
                <w:p w14:paraId="465F4FBE">
                  <w:pPr>
                    <w:widowControl/>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符合</w:t>
                  </w:r>
                </w:p>
              </w:tc>
            </w:tr>
            <w:tr w14:paraId="36F7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000000" w:sz="4" w:space="0"/>
                    <w:bottom w:val="single" w:color="000000" w:sz="4" w:space="0"/>
                  </w:tcBorders>
                  <w:shd w:val="clear" w:color="auto" w:fill="auto"/>
                </w:tcPr>
                <w:p w14:paraId="2ADAFBD2">
                  <w:pPr>
                    <w:widowControl/>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（二）新平县一般管控单元</w:t>
                  </w:r>
                </w:p>
              </w:tc>
            </w:tr>
            <w:tr w14:paraId="7D1D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7" w:type="pct"/>
                  <w:tcBorders>
                    <w:top w:val="single" w:color="000000" w:sz="4" w:space="0"/>
                    <w:bottom w:val="single" w:color="000000" w:sz="4" w:space="0"/>
                  </w:tcBorders>
                  <w:shd w:val="clear" w:color="auto" w:fill="auto"/>
                </w:tcPr>
                <w:p w14:paraId="766A123E">
                  <w:pPr>
                    <w:widowControl/>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空间布局约束</w:t>
                  </w:r>
                </w:p>
                <w:p w14:paraId="0D97BDAF">
                  <w:pPr>
                    <w:widowControl/>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落实生态环境保护基本要求，项目建设和运行应满足产业准入、污染物削减、污染物排放标准等管理规定和国家法律法规要求。</w:t>
                  </w:r>
                </w:p>
              </w:tc>
              <w:tc>
                <w:tcPr>
                  <w:tcW w:w="2099" w:type="pct"/>
                  <w:tcBorders>
                    <w:top w:val="single" w:color="000000" w:sz="4" w:space="0"/>
                    <w:bottom w:val="single" w:color="000000" w:sz="4" w:space="0"/>
                  </w:tcBorders>
                  <w:shd w:val="clear" w:color="auto" w:fill="auto"/>
                </w:tcPr>
                <w:p w14:paraId="04F49539">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本项目位于云南省玉溪市新平彝族傣族自治县老厂乡，</w:t>
                  </w:r>
                  <w:r>
                    <w:rPr>
                      <w:rFonts w:hint="default" w:ascii="Times New Roman" w:hAnsi="Times New Roman" w:cs="Times New Roman"/>
                      <w:color w:val="auto"/>
                      <w:sz w:val="21"/>
                      <w:szCs w:val="21"/>
                      <w:lang w:val="en-US" w:eastAsia="zh-CN" w:bidi="ar"/>
                    </w:rPr>
                    <w:t>根据</w:t>
                  </w:r>
                  <w:r>
                    <w:rPr>
                      <w:rFonts w:hint="default" w:ascii="Times New Roman" w:hAnsi="Times New Roman" w:cs="Times New Roman"/>
                      <w:color w:val="auto"/>
                      <w:sz w:val="21"/>
                      <w:szCs w:val="21"/>
                      <w:lang w:eastAsia="zh-CN" w:bidi="ar"/>
                    </w:rPr>
                    <w:t>2026年3月16日取得玉溪市生态环境局新平分局“关于新平双壹农业有限公司《老厂太桥双壹拌合站建设项目》是否占用新平县“三线一单”的查询申请的复函”，结果显示该项目用地涉及占用新平县1个生态管控单元，即新平彝族傣族自治县一般管控单元（单元编码为：ZH53042730001）。不涉及经批准的新平县已划定的饮用水水源保护区等环境敏感区域（详见附件7）。</w:t>
                  </w:r>
                </w:p>
              </w:tc>
              <w:tc>
                <w:tcPr>
                  <w:tcW w:w="642" w:type="pct"/>
                  <w:tcBorders>
                    <w:top w:val="single" w:color="000000" w:sz="4" w:space="0"/>
                    <w:bottom w:val="single" w:color="000000" w:sz="4" w:space="0"/>
                  </w:tcBorders>
                  <w:shd w:val="clear" w:color="auto" w:fill="auto"/>
                </w:tcPr>
                <w:p w14:paraId="17366BD2">
                  <w:pPr>
                    <w:widowControl/>
                    <w:rPr>
                      <w:rFonts w:hint="default" w:ascii="Times New Roman" w:hAnsi="Times New Roman" w:cs="Times New Roman"/>
                      <w:color w:val="auto"/>
                      <w:sz w:val="21"/>
                      <w:szCs w:val="21"/>
                      <w:lang w:eastAsia="zh-CN" w:bidi="ar"/>
                    </w:rPr>
                  </w:pPr>
                </w:p>
                <w:p w14:paraId="2D0DDF54">
                  <w:pPr>
                    <w:widowControl/>
                    <w:jc w:val="center"/>
                    <w:rPr>
                      <w:rFonts w:hint="default" w:ascii="Times New Roman" w:hAnsi="Times New Roman" w:cs="Times New Roman"/>
                      <w:color w:val="auto"/>
                      <w:sz w:val="21"/>
                      <w:szCs w:val="21"/>
                      <w:lang w:eastAsia="zh-CN" w:bidi="ar"/>
                    </w:rPr>
                  </w:pPr>
                </w:p>
                <w:p w14:paraId="5445907C">
                  <w:pPr>
                    <w:widowControl/>
                    <w:jc w:val="center"/>
                    <w:rPr>
                      <w:rFonts w:hint="default" w:ascii="Times New Roman" w:hAnsi="Times New Roman" w:cs="Times New Roman"/>
                      <w:color w:val="auto"/>
                      <w:sz w:val="21"/>
                      <w:szCs w:val="21"/>
                      <w:lang w:eastAsia="zh-CN" w:bidi="ar"/>
                    </w:rPr>
                  </w:pPr>
                </w:p>
                <w:p w14:paraId="4C02E405">
                  <w:pPr>
                    <w:widowControl/>
                    <w:jc w:val="center"/>
                    <w:rPr>
                      <w:rFonts w:hint="default" w:ascii="Times New Roman" w:hAnsi="Times New Roman" w:cs="Times New Roman"/>
                      <w:color w:val="auto"/>
                      <w:sz w:val="21"/>
                      <w:szCs w:val="21"/>
                      <w:lang w:eastAsia="zh-CN" w:bidi="ar"/>
                    </w:rPr>
                  </w:pPr>
                </w:p>
                <w:p w14:paraId="4CE486E5">
                  <w:pPr>
                    <w:widowControl/>
                    <w:jc w:val="center"/>
                    <w:rPr>
                      <w:rFonts w:hint="default" w:ascii="Times New Roman" w:hAnsi="Times New Roman" w:cs="Times New Roman"/>
                      <w:color w:val="auto"/>
                      <w:sz w:val="21"/>
                      <w:szCs w:val="21"/>
                      <w:lang w:eastAsia="zh-CN" w:bidi="ar"/>
                    </w:rPr>
                  </w:pPr>
                </w:p>
                <w:p w14:paraId="4C8C2B29">
                  <w:pPr>
                    <w:widowControl/>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符合</w:t>
                  </w:r>
                </w:p>
              </w:tc>
            </w:tr>
            <w:tr w14:paraId="4AD0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3"/>
                  <w:tcBorders>
                    <w:top w:val="single" w:color="000000" w:sz="4" w:space="0"/>
                    <w:bottom w:val="single" w:color="000000" w:sz="4" w:space="0"/>
                  </w:tcBorders>
                  <w:shd w:val="clear" w:color="auto" w:fill="auto"/>
                </w:tcPr>
                <w:p w14:paraId="20FAD355">
                  <w:pPr>
                    <w:widowControl/>
                    <w:jc w:val="center"/>
                    <w:rPr>
                      <w:rFonts w:hint="default" w:ascii="Times New Roman" w:hAnsi="Times New Roman" w:cs="Times New Roman"/>
                      <w:b/>
                      <w:bCs/>
                      <w:color w:val="auto"/>
                      <w:sz w:val="21"/>
                      <w:szCs w:val="21"/>
                      <w:lang w:eastAsia="zh-CN" w:bidi="ar"/>
                    </w:rPr>
                  </w:pPr>
                  <w:r>
                    <w:rPr>
                      <w:rFonts w:hint="default" w:ascii="Times New Roman" w:hAnsi="Times New Roman" w:cs="Times New Roman"/>
                      <w:b/>
                      <w:bCs/>
                      <w:color w:val="auto"/>
                      <w:sz w:val="21"/>
                      <w:szCs w:val="21"/>
                      <w:lang w:eastAsia="zh-CN" w:bidi="ar"/>
                    </w:rPr>
                    <w:t>玉溪市生态环境管控总体要求符合性分析</w:t>
                  </w:r>
                </w:p>
              </w:tc>
            </w:tr>
            <w:tr w14:paraId="467D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257" w:type="pct"/>
                  <w:tcBorders>
                    <w:top w:val="single" w:color="000000" w:sz="4" w:space="0"/>
                    <w:bottom w:val="single" w:color="000000" w:sz="4" w:space="0"/>
                  </w:tcBorders>
                  <w:shd w:val="clear" w:color="auto" w:fill="auto"/>
                  <w:vAlign w:val="top"/>
                </w:tcPr>
                <w:p w14:paraId="3778794A">
                  <w:pPr>
                    <w:widowControl/>
                    <w:jc w:val="center"/>
                    <w:rPr>
                      <w:rFonts w:hint="default" w:ascii="Times New Roman" w:hAnsi="Times New Roman" w:cs="Times New Roman"/>
                      <w:b/>
                      <w:bCs/>
                      <w:color w:val="auto"/>
                      <w:sz w:val="21"/>
                      <w:szCs w:val="21"/>
                      <w:lang w:eastAsia="zh-CN" w:bidi="ar"/>
                    </w:rPr>
                  </w:pPr>
                  <w:r>
                    <w:rPr>
                      <w:rFonts w:hint="default" w:ascii="Times New Roman" w:hAnsi="Times New Roman" w:cs="Times New Roman"/>
                      <w:b/>
                      <w:bCs/>
                      <w:color w:val="auto"/>
                      <w:sz w:val="21"/>
                      <w:szCs w:val="21"/>
                      <w:lang w:eastAsia="zh-CN" w:bidi="ar"/>
                    </w:rPr>
                    <w:t>管控</w:t>
                  </w:r>
                  <w:r>
                    <w:rPr>
                      <w:rFonts w:hint="default" w:ascii="Times New Roman" w:hAnsi="Times New Roman" w:cs="Times New Roman"/>
                      <w:b/>
                      <w:bCs/>
                      <w:color w:val="auto"/>
                      <w:sz w:val="21"/>
                      <w:szCs w:val="21"/>
                      <w:lang w:bidi="ar"/>
                    </w:rPr>
                    <w:t>要求</w:t>
                  </w:r>
                </w:p>
              </w:tc>
              <w:tc>
                <w:tcPr>
                  <w:tcW w:w="2099" w:type="pct"/>
                  <w:tcBorders>
                    <w:top w:val="single" w:color="000000" w:sz="4" w:space="0"/>
                    <w:bottom w:val="single" w:color="000000" w:sz="4" w:space="0"/>
                  </w:tcBorders>
                  <w:shd w:val="clear" w:color="auto" w:fill="auto"/>
                  <w:vAlign w:val="top"/>
                </w:tcPr>
                <w:p w14:paraId="10C89F1A">
                  <w:pPr>
                    <w:widowControl/>
                    <w:jc w:val="center"/>
                    <w:rPr>
                      <w:rFonts w:hint="default" w:ascii="Times New Roman" w:hAnsi="Times New Roman" w:cs="Times New Roman"/>
                      <w:b/>
                      <w:bCs/>
                      <w:color w:val="auto"/>
                      <w:sz w:val="21"/>
                      <w:szCs w:val="21"/>
                      <w:lang w:eastAsia="zh-CN" w:bidi="ar"/>
                    </w:rPr>
                  </w:pPr>
                  <w:r>
                    <w:rPr>
                      <w:rFonts w:hint="default" w:ascii="Times New Roman" w:hAnsi="Times New Roman" w:cs="Times New Roman"/>
                      <w:b/>
                      <w:bCs/>
                      <w:color w:val="auto"/>
                      <w:sz w:val="21"/>
                      <w:szCs w:val="21"/>
                      <w:lang w:bidi="ar"/>
                    </w:rPr>
                    <w:t>项目情况符合</w:t>
                  </w:r>
                </w:p>
              </w:tc>
              <w:tc>
                <w:tcPr>
                  <w:tcW w:w="642" w:type="pct"/>
                  <w:tcBorders>
                    <w:top w:val="single" w:color="000000" w:sz="4" w:space="0"/>
                    <w:bottom w:val="single" w:color="000000" w:sz="4" w:space="0"/>
                  </w:tcBorders>
                  <w:shd w:val="clear" w:color="auto" w:fill="auto"/>
                  <w:vAlign w:val="top"/>
                </w:tcPr>
                <w:p w14:paraId="578850AD">
                  <w:pPr>
                    <w:widowControl/>
                    <w:jc w:val="center"/>
                    <w:rPr>
                      <w:rFonts w:hint="default" w:ascii="Times New Roman" w:hAnsi="Times New Roman" w:cs="Times New Roman"/>
                      <w:b/>
                      <w:bCs/>
                      <w:color w:val="auto"/>
                      <w:sz w:val="21"/>
                      <w:szCs w:val="21"/>
                      <w:lang w:eastAsia="zh-CN" w:bidi="ar"/>
                    </w:rPr>
                  </w:pPr>
                  <w:r>
                    <w:rPr>
                      <w:rFonts w:hint="default" w:ascii="Times New Roman" w:hAnsi="Times New Roman" w:cs="Times New Roman"/>
                      <w:b/>
                      <w:bCs/>
                      <w:color w:val="auto"/>
                      <w:sz w:val="21"/>
                      <w:szCs w:val="21"/>
                      <w:lang w:bidi="ar"/>
                    </w:rPr>
                    <w:t>符合性</w:t>
                  </w:r>
                </w:p>
              </w:tc>
            </w:tr>
            <w:tr w14:paraId="1AD2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3"/>
                  <w:tcBorders>
                    <w:top w:val="single" w:color="000000" w:sz="4" w:space="0"/>
                    <w:bottom w:val="single" w:color="000000" w:sz="4" w:space="0"/>
                  </w:tcBorders>
                  <w:shd w:val="clear" w:color="auto" w:fill="auto"/>
                </w:tcPr>
                <w:p w14:paraId="6DF9D14E">
                  <w:pPr>
                    <w:widowControl/>
                    <w:jc w:val="left"/>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（一）空间布局约束</w:t>
                  </w:r>
                </w:p>
              </w:tc>
            </w:tr>
            <w:tr w14:paraId="4424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257" w:type="pct"/>
                  <w:tcBorders>
                    <w:top w:val="single" w:color="000000" w:sz="4" w:space="0"/>
                    <w:bottom w:val="single" w:color="000000" w:sz="4" w:space="0"/>
                  </w:tcBorders>
                  <w:shd w:val="clear" w:color="auto" w:fill="auto"/>
                </w:tcPr>
                <w:p w14:paraId="5E51BA35">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0AEBD8AD">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6ABF9603">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6622AA49">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4.禁止在九大高原湖泊（抚仙湖、星云湖、杞麓湖）流域内新建、改建、扩建污染环境、高耗水、高耗能、破坏生态平衡和自然景观的项目。</w:t>
                  </w:r>
                </w:p>
                <w:p w14:paraId="432C5746">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5.落实云南省碳达峰碳中和相关要求，处理好发展和减排、整体和局部、长远目标和短期目标、政府和市场的关系，坚定不移走生态优先、绿色低碳的高质量发展道路。</w:t>
                  </w:r>
                </w:p>
              </w:tc>
              <w:tc>
                <w:tcPr>
                  <w:tcW w:w="2099" w:type="pct"/>
                  <w:tcBorders>
                    <w:top w:val="single" w:color="000000" w:sz="4" w:space="0"/>
                    <w:bottom w:val="single" w:color="000000" w:sz="4" w:space="0"/>
                  </w:tcBorders>
                  <w:shd w:val="clear" w:color="auto" w:fill="auto"/>
                </w:tcPr>
                <w:p w14:paraId="1CB6B8B8">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bidi="ar"/>
                    </w:rPr>
                    <w:t>1.</w:t>
                  </w:r>
                  <w:r>
                    <w:rPr>
                      <w:rFonts w:hint="default" w:ascii="Times New Roman" w:hAnsi="Times New Roman" w:cs="Times New Roman"/>
                      <w:color w:val="auto"/>
                      <w:sz w:val="21"/>
                      <w:szCs w:val="21"/>
                      <w:lang w:eastAsia="zh-CN" w:bidi="ar"/>
                    </w:rPr>
                    <w:t>项目符合产业空间布局，</w:t>
                  </w:r>
                  <w:r>
                    <w:rPr>
                      <w:rFonts w:hint="default" w:ascii="Times New Roman" w:hAnsi="Times New Roman" w:cs="Times New Roman"/>
                      <w:color w:val="auto"/>
                      <w:sz w:val="21"/>
                      <w:szCs w:val="21"/>
                      <w:lang w:eastAsia="zh-CN"/>
                    </w:rPr>
                    <w:t>本项目属于拌合料生产项目，根据国家发展改革委令第7号《产业结构调整指导目录（2024年本）》，项目不属于“鼓励类、限制类和淘汰类”，项目涉及的产品、工艺和设备均不属于《产业结构调整指导目录》（2024年本）中的“鼓励类”、“限制类”和“淘汰类”之列，根据《促进产业结构调整暂行规定》（国发〔2005〕40号）第十三条规定，本项目属于“允许类”，同时对照《市场准入负面清单（2022年版）》，本项目不属于禁止事项，符合国家产业政策。</w:t>
                  </w:r>
                </w:p>
                <w:p w14:paraId="4AE9E199">
                  <w:pPr>
                    <w:pStyle w:val="11"/>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根据2026年3月13日新平彝族傣族自治县水利局出具的“关于新平双壹农业有限公司老厂太桥双壹拌合站项目涉河情况的回复”（详见附件6），项目占地未占用新平县已规划的河道管理范围，因此，项目不占河道。</w:t>
                  </w:r>
                </w:p>
                <w:p w14:paraId="736F9F0D">
                  <w:pPr>
                    <w:pStyle w:val="12"/>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r>
                    <w:rPr>
                      <w:rFonts w:hint="default" w:ascii="Times New Roman" w:hAnsi="Times New Roman" w:cs="Times New Roman"/>
                      <w:color w:val="auto"/>
                      <w:sz w:val="21"/>
                      <w:szCs w:val="21"/>
                      <w:lang w:eastAsia="zh-CN" w:bidi="ar"/>
                    </w:rPr>
                    <w:t>本项目位于云南省玉溪市新平彝族傣族自治县老厂乡，项目于20</w:t>
                  </w:r>
                  <w:r>
                    <w:rPr>
                      <w:rFonts w:hint="default" w:ascii="Times New Roman" w:hAnsi="Times New Roman" w:cs="Times New Roman"/>
                      <w:color w:val="auto"/>
                      <w:sz w:val="21"/>
                      <w:szCs w:val="21"/>
                      <w:lang w:val="en-US" w:eastAsia="zh-CN" w:bidi="ar"/>
                    </w:rPr>
                    <w:t>26</w:t>
                  </w:r>
                  <w:r>
                    <w:rPr>
                      <w:rFonts w:hint="default" w:ascii="Times New Roman" w:hAnsi="Times New Roman" w:cs="Times New Roman"/>
                      <w:color w:val="auto"/>
                      <w:sz w:val="21"/>
                      <w:szCs w:val="21"/>
                      <w:lang w:eastAsia="zh-CN" w:bidi="ar"/>
                    </w:rPr>
                    <w:t>年</w:t>
                  </w:r>
                  <w:r>
                    <w:rPr>
                      <w:rFonts w:hint="default" w:ascii="Times New Roman" w:hAnsi="Times New Roman" w:cs="Times New Roman"/>
                      <w:color w:val="auto"/>
                      <w:sz w:val="21"/>
                      <w:szCs w:val="21"/>
                      <w:lang w:val="en-US" w:eastAsia="zh-CN" w:bidi="ar"/>
                    </w:rPr>
                    <w:t>3</w:t>
                  </w:r>
                  <w:r>
                    <w:rPr>
                      <w:rFonts w:hint="default" w:ascii="Times New Roman" w:hAnsi="Times New Roman" w:cs="Times New Roman"/>
                      <w:color w:val="auto"/>
                      <w:sz w:val="21"/>
                      <w:szCs w:val="21"/>
                      <w:lang w:eastAsia="zh-CN" w:bidi="ar"/>
                    </w:rPr>
                    <w:t>月</w:t>
                  </w:r>
                  <w:r>
                    <w:rPr>
                      <w:rFonts w:hint="default" w:ascii="Times New Roman" w:hAnsi="Times New Roman" w:cs="Times New Roman"/>
                      <w:color w:val="auto"/>
                      <w:sz w:val="21"/>
                      <w:szCs w:val="21"/>
                      <w:lang w:val="en-US" w:eastAsia="zh-CN" w:bidi="ar"/>
                    </w:rPr>
                    <w:t>16</w:t>
                  </w:r>
                  <w:r>
                    <w:rPr>
                      <w:rFonts w:hint="default" w:ascii="Times New Roman" w:hAnsi="Times New Roman" w:cs="Times New Roman"/>
                      <w:color w:val="auto"/>
                      <w:sz w:val="21"/>
                      <w:szCs w:val="21"/>
                      <w:lang w:eastAsia="zh-CN" w:bidi="ar"/>
                    </w:rPr>
                    <w:t>日取得了新平彝族傣族自治县自然资源局出具的“关于老厂太桥双壹拌合站建设项目是否占用新平县生态保护红线的查询结果”的证明，查询结果显示，项目用地范围不涉及占用新平县生态保护红线，位于优化后城镇开发边界外，未占用耕地后备资源，未占用耕地后备资源补充空间（</w:t>
                  </w:r>
                  <w:r>
                    <w:rPr>
                      <w:rFonts w:hint="default" w:ascii="Times New Roman" w:hAnsi="Times New Roman" w:cs="Times New Roman"/>
                      <w:color w:val="auto"/>
                      <w:sz w:val="21"/>
                      <w:szCs w:val="21"/>
                      <w:lang w:val="en-US" w:eastAsia="zh-CN" w:bidi="ar"/>
                    </w:rPr>
                    <w:t>详见</w:t>
                  </w:r>
                  <w:r>
                    <w:rPr>
                      <w:rFonts w:hint="default" w:ascii="Times New Roman" w:hAnsi="Times New Roman" w:cs="Times New Roman"/>
                      <w:color w:val="auto"/>
                      <w:sz w:val="21"/>
                      <w:szCs w:val="21"/>
                      <w:lang w:eastAsia="zh-CN" w:bidi="ar"/>
                    </w:rPr>
                    <w:t>附件</w:t>
                  </w:r>
                  <w:r>
                    <w:rPr>
                      <w:rFonts w:hint="default"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eastAsia="zh-CN" w:bidi="ar"/>
                    </w:rPr>
                    <w:t>）。</w:t>
                  </w:r>
                </w:p>
              </w:tc>
              <w:tc>
                <w:tcPr>
                  <w:tcW w:w="642" w:type="pct"/>
                  <w:tcBorders>
                    <w:top w:val="single" w:color="000000" w:sz="4" w:space="0"/>
                    <w:bottom w:val="single" w:color="000000" w:sz="4" w:space="0"/>
                  </w:tcBorders>
                  <w:shd w:val="clear" w:color="auto" w:fill="auto"/>
                </w:tcPr>
                <w:p w14:paraId="49F7382A">
                  <w:pPr>
                    <w:widowControl/>
                    <w:jc w:val="center"/>
                    <w:rPr>
                      <w:rFonts w:hint="default" w:ascii="Times New Roman" w:hAnsi="Times New Roman" w:cs="Times New Roman"/>
                      <w:color w:val="auto"/>
                      <w:sz w:val="21"/>
                      <w:szCs w:val="21"/>
                      <w:lang w:eastAsia="zh-CN" w:bidi="ar"/>
                    </w:rPr>
                  </w:pPr>
                </w:p>
                <w:p w14:paraId="4A42CACF">
                  <w:pPr>
                    <w:widowControl/>
                    <w:jc w:val="center"/>
                    <w:rPr>
                      <w:rFonts w:hint="default" w:ascii="Times New Roman" w:hAnsi="Times New Roman" w:cs="Times New Roman"/>
                      <w:color w:val="auto"/>
                      <w:sz w:val="21"/>
                      <w:szCs w:val="21"/>
                      <w:lang w:eastAsia="zh-CN" w:bidi="ar"/>
                    </w:rPr>
                  </w:pPr>
                </w:p>
                <w:p w14:paraId="6A969E2F">
                  <w:pPr>
                    <w:widowControl/>
                    <w:jc w:val="center"/>
                    <w:rPr>
                      <w:rFonts w:hint="default" w:ascii="Times New Roman" w:hAnsi="Times New Roman" w:cs="Times New Roman"/>
                      <w:color w:val="auto"/>
                      <w:sz w:val="21"/>
                      <w:szCs w:val="21"/>
                      <w:lang w:eastAsia="zh-CN" w:bidi="ar"/>
                    </w:rPr>
                  </w:pPr>
                </w:p>
                <w:p w14:paraId="2EF62CE5">
                  <w:pPr>
                    <w:widowControl/>
                    <w:jc w:val="center"/>
                    <w:rPr>
                      <w:rFonts w:hint="default" w:ascii="Times New Roman" w:hAnsi="Times New Roman" w:cs="Times New Roman"/>
                      <w:color w:val="auto"/>
                      <w:sz w:val="21"/>
                      <w:szCs w:val="21"/>
                      <w:lang w:eastAsia="zh-CN" w:bidi="ar"/>
                    </w:rPr>
                  </w:pPr>
                </w:p>
                <w:p w14:paraId="6BDB63AF">
                  <w:pPr>
                    <w:widowControl/>
                    <w:jc w:val="center"/>
                    <w:rPr>
                      <w:rFonts w:hint="default" w:ascii="Times New Roman" w:hAnsi="Times New Roman" w:cs="Times New Roman"/>
                      <w:color w:val="auto"/>
                      <w:sz w:val="21"/>
                      <w:szCs w:val="21"/>
                      <w:lang w:eastAsia="zh-CN" w:bidi="ar"/>
                    </w:rPr>
                  </w:pPr>
                </w:p>
                <w:p w14:paraId="60C72AC1">
                  <w:pPr>
                    <w:widowControl/>
                    <w:jc w:val="center"/>
                    <w:rPr>
                      <w:rFonts w:hint="default" w:ascii="Times New Roman" w:hAnsi="Times New Roman" w:cs="Times New Roman"/>
                      <w:color w:val="auto"/>
                      <w:sz w:val="21"/>
                      <w:szCs w:val="21"/>
                      <w:lang w:eastAsia="zh-CN" w:bidi="ar"/>
                    </w:rPr>
                  </w:pPr>
                </w:p>
                <w:p w14:paraId="3D18FD55">
                  <w:pPr>
                    <w:widowControl/>
                    <w:jc w:val="center"/>
                    <w:rPr>
                      <w:rFonts w:hint="default" w:ascii="Times New Roman" w:hAnsi="Times New Roman" w:cs="Times New Roman"/>
                      <w:color w:val="auto"/>
                      <w:sz w:val="21"/>
                      <w:szCs w:val="21"/>
                      <w:lang w:eastAsia="zh-CN" w:bidi="ar"/>
                    </w:rPr>
                  </w:pPr>
                </w:p>
                <w:p w14:paraId="238C9C6F">
                  <w:pPr>
                    <w:widowControl/>
                    <w:jc w:val="center"/>
                    <w:rPr>
                      <w:rFonts w:hint="default" w:ascii="Times New Roman" w:hAnsi="Times New Roman" w:cs="Times New Roman"/>
                      <w:color w:val="auto"/>
                      <w:sz w:val="21"/>
                      <w:szCs w:val="21"/>
                      <w:lang w:eastAsia="zh-CN" w:bidi="ar"/>
                    </w:rPr>
                  </w:pPr>
                </w:p>
                <w:p w14:paraId="2C144F51">
                  <w:pPr>
                    <w:widowControl/>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符合</w:t>
                  </w:r>
                </w:p>
              </w:tc>
            </w:tr>
            <w:tr w14:paraId="446B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3"/>
                  <w:tcBorders>
                    <w:top w:val="single" w:color="000000" w:sz="4" w:space="0"/>
                    <w:bottom w:val="single" w:color="000000" w:sz="4" w:space="0"/>
                  </w:tcBorders>
                  <w:shd w:val="clear" w:color="auto" w:fill="auto"/>
                </w:tcPr>
                <w:p w14:paraId="59D07302">
                  <w:pPr>
                    <w:widowControl/>
                    <w:jc w:val="left"/>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（二）污染物排放管控</w:t>
                  </w:r>
                </w:p>
              </w:tc>
            </w:tr>
            <w:tr w14:paraId="7B2F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257" w:type="pct"/>
                  <w:tcBorders>
                    <w:top w:val="single" w:color="000000" w:sz="4" w:space="0"/>
                    <w:bottom w:val="single" w:color="000000" w:sz="4" w:space="0"/>
                  </w:tcBorders>
                  <w:shd w:val="clear" w:color="auto" w:fill="auto"/>
                </w:tcPr>
                <w:p w14:paraId="1176DF71">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1.严格落实强制性清洁生产审核要求，引导重点行业实施清洁生产改造，到 2025 年底，重点行业企业基本达到国内清洁生产先进水平。</w:t>
                  </w:r>
                </w:p>
                <w:p w14:paraId="3FF1AB8F">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5972A95E">
                  <w:pPr>
                    <w:widowControl/>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3.严格保护城乡饮用水水源地，整治饮用水水源保护区内的污染源，确保饮水安全。</w:t>
                  </w:r>
                </w:p>
                <w:p w14:paraId="1EB4BB7C">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4.开展细颗粒物和臭氧协同控制、挥发性有机物和氮氧化物协同减排。石化、化工、包装印刷、工业涂装等VOCs 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w:t>
                  </w:r>
                </w:p>
                <w:p w14:paraId="40FD768E">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钢铁、磷化工、建材等重点行业节能降碳升级改造，淘汰落后工艺技术和生产装置，实施煤电、水泥、焦化企业超低排放改造，到 2025 年，钢铁行业全面完成超低排放改造。</w:t>
                  </w:r>
                </w:p>
                <w:p w14:paraId="62B97B9F">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5.加大环境污染物减排力度，到2025年，实现氮氧化物减排1224吨，挥发性有机物减排1393吨，化学需氧量减排2461吨，氨氮减排230吨。</w:t>
                  </w:r>
                </w:p>
                <w:p w14:paraId="39D53701">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50B650D6">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7.加快“无废城市”建设，产生工业固体废物的单位应当建立健全工业固体废物产生、收集、贮存、运输、利用、</w:t>
                  </w:r>
                </w:p>
                <w:p w14:paraId="221C2FA0">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处置全过程的污染环境防治责任制度，按照国家有关规定建立工业固体废物管理台账，加强重金属污染物排放管理，落实区域“减量替代”和“等量替代”要求，重金属污染物排放量 2025 年比 2020 年削减 4%。</w:t>
                  </w:r>
                </w:p>
                <w:p w14:paraId="73AFE871">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8.到 2025 年，中心城区细颗粒物（PM2.5）平均浓度控制在 21 微克/立方米以内，城市空气质量优良天数比率达到 98.5%以上，坚决防范重度及以上污染天气发生，全市地表水国控断面优良水体比例达80%，消除城市黑臭水体，消除劣Ⅴ类水体。</w:t>
                  </w:r>
                </w:p>
              </w:tc>
              <w:tc>
                <w:tcPr>
                  <w:tcW w:w="2099" w:type="pct"/>
                  <w:tcBorders>
                    <w:top w:val="single" w:color="000000" w:sz="4" w:space="0"/>
                    <w:bottom w:val="single" w:color="000000" w:sz="4" w:space="0"/>
                  </w:tcBorders>
                  <w:shd w:val="clear" w:color="auto" w:fill="auto"/>
                </w:tcPr>
                <w:p w14:paraId="0B603F4E">
                  <w:pPr>
                    <w:widowControl/>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bidi="ar"/>
                    </w:rPr>
                    <w:t>1.</w:t>
                  </w:r>
                  <w:r>
                    <w:rPr>
                      <w:rFonts w:hint="default" w:ascii="Times New Roman" w:hAnsi="Times New Roman" w:cs="Times New Roman"/>
                      <w:color w:val="auto"/>
                      <w:sz w:val="21"/>
                      <w:szCs w:val="21"/>
                      <w:lang w:eastAsia="zh-CN" w:bidi="ar"/>
                    </w:rPr>
                    <w:t>生产废水：原料混合搅拌用水全部进入产品，不外排，故不产生废水；搅拌机冲洗废水和运输车辆冲洗废水经三级沉淀池处理后循环使用，不外排；初期雨水：在项目地势较低处设置一个容积不小于54m</w:t>
                  </w:r>
                  <w:r>
                    <w:rPr>
                      <w:rFonts w:hint="default" w:ascii="Times New Roman" w:hAnsi="Times New Roman" w:cs="Times New Roman"/>
                      <w:color w:val="auto"/>
                      <w:sz w:val="21"/>
                      <w:szCs w:val="21"/>
                      <w:vertAlign w:val="superscript"/>
                      <w:lang w:eastAsia="zh-CN" w:bidi="ar"/>
                    </w:rPr>
                    <w:t>3</w:t>
                  </w:r>
                  <w:r>
                    <w:rPr>
                      <w:rFonts w:hint="default" w:ascii="Times New Roman" w:hAnsi="Times New Roman" w:cs="Times New Roman"/>
                      <w:color w:val="auto"/>
                      <w:sz w:val="21"/>
                      <w:szCs w:val="21"/>
                      <w:lang w:eastAsia="zh-CN" w:bidi="ar"/>
                    </w:rPr>
                    <w:t>的初期雨水收集池对初期雨水进行沉淀处理后，回用于生产或厂区洒水降尘；本项目原料周转较快，因此，本项目原料堆场设置一个面积约500m</w:t>
                  </w:r>
                  <w:r>
                    <w:rPr>
                      <w:rFonts w:hint="default" w:ascii="Times New Roman" w:hAnsi="Times New Roman" w:cs="Times New Roman"/>
                      <w:color w:val="auto"/>
                      <w:sz w:val="21"/>
                      <w:szCs w:val="21"/>
                      <w:vertAlign w:val="superscript"/>
                      <w:lang w:eastAsia="zh-CN" w:bidi="ar"/>
                    </w:rPr>
                    <w:t>2</w:t>
                  </w:r>
                  <w:r>
                    <w:rPr>
                      <w:rFonts w:hint="default" w:ascii="Times New Roman" w:hAnsi="Times New Roman" w:cs="Times New Roman"/>
                      <w:color w:val="auto"/>
                      <w:sz w:val="21"/>
                      <w:szCs w:val="21"/>
                      <w:lang w:eastAsia="zh-CN" w:bidi="ar"/>
                    </w:rPr>
                    <w:t>的原料堆场，堆场设置三面围挡+顶棚措施，所有物料均进入料棚内堆存，同时采用篷布遮盖，此外，原料堆场应定时洒水降尘</w:t>
                  </w:r>
                  <w:r>
                    <w:rPr>
                      <w:rFonts w:hint="default" w:ascii="Times New Roman" w:hAnsi="Times New Roman" w:eastAsia="宋体" w:cs="Times New Roman"/>
                      <w:color w:val="auto"/>
                      <w:sz w:val="21"/>
                      <w:szCs w:val="21"/>
                      <w:lang w:eastAsia="zh-CN"/>
                    </w:rPr>
                    <w:t>。</w:t>
                  </w:r>
                </w:p>
                <w:p w14:paraId="7201449F">
                  <w:pPr>
                    <w:widowControl/>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w:t>
                  </w:r>
                  <w:r>
                    <w:rPr>
                      <w:rFonts w:hint="default" w:ascii="Times New Roman" w:hAnsi="Times New Roman" w:eastAsia="宋体" w:cs="Times New Roman"/>
                      <w:color w:val="auto"/>
                      <w:sz w:val="21"/>
                      <w:szCs w:val="21"/>
                      <w:lang w:val="en-US" w:eastAsia="zh-CN"/>
                    </w:rPr>
                    <w:t>.装载机上料粉尘：本项目骨料上料过程通过洒水降尘可以有效减少粉尘产生量；运输过程扬尘：原料采用卡车运输，卡车用苫布苫盖，原料的运输过程产生的扬尘通过定期洒水进行降尘、限速行驶等措施，可有效降低粉尘产生；原料堆场粉尘：</w:t>
                  </w:r>
                  <w:r>
                    <w:rPr>
                      <w:rFonts w:hint="default" w:ascii="Times New Roman" w:hAnsi="Times New Roman" w:cs="Times New Roman"/>
                      <w:color w:val="auto"/>
                      <w:sz w:val="21"/>
                      <w:szCs w:val="21"/>
                      <w:lang w:eastAsia="zh-CN" w:bidi="ar"/>
                    </w:rPr>
                    <w:t>三面围挡+顶棚措施，所有物料均进入料棚内堆存，同时采用篷布遮盖，此外，原料堆场应定时洒水降尘</w:t>
                  </w:r>
                  <w:r>
                    <w:rPr>
                      <w:rFonts w:hint="default" w:ascii="Times New Roman" w:hAnsi="Times New Roman" w:eastAsia="宋体" w:cs="Times New Roman"/>
                      <w:color w:val="auto"/>
                      <w:sz w:val="21"/>
                      <w:szCs w:val="21"/>
                      <w:lang w:val="en-US" w:eastAsia="zh-CN"/>
                    </w:rPr>
                    <w:t>；车间无组织粉尘：生产车间为半封闭车间（三面封闭，其中一面预留物料出入口大门），约60%的粉尘在生产车间内自然沉降；搅拌机粉尘：本项目对搅拌机和投料口进行整体封闭，定时洒水降尘；汽车尾气：项目汽车发车频次较少，项目占地面积较大，全部为露天排放，有利于空气的扩散，且项目临路和临山周边种植有植物，对大气环境也有一定的净化作用。对周边空气环境影响较小。</w:t>
                  </w:r>
                </w:p>
                <w:p w14:paraId="6C9918CA">
                  <w:pPr>
                    <w:widowControl/>
                    <w:jc w:val="both"/>
                    <w:rPr>
                      <w:rFonts w:hint="default" w:ascii="Times New Roman" w:hAnsi="Times New Roman"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rPr>
                    <w:t>3.</w:t>
                  </w:r>
                  <w:r>
                    <w:rPr>
                      <w:rFonts w:hint="default" w:ascii="Times New Roman" w:hAnsi="Times New Roman" w:cs="Times New Roman"/>
                      <w:color w:val="auto"/>
                      <w:sz w:val="21"/>
                      <w:szCs w:val="21"/>
                      <w:lang w:eastAsia="zh-CN"/>
                    </w:rPr>
                    <w:t>沉淀池沉渣收集后回用生产工序；不合格产品全部可回用于生产；生活垃圾集中收集后由管理人员定期清运至老厂乡垃圾收集点清运处置；废机油及废油桶属于危险废物，暂存于一个5m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的危废贮存库，定期委托有资质的单位清运处置</w:t>
                  </w:r>
                  <w:r>
                    <w:rPr>
                      <w:rFonts w:hint="default" w:ascii="Times New Roman" w:hAnsi="Times New Roman" w:eastAsia="宋体" w:cs="Times New Roman"/>
                      <w:color w:val="auto"/>
                      <w:sz w:val="21"/>
                      <w:szCs w:val="21"/>
                      <w:lang w:eastAsia="zh-CN"/>
                    </w:rPr>
                    <w:t>。</w:t>
                  </w:r>
                </w:p>
              </w:tc>
              <w:tc>
                <w:tcPr>
                  <w:tcW w:w="642" w:type="pct"/>
                  <w:tcBorders>
                    <w:top w:val="single" w:color="000000" w:sz="4" w:space="0"/>
                    <w:bottom w:val="single" w:color="000000" w:sz="4" w:space="0"/>
                  </w:tcBorders>
                  <w:shd w:val="clear" w:color="auto" w:fill="auto"/>
                </w:tcPr>
                <w:p w14:paraId="61813620">
                  <w:pPr>
                    <w:widowControl/>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符合</w:t>
                  </w:r>
                </w:p>
              </w:tc>
            </w:tr>
            <w:tr w14:paraId="6553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3"/>
                  <w:tcBorders>
                    <w:top w:val="single" w:color="000000" w:sz="4" w:space="0"/>
                    <w:bottom w:val="single" w:color="000000" w:sz="4" w:space="0"/>
                  </w:tcBorders>
                  <w:shd w:val="clear" w:color="auto" w:fill="auto"/>
                </w:tcPr>
                <w:p w14:paraId="652A6773">
                  <w:pPr>
                    <w:widowControl/>
                    <w:jc w:val="left"/>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（三）环境风险防控</w:t>
                  </w:r>
                </w:p>
              </w:tc>
            </w:tr>
            <w:tr w14:paraId="2F3B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257" w:type="pct"/>
                  <w:tcBorders>
                    <w:top w:val="single" w:color="000000" w:sz="4" w:space="0"/>
                    <w:bottom w:val="single" w:color="000000" w:sz="4" w:space="0"/>
                  </w:tcBorders>
                  <w:shd w:val="clear" w:color="auto" w:fill="auto"/>
                </w:tcPr>
                <w:p w14:paraId="36DA3260">
                  <w:pPr>
                    <w:widowControl/>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1.强化与其他滇中城市的大气、水污染防治联防联控协作机制，加强区域内重污染天气和跨界水体风险应急联动。</w:t>
                  </w:r>
                </w:p>
                <w:p w14:paraId="54C79705">
                  <w:pPr>
                    <w:widowControl/>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2099" w:type="pct"/>
                  <w:tcBorders>
                    <w:top w:val="single" w:color="000000" w:sz="4" w:space="0"/>
                    <w:bottom w:val="single" w:color="000000" w:sz="4" w:space="0"/>
                  </w:tcBorders>
                  <w:shd w:val="clear" w:color="auto" w:fill="auto"/>
                </w:tcPr>
                <w:p w14:paraId="67D20400">
                  <w:pPr>
                    <w:widowControl/>
                    <w:jc w:val="both"/>
                    <w:rPr>
                      <w:rFonts w:hint="default" w:ascii="Times New Roman" w:hAnsi="Times New Roman" w:cs="Times New Roman"/>
                      <w:color w:val="auto"/>
                      <w:sz w:val="21"/>
                      <w:szCs w:val="21"/>
                      <w:lang w:eastAsia="zh-CN" w:bidi="ar"/>
                    </w:rPr>
                  </w:pPr>
                  <w:r>
                    <w:rPr>
                      <w:rFonts w:hint="default" w:ascii="Times New Roman" w:hAnsi="Times New Roman" w:eastAsia="宋体" w:cs="Times New Roman"/>
                      <w:color w:val="auto"/>
                      <w:sz w:val="21"/>
                      <w:szCs w:val="21"/>
                      <w:lang w:eastAsia="zh-CN"/>
                    </w:rPr>
                    <w:t>本项目废矿物油及废油桶：</w:t>
                  </w:r>
                  <w:r>
                    <w:rPr>
                      <w:rFonts w:hint="default" w:ascii="Times New Roman" w:hAnsi="Times New Roman" w:cs="Times New Roman"/>
                      <w:color w:val="auto"/>
                      <w:sz w:val="21"/>
                      <w:szCs w:val="21"/>
                      <w:lang w:eastAsia="zh-CN"/>
                    </w:rPr>
                    <w:t>废机油及废油桶属于危险废物，暂存于一个5m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的危废贮存库，定期委托有资质的单位清运处置</w:t>
                  </w:r>
                  <w:r>
                    <w:rPr>
                      <w:rFonts w:hint="default" w:ascii="Times New Roman" w:hAnsi="Times New Roman" w:eastAsia="宋体" w:cs="Times New Roman"/>
                      <w:color w:val="auto"/>
                      <w:sz w:val="21"/>
                      <w:szCs w:val="21"/>
                      <w:lang w:eastAsia="zh-CN"/>
                    </w:rPr>
                    <w:t>。</w:t>
                  </w:r>
                </w:p>
              </w:tc>
              <w:tc>
                <w:tcPr>
                  <w:tcW w:w="642" w:type="pct"/>
                  <w:tcBorders>
                    <w:top w:val="single" w:color="000000" w:sz="4" w:space="0"/>
                    <w:bottom w:val="single" w:color="000000" w:sz="4" w:space="0"/>
                  </w:tcBorders>
                  <w:shd w:val="clear" w:color="auto" w:fill="auto"/>
                </w:tcPr>
                <w:p w14:paraId="40E22B61">
                  <w:pPr>
                    <w:widowControl/>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符合</w:t>
                  </w:r>
                </w:p>
              </w:tc>
            </w:tr>
            <w:tr w14:paraId="26FD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000000" w:sz="4" w:space="0"/>
                    <w:bottom w:val="single" w:color="000000" w:sz="4" w:space="0"/>
                  </w:tcBorders>
                  <w:shd w:val="clear" w:color="auto" w:fill="auto"/>
                </w:tcPr>
                <w:p w14:paraId="6186A7DC">
                  <w:pPr>
                    <w:widowControl/>
                    <w:jc w:val="left"/>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（四）资源开发利用效率</w:t>
                  </w:r>
                </w:p>
              </w:tc>
            </w:tr>
            <w:tr w14:paraId="5312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257" w:type="pct"/>
                  <w:tcBorders>
                    <w:top w:val="single" w:color="000000" w:sz="4" w:space="0"/>
                    <w:bottom w:val="single" w:color="000000" w:sz="4" w:space="0"/>
                  </w:tcBorders>
                  <w:shd w:val="clear" w:color="auto" w:fill="auto"/>
                </w:tcPr>
                <w:p w14:paraId="7098EE25">
                  <w:pPr>
                    <w:widowControl/>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1.降低水、土地、能源、矿产资源消耗强度，强化约束性指标管理。</w:t>
                  </w:r>
                </w:p>
                <w:p w14:paraId="4FA822BC">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530107F8">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3.坚持最严格的耕地保护制度，守住耕地保护红线。坚持节约用地，严格执行耕地占补平衡等制度，提高土地投资强度和单位面积产出水平。</w:t>
                  </w:r>
                </w:p>
                <w:p w14:paraId="0AFA081C">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4.全市单位 GDP 二氧化碳排放累计下降率完成云南省下达的指标；单位 GDP 能耗持续下降，到 2025 年，全市单位 GDP 能耗累计下降率 14%。</w:t>
                  </w:r>
                </w:p>
                <w:p w14:paraId="74364E45">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5.高污染燃料禁燃区按照《高污染燃料目录》及当地有关禁燃区管理规定执行。</w:t>
                  </w:r>
                </w:p>
                <w:p w14:paraId="4B40F6EE">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6.实施高效节水灌溉工程，大力推广高效节水灌溉措施，到 2025 年，农田灌溉水有效利用系数达到 0.55。</w:t>
                  </w:r>
                </w:p>
              </w:tc>
              <w:tc>
                <w:tcPr>
                  <w:tcW w:w="2099" w:type="pct"/>
                  <w:tcBorders>
                    <w:top w:val="single" w:color="000000" w:sz="4" w:space="0"/>
                    <w:bottom w:val="single" w:color="000000" w:sz="4" w:space="0"/>
                  </w:tcBorders>
                  <w:shd w:val="clear" w:color="auto" w:fill="auto"/>
                </w:tcPr>
                <w:p w14:paraId="5B0CDC81">
                  <w:pPr>
                    <w:widowControl/>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val="en-US" w:eastAsia="zh-CN" w:bidi="ar"/>
                    </w:rPr>
                    <w:t>1.</w:t>
                  </w:r>
                  <w:r>
                    <w:rPr>
                      <w:rFonts w:hint="default" w:ascii="Times New Roman" w:hAnsi="Times New Roman" w:cs="Times New Roman"/>
                      <w:color w:val="auto"/>
                      <w:sz w:val="21"/>
                      <w:szCs w:val="21"/>
                      <w:lang w:eastAsia="zh-CN" w:bidi="ar"/>
                    </w:rPr>
                    <w:t>本项目位于云南省玉溪市新平彝族傣族自治县老厂乡，项目于20</w:t>
                  </w:r>
                  <w:r>
                    <w:rPr>
                      <w:rFonts w:hint="default" w:ascii="Times New Roman" w:hAnsi="Times New Roman" w:cs="Times New Roman"/>
                      <w:color w:val="auto"/>
                      <w:sz w:val="21"/>
                      <w:szCs w:val="21"/>
                      <w:lang w:val="en-US" w:eastAsia="zh-CN" w:bidi="ar"/>
                    </w:rPr>
                    <w:t>26</w:t>
                  </w:r>
                  <w:r>
                    <w:rPr>
                      <w:rFonts w:hint="default" w:ascii="Times New Roman" w:hAnsi="Times New Roman" w:cs="Times New Roman"/>
                      <w:color w:val="auto"/>
                      <w:sz w:val="21"/>
                      <w:szCs w:val="21"/>
                      <w:lang w:eastAsia="zh-CN" w:bidi="ar"/>
                    </w:rPr>
                    <w:t>年</w:t>
                  </w:r>
                  <w:r>
                    <w:rPr>
                      <w:rFonts w:hint="default" w:ascii="Times New Roman" w:hAnsi="Times New Roman" w:cs="Times New Roman"/>
                      <w:color w:val="auto"/>
                      <w:sz w:val="21"/>
                      <w:szCs w:val="21"/>
                      <w:lang w:val="en-US" w:eastAsia="zh-CN" w:bidi="ar"/>
                    </w:rPr>
                    <w:t>3</w:t>
                  </w:r>
                  <w:r>
                    <w:rPr>
                      <w:rFonts w:hint="default" w:ascii="Times New Roman" w:hAnsi="Times New Roman" w:cs="Times New Roman"/>
                      <w:color w:val="auto"/>
                      <w:sz w:val="21"/>
                      <w:szCs w:val="21"/>
                      <w:lang w:eastAsia="zh-CN" w:bidi="ar"/>
                    </w:rPr>
                    <w:t>月</w:t>
                  </w:r>
                  <w:r>
                    <w:rPr>
                      <w:rFonts w:hint="default" w:ascii="Times New Roman" w:hAnsi="Times New Roman" w:cs="Times New Roman"/>
                      <w:color w:val="auto"/>
                      <w:sz w:val="21"/>
                      <w:szCs w:val="21"/>
                      <w:lang w:val="en-US" w:eastAsia="zh-CN" w:bidi="ar"/>
                    </w:rPr>
                    <w:t>16</w:t>
                  </w:r>
                  <w:r>
                    <w:rPr>
                      <w:rFonts w:hint="default" w:ascii="Times New Roman" w:hAnsi="Times New Roman" w:cs="Times New Roman"/>
                      <w:color w:val="auto"/>
                      <w:sz w:val="21"/>
                      <w:szCs w:val="21"/>
                      <w:lang w:eastAsia="zh-CN" w:bidi="ar"/>
                    </w:rPr>
                    <w:t>日取得了新平彝族傣族自治县自然资源局出具的“关于老厂太桥双壹拌合站建设项目是否占用新平县生态保护红线的查询结果”的证明，查询结果显示，项目用地范围不涉及占用新平县生态保护红线，位于优化后城镇开发边界外，未占用耕地后备资源，未占用耕地后备资源补充空间（</w:t>
                  </w:r>
                  <w:r>
                    <w:rPr>
                      <w:rFonts w:hint="default" w:ascii="Times New Roman" w:hAnsi="Times New Roman" w:cs="Times New Roman"/>
                      <w:color w:val="auto"/>
                      <w:sz w:val="21"/>
                      <w:szCs w:val="21"/>
                      <w:lang w:val="en-US" w:eastAsia="zh-CN" w:bidi="ar"/>
                    </w:rPr>
                    <w:t>详见</w:t>
                  </w:r>
                  <w:r>
                    <w:rPr>
                      <w:rFonts w:hint="default" w:ascii="Times New Roman" w:hAnsi="Times New Roman" w:cs="Times New Roman"/>
                      <w:color w:val="auto"/>
                      <w:sz w:val="21"/>
                      <w:szCs w:val="21"/>
                      <w:lang w:eastAsia="zh-CN" w:bidi="ar"/>
                    </w:rPr>
                    <w:t>附件</w:t>
                  </w:r>
                  <w:r>
                    <w:rPr>
                      <w:rFonts w:hint="default"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eastAsia="zh-CN" w:bidi="ar"/>
                    </w:rPr>
                    <w:t>）。</w:t>
                  </w:r>
                </w:p>
                <w:p w14:paraId="644F8BED">
                  <w:pPr>
                    <w:widowControl/>
                    <w:jc w:val="both"/>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2.根据2026年4月22日新平彝族傣族自治县自然资源局出具的关于“ 老厂太桥双壹拌合站建设项目”现状地类查询情况的说明显示，该项目实际建设占地总面积0.3693公顷，全部为建设用地（详见附件19）。根据2026年4月23日新平彝族傣族自治县老厂乡人民政府出具的同意项目建设的证明显示该项目于2026年2月13日取得新平县发展和改革局出具的投资项目备案证，项目代码:2602-530427-04-01-908689。经查该建设用地范围地类为建设用地，评价区域内无风景名胜、文物古迹等需要特殊保护的环境敏感点，该项目建设未对周边村庄造成影响，情况属实，同意本项目建设（详见附件8）。</w:t>
                  </w:r>
                </w:p>
              </w:tc>
              <w:tc>
                <w:tcPr>
                  <w:tcW w:w="642" w:type="pct"/>
                  <w:tcBorders>
                    <w:top w:val="single" w:color="000000" w:sz="4" w:space="0"/>
                    <w:bottom w:val="single" w:color="000000" w:sz="4" w:space="0"/>
                  </w:tcBorders>
                  <w:shd w:val="clear" w:color="auto" w:fill="auto"/>
                </w:tcPr>
                <w:p w14:paraId="3AD6732A">
                  <w:pPr>
                    <w:widowControl/>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符合</w:t>
                  </w:r>
                </w:p>
              </w:tc>
            </w:tr>
          </w:tbl>
          <w:p w14:paraId="0960A82F">
            <w:pPr>
              <w:widowControl/>
              <w:autoSpaceDE/>
              <w:autoSpaceDN/>
              <w:adjustRightInd w:val="0"/>
              <w:snapToGrid w:val="0"/>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bidi="ar"/>
              </w:rPr>
              <w:t>综上所述，本项目与《玉溪市生态环境分区管控动态更新调整方案》（</w:t>
            </w:r>
            <w:r>
              <w:rPr>
                <w:rFonts w:hint="default" w:ascii="Times New Roman" w:hAnsi="Times New Roman" w:cs="Times New Roman"/>
                <w:color w:val="auto"/>
                <w:sz w:val="24"/>
                <w:lang w:val="en-US" w:eastAsia="zh-CN" w:bidi="ar"/>
              </w:rPr>
              <w:t>2023</w:t>
            </w:r>
            <w:r>
              <w:rPr>
                <w:rFonts w:hint="default" w:ascii="Times New Roman" w:hAnsi="Times New Roman" w:cs="Times New Roman"/>
                <w:color w:val="auto"/>
                <w:sz w:val="24"/>
                <w:lang w:eastAsia="zh-CN" w:bidi="ar"/>
              </w:rPr>
              <w:t>年）（玉市环〔2024〕40号）相符。</w:t>
            </w:r>
          </w:p>
          <w:p w14:paraId="0B249E14">
            <w:pPr>
              <w:widowControl/>
              <w:autoSpaceDE/>
              <w:autoSpaceDN/>
              <w:adjustRightInd w:val="0"/>
              <w:snapToGrid w:val="0"/>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bCs/>
                <w:color w:val="auto"/>
                <w:sz w:val="24"/>
                <w:lang w:eastAsia="zh-CN"/>
              </w:rPr>
              <w:t>三、</w:t>
            </w:r>
            <w:r>
              <w:rPr>
                <w:rFonts w:hint="default" w:ascii="Times New Roman" w:hAnsi="Times New Roman" w:cs="Times New Roman"/>
                <w:b/>
                <w:color w:val="auto"/>
                <w:sz w:val="24"/>
                <w:lang w:eastAsia="zh-CN"/>
              </w:rPr>
              <w:t>与《云南省主体功能区规划》符合性分析</w:t>
            </w:r>
          </w:p>
          <w:p w14:paraId="7B54F0CE">
            <w:pPr>
              <w:widowControl/>
              <w:autoSpaceDE/>
              <w:autoSpaceDN/>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bidi="ar"/>
              </w:rPr>
              <w:t>本项目位于</w:t>
            </w:r>
            <w:r>
              <w:rPr>
                <w:rFonts w:hint="default" w:ascii="Times New Roman" w:hAnsi="Times New Roman" w:cs="Times New Roman"/>
                <w:color w:val="auto"/>
                <w:sz w:val="24"/>
                <w:lang w:eastAsia="zh-CN"/>
              </w:rPr>
              <w:t>云南省玉溪市新平彝族傣族自治县</w:t>
            </w:r>
            <w:r>
              <w:rPr>
                <w:rFonts w:hint="default" w:ascii="Times New Roman" w:hAnsi="Times New Roman" w:cs="Times New Roman"/>
                <w:color w:val="auto"/>
                <w:sz w:val="24"/>
                <w:lang w:val="en-US" w:eastAsia="zh-CN"/>
              </w:rPr>
              <w:t>老厂乡</w:t>
            </w:r>
            <w:r>
              <w:rPr>
                <w:rFonts w:hint="default" w:ascii="Times New Roman" w:hAnsi="Times New Roman" w:cs="Times New Roman"/>
                <w:color w:val="auto"/>
                <w:sz w:val="24"/>
                <w:lang w:eastAsia="zh-CN" w:bidi="ar"/>
              </w:rPr>
              <w:t xml:space="preserve">，根据云南省人民政府于2014年1月6日发布的《云南省人民政府关于印发云南省主体功能区划的通知》（云政发〔2014〕1号），新平县属于云南省农产品限制开发区域（附图8），限制开发区域产业政策要求为：建立市场退出机制，对限制开发区域不符合主体功能定位的现有产业，要通过设备折旧补贴、设备贷款担保、迁移补贴、土地置换等手段，促进产业跨区域转移或关闭。因地制宜发展特色产业，限制低水平重复建设和不利于生态功能保护的开发活动。制定适度发展矿产资源开发利用、水能资源开发、旅游、农林产品加工以及其他生态型产业的产业政策；促进资源环境负荷重的产业向重点开发区域转移。 </w:t>
            </w:r>
          </w:p>
          <w:p w14:paraId="14E23AAB">
            <w:pPr>
              <w:widowControl/>
              <w:spacing w:line="360" w:lineRule="auto"/>
              <w:ind w:firstLine="480" w:firstLineChars="200"/>
              <w:jc w:val="both"/>
              <w:rPr>
                <w:rFonts w:hint="default" w:ascii="Times New Roman" w:hAnsi="Times New Roman" w:cs="Times New Roman"/>
                <w:color w:val="auto"/>
                <w:sz w:val="24"/>
                <w:lang w:eastAsia="zh-CN" w:bidi="ar"/>
              </w:rPr>
            </w:pPr>
            <w:r>
              <w:rPr>
                <w:rFonts w:hint="default" w:ascii="Times New Roman" w:hAnsi="Times New Roman" w:cs="Times New Roman"/>
                <w:color w:val="auto"/>
                <w:sz w:val="24"/>
                <w:lang w:eastAsia="zh-CN" w:bidi="ar"/>
              </w:rPr>
              <w:t>本项目属于拌合料生产项目，厂区内建筑均为临时建设工程，不设置永久性建筑，不涉及《云南省禁止开发区域名录》（附图</w:t>
            </w:r>
            <w:r>
              <w:rPr>
                <w:rFonts w:hint="default" w:ascii="Times New Roman" w:hAnsi="Times New Roman" w:cs="Times New Roman"/>
                <w:color w:val="auto"/>
                <w:sz w:val="24"/>
                <w:lang w:val="en-US" w:eastAsia="zh-CN" w:bidi="ar"/>
              </w:rPr>
              <w:t>7</w:t>
            </w:r>
            <w:r>
              <w:rPr>
                <w:rFonts w:hint="default" w:ascii="Times New Roman" w:hAnsi="Times New Roman" w:cs="Times New Roman"/>
                <w:color w:val="auto"/>
                <w:sz w:val="24"/>
                <w:lang w:eastAsia="zh-CN" w:bidi="ar"/>
              </w:rPr>
              <w:t>）所列的自然保护区、世界文化自然遗产、风景名胜区、森林公园、地质公园、城市饮用水水源保护区、国家湿地公园、水产种质资源保护区等，属于适度发展矿产资源开发利用项目，建设符合国家产业政策，因此本项目的建设符合《云南省主体功能区规划》（详见附图</w:t>
            </w:r>
            <w:r>
              <w:rPr>
                <w:rFonts w:hint="default" w:ascii="Times New Roman" w:hAnsi="Times New Roman" w:cs="Times New Roman"/>
                <w:color w:val="auto"/>
                <w:sz w:val="24"/>
                <w:lang w:val="en-US" w:eastAsia="zh-CN" w:bidi="ar"/>
              </w:rPr>
              <w:t>6</w:t>
            </w:r>
            <w:r>
              <w:rPr>
                <w:rFonts w:hint="default" w:ascii="Times New Roman" w:hAnsi="Times New Roman" w:cs="Times New Roman"/>
                <w:color w:val="auto"/>
                <w:sz w:val="24"/>
                <w:lang w:eastAsia="zh-CN" w:bidi="ar"/>
              </w:rPr>
              <w:t>）要求。</w:t>
            </w:r>
          </w:p>
          <w:p w14:paraId="02F18D88">
            <w:pPr>
              <w:adjustRightInd w:val="0"/>
              <w:snapToGrid w:val="0"/>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四、与《云南省生态功能区划》符合性分析</w:t>
            </w:r>
          </w:p>
          <w:p w14:paraId="15EBAF8B">
            <w:pPr>
              <w:widowControl/>
              <w:spacing w:line="360" w:lineRule="auto"/>
              <w:ind w:firstLine="480" w:firstLineChars="200"/>
              <w:jc w:val="both"/>
              <w:rPr>
                <w:rFonts w:hint="default" w:ascii="Times New Roman" w:hAnsi="Times New Roman" w:cs="Times New Roman"/>
                <w:color w:val="auto"/>
                <w:sz w:val="24"/>
                <w:lang w:eastAsia="zh-CN" w:bidi="ar"/>
              </w:rPr>
            </w:pPr>
            <w:r>
              <w:rPr>
                <w:rFonts w:hint="default" w:ascii="Times New Roman" w:hAnsi="Times New Roman" w:cs="Times New Roman"/>
                <w:color w:val="auto"/>
                <w:sz w:val="24"/>
                <w:lang w:val="en-US" w:eastAsia="zh-CN" w:bidi="ar"/>
              </w:rPr>
              <w:t>根</w:t>
            </w:r>
            <w:r>
              <w:rPr>
                <w:rFonts w:hint="default" w:ascii="Times New Roman" w:hAnsi="Times New Roman" w:cs="Times New Roman"/>
                <w:color w:val="auto"/>
                <w:sz w:val="24"/>
                <w:lang w:eastAsia="zh-CN" w:bidi="ar"/>
              </w:rPr>
              <w:t>据《云南省生态功能区划》（详见附图</w:t>
            </w:r>
            <w:r>
              <w:rPr>
                <w:rFonts w:hint="default" w:ascii="Times New Roman" w:hAnsi="Times New Roman" w:cs="Times New Roman"/>
                <w:color w:val="auto"/>
                <w:sz w:val="24"/>
                <w:lang w:val="en-US" w:eastAsia="zh-CN" w:bidi="ar"/>
              </w:rPr>
              <w:t>8</w:t>
            </w:r>
            <w:r>
              <w:rPr>
                <w:rFonts w:hint="default" w:ascii="Times New Roman" w:hAnsi="Times New Roman" w:cs="Times New Roman"/>
                <w:color w:val="auto"/>
                <w:sz w:val="24"/>
                <w:lang w:eastAsia="zh-CN" w:bidi="ar"/>
              </w:rPr>
              <w:t>），项目区生态功能为元江干热河谷水土保持与生态修复生态功能区，主要生态特征：以中山河谷地貌为主。海拔1300 米以下的河谷地带热量高雨量偏少，大部分地区降雨量在800毫米以下，山地垂直带分布明显，地带性植被为季风常绿阔叶林，河谷地带的植被主要是稀树灌木草丛。主要土壤类型为红土。赤红壤和紫色土。主要生态环境问题为森林覆盖率低、土地退化严重。生态环境敏感性为土地利用不当而存在潜在的荒漠化。主要生态系统服务功能为维护生态脆弱区和生态交错地带的生态安全。保护措施与发展方向是哀牢山西坡封山育林、河谷地带调整产业结构，发展热带经济林木，减少土地的过度利用带来的土地退化。</w:t>
            </w:r>
          </w:p>
          <w:p w14:paraId="0E8207A8">
            <w:pPr>
              <w:widowControl/>
              <w:spacing w:line="360" w:lineRule="auto"/>
              <w:ind w:firstLine="480" w:firstLineChars="200"/>
              <w:rPr>
                <w:rFonts w:hint="default" w:ascii="Times New Roman" w:hAnsi="Times New Roman" w:cs="Times New Roman"/>
                <w:color w:val="auto"/>
                <w:sz w:val="24"/>
                <w:lang w:eastAsia="zh-CN" w:bidi="ar"/>
              </w:rPr>
            </w:pPr>
            <w:r>
              <w:rPr>
                <w:rFonts w:hint="default" w:ascii="Times New Roman" w:hAnsi="Times New Roman" w:cs="Times New Roman"/>
                <w:color w:val="auto"/>
                <w:sz w:val="24"/>
                <w:lang w:eastAsia="zh-CN" w:bidi="ar"/>
              </w:rPr>
              <w:t xml:space="preserve">本项目建设未占用基本农田和公益林，项目建设与《云南省生态功能区划》不冲突。 </w:t>
            </w:r>
          </w:p>
          <w:p w14:paraId="234DD573">
            <w:pPr>
              <w:widowControl/>
              <w:spacing w:line="360" w:lineRule="auto"/>
              <w:ind w:firstLine="482" w:firstLineChars="200"/>
              <w:rPr>
                <w:rFonts w:hint="default" w:ascii="Times New Roman" w:hAnsi="Times New Roman" w:cs="Times New Roman"/>
                <w:color w:val="auto"/>
                <w:sz w:val="24"/>
                <w:lang w:eastAsia="zh-CN"/>
              </w:rPr>
            </w:pPr>
            <w:r>
              <w:rPr>
                <w:rFonts w:hint="default" w:ascii="Times New Roman" w:hAnsi="Times New Roman" w:cs="Times New Roman"/>
                <w:b/>
                <w:color w:val="auto"/>
                <w:sz w:val="24"/>
                <w:lang w:eastAsia="zh-CN"/>
              </w:rPr>
              <w:t>五、与《市场准入负面清单（2025 年版）》符合性分析</w:t>
            </w:r>
            <w:r>
              <w:rPr>
                <w:rFonts w:hint="default" w:ascii="Times New Roman" w:hAnsi="Times New Roman" w:cs="Times New Roman"/>
                <w:b/>
                <w:bCs/>
                <w:color w:val="auto"/>
                <w:sz w:val="28"/>
                <w:szCs w:val="28"/>
                <w:lang w:eastAsia="zh-CN" w:bidi="ar"/>
              </w:rPr>
              <w:t xml:space="preserve"> </w:t>
            </w:r>
          </w:p>
          <w:p w14:paraId="10ED0001">
            <w:pPr>
              <w:widowControl/>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bidi="ar"/>
              </w:rPr>
              <w:t>本项目属于拌合料生产项目，根据国家发展</w:t>
            </w:r>
            <w:r>
              <w:rPr>
                <w:rFonts w:hint="default" w:ascii="Times New Roman" w:hAnsi="Times New Roman" w:cs="Times New Roman"/>
                <w:color w:val="auto"/>
                <w:sz w:val="24"/>
                <w:lang w:val="en-US" w:eastAsia="zh-CN" w:bidi="ar"/>
              </w:rPr>
              <w:t>和</w:t>
            </w:r>
            <w:r>
              <w:rPr>
                <w:rFonts w:hint="default" w:ascii="Times New Roman" w:hAnsi="Times New Roman" w:cs="Times New Roman"/>
                <w:color w:val="auto"/>
                <w:sz w:val="24"/>
                <w:lang w:eastAsia="zh-CN" w:bidi="ar"/>
              </w:rPr>
              <w:t>改革委员会、商务部发布的《市场准入负面清单（2025 年版）》，本项目不属于市场准入负面清单中的禁止准入类和许可准入类，项目建设不与区域土地利用规划、国土空间规划、主体功能区划、产业结构规划等相冲突。因此项目建设与市场准入负面清单相符。</w:t>
            </w:r>
          </w:p>
          <w:p w14:paraId="13651FE0">
            <w:pPr>
              <w:widowControl/>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六、项目与《中华人民共和国河道管理条例》符合性分析</w:t>
            </w:r>
          </w:p>
          <w:p w14:paraId="283DC765">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本项目位于</w:t>
            </w:r>
            <w:r>
              <w:rPr>
                <w:rFonts w:hint="default" w:ascii="Times New Roman" w:hAnsi="Times New Roman" w:cs="Times New Roman"/>
                <w:color w:val="auto"/>
                <w:sz w:val="24"/>
                <w:szCs w:val="24"/>
                <w:lang w:eastAsia="zh-CN"/>
              </w:rPr>
              <w:t>云南省玉溪市新平彝族傣族自治县老厂乡</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老厂河位于项目西侧200m处</w:t>
            </w:r>
            <w:r>
              <w:rPr>
                <w:rFonts w:hint="default" w:ascii="Times New Roman" w:hAnsi="Times New Roman" w:cs="Times New Roman"/>
                <w:color w:val="auto"/>
                <w:sz w:val="24"/>
                <w:lang w:eastAsia="zh-CN"/>
              </w:rPr>
              <w:t>，根据2026年3月13日新平彝族傣族自治县水利局出具的“关于新平双壹农业有限公司老厂太桥双壹拌合站项目涉河情况的回复”（详见附件6），项目占地未占用新平县已规划的河道管理范围，因此，项目不占河道。项目与《中华人民共和国河道管理条例》符合性分析详见下表。</w:t>
            </w:r>
          </w:p>
          <w:p w14:paraId="5A83D719">
            <w:pPr>
              <w:widowControl/>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表1-3  项目与《中华人民共和国河道管理条例》河道保护要求对照表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3765"/>
              <w:gridCol w:w="1176"/>
            </w:tblGrid>
            <w:tr w14:paraId="29B5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6" w:type="pct"/>
                  <w:shd w:val="clear" w:color="auto" w:fill="auto"/>
                </w:tcPr>
                <w:p w14:paraId="0A26D6E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河道保护要求</w:t>
                  </w:r>
                </w:p>
              </w:tc>
              <w:tc>
                <w:tcPr>
                  <w:tcW w:w="2456" w:type="pct"/>
                  <w:shd w:val="clear" w:color="auto" w:fill="auto"/>
                </w:tcPr>
                <w:p w14:paraId="029EC36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项目采取措施</w:t>
                  </w:r>
                </w:p>
              </w:tc>
              <w:tc>
                <w:tcPr>
                  <w:tcW w:w="767" w:type="pct"/>
                  <w:shd w:val="clear" w:color="auto" w:fill="auto"/>
                </w:tcPr>
                <w:p w14:paraId="4B30A72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是否符合</w:t>
                  </w:r>
                </w:p>
              </w:tc>
            </w:tr>
            <w:tr w14:paraId="52E0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6" w:type="pct"/>
                  <w:shd w:val="clear" w:color="auto" w:fill="auto"/>
                </w:tcPr>
                <w:p w14:paraId="0AD6D951">
                  <w:pPr>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禁止损毁堤防、护岸、闸坝等水工程建筑物和防汛设施、水文监测和测量设施、河岸地质监测设施以及通信照明等设施。</w:t>
                  </w:r>
                </w:p>
              </w:tc>
              <w:tc>
                <w:tcPr>
                  <w:tcW w:w="2456" w:type="pct"/>
                  <w:shd w:val="clear" w:color="auto" w:fill="auto"/>
                </w:tcPr>
                <w:p w14:paraId="75D60299">
                  <w:pPr>
                    <w:jc w:val="both"/>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本项目不占用河道，不在河道管理范围，不涉及损毁堤防、护岸、闸坝等水工程建筑物和防汛设施、水文监测和测量设施、河岸地质监测设施以及通信照明等设施。</w:t>
                  </w:r>
                </w:p>
              </w:tc>
              <w:tc>
                <w:tcPr>
                  <w:tcW w:w="767" w:type="pct"/>
                  <w:shd w:val="clear" w:color="auto" w:fill="auto"/>
                </w:tcPr>
                <w:p w14:paraId="4F10112B">
                  <w:pPr>
                    <w:adjustRightInd w:val="0"/>
                    <w:snapToGrid w:val="0"/>
                    <w:ind w:firstLine="420" w:firstLineChars="200"/>
                    <w:jc w:val="center"/>
                    <w:rPr>
                      <w:rFonts w:hint="default" w:ascii="Times New Roman" w:hAnsi="Times New Roman" w:cs="Times New Roman"/>
                      <w:color w:val="auto"/>
                      <w:sz w:val="21"/>
                      <w:szCs w:val="21"/>
                      <w:lang w:eastAsia="zh-CN"/>
                    </w:rPr>
                  </w:pPr>
                </w:p>
                <w:p w14:paraId="149E74A0">
                  <w:pPr>
                    <w:adjustRightInd w:val="0"/>
                    <w:snapToGrid w:val="0"/>
                    <w:ind w:firstLine="420" w:firstLineChars="200"/>
                    <w:jc w:val="center"/>
                    <w:rPr>
                      <w:rFonts w:hint="default" w:ascii="Times New Roman" w:hAnsi="Times New Roman" w:cs="Times New Roman"/>
                      <w:color w:val="auto"/>
                      <w:sz w:val="21"/>
                      <w:szCs w:val="21"/>
                      <w:lang w:eastAsia="zh-CN"/>
                    </w:rPr>
                  </w:pPr>
                </w:p>
                <w:p w14:paraId="75562156">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符合</w:t>
                  </w:r>
                </w:p>
              </w:tc>
            </w:tr>
            <w:tr w14:paraId="42BA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6" w:type="pct"/>
                  <w:shd w:val="clear" w:color="auto" w:fill="auto"/>
                </w:tcPr>
                <w:p w14:paraId="7D87E968">
                  <w:pPr>
                    <w:rPr>
                      <w:rFonts w:hint="default" w:ascii="Times New Roman" w:hAnsi="Times New Roman" w:eastAsia="宋体" w:cs="Times New Roman"/>
                      <w:color w:val="auto"/>
                      <w:sz w:val="21"/>
                      <w:szCs w:val="21"/>
                      <w:lang w:eastAsia="zh-CN"/>
                    </w:rPr>
                  </w:pPr>
                </w:p>
                <w:p w14:paraId="58C0A914">
                  <w:pPr>
                    <w:rPr>
                      <w:rFonts w:hint="default" w:ascii="Times New Roman" w:hAnsi="Times New Roman" w:eastAsia="宋体" w:cs="Times New Roman"/>
                      <w:color w:val="auto"/>
                      <w:sz w:val="21"/>
                      <w:szCs w:val="21"/>
                      <w:lang w:eastAsia="zh-CN"/>
                    </w:rPr>
                  </w:pPr>
                </w:p>
                <w:p w14:paraId="2439A2E0">
                  <w:pPr>
                    <w:rPr>
                      <w:rFonts w:hint="default" w:ascii="Times New Roman" w:hAnsi="Times New Roman" w:eastAsia="宋体" w:cs="Times New Roman"/>
                      <w:color w:val="auto"/>
                      <w:sz w:val="21"/>
                      <w:szCs w:val="21"/>
                      <w:lang w:eastAsia="zh-CN"/>
                    </w:rPr>
                  </w:pPr>
                </w:p>
                <w:p w14:paraId="36D9906B">
                  <w:pPr>
                    <w:rPr>
                      <w:rFonts w:hint="default" w:ascii="Times New Roman" w:hAnsi="Times New Roman" w:eastAsia="宋体" w:cs="Times New Roman"/>
                      <w:color w:val="auto"/>
                      <w:sz w:val="21"/>
                      <w:szCs w:val="21"/>
                      <w:lang w:eastAsia="zh-CN"/>
                    </w:rPr>
                  </w:pPr>
                </w:p>
                <w:p w14:paraId="0D6C3303">
                  <w:pPr>
                    <w:rPr>
                      <w:rFonts w:hint="default" w:ascii="Times New Roman" w:hAnsi="Times New Roman" w:eastAsia="宋体" w:cs="Times New Roman"/>
                      <w:color w:val="auto"/>
                      <w:sz w:val="21"/>
                      <w:szCs w:val="21"/>
                      <w:lang w:eastAsia="zh-CN"/>
                    </w:rPr>
                  </w:pPr>
                </w:p>
                <w:p w14:paraId="6E4867DE">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在河道管理范围内，禁止修建围堤、阻水渠道、阻水道路；种植高杆农作物、芦苇、杞柳、荻柴和树木（堤防防护林除外）；设置拦河渔具；弃置矿渣、石渣、煤灰、泥土、垃圾等。</w:t>
                  </w:r>
                </w:p>
              </w:tc>
              <w:tc>
                <w:tcPr>
                  <w:tcW w:w="2456" w:type="pct"/>
                  <w:shd w:val="clear" w:color="auto" w:fill="auto"/>
                </w:tcPr>
                <w:p w14:paraId="0875788F">
                  <w:pPr>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本项目不在河道管理红线范围内建设；不涉及修建围堤、阻水渠道、阻水道路；种植高杆农作物、芦苇、杞柳、荻柴和树木（堤防防护林除外）；企业加强员工教育，禁止捕鱼；</w:t>
                  </w:r>
                  <w:r>
                    <w:rPr>
                      <w:rFonts w:hint="default" w:ascii="Times New Roman" w:hAnsi="Times New Roman" w:cs="Times New Roman"/>
                      <w:color w:val="auto"/>
                      <w:sz w:val="21"/>
                      <w:szCs w:val="21"/>
                      <w:lang w:eastAsia="zh-CN"/>
                    </w:rPr>
                    <w:t>沉淀池沉渣收集后回用生产工序；不合格产品全部可回用于生产；生活垃圾集中收集后由管理人员定期清运至老厂乡垃圾收集点清运处置；废机油及废油桶属于危险废物，暂存于一个5m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的危废贮存库，定期委托有资质的单位清运处置</w:t>
                  </w:r>
                  <w:r>
                    <w:rPr>
                      <w:rFonts w:hint="default" w:ascii="Times New Roman" w:hAnsi="Times New Roman" w:eastAsia="宋体" w:cs="Times New Roman"/>
                      <w:color w:val="auto"/>
                      <w:sz w:val="21"/>
                      <w:szCs w:val="21"/>
                      <w:lang w:eastAsia="zh-CN"/>
                    </w:rPr>
                    <w:t>。在使用该场地期间，不得占用河道，不得阻塞河道，不得将弃渣、弃料排入河道，不得影响河道行洪安全。</w:t>
                  </w:r>
                </w:p>
              </w:tc>
              <w:tc>
                <w:tcPr>
                  <w:tcW w:w="767" w:type="pct"/>
                  <w:shd w:val="clear" w:color="auto" w:fill="auto"/>
                </w:tcPr>
                <w:p w14:paraId="4DFF5408">
                  <w:pPr>
                    <w:jc w:val="center"/>
                    <w:rPr>
                      <w:rFonts w:hint="default" w:ascii="Times New Roman" w:hAnsi="Times New Roman" w:cs="Times New Roman"/>
                      <w:color w:val="auto"/>
                      <w:sz w:val="21"/>
                      <w:szCs w:val="21"/>
                      <w:lang w:eastAsia="zh-CN"/>
                    </w:rPr>
                  </w:pPr>
                </w:p>
                <w:p w14:paraId="0D720009">
                  <w:pPr>
                    <w:jc w:val="center"/>
                    <w:rPr>
                      <w:rFonts w:hint="default" w:ascii="Times New Roman" w:hAnsi="Times New Roman" w:cs="Times New Roman"/>
                      <w:color w:val="auto"/>
                      <w:sz w:val="21"/>
                      <w:szCs w:val="21"/>
                      <w:lang w:eastAsia="zh-CN"/>
                    </w:rPr>
                  </w:pPr>
                </w:p>
                <w:p w14:paraId="4D60F29F">
                  <w:pPr>
                    <w:jc w:val="center"/>
                    <w:rPr>
                      <w:rFonts w:hint="default" w:ascii="Times New Roman" w:hAnsi="Times New Roman" w:cs="Times New Roman"/>
                      <w:color w:val="auto"/>
                      <w:sz w:val="21"/>
                      <w:szCs w:val="21"/>
                      <w:lang w:eastAsia="zh-CN"/>
                    </w:rPr>
                  </w:pPr>
                </w:p>
                <w:p w14:paraId="1FCDB831">
                  <w:pPr>
                    <w:jc w:val="center"/>
                    <w:rPr>
                      <w:rFonts w:hint="default" w:ascii="Times New Roman" w:hAnsi="Times New Roman" w:cs="Times New Roman"/>
                      <w:color w:val="auto"/>
                      <w:sz w:val="21"/>
                      <w:szCs w:val="21"/>
                      <w:lang w:eastAsia="zh-CN"/>
                    </w:rPr>
                  </w:pPr>
                </w:p>
                <w:p w14:paraId="649C8655">
                  <w:pPr>
                    <w:jc w:val="center"/>
                    <w:rPr>
                      <w:rFonts w:hint="default" w:ascii="Times New Roman" w:hAnsi="Times New Roman" w:cs="Times New Roman"/>
                      <w:color w:val="auto"/>
                      <w:sz w:val="21"/>
                      <w:szCs w:val="21"/>
                      <w:lang w:eastAsia="zh-CN"/>
                    </w:rPr>
                  </w:pPr>
                </w:p>
                <w:p w14:paraId="6FC56CE9">
                  <w:pPr>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符合</w:t>
                  </w:r>
                </w:p>
              </w:tc>
            </w:tr>
            <w:tr w14:paraId="4F64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6" w:type="pct"/>
                  <w:shd w:val="clear" w:color="auto" w:fill="auto"/>
                </w:tcPr>
                <w:p w14:paraId="3971C5ED">
                  <w:pP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在河道范围内进行下列活动，必须报经河道主管机关批准；涉及其他部门的，由河道主管机关会同有关部门批准：</w:t>
                  </w:r>
                </w:p>
                <w:p w14:paraId="701E8429">
                  <w:pP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（一）采砂、取土、采矿、采石、淘金、弃置砂石或淤泥；</w:t>
                  </w:r>
                </w:p>
                <w:p w14:paraId="1E4EACEB">
                  <w:pP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（二）爆破、钻探、垦荒、挖筑鱼塘、修路、开渠、打井；</w:t>
                  </w:r>
                </w:p>
                <w:p w14:paraId="46C1724A">
                  <w:pP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（三）在河道滩地存放物料、修建厂房或者其他建筑物、构筑物以及开采地下资源、进行考古发掘、开展集市贸易活动；</w:t>
                  </w:r>
                </w:p>
                <w:p w14:paraId="4FCE80EF">
                  <w:pP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（四）整治河道、修建水工程建筑物或其他设施、围垦河道；</w:t>
                  </w:r>
                </w:p>
                <w:p w14:paraId="612F1D96">
                  <w:pP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（五）旅游开发。</w:t>
                  </w:r>
                </w:p>
              </w:tc>
              <w:tc>
                <w:tcPr>
                  <w:tcW w:w="2456" w:type="pct"/>
                  <w:shd w:val="clear" w:color="auto" w:fill="auto"/>
                </w:tcPr>
                <w:p w14:paraId="0B510F7A">
                  <w:pPr>
                    <w:jc w:val="both"/>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根据2026年3月13日新平彝族傣族自治县水利局出具的“关于新平双壹农业有限公司老厂太桥双壹拌合站项目涉河情况的回复”（详见附件6），项目占地未占用新平县已规划的河道管理范围，因此，项目不占河道。</w:t>
                  </w:r>
                </w:p>
              </w:tc>
              <w:tc>
                <w:tcPr>
                  <w:tcW w:w="767" w:type="pct"/>
                  <w:shd w:val="clear" w:color="auto" w:fill="auto"/>
                </w:tcPr>
                <w:p w14:paraId="393418DD">
                  <w:pPr>
                    <w:jc w:val="center"/>
                    <w:rPr>
                      <w:rFonts w:hint="default" w:ascii="Times New Roman" w:hAnsi="Times New Roman" w:cs="Times New Roman"/>
                      <w:color w:val="auto"/>
                      <w:sz w:val="21"/>
                      <w:szCs w:val="21"/>
                      <w:lang w:eastAsia="zh-CN"/>
                    </w:rPr>
                  </w:pPr>
                </w:p>
                <w:p w14:paraId="28BB17F3">
                  <w:pPr>
                    <w:jc w:val="center"/>
                    <w:rPr>
                      <w:rFonts w:hint="default" w:ascii="Times New Roman" w:hAnsi="Times New Roman" w:cs="Times New Roman"/>
                      <w:color w:val="auto"/>
                      <w:sz w:val="21"/>
                      <w:szCs w:val="21"/>
                      <w:lang w:eastAsia="zh-CN"/>
                    </w:rPr>
                  </w:pPr>
                </w:p>
                <w:p w14:paraId="21783595">
                  <w:pPr>
                    <w:jc w:val="center"/>
                    <w:rPr>
                      <w:rFonts w:hint="default" w:ascii="Times New Roman" w:hAnsi="Times New Roman" w:cs="Times New Roman"/>
                      <w:color w:val="auto"/>
                      <w:sz w:val="21"/>
                      <w:szCs w:val="21"/>
                      <w:lang w:eastAsia="zh-CN"/>
                    </w:rPr>
                  </w:pPr>
                </w:p>
                <w:p w14:paraId="3AAB9890">
                  <w:pPr>
                    <w:jc w:val="center"/>
                    <w:rPr>
                      <w:rFonts w:hint="default" w:ascii="Times New Roman" w:hAnsi="Times New Roman" w:cs="Times New Roman"/>
                      <w:color w:val="auto"/>
                      <w:sz w:val="21"/>
                      <w:szCs w:val="21"/>
                      <w:lang w:eastAsia="zh-CN"/>
                    </w:rPr>
                  </w:pPr>
                </w:p>
                <w:p w14:paraId="44F026A2">
                  <w:pPr>
                    <w:jc w:val="center"/>
                    <w:rPr>
                      <w:rFonts w:hint="default" w:ascii="Times New Roman" w:hAnsi="Times New Roman" w:cs="Times New Roman"/>
                      <w:color w:val="auto"/>
                      <w:sz w:val="21"/>
                      <w:szCs w:val="21"/>
                      <w:lang w:eastAsia="zh-CN"/>
                    </w:rPr>
                  </w:pPr>
                </w:p>
                <w:p w14:paraId="7EC234C5">
                  <w:pPr>
                    <w:jc w:val="center"/>
                    <w:rPr>
                      <w:rFonts w:hint="default" w:ascii="Times New Roman" w:hAnsi="Times New Roman" w:cs="Times New Roman"/>
                      <w:color w:val="auto"/>
                      <w:sz w:val="21"/>
                      <w:szCs w:val="21"/>
                      <w:lang w:eastAsia="zh-CN"/>
                    </w:rPr>
                  </w:pPr>
                </w:p>
                <w:p w14:paraId="221AE8B3">
                  <w:pPr>
                    <w:jc w:val="center"/>
                    <w:rPr>
                      <w:rFonts w:hint="default" w:ascii="Times New Roman" w:hAnsi="Times New Roman" w:cs="Times New Roman"/>
                      <w:color w:val="auto"/>
                      <w:sz w:val="21"/>
                      <w:szCs w:val="21"/>
                      <w:lang w:eastAsia="zh-CN"/>
                    </w:rPr>
                  </w:pPr>
                </w:p>
                <w:p w14:paraId="7BC3F87E">
                  <w:pPr>
                    <w:jc w:val="center"/>
                    <w:rPr>
                      <w:rFonts w:hint="default" w:ascii="Times New Roman" w:hAnsi="Times New Roman" w:cs="Times New Roman"/>
                      <w:color w:val="auto"/>
                      <w:sz w:val="21"/>
                      <w:szCs w:val="21"/>
                      <w:lang w:eastAsia="zh-CN"/>
                    </w:rPr>
                  </w:pPr>
                </w:p>
                <w:p w14:paraId="706A36B3">
                  <w:pPr>
                    <w:jc w:val="center"/>
                    <w:rPr>
                      <w:rFonts w:hint="default" w:ascii="Times New Roman" w:hAnsi="Times New Roman" w:cs="Times New Roman"/>
                      <w:color w:val="auto"/>
                      <w:sz w:val="21"/>
                      <w:szCs w:val="21"/>
                      <w:lang w:eastAsia="zh-CN"/>
                    </w:rPr>
                  </w:pPr>
                </w:p>
                <w:p w14:paraId="16F6F343">
                  <w:pPr>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符合</w:t>
                  </w:r>
                </w:p>
              </w:tc>
            </w:tr>
            <w:tr w14:paraId="7BAB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776" w:type="pct"/>
                  <w:shd w:val="clear" w:color="auto" w:fill="auto"/>
                </w:tcPr>
                <w:p w14:paraId="1D7A3976">
                  <w:pPr>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加强河道滩地、堤防和河岸的水土保持工作，防止水土流失、河道淤积。</w:t>
                  </w:r>
                </w:p>
              </w:tc>
              <w:tc>
                <w:tcPr>
                  <w:tcW w:w="2456" w:type="pct"/>
                  <w:shd w:val="clear" w:color="auto" w:fill="auto"/>
                </w:tcPr>
                <w:p w14:paraId="052E0FF2">
                  <w:pPr>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场区实行雨污分流制，项目场地周围设置截洪沟将场地外的雨水截流，减小对场内的冲刷。规划建设完善的厂内截水沟和初期雨水收集池，初期雨水经收集沉淀后用于项目区洒水降尘。</w:t>
                  </w:r>
                </w:p>
              </w:tc>
              <w:tc>
                <w:tcPr>
                  <w:tcW w:w="767" w:type="pct"/>
                  <w:shd w:val="clear" w:color="auto" w:fill="auto"/>
                </w:tcPr>
                <w:p w14:paraId="2307C36A">
                  <w:pPr>
                    <w:jc w:val="center"/>
                    <w:rPr>
                      <w:rFonts w:hint="default" w:ascii="Times New Roman" w:hAnsi="Times New Roman" w:cs="Times New Roman"/>
                      <w:color w:val="auto"/>
                      <w:sz w:val="21"/>
                      <w:szCs w:val="21"/>
                      <w:lang w:eastAsia="zh-CN"/>
                    </w:rPr>
                  </w:pPr>
                </w:p>
                <w:p w14:paraId="61F397E5">
                  <w:pPr>
                    <w:jc w:val="center"/>
                    <w:rPr>
                      <w:rFonts w:hint="default" w:ascii="Times New Roman" w:hAnsi="Times New Roman" w:cs="Times New Roman"/>
                      <w:color w:val="auto"/>
                      <w:sz w:val="21"/>
                      <w:szCs w:val="21"/>
                      <w:lang w:eastAsia="zh-CN"/>
                    </w:rPr>
                  </w:pPr>
                </w:p>
                <w:p w14:paraId="3B1FA840">
                  <w:pPr>
                    <w:jc w:val="center"/>
                    <w:rPr>
                      <w:rFonts w:hint="default" w:ascii="Times New Roman" w:hAnsi="Times New Roman" w:cs="Times New Roman"/>
                      <w:color w:val="auto"/>
                      <w:sz w:val="21"/>
                      <w:szCs w:val="21"/>
                      <w:lang w:eastAsia="zh-CN"/>
                    </w:rPr>
                  </w:pPr>
                </w:p>
                <w:p w14:paraId="4493AC3F">
                  <w:pPr>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符合</w:t>
                  </w:r>
                </w:p>
              </w:tc>
            </w:tr>
            <w:tr w14:paraId="5EC2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776" w:type="pct"/>
                  <w:shd w:val="clear" w:color="auto" w:fill="auto"/>
                </w:tcPr>
                <w:p w14:paraId="3D90B083">
                  <w:pPr>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在河道管理范围内，禁止堆放、倾倒、掩埋、排放污染水体的物体。禁止在河道内清洗装贮过油类或者有毒污染物的车辆、容器。</w:t>
                  </w:r>
                </w:p>
              </w:tc>
              <w:tc>
                <w:tcPr>
                  <w:tcW w:w="2456" w:type="pct"/>
                  <w:shd w:val="clear" w:color="auto" w:fill="auto"/>
                </w:tcPr>
                <w:p w14:paraId="2F95C806">
                  <w:pPr>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不涉及河道管理范围，同时加强管理，废矿物油用专用容器包装，并储存于危废贮存库，委托有资质单位定期清运处置，禁止在河道内清洗装贮过油类或者有毒污染物的车辆、容器。</w:t>
                  </w:r>
                </w:p>
              </w:tc>
              <w:tc>
                <w:tcPr>
                  <w:tcW w:w="767" w:type="pct"/>
                  <w:shd w:val="clear" w:color="auto" w:fill="auto"/>
                </w:tcPr>
                <w:p w14:paraId="13CB3E3E">
                  <w:pPr>
                    <w:adjustRightInd w:val="0"/>
                    <w:snapToGrid w:val="0"/>
                    <w:ind w:firstLine="420" w:firstLineChars="200"/>
                    <w:jc w:val="center"/>
                    <w:rPr>
                      <w:rFonts w:hint="default" w:ascii="Times New Roman" w:hAnsi="Times New Roman" w:cs="Times New Roman"/>
                      <w:color w:val="auto"/>
                      <w:sz w:val="21"/>
                      <w:szCs w:val="21"/>
                      <w:lang w:eastAsia="zh-CN"/>
                    </w:rPr>
                  </w:pPr>
                </w:p>
                <w:p w14:paraId="5F8FB133">
                  <w:pPr>
                    <w:adjustRightInd w:val="0"/>
                    <w:snapToGrid w:val="0"/>
                    <w:ind w:firstLine="420" w:firstLineChars="200"/>
                    <w:jc w:val="center"/>
                    <w:rPr>
                      <w:rFonts w:hint="default" w:ascii="Times New Roman" w:hAnsi="Times New Roman" w:cs="Times New Roman"/>
                      <w:color w:val="auto"/>
                      <w:sz w:val="21"/>
                      <w:szCs w:val="21"/>
                      <w:lang w:eastAsia="zh-CN"/>
                    </w:rPr>
                  </w:pPr>
                </w:p>
                <w:p w14:paraId="0C1B01BF">
                  <w:pPr>
                    <w:adjustRightInd w:val="0"/>
                    <w:snapToGrid w:val="0"/>
                    <w:jc w:val="center"/>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符合</w:t>
                  </w:r>
                </w:p>
              </w:tc>
            </w:tr>
          </w:tbl>
          <w:p w14:paraId="35CDC1AF">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 xml:space="preserve"> 对照《中华人民共和国河道管理条例》，本项目建设符合《条例》中的要求。  </w:t>
            </w:r>
          </w:p>
          <w:p w14:paraId="4B9C666C">
            <w:pPr>
              <w:pStyle w:val="29"/>
              <w:ind w:firstLine="482"/>
              <w:rPr>
                <w:rFonts w:hint="default" w:ascii="Times New Roman" w:hAnsi="Times New Roman" w:cs="Times New Roman"/>
                <w:b/>
                <w:color w:val="auto"/>
              </w:rPr>
            </w:pPr>
            <w:r>
              <w:rPr>
                <w:rFonts w:hint="default" w:ascii="Times New Roman" w:hAnsi="Times New Roman" w:cs="Times New Roman"/>
                <w:b/>
                <w:color w:val="auto"/>
              </w:rPr>
              <w:t>七、与</w:t>
            </w:r>
            <w:r>
              <w:rPr>
                <w:rFonts w:hint="default" w:ascii="Times New Roman" w:hAnsi="Times New Roman" w:cs="Times New Roman"/>
                <w:b/>
                <w:color w:val="auto"/>
                <w:kern w:val="0"/>
              </w:rPr>
              <w:t>《云南省河道管理办法》符合性分析</w:t>
            </w:r>
          </w:p>
          <w:p w14:paraId="4368398B">
            <w:pPr>
              <w:pStyle w:val="29"/>
              <w:ind w:firstLine="480"/>
              <w:jc w:val="both"/>
              <w:rPr>
                <w:rFonts w:hint="default" w:ascii="Times New Roman" w:hAnsi="Times New Roman" w:cs="Times New Roman"/>
                <w:color w:val="auto"/>
                <w:kern w:val="0"/>
              </w:rPr>
            </w:pPr>
            <w:r>
              <w:rPr>
                <w:rFonts w:hint="default" w:ascii="Times New Roman" w:hAnsi="Times New Roman" w:cs="Times New Roman"/>
                <w:color w:val="auto"/>
                <w:kern w:val="0"/>
                <w:lang w:bidi="ar"/>
              </w:rPr>
              <w:t>本项目属于</w:t>
            </w:r>
            <w:r>
              <w:rPr>
                <w:rFonts w:hint="default" w:ascii="Times New Roman" w:hAnsi="Times New Roman" w:cs="Times New Roman"/>
                <w:color w:val="auto"/>
                <w:kern w:val="0"/>
                <w:lang w:eastAsia="zh-CN" w:bidi="ar"/>
              </w:rPr>
              <w:t>拌合料</w:t>
            </w:r>
            <w:r>
              <w:rPr>
                <w:rFonts w:hint="default" w:ascii="Times New Roman" w:hAnsi="Times New Roman" w:cs="Times New Roman"/>
                <w:color w:val="auto"/>
                <w:kern w:val="0"/>
                <w:lang w:bidi="ar"/>
              </w:rPr>
              <w:t>生产项目，</w:t>
            </w:r>
            <w:r>
              <w:rPr>
                <w:rFonts w:hint="default" w:ascii="Times New Roman" w:hAnsi="Times New Roman" w:cs="Times New Roman"/>
                <w:color w:val="auto"/>
                <w:szCs w:val="22"/>
              </w:rPr>
              <w:t>本项目不涉及河段范围内</w:t>
            </w:r>
            <w:r>
              <w:rPr>
                <w:rFonts w:hint="default" w:ascii="Times New Roman" w:hAnsi="Times New Roman" w:cs="Times New Roman"/>
                <w:color w:val="auto"/>
              </w:rPr>
              <w:t>挖砂</w:t>
            </w:r>
            <w:r>
              <w:rPr>
                <w:rFonts w:hint="default" w:ascii="Times New Roman" w:hAnsi="Times New Roman" w:cs="Times New Roman"/>
                <w:color w:val="auto"/>
                <w:szCs w:val="22"/>
              </w:rPr>
              <w:t>、采矿。</w:t>
            </w:r>
            <w:r>
              <w:rPr>
                <w:rFonts w:hint="default" w:ascii="Times New Roman" w:hAnsi="Times New Roman" w:cs="Times New Roman"/>
                <w:color w:val="auto"/>
                <w:kern w:val="0"/>
              </w:rPr>
              <w:t>项目选址不在水源保护区范围内，根据2026年3月13日新平彝族傣族自治县水利局出具的“关于新平双壹农业有限公司老厂太桥双壹拌合站项目涉河情况的回复”（详见附件6），项目占地未占用新平县已规划的河道管理范围，因此，项目不占河道，因此项目建设符合《云南省河道管理办法》相关要求。</w:t>
            </w:r>
          </w:p>
          <w:p w14:paraId="7B3E3204">
            <w:pPr>
              <w:pStyle w:val="29"/>
              <w:ind w:firstLine="482"/>
              <w:rPr>
                <w:rFonts w:hint="default" w:ascii="Times New Roman" w:hAnsi="Times New Roman" w:cs="Times New Roman"/>
                <w:b/>
                <w:bCs/>
                <w:color w:val="auto"/>
                <w:kern w:val="0"/>
              </w:rPr>
            </w:pPr>
            <w:r>
              <w:rPr>
                <w:rFonts w:hint="default" w:ascii="Times New Roman" w:hAnsi="Times New Roman" w:cs="Times New Roman"/>
                <w:b/>
                <w:bCs/>
                <w:color w:val="auto"/>
                <w:kern w:val="0"/>
              </w:rPr>
              <w:t>八、与《新平县水资源条例》符合性分析</w:t>
            </w:r>
          </w:p>
          <w:p w14:paraId="69E978ED">
            <w:pPr>
              <w:pStyle w:val="29"/>
              <w:ind w:firstLine="480"/>
              <w:rPr>
                <w:rFonts w:hint="default" w:ascii="Times New Roman" w:hAnsi="Times New Roman" w:cs="Times New Roman"/>
                <w:color w:val="auto"/>
                <w:kern w:val="0"/>
              </w:rPr>
            </w:pPr>
            <w:r>
              <w:rPr>
                <w:rFonts w:hint="default" w:ascii="Times New Roman" w:hAnsi="Times New Roman" w:cs="Times New Roman"/>
                <w:color w:val="auto"/>
                <w:kern w:val="0"/>
              </w:rPr>
              <w:t xml:space="preserve">根据《新平县水资源条例》第十六条：在江河、湖泊、水库中，禁止下列行为： </w:t>
            </w:r>
          </w:p>
          <w:p w14:paraId="089EE2A0">
            <w:pPr>
              <w:pStyle w:val="29"/>
              <w:ind w:firstLine="480"/>
              <w:rPr>
                <w:rFonts w:hint="default" w:ascii="Times New Roman" w:hAnsi="Times New Roman" w:cs="Times New Roman"/>
                <w:color w:val="auto"/>
                <w:kern w:val="0"/>
              </w:rPr>
            </w:pPr>
            <w:r>
              <w:rPr>
                <w:rFonts w:hint="default" w:ascii="Times New Roman" w:hAnsi="Times New Roman" w:cs="Times New Roman"/>
                <w:color w:val="auto"/>
                <w:kern w:val="0"/>
              </w:rPr>
              <w:t xml:space="preserve">（一）炸鱼、毒鱼、电鱼； </w:t>
            </w:r>
          </w:p>
          <w:p w14:paraId="3A4E7A5E">
            <w:pPr>
              <w:pStyle w:val="29"/>
              <w:ind w:firstLine="480"/>
              <w:rPr>
                <w:rFonts w:hint="default" w:ascii="Times New Roman" w:hAnsi="Times New Roman" w:cs="Times New Roman"/>
                <w:color w:val="auto"/>
                <w:kern w:val="0"/>
              </w:rPr>
            </w:pPr>
            <w:r>
              <w:rPr>
                <w:rFonts w:hint="default" w:ascii="Times New Roman" w:hAnsi="Times New Roman" w:cs="Times New Roman"/>
                <w:color w:val="auto"/>
                <w:kern w:val="0"/>
              </w:rPr>
              <w:t xml:space="preserve">（二）清洗车辆、装贮油类等有毒有害污染物的容器和包装器材； </w:t>
            </w:r>
          </w:p>
          <w:p w14:paraId="0EF4A8F5">
            <w:pPr>
              <w:pStyle w:val="29"/>
              <w:ind w:firstLine="480"/>
              <w:rPr>
                <w:rFonts w:hint="default" w:ascii="Times New Roman" w:hAnsi="Times New Roman" w:cs="Times New Roman"/>
                <w:color w:val="auto"/>
                <w:kern w:val="0"/>
              </w:rPr>
            </w:pPr>
            <w:r>
              <w:rPr>
                <w:rFonts w:hint="default" w:ascii="Times New Roman" w:hAnsi="Times New Roman" w:cs="Times New Roman"/>
                <w:color w:val="auto"/>
                <w:kern w:val="0"/>
              </w:rPr>
              <w:t xml:space="preserve">（三）使用剧毒和高残留农药，清洗药械、农药包装物； </w:t>
            </w:r>
          </w:p>
          <w:p w14:paraId="0AC1604D">
            <w:pPr>
              <w:pStyle w:val="29"/>
              <w:ind w:firstLine="480"/>
              <w:rPr>
                <w:rFonts w:hint="default" w:ascii="Times New Roman" w:hAnsi="Times New Roman" w:cs="Times New Roman"/>
                <w:color w:val="auto"/>
                <w:kern w:val="0"/>
              </w:rPr>
            </w:pPr>
            <w:r>
              <w:rPr>
                <w:rFonts w:hint="default" w:ascii="Times New Roman" w:hAnsi="Times New Roman" w:cs="Times New Roman"/>
                <w:color w:val="auto"/>
                <w:kern w:val="0"/>
              </w:rPr>
              <w:t xml:space="preserve">（四）倾倒、堆放工业废渣、生活垃圾、动物尸体和其他废弃物。 </w:t>
            </w:r>
          </w:p>
          <w:p w14:paraId="716F8114">
            <w:pPr>
              <w:pStyle w:val="29"/>
              <w:ind w:firstLine="480"/>
              <w:rPr>
                <w:rFonts w:hint="default" w:ascii="Times New Roman" w:hAnsi="Times New Roman" w:cs="Times New Roman"/>
                <w:color w:val="auto"/>
                <w:kern w:val="0"/>
              </w:rPr>
            </w:pPr>
            <w:r>
              <w:rPr>
                <w:rFonts w:hint="default" w:ascii="Times New Roman" w:hAnsi="Times New Roman" w:cs="Times New Roman"/>
                <w:color w:val="auto"/>
                <w:kern w:val="0"/>
              </w:rPr>
              <w:t xml:space="preserve">第二十二条：在河道管理范围内从事采砂、采石、取土活动的，应当按照自治县水行政主管部门批准的范围、期限、数量、作业方式进行。采砂、采石、取土活动结束后，应当按照规定清除尾堆和阻水障碍物，平整河道，确保行洪安全。 </w:t>
            </w:r>
          </w:p>
          <w:p w14:paraId="0FE2EC5C">
            <w:pPr>
              <w:pStyle w:val="29"/>
              <w:ind w:firstLine="480"/>
              <w:rPr>
                <w:rFonts w:hint="default" w:ascii="Times New Roman" w:hAnsi="Times New Roman" w:cs="Times New Roman"/>
                <w:color w:val="auto"/>
                <w:kern w:val="0"/>
              </w:rPr>
            </w:pPr>
            <w:r>
              <w:rPr>
                <w:rFonts w:hint="default" w:ascii="Times New Roman" w:hAnsi="Times New Roman" w:cs="Times New Roman"/>
                <w:color w:val="auto"/>
                <w:sz w:val="24"/>
                <w:lang w:eastAsia="zh-CN" w:bidi="ar"/>
              </w:rPr>
              <w:t>本项目属于拌合料生产项目，</w:t>
            </w:r>
            <w:r>
              <w:rPr>
                <w:rFonts w:hint="default" w:ascii="Times New Roman" w:hAnsi="Times New Roman" w:cs="Times New Roman"/>
                <w:color w:val="auto"/>
                <w:szCs w:val="22"/>
              </w:rPr>
              <w:t>本项目不涉及河段范围内</w:t>
            </w:r>
            <w:r>
              <w:rPr>
                <w:rFonts w:hint="default" w:ascii="Times New Roman" w:hAnsi="Times New Roman" w:cs="Times New Roman"/>
                <w:color w:val="auto"/>
              </w:rPr>
              <w:t>挖砂</w:t>
            </w:r>
            <w:r>
              <w:rPr>
                <w:rFonts w:hint="default" w:ascii="Times New Roman" w:hAnsi="Times New Roman" w:cs="Times New Roman"/>
                <w:color w:val="auto"/>
                <w:szCs w:val="22"/>
              </w:rPr>
              <w:t>、采矿。</w:t>
            </w:r>
            <w:r>
              <w:rPr>
                <w:rFonts w:hint="default" w:ascii="Times New Roman" w:hAnsi="Times New Roman" w:cs="Times New Roman"/>
                <w:color w:val="auto"/>
                <w:kern w:val="0"/>
              </w:rPr>
              <w:t>加工区位于临近戛洒江的荒地，项目加工区不在饮用水源保护区范围内，不属于在江河、湖泊、水库中禁止的行为，根据2026年3月13日新平彝族傣族自治县水利局出具的“关于新平双壹农业有限公司老厂太桥双壹拌合站项目涉河情况的回复”（详见附件6），项目占地未占用新平县已规划的河道管理范围，因此，项目不占河道，因此，本项目符合《新平县水资源条例》相关要求。</w:t>
            </w:r>
          </w:p>
          <w:p w14:paraId="29CA210A">
            <w:pPr>
              <w:pStyle w:val="29"/>
              <w:ind w:firstLine="482"/>
              <w:rPr>
                <w:rFonts w:hint="default" w:ascii="Times New Roman" w:hAnsi="Times New Roman" w:cs="Times New Roman"/>
                <w:b/>
                <w:color w:val="auto"/>
              </w:rPr>
            </w:pPr>
            <w:r>
              <w:rPr>
                <w:rFonts w:hint="default" w:ascii="Times New Roman" w:hAnsi="Times New Roman" w:cs="Times New Roman"/>
                <w:b/>
                <w:bCs/>
                <w:color w:val="auto"/>
                <w:kern w:val="0"/>
              </w:rPr>
              <w:t>九、</w:t>
            </w:r>
            <w:r>
              <w:rPr>
                <w:rFonts w:hint="default" w:ascii="Times New Roman" w:hAnsi="Times New Roman" w:cs="Times New Roman"/>
                <w:b/>
                <w:color w:val="auto"/>
              </w:rPr>
              <w:t>与《长江经济带发展负面清单指南（试行，</w:t>
            </w:r>
            <w:r>
              <w:rPr>
                <w:rFonts w:hint="default" w:ascii="Times New Roman" w:hAnsi="Times New Roman" w:eastAsia="Times New Roman" w:cs="Times New Roman"/>
                <w:b/>
                <w:color w:val="auto"/>
              </w:rPr>
              <w:t xml:space="preserve">2022 </w:t>
            </w:r>
            <w:r>
              <w:rPr>
                <w:rFonts w:hint="default" w:ascii="Times New Roman" w:hAnsi="Times New Roman" w:cs="Times New Roman"/>
                <w:b/>
                <w:color w:val="auto"/>
              </w:rPr>
              <w:t>年版）》的符合性分析</w:t>
            </w:r>
          </w:p>
          <w:p w14:paraId="1B51DCAA">
            <w:pPr>
              <w:pStyle w:val="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2022年1月19日，推动长江经济带发展领导小组办公室发布了《长江经济带发展负面清单指南（试行，2022年版）》长江办〔2022〕号，项目相关符合性分析见表1-4。</w:t>
            </w:r>
          </w:p>
          <w:p w14:paraId="1F665765">
            <w:pPr>
              <w:pStyle w:val="30"/>
              <w:adjustRightInd w:val="0"/>
              <w:snapToGrid w:val="0"/>
              <w:spacing w:before="120" w:beforeLines="5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 xml:space="preserve">表 </w:t>
            </w:r>
            <w:r>
              <w:rPr>
                <w:rFonts w:hint="default" w:ascii="Times New Roman" w:hAnsi="Times New Roman" w:eastAsia="Times New Roman" w:cs="Times New Roman"/>
                <w:b/>
                <w:color w:val="auto"/>
                <w:sz w:val="21"/>
                <w:lang w:eastAsia="zh-CN"/>
              </w:rPr>
              <w:t xml:space="preserve">1-4 </w:t>
            </w:r>
            <w:r>
              <w:rPr>
                <w:rFonts w:hint="default" w:ascii="Times New Roman" w:hAnsi="Times New Roman" w:cs="Times New Roman"/>
                <w:b/>
                <w:color w:val="auto"/>
                <w:sz w:val="21"/>
                <w:lang w:eastAsia="zh-CN"/>
              </w:rPr>
              <w:t xml:space="preserve"> 与《长江经济带发展负面清单指南（试行，</w:t>
            </w:r>
            <w:r>
              <w:rPr>
                <w:rFonts w:hint="default" w:ascii="Times New Roman" w:hAnsi="Times New Roman" w:eastAsia="Times New Roman" w:cs="Times New Roman"/>
                <w:b/>
                <w:color w:val="auto"/>
                <w:sz w:val="21"/>
                <w:lang w:eastAsia="zh-CN"/>
              </w:rPr>
              <w:t xml:space="preserve">2022 </w:t>
            </w:r>
            <w:r>
              <w:rPr>
                <w:rFonts w:hint="default" w:ascii="Times New Roman" w:hAnsi="Times New Roman" w:cs="Times New Roman"/>
                <w:b/>
                <w:color w:val="auto"/>
                <w:sz w:val="21"/>
                <w:lang w:eastAsia="zh-CN"/>
              </w:rPr>
              <w:t>年版）》符合性</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3707"/>
              <w:gridCol w:w="2272"/>
              <w:gridCol w:w="1025"/>
            </w:tblGrid>
            <w:tr w14:paraId="5C9C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Align w:val="center"/>
                </w:tcPr>
                <w:p w14:paraId="5EE6D741">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w w:val="99"/>
                      <w:sz w:val="21"/>
                    </w:rPr>
                    <w:t>序号</w:t>
                  </w:r>
                </w:p>
              </w:tc>
              <w:tc>
                <w:tcPr>
                  <w:tcW w:w="3707" w:type="dxa"/>
                  <w:vAlign w:val="center"/>
                </w:tcPr>
                <w:p w14:paraId="35A52496">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rPr>
                    <w:t>负面清单内容</w:t>
                  </w:r>
                </w:p>
              </w:tc>
              <w:tc>
                <w:tcPr>
                  <w:tcW w:w="2272" w:type="dxa"/>
                  <w:vAlign w:val="center"/>
                </w:tcPr>
                <w:p w14:paraId="55F01FEB">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rPr>
                    <w:t>项目情况</w:t>
                  </w:r>
                </w:p>
              </w:tc>
              <w:tc>
                <w:tcPr>
                  <w:tcW w:w="1025" w:type="dxa"/>
                  <w:vAlign w:val="center"/>
                </w:tcPr>
                <w:p w14:paraId="466BBC20">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rPr>
                    <w:t>符合性</w:t>
                  </w:r>
                </w:p>
              </w:tc>
            </w:tr>
            <w:tr w14:paraId="6988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61" w:type="dxa"/>
                  <w:vAlign w:val="center"/>
                </w:tcPr>
                <w:p w14:paraId="7DC43859">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1</w:t>
                  </w:r>
                </w:p>
              </w:tc>
              <w:tc>
                <w:tcPr>
                  <w:tcW w:w="3707" w:type="dxa"/>
                  <w:vAlign w:val="center"/>
                </w:tcPr>
                <w:p w14:paraId="50404B04">
                  <w:pPr>
                    <w:pStyle w:val="30"/>
                    <w:adjustRightInd w:val="0"/>
                    <w:snapToGrid w:val="0"/>
                    <w:jc w:val="both"/>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禁止建设不符合全国和省级港口布局规划以及港口总体规划的码头项 目，禁止建设不符合《长江干线过江通道布局规划》的过长江通道项目。</w:t>
                  </w:r>
                </w:p>
              </w:tc>
              <w:tc>
                <w:tcPr>
                  <w:tcW w:w="2272" w:type="dxa"/>
                  <w:vAlign w:val="center"/>
                </w:tcPr>
                <w:p w14:paraId="2F9B8089">
                  <w:pPr>
                    <w:pStyle w:val="30"/>
                    <w:adjustRightInd w:val="0"/>
                    <w:snapToGrid w:val="0"/>
                    <w:jc w:val="both"/>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本项目属于</w:t>
                  </w:r>
                  <w:r>
                    <w:rPr>
                      <w:rFonts w:hint="default" w:ascii="Times New Roman" w:hAnsi="Times New Roman" w:cs="Times New Roman"/>
                      <w:color w:val="auto"/>
                      <w:sz w:val="21"/>
                      <w:lang w:eastAsia="zh-CN"/>
                    </w:rPr>
                    <w:t>拌合料</w:t>
                  </w:r>
                  <w:r>
                    <w:rPr>
                      <w:rFonts w:hint="default" w:ascii="Times New Roman" w:hAnsi="Times New Roman" w:eastAsia="宋体" w:cs="Times New Roman"/>
                      <w:color w:val="auto"/>
                      <w:sz w:val="21"/>
                      <w:lang w:eastAsia="zh-CN"/>
                    </w:rPr>
                    <w:t>生产项目，不属于禁止的码头、过长江通道项目。</w:t>
                  </w:r>
                </w:p>
              </w:tc>
              <w:tc>
                <w:tcPr>
                  <w:tcW w:w="1025" w:type="dxa"/>
                  <w:vAlign w:val="center"/>
                </w:tcPr>
                <w:p w14:paraId="0A914879">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color w:val="auto"/>
                      <w:sz w:val="21"/>
                    </w:rPr>
                    <w:t>符合</w:t>
                  </w:r>
                </w:p>
              </w:tc>
            </w:tr>
            <w:tr w14:paraId="74B9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4C07B9DC">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2</w:t>
                  </w:r>
                </w:p>
              </w:tc>
              <w:tc>
                <w:tcPr>
                  <w:tcW w:w="3707" w:type="dxa"/>
                  <w:vAlign w:val="center"/>
                </w:tcPr>
                <w:p w14:paraId="368C1115">
                  <w:pPr>
                    <w:pStyle w:val="30"/>
                    <w:adjustRightInd w:val="0"/>
                    <w:snapToGrid w:val="0"/>
                    <w:jc w:val="both"/>
                    <w:rPr>
                      <w:rFonts w:hint="default" w:ascii="Times New Roman" w:hAnsi="Times New Roman" w:cs="Times New Roman"/>
                      <w:b w:val="0"/>
                      <w:color w:val="auto"/>
                      <w:sz w:val="21"/>
                      <w:lang w:eastAsia="zh-CN"/>
                    </w:rPr>
                  </w:pPr>
                  <w:r>
                    <w:rPr>
                      <w:rFonts w:hint="default" w:ascii="Times New Roman" w:hAnsi="Times New Roman" w:cs="Times New Roman"/>
                      <w:color w:val="auto"/>
                      <w:spacing w:val="0"/>
                      <w:w w:val="100"/>
                      <w:sz w:val="21"/>
                      <w:lang w:eastAsia="zh-CN"/>
                    </w:rPr>
                    <w:t>禁止在自然保护区核心区、缓冲区的</w:t>
                  </w:r>
                  <w:r>
                    <w:rPr>
                      <w:rFonts w:hint="default" w:ascii="Times New Roman" w:hAnsi="Times New Roman" w:cs="Times New Roman"/>
                      <w:color w:val="auto"/>
                      <w:spacing w:val="0"/>
                      <w:sz w:val="21"/>
                      <w:lang w:eastAsia="zh-CN"/>
                    </w:rPr>
                    <w:t>岸线和河段范围内投资建设旅游和</w:t>
                  </w:r>
                  <w:r>
                    <w:rPr>
                      <w:rFonts w:hint="default" w:ascii="Times New Roman" w:hAnsi="Times New Roman" w:cs="Times New Roman"/>
                      <w:color w:val="auto"/>
                      <w:spacing w:val="0"/>
                      <w:w w:val="100"/>
                      <w:sz w:val="21"/>
                      <w:lang w:eastAsia="zh-CN"/>
                    </w:rPr>
                    <w:t>生产经营项目。禁止在风景名胜区核</w:t>
                  </w:r>
                  <w:r>
                    <w:rPr>
                      <w:rFonts w:hint="default" w:ascii="Times New Roman" w:hAnsi="Times New Roman" w:cs="Times New Roman"/>
                      <w:color w:val="auto"/>
                      <w:spacing w:val="0"/>
                      <w:sz w:val="21"/>
                      <w:lang w:eastAsia="zh-CN"/>
                    </w:rPr>
                    <w:t>心景区的岸线和河段范围内投资建</w:t>
                  </w:r>
                  <w:r>
                    <w:rPr>
                      <w:rFonts w:hint="default" w:ascii="Times New Roman" w:hAnsi="Times New Roman" w:cs="Times New Roman"/>
                      <w:color w:val="auto"/>
                      <w:sz w:val="21"/>
                      <w:lang w:eastAsia="zh-CN"/>
                    </w:rPr>
                    <w:t>设与风景名胜资源保护无关的项目。</w:t>
                  </w:r>
                </w:p>
              </w:tc>
              <w:tc>
                <w:tcPr>
                  <w:tcW w:w="2272" w:type="dxa"/>
                  <w:vAlign w:val="center"/>
                </w:tcPr>
                <w:p w14:paraId="62180CEB">
                  <w:pPr>
                    <w:pStyle w:val="30"/>
                    <w:adjustRightInd w:val="0"/>
                    <w:snapToGrid w:val="0"/>
                    <w:jc w:val="both"/>
                    <w:rPr>
                      <w:rFonts w:hint="default" w:ascii="Times New Roman" w:hAnsi="Times New Roman" w:cs="Times New Roman"/>
                      <w:b w:val="0"/>
                      <w:color w:val="auto"/>
                      <w:sz w:val="21"/>
                      <w:lang w:eastAsia="zh-CN"/>
                    </w:rPr>
                  </w:pPr>
                  <w:r>
                    <w:rPr>
                      <w:rFonts w:hint="default" w:ascii="Times New Roman" w:hAnsi="Times New Roman" w:cs="Times New Roman"/>
                      <w:color w:val="auto"/>
                      <w:w w:val="100"/>
                      <w:sz w:val="21"/>
                      <w:lang w:eastAsia="zh-CN"/>
                    </w:rPr>
                    <w:t>项目所在地不涉及自然保护区，风景</w:t>
                  </w:r>
                  <w:r>
                    <w:rPr>
                      <w:rFonts w:hint="default" w:ascii="Times New Roman" w:hAnsi="Times New Roman" w:cs="Times New Roman"/>
                      <w:color w:val="auto"/>
                      <w:sz w:val="21"/>
                      <w:lang w:eastAsia="zh-CN"/>
                    </w:rPr>
                    <w:t>名胜区。</w:t>
                  </w:r>
                </w:p>
              </w:tc>
              <w:tc>
                <w:tcPr>
                  <w:tcW w:w="1025" w:type="dxa"/>
                  <w:vAlign w:val="center"/>
                </w:tcPr>
                <w:p w14:paraId="6495A76B">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color w:val="auto"/>
                      <w:sz w:val="21"/>
                    </w:rPr>
                    <w:t>符合</w:t>
                  </w:r>
                </w:p>
              </w:tc>
            </w:tr>
            <w:tr w14:paraId="1649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3C8288BC">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3</w:t>
                  </w:r>
                </w:p>
              </w:tc>
              <w:tc>
                <w:tcPr>
                  <w:tcW w:w="3707" w:type="dxa"/>
                  <w:vAlign w:val="center"/>
                </w:tcPr>
                <w:p w14:paraId="11BC6150">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color w:val="auto"/>
                      <w:sz w:val="21"/>
                      <w:lang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72" w:type="dxa"/>
                  <w:vAlign w:val="center"/>
                </w:tcPr>
                <w:p w14:paraId="5D96151E">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color w:val="auto"/>
                      <w:sz w:val="21"/>
                      <w:lang w:eastAsia="zh-CN"/>
                    </w:rPr>
                    <w:t>项目不涉及饮用水水源一级保护区、二级保护区。</w:t>
                  </w:r>
                </w:p>
              </w:tc>
              <w:tc>
                <w:tcPr>
                  <w:tcW w:w="1025" w:type="dxa"/>
                  <w:vAlign w:val="center"/>
                </w:tcPr>
                <w:p w14:paraId="23B08BBC">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color w:val="auto"/>
                      <w:sz w:val="21"/>
                    </w:rPr>
                    <w:t>符合</w:t>
                  </w:r>
                </w:p>
              </w:tc>
            </w:tr>
            <w:tr w14:paraId="5F2B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658E4CFA">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4</w:t>
                  </w:r>
                </w:p>
              </w:tc>
              <w:tc>
                <w:tcPr>
                  <w:tcW w:w="3707" w:type="dxa"/>
                  <w:vAlign w:val="center"/>
                </w:tcPr>
                <w:p w14:paraId="20FFE74E">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禁止在水产种植资源保护区的岸线和河段范围内新建围湖造田、围海造地或围填海等投资建设项目。禁止在国家湿地公园的岸线和河段范围内</w:t>
                  </w:r>
                </w:p>
                <w:p w14:paraId="6FCF2100">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挖沙、采矿，以及任何不符合主体功能定位的投资建设项目。</w:t>
                  </w:r>
                </w:p>
              </w:tc>
              <w:tc>
                <w:tcPr>
                  <w:tcW w:w="2272" w:type="dxa"/>
                  <w:vAlign w:val="center"/>
                </w:tcPr>
                <w:p w14:paraId="29F750DA">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项目不涉及水产种植资源保护区、不涉及国家湿地公园。</w:t>
                  </w:r>
                </w:p>
              </w:tc>
              <w:tc>
                <w:tcPr>
                  <w:tcW w:w="1025" w:type="dxa"/>
                  <w:vAlign w:val="center"/>
                </w:tcPr>
                <w:p w14:paraId="55304D79">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Cs/>
                      <w:color w:val="auto"/>
                      <w:sz w:val="21"/>
                      <w:lang w:eastAsia="zh-CN"/>
                    </w:rPr>
                    <w:t>符合</w:t>
                  </w:r>
                </w:p>
              </w:tc>
            </w:tr>
            <w:tr w14:paraId="325C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5F46F884">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5</w:t>
                  </w:r>
                </w:p>
              </w:tc>
              <w:tc>
                <w:tcPr>
                  <w:tcW w:w="3707" w:type="dxa"/>
                  <w:vAlign w:val="center"/>
                </w:tcPr>
                <w:p w14:paraId="0AEA38E0">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272" w:type="dxa"/>
                  <w:vAlign w:val="center"/>
                </w:tcPr>
                <w:p w14:paraId="788939CB">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color w:val="auto"/>
                      <w:sz w:val="21"/>
                      <w:lang w:eastAsia="zh-CN"/>
                    </w:rPr>
                    <w:t>项目不占用长江流域河湖岸线。不涉及划定的河段及湖</w:t>
                  </w:r>
                  <w:r>
                    <w:rPr>
                      <w:rFonts w:hint="default" w:ascii="Times New Roman" w:hAnsi="Times New Roman" w:cs="Times New Roman"/>
                      <w:color w:val="auto"/>
                      <w:spacing w:val="-7"/>
                      <w:sz w:val="21"/>
                      <w:lang w:eastAsia="zh-CN"/>
                    </w:rPr>
                    <w:t>泊保护区、保留区。</w:t>
                  </w:r>
                </w:p>
              </w:tc>
              <w:tc>
                <w:tcPr>
                  <w:tcW w:w="1025" w:type="dxa"/>
                  <w:vAlign w:val="center"/>
                </w:tcPr>
                <w:p w14:paraId="531423BD">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Cs/>
                      <w:color w:val="auto"/>
                      <w:sz w:val="21"/>
                      <w:lang w:eastAsia="zh-CN"/>
                    </w:rPr>
                    <w:t>符合</w:t>
                  </w:r>
                </w:p>
              </w:tc>
            </w:tr>
            <w:tr w14:paraId="5750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10583579">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6</w:t>
                  </w:r>
                </w:p>
              </w:tc>
              <w:tc>
                <w:tcPr>
                  <w:tcW w:w="3707" w:type="dxa"/>
                  <w:vAlign w:val="center"/>
                </w:tcPr>
                <w:p w14:paraId="5060A3F2">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禁止未经许可在长江干支流及湖泊新设、改设或扩大排污口。</w:t>
                  </w:r>
                </w:p>
              </w:tc>
              <w:tc>
                <w:tcPr>
                  <w:tcW w:w="2272" w:type="dxa"/>
                  <w:vAlign w:val="center"/>
                </w:tcPr>
                <w:p w14:paraId="7B54CF56">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本项目属于拌合料生产项目，生产废水：原料混合搅拌用水全部进入产品，不外排，故不产生废水；搅拌机冲洗废水和运输车辆冲洗废水经三级沉淀池处理后循环使用，不外排；初期雨水：在项目地势较低处设置一个容积不小于54m</w:t>
                  </w:r>
                  <w:r>
                    <w:rPr>
                      <w:rFonts w:hint="default" w:ascii="Times New Roman" w:hAnsi="Times New Roman" w:cs="Times New Roman"/>
                      <w:bCs/>
                      <w:color w:val="auto"/>
                      <w:sz w:val="21"/>
                      <w:vertAlign w:val="superscript"/>
                      <w:lang w:eastAsia="zh-CN"/>
                    </w:rPr>
                    <w:t>3</w:t>
                  </w:r>
                  <w:r>
                    <w:rPr>
                      <w:rFonts w:hint="default" w:ascii="Times New Roman" w:hAnsi="Times New Roman" w:cs="Times New Roman"/>
                      <w:bCs/>
                      <w:color w:val="auto"/>
                      <w:sz w:val="21"/>
                      <w:lang w:eastAsia="zh-CN"/>
                    </w:rPr>
                    <w:t>的初期雨水收集池对初期雨水进行沉淀处理后，回用于生产或厂区洒水降尘；原料堆场设置</w:t>
                  </w:r>
                  <w:r>
                    <w:rPr>
                      <w:rFonts w:hint="default" w:ascii="Times New Roman" w:hAnsi="Times New Roman" w:cs="Times New Roman"/>
                      <w:color w:val="auto"/>
                      <w:sz w:val="21"/>
                      <w:szCs w:val="21"/>
                      <w:lang w:eastAsia="zh-CN" w:bidi="ar"/>
                    </w:rPr>
                    <w:t>三面围挡+顶棚措施，所有物料均进入料棚内堆存，同时采用篷布遮盖，此外，原料堆场应定时洒水降尘</w:t>
                  </w:r>
                  <w:r>
                    <w:rPr>
                      <w:rFonts w:hint="default" w:ascii="Times New Roman" w:hAnsi="Times New Roman" w:cs="Times New Roman"/>
                      <w:bCs/>
                      <w:color w:val="auto"/>
                      <w:sz w:val="21"/>
                      <w:lang w:eastAsia="zh-CN"/>
                    </w:rPr>
                    <w:t>。</w:t>
                  </w:r>
                  <w:r>
                    <w:rPr>
                      <w:rFonts w:hint="default" w:ascii="Times New Roman" w:hAnsi="Times New Roman" w:cs="Times New Roman"/>
                      <w:bCs/>
                      <w:color w:val="auto"/>
                      <w:sz w:val="21"/>
                      <w:lang w:val="en-US" w:eastAsia="zh-CN"/>
                    </w:rPr>
                    <w:t>无废水外排，</w:t>
                  </w:r>
                  <w:r>
                    <w:rPr>
                      <w:rFonts w:hint="default" w:ascii="Times New Roman" w:hAnsi="Times New Roman" w:cs="Times New Roman"/>
                      <w:bCs/>
                      <w:color w:val="auto"/>
                      <w:sz w:val="21"/>
                      <w:lang w:eastAsia="zh-CN"/>
                    </w:rPr>
                    <w:t>故项目不设置污水排放口。</w:t>
                  </w:r>
                </w:p>
              </w:tc>
              <w:tc>
                <w:tcPr>
                  <w:tcW w:w="1025" w:type="dxa"/>
                  <w:vAlign w:val="center"/>
                </w:tcPr>
                <w:p w14:paraId="50BB9711">
                  <w:pPr>
                    <w:pStyle w:val="30"/>
                    <w:adjustRightInd w:val="0"/>
                    <w:snapToGrid w:val="0"/>
                    <w:jc w:val="center"/>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符合</w:t>
                  </w:r>
                </w:p>
              </w:tc>
            </w:tr>
            <w:tr w14:paraId="2367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61" w:type="dxa"/>
                  <w:vAlign w:val="center"/>
                </w:tcPr>
                <w:p w14:paraId="74F3F03A">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7</w:t>
                  </w:r>
                </w:p>
              </w:tc>
              <w:tc>
                <w:tcPr>
                  <w:tcW w:w="3707" w:type="dxa"/>
                  <w:vAlign w:val="center"/>
                </w:tcPr>
                <w:p w14:paraId="639AE9E8">
                  <w:pPr>
                    <w:pStyle w:val="30"/>
                    <w:adjustRightInd w:val="0"/>
                    <w:snapToGrid w:val="0"/>
                    <w:jc w:val="both"/>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禁止在“一江一口两湖七河”和332个水生生物保护区开展生产性捕捞。</w:t>
                  </w:r>
                </w:p>
              </w:tc>
              <w:tc>
                <w:tcPr>
                  <w:tcW w:w="2272" w:type="dxa"/>
                  <w:vAlign w:val="center"/>
                </w:tcPr>
                <w:p w14:paraId="79671249">
                  <w:pPr>
                    <w:pStyle w:val="30"/>
                    <w:adjustRightInd w:val="0"/>
                    <w:snapToGrid w:val="0"/>
                    <w:jc w:val="both"/>
                    <w:rPr>
                      <w:rFonts w:hint="default" w:ascii="Times New Roman" w:hAnsi="Times New Roman" w:eastAsia="宋体" w:cs="Times New Roman"/>
                      <w:color w:val="auto"/>
                      <w:sz w:val="21"/>
                      <w:lang w:eastAsia="zh-CN"/>
                    </w:rPr>
                  </w:pPr>
                  <w:r>
                    <w:rPr>
                      <w:rFonts w:hint="default" w:ascii="Times New Roman" w:hAnsi="Times New Roman" w:cs="Times New Roman"/>
                      <w:bCs/>
                      <w:color w:val="auto"/>
                      <w:sz w:val="21"/>
                      <w:lang w:eastAsia="zh-CN"/>
                    </w:rPr>
                    <w:t>本项目属于拌合料生产项目</w:t>
                  </w:r>
                  <w:r>
                    <w:rPr>
                      <w:rFonts w:hint="default" w:ascii="Times New Roman" w:hAnsi="Times New Roman" w:eastAsia="宋体" w:cs="Times New Roman"/>
                      <w:color w:val="auto"/>
                      <w:sz w:val="21"/>
                      <w:lang w:eastAsia="zh-CN"/>
                    </w:rPr>
                    <w:t>，不涉及生产性捕捞。</w:t>
                  </w:r>
                </w:p>
              </w:tc>
              <w:tc>
                <w:tcPr>
                  <w:tcW w:w="1025" w:type="dxa"/>
                  <w:vAlign w:val="center"/>
                </w:tcPr>
                <w:p w14:paraId="6844B40D">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color w:val="auto"/>
                      <w:sz w:val="21"/>
                    </w:rPr>
                    <w:t>符合</w:t>
                  </w:r>
                </w:p>
              </w:tc>
            </w:tr>
            <w:tr w14:paraId="0375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661" w:type="dxa"/>
                  <w:vAlign w:val="center"/>
                </w:tcPr>
                <w:p w14:paraId="1A67D026">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8</w:t>
                  </w:r>
                </w:p>
              </w:tc>
              <w:tc>
                <w:tcPr>
                  <w:tcW w:w="3707" w:type="dxa"/>
                  <w:vAlign w:val="center"/>
                </w:tcPr>
                <w:p w14:paraId="4FA3298B">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272" w:type="dxa"/>
                  <w:vAlign w:val="center"/>
                </w:tcPr>
                <w:p w14:paraId="048628DD">
                  <w:pPr>
                    <w:pStyle w:val="30"/>
                    <w:adjustRightInd w:val="0"/>
                    <w:snapToGrid w:val="0"/>
                    <w:jc w:val="both"/>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本项目属于拌合料生产项目，不涉及新建化工项目、尾矿库、冶炼渣库和磷石膏库。</w:t>
                  </w:r>
                </w:p>
              </w:tc>
              <w:tc>
                <w:tcPr>
                  <w:tcW w:w="1025" w:type="dxa"/>
                  <w:vAlign w:val="center"/>
                </w:tcPr>
                <w:p w14:paraId="2EF5E2CD">
                  <w:pPr>
                    <w:pStyle w:val="30"/>
                    <w:adjustRightInd w:val="0"/>
                    <w:snapToGrid w:val="0"/>
                    <w:jc w:val="center"/>
                    <w:rPr>
                      <w:rFonts w:hint="default" w:ascii="Times New Roman" w:hAnsi="Times New Roman" w:cs="Times New Roman"/>
                      <w:bCs/>
                      <w:color w:val="auto"/>
                      <w:sz w:val="21"/>
                      <w:lang w:eastAsia="zh-CN"/>
                    </w:rPr>
                  </w:pPr>
                  <w:r>
                    <w:rPr>
                      <w:rFonts w:hint="default" w:ascii="Times New Roman" w:hAnsi="Times New Roman" w:cs="Times New Roman"/>
                      <w:bCs/>
                      <w:color w:val="auto"/>
                      <w:sz w:val="21"/>
                      <w:lang w:eastAsia="zh-CN"/>
                    </w:rPr>
                    <w:t>符合</w:t>
                  </w:r>
                </w:p>
              </w:tc>
            </w:tr>
            <w:tr w14:paraId="478D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59C3FE01">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9</w:t>
                  </w:r>
                </w:p>
              </w:tc>
              <w:tc>
                <w:tcPr>
                  <w:tcW w:w="3707" w:type="dxa"/>
                  <w:vAlign w:val="center"/>
                </w:tcPr>
                <w:p w14:paraId="2E4B5E53">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color w:val="auto"/>
                      <w:sz w:val="21"/>
                      <w:lang w:eastAsia="zh-CN"/>
                    </w:rPr>
                    <w:t>禁止在合规园区外新建、扩建钢铁、石化、化工、焦化、建材、有色、制浆造纸等高污染项目。</w:t>
                  </w:r>
                </w:p>
              </w:tc>
              <w:tc>
                <w:tcPr>
                  <w:tcW w:w="2272" w:type="dxa"/>
                  <w:vAlign w:val="center"/>
                </w:tcPr>
                <w:p w14:paraId="02CD3A81">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Cs/>
                      <w:color w:val="auto"/>
                      <w:sz w:val="21"/>
                      <w:lang w:eastAsia="zh-CN"/>
                    </w:rPr>
                    <w:t>本项目属于拌合料生产项目</w:t>
                  </w:r>
                  <w:r>
                    <w:rPr>
                      <w:rFonts w:hint="default" w:ascii="Times New Roman" w:hAnsi="Times New Roman" w:cs="Times New Roman"/>
                      <w:color w:val="auto"/>
                      <w:sz w:val="21"/>
                      <w:lang w:eastAsia="zh-CN"/>
                    </w:rPr>
                    <w:t>，不属于高污染项目。</w:t>
                  </w:r>
                </w:p>
              </w:tc>
              <w:tc>
                <w:tcPr>
                  <w:tcW w:w="1025" w:type="dxa"/>
                  <w:vAlign w:val="center"/>
                </w:tcPr>
                <w:p w14:paraId="1D4A6A98">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Cs/>
                      <w:color w:val="auto"/>
                      <w:sz w:val="21"/>
                      <w:lang w:eastAsia="zh-CN"/>
                    </w:rPr>
                    <w:t>符合</w:t>
                  </w:r>
                </w:p>
              </w:tc>
            </w:tr>
            <w:tr w14:paraId="301C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529F0081">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10</w:t>
                  </w:r>
                </w:p>
              </w:tc>
              <w:tc>
                <w:tcPr>
                  <w:tcW w:w="3707" w:type="dxa"/>
                  <w:vAlign w:val="center"/>
                </w:tcPr>
                <w:p w14:paraId="542E5ACD">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禁止新建、扩建不符合国家石化、现代煤化工等产业布局规划的项目。</w:t>
                  </w:r>
                </w:p>
              </w:tc>
              <w:tc>
                <w:tcPr>
                  <w:tcW w:w="2272" w:type="dxa"/>
                  <w:vAlign w:val="center"/>
                </w:tcPr>
                <w:p w14:paraId="47323714">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bCs/>
                      <w:color w:val="auto"/>
                      <w:sz w:val="21"/>
                      <w:lang w:eastAsia="zh-CN"/>
                    </w:rPr>
                    <w:t>本项目属于拌合料生产项目</w:t>
                  </w:r>
                  <w:r>
                    <w:rPr>
                      <w:rFonts w:hint="default" w:ascii="Times New Roman" w:hAnsi="Times New Roman" w:cs="Times New Roman"/>
                      <w:color w:val="auto"/>
                      <w:sz w:val="21"/>
                      <w:lang w:eastAsia="zh-CN"/>
                    </w:rPr>
                    <w:t>，不属于不符合国家石化、现代化煤化工等行业项目。</w:t>
                  </w:r>
                </w:p>
              </w:tc>
              <w:tc>
                <w:tcPr>
                  <w:tcW w:w="1025" w:type="dxa"/>
                  <w:vAlign w:val="center"/>
                </w:tcPr>
                <w:p w14:paraId="6CB31367">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color w:val="auto"/>
                      <w:sz w:val="21"/>
                    </w:rPr>
                    <w:t>符合</w:t>
                  </w:r>
                </w:p>
              </w:tc>
            </w:tr>
            <w:tr w14:paraId="1BBB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14:paraId="101DDE5A">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11</w:t>
                  </w:r>
                </w:p>
              </w:tc>
              <w:tc>
                <w:tcPr>
                  <w:tcW w:w="3707" w:type="dxa"/>
                  <w:vAlign w:val="center"/>
                </w:tcPr>
                <w:p w14:paraId="3D8793FB">
                  <w:pPr>
                    <w:pStyle w:val="30"/>
                    <w:adjustRightInd w:val="0"/>
                    <w:snapToGrid w:val="0"/>
                    <w:jc w:val="both"/>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禁止新建、扩建法律法规和相关政策明令禁止的落后产能项目。禁止新建、扩建不符合国家产能置换要求的严重过剩产能行业的项目。禁止新建、扩建不符合要求的高耗能高排放项目。</w:t>
                  </w:r>
                </w:p>
              </w:tc>
              <w:tc>
                <w:tcPr>
                  <w:tcW w:w="2272" w:type="dxa"/>
                  <w:vAlign w:val="center"/>
                </w:tcPr>
                <w:p w14:paraId="08F0625F">
                  <w:pPr>
                    <w:pStyle w:val="30"/>
                    <w:adjustRightInd w:val="0"/>
                    <w:snapToGrid w:val="0"/>
                    <w:jc w:val="both"/>
                    <w:rPr>
                      <w:rFonts w:hint="default" w:ascii="Times New Roman" w:hAnsi="Times New Roman" w:cs="Times New Roman"/>
                      <w:color w:val="auto"/>
                      <w:sz w:val="21"/>
                      <w:lang w:eastAsia="zh-CN"/>
                    </w:rPr>
                  </w:pPr>
                  <w:r>
                    <w:rPr>
                      <w:rFonts w:hint="default" w:ascii="Times New Roman" w:hAnsi="Times New Roman" w:cs="Times New Roman"/>
                      <w:bCs/>
                      <w:color w:val="auto"/>
                      <w:sz w:val="21"/>
                      <w:lang w:eastAsia="zh-CN"/>
                    </w:rPr>
                    <w:t>本项目属于拌合料生产项目</w:t>
                  </w:r>
                  <w:r>
                    <w:rPr>
                      <w:rFonts w:hint="default" w:ascii="Times New Roman" w:hAnsi="Times New Roman" w:cs="Times New Roman"/>
                      <w:color w:val="auto"/>
                      <w:sz w:val="21"/>
                      <w:lang w:eastAsia="zh-CN"/>
                    </w:rPr>
                    <w:t>，不属于法律法规和相关政策明令禁止的落后产能项目，不属于严重过剩产能行业的项目，不属于高</w:t>
                  </w:r>
                </w:p>
                <w:p w14:paraId="35403F1A">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耗能高排放项目。</w:t>
                  </w:r>
                </w:p>
              </w:tc>
              <w:tc>
                <w:tcPr>
                  <w:tcW w:w="1025" w:type="dxa"/>
                  <w:vAlign w:val="center"/>
                </w:tcPr>
                <w:p w14:paraId="2B4B6F06">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color w:val="auto"/>
                      <w:sz w:val="21"/>
                      <w:lang w:eastAsia="zh-CN"/>
                    </w:rPr>
                    <w:t>符合</w:t>
                  </w:r>
                </w:p>
              </w:tc>
            </w:tr>
          </w:tbl>
          <w:p w14:paraId="4AAD6BEF">
            <w:pPr>
              <w:pStyle w:val="30"/>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本项目属于拌合料生产项目，项目的建设符合《长江经济带发展负面清单指南（试行，</w:t>
            </w:r>
            <w:r>
              <w:rPr>
                <w:rFonts w:hint="default" w:ascii="Times New Roman" w:hAnsi="Times New Roman" w:eastAsia="Times New Roman" w:cs="Times New Roman"/>
                <w:color w:val="auto"/>
                <w:sz w:val="24"/>
                <w:lang w:eastAsia="zh-CN"/>
              </w:rPr>
              <w:t xml:space="preserve">2022 </w:t>
            </w:r>
            <w:r>
              <w:rPr>
                <w:rFonts w:hint="default" w:ascii="Times New Roman" w:hAnsi="Times New Roman" w:cs="Times New Roman"/>
                <w:color w:val="auto"/>
                <w:sz w:val="24"/>
                <w:lang w:eastAsia="zh-CN"/>
              </w:rPr>
              <w:t>年版）》长江办〔</w:t>
            </w:r>
            <w:r>
              <w:rPr>
                <w:rFonts w:hint="default" w:ascii="Times New Roman" w:hAnsi="Times New Roman" w:eastAsia="Times New Roman" w:cs="Times New Roman"/>
                <w:color w:val="auto"/>
                <w:sz w:val="24"/>
                <w:lang w:eastAsia="zh-CN"/>
              </w:rPr>
              <w:t>2022</w:t>
            </w:r>
            <w:r>
              <w:rPr>
                <w:rFonts w:hint="default" w:ascii="Times New Roman" w:hAnsi="Times New Roman" w:cs="Times New Roman"/>
                <w:color w:val="auto"/>
                <w:sz w:val="24"/>
                <w:lang w:eastAsia="zh-CN"/>
              </w:rPr>
              <w:t>〕</w:t>
            </w:r>
            <w:r>
              <w:rPr>
                <w:rFonts w:hint="default" w:ascii="Times New Roman" w:hAnsi="Times New Roman" w:eastAsia="Times New Roman" w:cs="Times New Roman"/>
                <w:color w:val="auto"/>
                <w:sz w:val="24"/>
                <w:lang w:eastAsia="zh-CN"/>
              </w:rPr>
              <w:t xml:space="preserve">7 </w:t>
            </w:r>
            <w:r>
              <w:rPr>
                <w:rFonts w:hint="default" w:ascii="Times New Roman" w:hAnsi="Times New Roman" w:cs="Times New Roman"/>
                <w:color w:val="auto"/>
                <w:sz w:val="24"/>
                <w:lang w:eastAsia="zh-CN"/>
              </w:rPr>
              <w:t>号的要求。</w:t>
            </w:r>
          </w:p>
          <w:p w14:paraId="0016EC6A">
            <w:pPr>
              <w:pStyle w:val="30"/>
              <w:adjustRightInd w:val="0"/>
              <w:snapToGrid w:val="0"/>
              <w:spacing w:line="360" w:lineRule="auto"/>
              <w:ind w:right="-29" w:firstLine="426" w:firstLineChars="200"/>
              <w:rPr>
                <w:rFonts w:hint="default" w:ascii="Times New Roman" w:hAnsi="Times New Roman" w:cs="Times New Roman"/>
                <w:b/>
                <w:color w:val="auto"/>
                <w:kern w:val="2"/>
                <w:sz w:val="24"/>
                <w:szCs w:val="24"/>
                <w:lang w:eastAsia="zh-CN"/>
              </w:rPr>
            </w:pPr>
            <w:r>
              <w:rPr>
                <w:rFonts w:hint="default" w:ascii="Times New Roman" w:hAnsi="Times New Roman" w:cs="Times New Roman"/>
                <w:b/>
                <w:color w:val="auto"/>
                <w:spacing w:val="-14"/>
                <w:sz w:val="24"/>
                <w:lang w:eastAsia="zh-CN"/>
              </w:rPr>
              <w:t>十、</w:t>
            </w:r>
            <w:r>
              <w:rPr>
                <w:rFonts w:hint="default" w:ascii="Times New Roman" w:hAnsi="Times New Roman" w:cs="Times New Roman"/>
                <w:b/>
                <w:color w:val="auto"/>
                <w:kern w:val="2"/>
                <w:sz w:val="24"/>
                <w:szCs w:val="24"/>
                <w:lang w:eastAsia="zh-CN"/>
              </w:rPr>
              <w:t>与《关于深入打好污染防治攻坚战的实施方案》（玉发〔2023〕4 号）和《中共云南省委、云南省人民政府关于深入打好污染防治攻坚战的实施意见》（云发〔2022〕20 号）相符性分析</w:t>
            </w:r>
          </w:p>
          <w:p w14:paraId="0098F9AE">
            <w:pPr>
              <w:pStyle w:val="30"/>
              <w:adjustRightInd w:val="0"/>
              <w:snapToGrid w:val="0"/>
              <w:spacing w:before="120" w:beforeLines="50"/>
              <w:ind w:firstLine="422" w:firstLineChars="200"/>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 xml:space="preserve">表 </w:t>
            </w:r>
            <w:r>
              <w:rPr>
                <w:rFonts w:hint="default" w:ascii="Times New Roman" w:hAnsi="Times New Roman" w:eastAsia="Times New Roman" w:cs="Times New Roman"/>
                <w:b/>
                <w:color w:val="auto"/>
                <w:sz w:val="21"/>
                <w:lang w:eastAsia="zh-CN"/>
              </w:rPr>
              <w:t xml:space="preserve">1-5 </w:t>
            </w:r>
            <w:r>
              <w:rPr>
                <w:rFonts w:hint="default" w:ascii="Times New Roman" w:hAnsi="Times New Roman" w:cs="Times New Roman"/>
                <w:b/>
                <w:color w:val="auto"/>
                <w:sz w:val="21"/>
                <w:lang w:eastAsia="zh-CN"/>
              </w:rPr>
              <w:t>项目与《关于深入打好污染防治攻坚战的实施方案》符合性分析表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2775"/>
              <w:gridCol w:w="3064"/>
              <w:gridCol w:w="940"/>
            </w:tblGrid>
            <w:tr w14:paraId="4C41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Align w:val="center"/>
                </w:tcPr>
                <w:p w14:paraId="70AD37BE">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rPr>
                    <w:t>序号</w:t>
                  </w:r>
                </w:p>
              </w:tc>
              <w:tc>
                <w:tcPr>
                  <w:tcW w:w="2775" w:type="dxa"/>
                  <w:vAlign w:val="center"/>
                </w:tcPr>
                <w:p w14:paraId="6955DB1A">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b/>
                      <w:color w:val="auto"/>
                      <w:sz w:val="21"/>
                    </w:rPr>
                    <w:t>深入打好蓝天保卫战</w:t>
                  </w:r>
                </w:p>
              </w:tc>
              <w:tc>
                <w:tcPr>
                  <w:tcW w:w="3064" w:type="dxa"/>
                  <w:vAlign w:val="center"/>
                </w:tcPr>
                <w:p w14:paraId="3A593803">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b/>
                      <w:color w:val="auto"/>
                      <w:sz w:val="21"/>
                    </w:rPr>
                    <w:t>本项目情况</w:t>
                  </w:r>
                </w:p>
              </w:tc>
              <w:tc>
                <w:tcPr>
                  <w:tcW w:w="940" w:type="dxa"/>
                  <w:vAlign w:val="center"/>
                </w:tcPr>
                <w:p w14:paraId="11017889">
                  <w:pPr>
                    <w:pStyle w:val="30"/>
                    <w:adjustRightInd w:val="0"/>
                    <w:snapToGrid w:val="0"/>
                    <w:jc w:val="both"/>
                    <w:rPr>
                      <w:rFonts w:hint="default" w:ascii="Times New Roman" w:hAnsi="Times New Roman" w:cs="Times New Roman"/>
                      <w:b/>
                      <w:color w:val="auto"/>
                      <w:sz w:val="21"/>
                    </w:rPr>
                  </w:pPr>
                  <w:r>
                    <w:rPr>
                      <w:rFonts w:hint="default" w:ascii="Times New Roman" w:hAnsi="Times New Roman" w:cs="Times New Roman"/>
                      <w:b/>
                      <w:color w:val="auto"/>
                      <w:sz w:val="21"/>
                    </w:rPr>
                    <w:t>符合性</w:t>
                  </w:r>
                </w:p>
              </w:tc>
            </w:tr>
            <w:tr w14:paraId="06ED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Align w:val="center"/>
                </w:tcPr>
                <w:p w14:paraId="0652E88F">
                  <w:pPr>
                    <w:pStyle w:val="30"/>
                    <w:adjustRightInd w:val="0"/>
                    <w:snapToGrid w:val="0"/>
                    <w:jc w:val="both"/>
                    <w:rPr>
                      <w:rFonts w:hint="default" w:ascii="Times New Roman" w:hAnsi="Times New Roman" w:cs="Times New Roman"/>
                      <w:color w:val="auto"/>
                    </w:rPr>
                  </w:pPr>
                </w:p>
                <w:p w14:paraId="222B2E1D">
                  <w:pPr>
                    <w:pStyle w:val="30"/>
                    <w:adjustRightInd w:val="0"/>
                    <w:snapToGrid w:val="0"/>
                    <w:jc w:val="both"/>
                    <w:rPr>
                      <w:rFonts w:hint="default" w:ascii="Times New Roman" w:hAnsi="Times New Roman" w:cs="Times New Roman"/>
                      <w:color w:val="auto"/>
                    </w:rPr>
                  </w:pPr>
                </w:p>
                <w:p w14:paraId="2C335154">
                  <w:pPr>
                    <w:pStyle w:val="30"/>
                    <w:adjustRightInd w:val="0"/>
                    <w:snapToGrid w:val="0"/>
                    <w:jc w:val="both"/>
                    <w:rPr>
                      <w:rFonts w:hint="default" w:ascii="Times New Roman" w:hAnsi="Times New Roman" w:cs="Times New Roman"/>
                      <w:color w:val="auto"/>
                    </w:rPr>
                  </w:pPr>
                </w:p>
                <w:p w14:paraId="1E1FB10F">
                  <w:pPr>
                    <w:pStyle w:val="30"/>
                    <w:adjustRightInd w:val="0"/>
                    <w:snapToGrid w:val="0"/>
                    <w:jc w:val="both"/>
                    <w:rPr>
                      <w:rFonts w:hint="default" w:ascii="Times New Roman" w:hAnsi="Times New Roman" w:cs="Times New Roman"/>
                      <w:color w:val="auto"/>
                      <w:sz w:val="32"/>
                    </w:rPr>
                  </w:pPr>
                </w:p>
                <w:p w14:paraId="2530C89C">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color w:val="auto"/>
                      <w:w w:val="99"/>
                      <w:sz w:val="21"/>
                    </w:rPr>
                    <w:t>1</w:t>
                  </w:r>
                </w:p>
              </w:tc>
              <w:tc>
                <w:tcPr>
                  <w:tcW w:w="2775" w:type="dxa"/>
                  <w:vAlign w:val="center"/>
                </w:tcPr>
                <w:p w14:paraId="273B081E">
                  <w:pPr>
                    <w:pStyle w:val="30"/>
                    <w:adjustRightInd w:val="0"/>
                    <w:snapToGrid w:val="0"/>
                    <w:jc w:val="both"/>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sz w:val="21"/>
                      <w:lang w:eastAsia="zh-CN"/>
                    </w:rPr>
                    <w:t>持续打好柴油货车污染治理攻坚</w:t>
                  </w:r>
                  <w:r>
                    <w:rPr>
                      <w:rFonts w:hint="default" w:ascii="Times New Roman" w:hAnsi="Times New Roman" w:cs="Times New Roman"/>
                      <w:color w:val="auto"/>
                      <w:spacing w:val="-6"/>
                      <w:w w:val="100"/>
                      <w:sz w:val="21"/>
                      <w:lang w:eastAsia="zh-CN"/>
                    </w:rPr>
                    <w:t>战。深入开展清洁柴油车（机）、</w:t>
                  </w:r>
                  <w:r>
                    <w:rPr>
                      <w:rFonts w:hint="default" w:ascii="Times New Roman" w:hAnsi="Times New Roman" w:cs="Times New Roman"/>
                      <w:color w:val="auto"/>
                      <w:spacing w:val="-6"/>
                      <w:sz w:val="21"/>
                      <w:lang w:eastAsia="zh-CN"/>
                    </w:rPr>
                    <w:t>清洁油品、车用尿素等专项行动。基本淘汰国三及以下排放标准汽车，有序推广清洁能源汽车。强化非道路移动源治理和排放控制区管控。以大宗货物运输</w:t>
                  </w:r>
                  <w:r>
                    <w:rPr>
                      <w:rFonts w:hint="default" w:ascii="Times New Roman" w:hAnsi="Times New Roman" w:eastAsia="宋体" w:cs="Times New Roman"/>
                      <w:color w:val="auto"/>
                      <w:spacing w:val="-6"/>
                      <w:sz w:val="21"/>
                      <w:lang w:eastAsia="zh-CN"/>
                    </w:rPr>
                    <w:t>“</w:t>
                  </w:r>
                  <w:r>
                    <w:rPr>
                      <w:rFonts w:hint="default" w:ascii="Times New Roman" w:hAnsi="Times New Roman" w:cs="Times New Roman"/>
                      <w:color w:val="auto"/>
                      <w:spacing w:val="-6"/>
                      <w:sz w:val="21"/>
                      <w:lang w:eastAsia="zh-CN"/>
                    </w:rPr>
                    <w:t>公转铁</w:t>
                  </w:r>
                  <w:r>
                    <w:rPr>
                      <w:rFonts w:hint="default" w:ascii="Times New Roman" w:hAnsi="Times New Roman" w:eastAsia="宋体" w:cs="Times New Roman"/>
                      <w:color w:val="auto"/>
                      <w:spacing w:val="-6"/>
                      <w:sz w:val="21"/>
                      <w:lang w:eastAsia="zh-CN"/>
                    </w:rPr>
                    <w:t>”</w:t>
                  </w:r>
                  <w:r>
                    <w:rPr>
                      <w:rFonts w:hint="default" w:ascii="Times New Roman" w:hAnsi="Times New Roman" w:cs="Times New Roman"/>
                      <w:color w:val="auto"/>
                      <w:spacing w:val="-6"/>
                      <w:sz w:val="21"/>
                      <w:lang w:eastAsia="zh-CN"/>
                    </w:rPr>
                    <w:t>为重点，推进运输结构调整。</w:t>
                  </w:r>
                </w:p>
              </w:tc>
              <w:tc>
                <w:tcPr>
                  <w:tcW w:w="3064" w:type="dxa"/>
                  <w:vAlign w:val="center"/>
                </w:tcPr>
                <w:p w14:paraId="6432C8F7">
                  <w:pPr>
                    <w:pStyle w:val="30"/>
                    <w:adjustRightInd w:val="0"/>
                    <w:snapToGrid w:val="0"/>
                    <w:jc w:val="center"/>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sz w:val="21"/>
                      <w:lang w:eastAsia="zh-CN"/>
                    </w:rPr>
                    <w:t>本项目不涉及。</w:t>
                  </w:r>
                </w:p>
              </w:tc>
              <w:tc>
                <w:tcPr>
                  <w:tcW w:w="940" w:type="dxa"/>
                  <w:vAlign w:val="center"/>
                </w:tcPr>
                <w:p w14:paraId="4F3CD0A9">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color w:val="auto"/>
                      <w:sz w:val="21"/>
                    </w:rPr>
                    <w:t>符合</w:t>
                  </w:r>
                </w:p>
              </w:tc>
            </w:tr>
            <w:tr w14:paraId="7BA2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Align w:val="center"/>
                </w:tcPr>
                <w:p w14:paraId="6D2BA2CB">
                  <w:pPr>
                    <w:pStyle w:val="30"/>
                    <w:adjustRightInd w:val="0"/>
                    <w:snapToGrid w:val="0"/>
                    <w:jc w:val="both"/>
                    <w:rPr>
                      <w:rFonts w:hint="default" w:ascii="Times New Roman" w:hAnsi="Times New Roman" w:cs="Times New Roman"/>
                      <w:color w:val="auto"/>
                    </w:rPr>
                  </w:pPr>
                </w:p>
                <w:p w14:paraId="6CFC441B">
                  <w:pPr>
                    <w:pStyle w:val="30"/>
                    <w:adjustRightInd w:val="0"/>
                    <w:snapToGrid w:val="0"/>
                    <w:jc w:val="both"/>
                    <w:rPr>
                      <w:rFonts w:hint="default" w:ascii="Times New Roman" w:hAnsi="Times New Roman" w:cs="Times New Roman"/>
                      <w:color w:val="auto"/>
                    </w:rPr>
                  </w:pPr>
                </w:p>
                <w:p w14:paraId="0CFC6313">
                  <w:pPr>
                    <w:pStyle w:val="30"/>
                    <w:adjustRightInd w:val="0"/>
                    <w:snapToGrid w:val="0"/>
                    <w:jc w:val="both"/>
                    <w:rPr>
                      <w:rFonts w:hint="default" w:ascii="Times New Roman" w:hAnsi="Times New Roman" w:cs="Times New Roman"/>
                      <w:color w:val="auto"/>
                    </w:rPr>
                  </w:pPr>
                </w:p>
                <w:p w14:paraId="072488E2">
                  <w:pPr>
                    <w:pStyle w:val="30"/>
                    <w:adjustRightInd w:val="0"/>
                    <w:snapToGrid w:val="0"/>
                    <w:jc w:val="both"/>
                    <w:rPr>
                      <w:rFonts w:hint="default" w:ascii="Times New Roman" w:hAnsi="Times New Roman" w:cs="Times New Roman"/>
                      <w:color w:val="auto"/>
                      <w:sz w:val="18"/>
                    </w:rPr>
                  </w:pPr>
                </w:p>
                <w:p w14:paraId="664C852A">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color w:val="auto"/>
                      <w:w w:val="99"/>
                      <w:sz w:val="21"/>
                    </w:rPr>
                    <w:t>2</w:t>
                  </w:r>
                </w:p>
              </w:tc>
              <w:tc>
                <w:tcPr>
                  <w:tcW w:w="2775" w:type="dxa"/>
                  <w:vAlign w:val="center"/>
                </w:tcPr>
                <w:p w14:paraId="2D13BD8D">
                  <w:pPr>
                    <w:pStyle w:val="30"/>
                    <w:adjustRightInd w:val="0"/>
                    <w:snapToGrid w:val="0"/>
                    <w:jc w:val="both"/>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sz w:val="21"/>
                      <w:lang w:eastAsia="zh-CN"/>
                    </w:rPr>
                    <w:t>深入打好建筑施工工地扬尘污染治理攻坚战。全面推行绿色施工， 落实施工工地</w:t>
                  </w:r>
                  <w:r>
                    <w:rPr>
                      <w:rFonts w:hint="default" w:ascii="Times New Roman" w:hAnsi="Times New Roman" w:eastAsia="宋体" w:cs="Times New Roman"/>
                      <w:color w:val="auto"/>
                      <w:spacing w:val="-6"/>
                      <w:sz w:val="21"/>
                      <w:lang w:eastAsia="zh-CN"/>
                    </w:rPr>
                    <w:t>“</w:t>
                  </w:r>
                  <w:r>
                    <w:rPr>
                      <w:rFonts w:hint="default" w:ascii="Times New Roman" w:hAnsi="Times New Roman" w:cs="Times New Roman"/>
                      <w:color w:val="auto"/>
                      <w:spacing w:val="-6"/>
                      <w:sz w:val="21"/>
                      <w:lang w:eastAsia="zh-CN"/>
                    </w:rPr>
                    <w:t>六个百分之百</w:t>
                  </w:r>
                  <w:r>
                    <w:rPr>
                      <w:rFonts w:hint="default" w:ascii="Times New Roman" w:hAnsi="Times New Roman" w:eastAsia="宋体" w:cs="Times New Roman"/>
                      <w:color w:val="auto"/>
                      <w:spacing w:val="-6"/>
                      <w:sz w:val="21"/>
                      <w:lang w:eastAsia="zh-CN"/>
                    </w:rPr>
                    <w:t>”</w:t>
                  </w:r>
                  <w:r>
                    <w:rPr>
                      <w:rFonts w:hint="default" w:ascii="Times New Roman" w:hAnsi="Times New Roman" w:cs="Times New Roman"/>
                      <w:color w:val="auto"/>
                      <w:spacing w:val="-6"/>
                      <w:sz w:val="21"/>
                      <w:lang w:eastAsia="zh-CN"/>
                    </w:rPr>
                    <w:t>工作要求，开展全市建筑施工工地扬尘专项治理。加强建筑渣土运输管理。强化施工、裸露地面等扬尘管控。</w:t>
                  </w:r>
                </w:p>
              </w:tc>
              <w:tc>
                <w:tcPr>
                  <w:tcW w:w="3064" w:type="dxa"/>
                  <w:vAlign w:val="center"/>
                </w:tcPr>
                <w:p w14:paraId="28D56545">
                  <w:pPr>
                    <w:pStyle w:val="30"/>
                    <w:adjustRightInd w:val="0"/>
                    <w:snapToGrid w:val="0"/>
                    <w:jc w:val="both"/>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sz w:val="21"/>
                      <w:lang w:eastAsia="zh-CN"/>
                    </w:rPr>
                    <w:t>项目场地为租用，施工期仅涉及</w:t>
                  </w:r>
                  <w:r>
                    <w:rPr>
                      <w:rFonts w:hint="default" w:ascii="Times New Roman" w:hAnsi="Times New Roman" w:cs="Times New Roman"/>
                      <w:color w:val="auto"/>
                      <w:spacing w:val="-6"/>
                      <w:sz w:val="21"/>
                      <w:lang w:val="en-US" w:eastAsia="zh-CN"/>
                    </w:rPr>
                    <w:t>办公用房</w:t>
                  </w:r>
                  <w:r>
                    <w:rPr>
                      <w:rFonts w:hint="default" w:ascii="Times New Roman" w:hAnsi="Times New Roman" w:cs="Times New Roman"/>
                      <w:color w:val="auto"/>
                      <w:spacing w:val="-6"/>
                      <w:sz w:val="21"/>
                      <w:lang w:eastAsia="zh-CN"/>
                    </w:rPr>
                    <w:t>搭建及设备安装，施工过程运输车辆</w:t>
                  </w:r>
                  <w:r>
                    <w:rPr>
                      <w:rFonts w:hint="default" w:ascii="Times New Roman" w:hAnsi="Times New Roman" w:cs="Times New Roman"/>
                      <w:color w:val="auto"/>
                      <w:spacing w:val="-6"/>
                      <w:w w:val="100"/>
                      <w:sz w:val="21"/>
                      <w:lang w:eastAsia="zh-CN"/>
                    </w:rPr>
                    <w:t>采取低速、篷布遮盖；</w:t>
                  </w:r>
                  <w:r>
                    <w:rPr>
                      <w:rFonts w:hint="default" w:ascii="Times New Roman" w:hAnsi="Times New Roman" w:cs="Times New Roman"/>
                      <w:color w:val="auto"/>
                      <w:spacing w:val="-6"/>
                      <w:sz w:val="21"/>
                      <w:lang w:eastAsia="zh-CN"/>
                    </w:rPr>
                    <w:t>道路采取洒水降尘等</w:t>
                  </w:r>
                  <w:r>
                    <w:rPr>
                      <w:rFonts w:hint="default" w:ascii="Times New Roman" w:hAnsi="Times New Roman" w:cs="Times New Roman"/>
                      <w:color w:val="auto"/>
                      <w:spacing w:val="-6"/>
                      <w:w w:val="100"/>
                      <w:sz w:val="21"/>
                      <w:lang w:eastAsia="zh-CN"/>
                    </w:rPr>
                    <w:t>方式来减少扬尘污染。</w:t>
                  </w:r>
                </w:p>
              </w:tc>
              <w:tc>
                <w:tcPr>
                  <w:tcW w:w="940" w:type="dxa"/>
                  <w:vAlign w:val="center"/>
                </w:tcPr>
                <w:p w14:paraId="48ACDB9F">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color w:val="auto"/>
                      <w:sz w:val="21"/>
                    </w:rPr>
                    <w:t>符合</w:t>
                  </w:r>
                </w:p>
              </w:tc>
            </w:tr>
            <w:tr w14:paraId="73B8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Align w:val="center"/>
                </w:tcPr>
                <w:p w14:paraId="734B6C0F">
                  <w:pPr>
                    <w:pStyle w:val="30"/>
                    <w:adjustRightInd w:val="0"/>
                    <w:snapToGrid w:val="0"/>
                    <w:jc w:val="both"/>
                    <w:rPr>
                      <w:rFonts w:hint="default" w:ascii="Times New Roman" w:hAnsi="Times New Roman" w:cs="Times New Roman"/>
                      <w:color w:val="auto"/>
                      <w:spacing w:val="-6"/>
                      <w:sz w:val="21"/>
                      <w:lang w:eastAsia="zh-CN"/>
                    </w:rPr>
                  </w:pPr>
                </w:p>
                <w:p w14:paraId="712E6577">
                  <w:pPr>
                    <w:pStyle w:val="30"/>
                    <w:adjustRightInd w:val="0"/>
                    <w:snapToGrid w:val="0"/>
                    <w:jc w:val="both"/>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w w:val="100"/>
                      <w:sz w:val="21"/>
                      <w:lang w:eastAsia="zh-CN"/>
                    </w:rPr>
                    <w:t>3</w:t>
                  </w:r>
                </w:p>
              </w:tc>
              <w:tc>
                <w:tcPr>
                  <w:tcW w:w="2775" w:type="dxa"/>
                  <w:vAlign w:val="center"/>
                </w:tcPr>
                <w:p w14:paraId="3C73C56D">
                  <w:pPr>
                    <w:pStyle w:val="30"/>
                    <w:adjustRightInd w:val="0"/>
                    <w:snapToGrid w:val="0"/>
                    <w:jc w:val="both"/>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w w:val="100"/>
                      <w:sz w:val="21"/>
                      <w:lang w:eastAsia="zh-CN"/>
                    </w:rPr>
                    <w:t>推进挥发性有机物（</w:t>
                  </w:r>
                  <w:r>
                    <w:rPr>
                      <w:rFonts w:hint="default" w:ascii="Times New Roman" w:hAnsi="Times New Roman" w:eastAsia="宋体" w:cs="Times New Roman"/>
                      <w:color w:val="auto"/>
                      <w:spacing w:val="-6"/>
                      <w:w w:val="100"/>
                      <w:sz w:val="21"/>
                      <w:lang w:eastAsia="zh-CN"/>
                    </w:rPr>
                    <w:t>VOCs</w:t>
                  </w:r>
                  <w:r>
                    <w:rPr>
                      <w:rFonts w:hint="default" w:ascii="Times New Roman" w:hAnsi="Times New Roman" w:cs="Times New Roman"/>
                      <w:color w:val="auto"/>
                      <w:spacing w:val="-6"/>
                      <w:w w:val="100"/>
                      <w:sz w:val="21"/>
                      <w:lang w:eastAsia="zh-CN"/>
                    </w:rPr>
                    <w:t>）和氮</w:t>
                  </w:r>
                  <w:r>
                    <w:rPr>
                      <w:rFonts w:hint="default" w:ascii="Times New Roman" w:hAnsi="Times New Roman" w:cs="Times New Roman"/>
                      <w:color w:val="auto"/>
                      <w:spacing w:val="-6"/>
                      <w:sz w:val="21"/>
                      <w:lang w:eastAsia="zh-CN"/>
                    </w:rPr>
                    <w:t>氧化物（</w:t>
                  </w:r>
                  <w:r>
                    <w:rPr>
                      <w:rFonts w:hint="default" w:ascii="Times New Roman" w:hAnsi="Times New Roman" w:eastAsia="宋体" w:cs="Times New Roman"/>
                      <w:color w:val="auto"/>
                      <w:spacing w:val="-6"/>
                      <w:sz w:val="21"/>
                      <w:lang w:eastAsia="zh-CN"/>
                    </w:rPr>
                    <w:t>NOx</w:t>
                  </w:r>
                  <w:r>
                    <w:rPr>
                      <w:rFonts w:hint="default" w:ascii="Times New Roman" w:hAnsi="Times New Roman" w:cs="Times New Roman"/>
                      <w:color w:val="auto"/>
                      <w:spacing w:val="-6"/>
                      <w:sz w:val="21"/>
                      <w:lang w:eastAsia="zh-CN"/>
                    </w:rPr>
                    <w:t>）协同治理。以化</w:t>
                  </w:r>
                  <w:r>
                    <w:rPr>
                      <w:rFonts w:hint="default" w:ascii="Times New Roman" w:hAnsi="Times New Roman" w:cs="Times New Roman"/>
                      <w:color w:val="auto"/>
                      <w:spacing w:val="-6"/>
                      <w:w w:val="100"/>
                      <w:sz w:val="21"/>
                      <w:lang w:eastAsia="zh-CN"/>
                    </w:rPr>
                    <w:t>工、涂装、医药、包装印刷、油品储运销、汽车维修等行业（领域）为重点，安全高效推进挥发性有机物综合治理，实施原辅材料和产品源头替代工程。推进氮氧化物排放深度治理，完成钢铁企业超低排放改造，实施水泥、</w:t>
                  </w:r>
                  <w:r>
                    <w:rPr>
                      <w:rFonts w:hint="default" w:ascii="Times New Roman" w:hAnsi="Times New Roman" w:cs="Times New Roman"/>
                      <w:color w:val="auto"/>
                      <w:spacing w:val="-6"/>
                      <w:sz w:val="21"/>
                      <w:lang w:eastAsia="zh-CN"/>
                    </w:rPr>
                    <w:t>焦化企业超低排放改造。</w:t>
                  </w:r>
                </w:p>
              </w:tc>
              <w:tc>
                <w:tcPr>
                  <w:tcW w:w="3064" w:type="dxa"/>
                  <w:vAlign w:val="center"/>
                </w:tcPr>
                <w:p w14:paraId="5FDBDFA5">
                  <w:pPr>
                    <w:pStyle w:val="30"/>
                    <w:adjustRightInd w:val="0"/>
                    <w:snapToGrid w:val="0"/>
                    <w:jc w:val="center"/>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sz w:val="21"/>
                      <w:lang w:eastAsia="zh-CN"/>
                    </w:rPr>
                    <w:t>本项目不涉及。</w:t>
                  </w:r>
                </w:p>
              </w:tc>
              <w:tc>
                <w:tcPr>
                  <w:tcW w:w="940" w:type="dxa"/>
                  <w:vAlign w:val="center"/>
                </w:tcPr>
                <w:p w14:paraId="21C63E89">
                  <w:pPr>
                    <w:pStyle w:val="30"/>
                    <w:adjustRightInd w:val="0"/>
                    <w:snapToGrid w:val="0"/>
                    <w:jc w:val="both"/>
                    <w:rPr>
                      <w:rFonts w:hint="default" w:ascii="Times New Roman" w:hAnsi="Times New Roman" w:cs="Times New Roman"/>
                      <w:color w:val="auto"/>
                      <w:sz w:val="28"/>
                    </w:rPr>
                  </w:pPr>
                </w:p>
                <w:p w14:paraId="4B314D63">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color w:val="auto"/>
                      <w:sz w:val="21"/>
                    </w:rPr>
                    <w:t>符合</w:t>
                  </w:r>
                </w:p>
              </w:tc>
            </w:tr>
            <w:tr w14:paraId="4B6F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Align w:val="center"/>
                </w:tcPr>
                <w:p w14:paraId="26FC74C3">
                  <w:pPr>
                    <w:pStyle w:val="30"/>
                    <w:adjustRightInd w:val="0"/>
                    <w:snapToGrid w:val="0"/>
                    <w:jc w:val="both"/>
                    <w:rPr>
                      <w:rFonts w:hint="default" w:ascii="Times New Roman" w:hAnsi="Times New Roman" w:cs="Times New Roman"/>
                      <w:color w:val="auto"/>
                      <w:spacing w:val="-6"/>
                      <w:sz w:val="21"/>
                      <w:lang w:eastAsia="zh-CN"/>
                    </w:rPr>
                  </w:pPr>
                </w:p>
                <w:p w14:paraId="5960C597">
                  <w:pPr>
                    <w:pStyle w:val="30"/>
                    <w:adjustRightInd w:val="0"/>
                    <w:snapToGrid w:val="0"/>
                    <w:jc w:val="both"/>
                    <w:rPr>
                      <w:rFonts w:hint="default" w:ascii="Times New Roman" w:hAnsi="Times New Roman" w:cs="Times New Roman"/>
                      <w:color w:val="auto"/>
                      <w:spacing w:val="-6"/>
                      <w:sz w:val="21"/>
                      <w:lang w:eastAsia="zh-CN"/>
                    </w:rPr>
                  </w:pPr>
                </w:p>
                <w:p w14:paraId="0D41E891">
                  <w:pPr>
                    <w:pStyle w:val="30"/>
                    <w:adjustRightInd w:val="0"/>
                    <w:snapToGrid w:val="0"/>
                    <w:jc w:val="both"/>
                    <w:rPr>
                      <w:rFonts w:hint="default" w:ascii="Times New Roman" w:hAnsi="Times New Roman" w:cs="Times New Roman"/>
                      <w:color w:val="auto"/>
                      <w:spacing w:val="-6"/>
                      <w:sz w:val="21"/>
                      <w:lang w:eastAsia="zh-CN"/>
                    </w:rPr>
                  </w:pPr>
                </w:p>
                <w:p w14:paraId="1B12E6FF">
                  <w:pPr>
                    <w:pStyle w:val="30"/>
                    <w:adjustRightInd w:val="0"/>
                    <w:snapToGrid w:val="0"/>
                    <w:jc w:val="both"/>
                    <w:rPr>
                      <w:rFonts w:hint="default" w:ascii="Times New Roman" w:hAnsi="Times New Roman" w:cs="Times New Roman"/>
                      <w:color w:val="auto"/>
                      <w:spacing w:val="-6"/>
                      <w:sz w:val="21"/>
                      <w:lang w:eastAsia="zh-CN"/>
                    </w:rPr>
                  </w:pPr>
                </w:p>
                <w:p w14:paraId="3E04FCF7">
                  <w:pPr>
                    <w:pStyle w:val="30"/>
                    <w:adjustRightInd w:val="0"/>
                    <w:snapToGrid w:val="0"/>
                    <w:jc w:val="both"/>
                    <w:rPr>
                      <w:rFonts w:hint="default" w:ascii="Times New Roman" w:hAnsi="Times New Roman" w:cs="Times New Roman"/>
                      <w:color w:val="auto"/>
                      <w:spacing w:val="-6"/>
                      <w:sz w:val="21"/>
                      <w:lang w:eastAsia="zh-CN"/>
                    </w:rPr>
                  </w:pPr>
                </w:p>
                <w:p w14:paraId="4527BE30">
                  <w:pPr>
                    <w:pStyle w:val="30"/>
                    <w:adjustRightInd w:val="0"/>
                    <w:snapToGrid w:val="0"/>
                    <w:jc w:val="both"/>
                    <w:rPr>
                      <w:rFonts w:hint="default" w:ascii="Times New Roman" w:hAnsi="Times New Roman" w:cs="Times New Roman"/>
                      <w:color w:val="auto"/>
                      <w:spacing w:val="-6"/>
                      <w:sz w:val="21"/>
                      <w:lang w:eastAsia="zh-CN"/>
                    </w:rPr>
                  </w:pPr>
                </w:p>
                <w:p w14:paraId="0778EE9E">
                  <w:pPr>
                    <w:pStyle w:val="30"/>
                    <w:adjustRightInd w:val="0"/>
                    <w:snapToGrid w:val="0"/>
                    <w:jc w:val="both"/>
                    <w:rPr>
                      <w:rFonts w:hint="default" w:ascii="Times New Roman" w:hAnsi="Times New Roman" w:cs="Times New Roman"/>
                      <w:color w:val="auto"/>
                      <w:spacing w:val="-6"/>
                      <w:sz w:val="21"/>
                      <w:lang w:eastAsia="zh-CN"/>
                    </w:rPr>
                  </w:pPr>
                </w:p>
                <w:p w14:paraId="549354EE">
                  <w:pPr>
                    <w:pStyle w:val="30"/>
                    <w:adjustRightInd w:val="0"/>
                    <w:snapToGrid w:val="0"/>
                    <w:jc w:val="both"/>
                    <w:rPr>
                      <w:rFonts w:hint="default" w:ascii="Times New Roman" w:hAnsi="Times New Roman" w:cs="Times New Roman"/>
                      <w:color w:val="auto"/>
                      <w:spacing w:val="-6"/>
                      <w:sz w:val="21"/>
                      <w:lang w:eastAsia="zh-CN"/>
                    </w:rPr>
                  </w:pPr>
                </w:p>
                <w:p w14:paraId="4C24279B">
                  <w:pPr>
                    <w:pStyle w:val="30"/>
                    <w:adjustRightInd w:val="0"/>
                    <w:snapToGrid w:val="0"/>
                    <w:jc w:val="both"/>
                    <w:rPr>
                      <w:rFonts w:hint="default" w:ascii="Times New Roman" w:hAnsi="Times New Roman" w:cs="Times New Roman"/>
                      <w:color w:val="auto"/>
                      <w:spacing w:val="-6"/>
                      <w:sz w:val="21"/>
                      <w:lang w:eastAsia="zh-CN"/>
                    </w:rPr>
                  </w:pPr>
                </w:p>
                <w:p w14:paraId="43E41653">
                  <w:pPr>
                    <w:pStyle w:val="30"/>
                    <w:adjustRightInd w:val="0"/>
                    <w:snapToGrid w:val="0"/>
                    <w:jc w:val="both"/>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w w:val="100"/>
                      <w:sz w:val="21"/>
                      <w:lang w:eastAsia="zh-CN"/>
                    </w:rPr>
                    <w:t>4</w:t>
                  </w:r>
                </w:p>
              </w:tc>
              <w:tc>
                <w:tcPr>
                  <w:tcW w:w="2775" w:type="dxa"/>
                  <w:vAlign w:val="center"/>
                </w:tcPr>
                <w:p w14:paraId="7C916D83">
                  <w:pPr>
                    <w:pStyle w:val="30"/>
                    <w:adjustRightInd w:val="0"/>
                    <w:snapToGrid w:val="0"/>
                    <w:jc w:val="both"/>
                    <w:rPr>
                      <w:rFonts w:hint="default" w:ascii="Times New Roman" w:hAnsi="Times New Roman" w:cs="Times New Roman"/>
                      <w:b w:val="0"/>
                      <w:color w:val="auto"/>
                      <w:spacing w:val="-6"/>
                      <w:sz w:val="21"/>
                      <w:lang w:eastAsia="zh-CN"/>
                    </w:rPr>
                  </w:pPr>
                  <w:r>
                    <w:rPr>
                      <w:rFonts w:hint="default" w:ascii="Times New Roman" w:hAnsi="Times New Roman" w:cs="Times New Roman"/>
                      <w:color w:val="auto"/>
                      <w:spacing w:val="-6"/>
                      <w:w w:val="100"/>
                      <w:sz w:val="21"/>
                      <w:lang w:eastAsia="zh-CN"/>
                    </w:rPr>
                    <w:t>改善区域大气和声环境质量。强化大气污染协同治理，持续开展春夏季攻坚行动，推进细颗粒物和臭氧协同控制。落实大气污染联防联控机制。加大餐饮油烟污染、恶臭异味治理力度，强化秸秆综合利用和禁烧管控。实施噪声污染防治行动，创造安静的生</w:t>
                  </w:r>
                  <w:r>
                    <w:rPr>
                      <w:rFonts w:hint="default" w:ascii="Times New Roman" w:hAnsi="Times New Roman" w:cs="Times New Roman"/>
                      <w:color w:val="auto"/>
                      <w:spacing w:val="-6"/>
                      <w:sz w:val="21"/>
                      <w:lang w:eastAsia="zh-CN"/>
                    </w:rPr>
                    <w:t>活环境。</w:t>
                  </w:r>
                </w:p>
              </w:tc>
              <w:tc>
                <w:tcPr>
                  <w:tcW w:w="3064" w:type="dxa"/>
                  <w:vAlign w:val="center"/>
                </w:tcPr>
                <w:p w14:paraId="08CE918A">
                  <w:pPr>
                    <w:pStyle w:val="30"/>
                    <w:adjustRightInd w:val="0"/>
                    <w:snapToGrid w:val="0"/>
                    <w:jc w:val="both"/>
                    <w:rPr>
                      <w:rFonts w:hint="default" w:ascii="Times New Roman" w:hAnsi="Times New Roman" w:cs="Times New Roman"/>
                      <w:b w:val="0"/>
                      <w:color w:val="auto"/>
                      <w:spacing w:val="-6"/>
                      <w:sz w:val="21"/>
                      <w:lang w:eastAsia="zh-CN"/>
                    </w:rPr>
                  </w:pPr>
                  <w:r>
                    <w:rPr>
                      <w:rFonts w:hint="default" w:ascii="Times New Roman" w:hAnsi="Times New Roman" w:eastAsia="宋体" w:cs="Times New Roman"/>
                      <w:color w:val="auto"/>
                      <w:sz w:val="21"/>
                      <w:szCs w:val="21"/>
                      <w:lang w:val="en-US" w:eastAsia="zh-CN"/>
                    </w:rPr>
                    <w:t>装载机上料粉尘：本项目骨料上料过程通过洒水降尘可以有效减少粉尘产生量；运输过程扬尘：原料采用卡车运输，卡车用苫布苫盖，原料的运输过程产生的扬尘通过定期洒水进行降尘、限速行驶等措施，可有效降低粉尘产生；原料堆场粉尘：</w:t>
                  </w:r>
                  <w:r>
                    <w:rPr>
                      <w:rFonts w:hint="default" w:ascii="Times New Roman" w:hAnsi="Times New Roman" w:cs="Times New Roman"/>
                      <w:color w:val="auto"/>
                      <w:sz w:val="21"/>
                      <w:szCs w:val="21"/>
                      <w:lang w:eastAsia="zh-CN" w:bidi="ar"/>
                    </w:rPr>
                    <w:t>三面围挡+顶棚措施，所有物料均进入料棚内堆存，同时采用篷布遮盖，此外，原料堆场应定时洒水降尘</w:t>
                  </w:r>
                  <w:r>
                    <w:rPr>
                      <w:rFonts w:hint="default" w:ascii="Times New Roman" w:hAnsi="Times New Roman" w:eastAsia="宋体" w:cs="Times New Roman"/>
                      <w:color w:val="auto"/>
                      <w:sz w:val="21"/>
                      <w:szCs w:val="21"/>
                      <w:lang w:val="en-US" w:eastAsia="zh-CN"/>
                    </w:rPr>
                    <w:t>；车间无组织粉尘：生产车间为半封闭车间（三面封闭，其中一面预留物料出入口大门），约60%的粉尘在生产车间内自然沉降；搅拌机粉尘：本项目对搅拌机和投料口进行整体封闭，定时洒水降尘；汽车尾气：项目汽车发车频次较少，项目占地面积较大，全部为露天排放，有利于空气的扩散，且项目临路和临山周边种植有植物，对大气环境也有一定的净化作用。对周边空气环境影响较小</w:t>
                  </w:r>
                  <w:r>
                    <w:rPr>
                      <w:rFonts w:hint="default" w:ascii="Times New Roman" w:hAnsi="Times New Roman" w:cs="Times New Roman"/>
                      <w:color w:val="auto"/>
                      <w:spacing w:val="-6"/>
                      <w:sz w:val="21"/>
                      <w:lang w:eastAsia="zh-CN"/>
                    </w:rPr>
                    <w:t>；项</w:t>
                  </w:r>
                  <w:r>
                    <w:rPr>
                      <w:rFonts w:hint="default" w:ascii="Times New Roman" w:hAnsi="Times New Roman" w:cs="Times New Roman"/>
                      <w:color w:val="auto"/>
                      <w:spacing w:val="-6"/>
                      <w:w w:val="100"/>
                      <w:sz w:val="21"/>
                      <w:lang w:eastAsia="zh-CN"/>
                    </w:rPr>
                    <w:t xml:space="preserve">目生产时产生的噪声， </w:t>
                  </w:r>
                  <w:r>
                    <w:rPr>
                      <w:rFonts w:hint="default" w:ascii="Times New Roman" w:hAnsi="Times New Roman" w:cs="Times New Roman"/>
                      <w:color w:val="auto"/>
                      <w:spacing w:val="-6"/>
                      <w:sz w:val="21"/>
                      <w:lang w:eastAsia="zh-CN"/>
                    </w:rPr>
                    <w:t>通过车间阻隔距离衰 减后对周边环境影响不大。</w:t>
                  </w:r>
                </w:p>
              </w:tc>
              <w:tc>
                <w:tcPr>
                  <w:tcW w:w="940" w:type="dxa"/>
                  <w:vAlign w:val="center"/>
                </w:tcPr>
                <w:p w14:paraId="3E43686B">
                  <w:pPr>
                    <w:pStyle w:val="30"/>
                    <w:adjustRightInd w:val="0"/>
                    <w:snapToGrid w:val="0"/>
                    <w:jc w:val="both"/>
                    <w:rPr>
                      <w:rFonts w:hint="default" w:ascii="Times New Roman" w:hAnsi="Times New Roman" w:cs="Times New Roman"/>
                      <w:color w:val="auto"/>
                      <w:sz w:val="20"/>
                      <w:lang w:eastAsia="zh-CN"/>
                    </w:rPr>
                  </w:pPr>
                </w:p>
                <w:p w14:paraId="4F753C93">
                  <w:pPr>
                    <w:pStyle w:val="30"/>
                    <w:adjustRightInd w:val="0"/>
                    <w:snapToGrid w:val="0"/>
                    <w:jc w:val="both"/>
                    <w:rPr>
                      <w:rFonts w:hint="default" w:ascii="Times New Roman" w:hAnsi="Times New Roman" w:cs="Times New Roman"/>
                      <w:color w:val="auto"/>
                      <w:sz w:val="20"/>
                      <w:lang w:eastAsia="zh-CN"/>
                    </w:rPr>
                  </w:pPr>
                </w:p>
                <w:p w14:paraId="039BE375">
                  <w:pPr>
                    <w:pStyle w:val="30"/>
                    <w:adjustRightInd w:val="0"/>
                    <w:snapToGrid w:val="0"/>
                    <w:jc w:val="both"/>
                    <w:rPr>
                      <w:rFonts w:hint="default" w:ascii="Times New Roman" w:hAnsi="Times New Roman" w:cs="Times New Roman"/>
                      <w:color w:val="auto"/>
                      <w:sz w:val="20"/>
                      <w:lang w:eastAsia="zh-CN"/>
                    </w:rPr>
                  </w:pPr>
                </w:p>
                <w:p w14:paraId="12ED8E8F">
                  <w:pPr>
                    <w:pStyle w:val="30"/>
                    <w:adjustRightInd w:val="0"/>
                    <w:snapToGrid w:val="0"/>
                    <w:jc w:val="both"/>
                    <w:rPr>
                      <w:rFonts w:hint="default" w:ascii="Times New Roman" w:hAnsi="Times New Roman" w:cs="Times New Roman"/>
                      <w:color w:val="auto"/>
                      <w:sz w:val="20"/>
                      <w:lang w:eastAsia="zh-CN"/>
                    </w:rPr>
                  </w:pPr>
                </w:p>
                <w:p w14:paraId="7E33597A">
                  <w:pPr>
                    <w:pStyle w:val="30"/>
                    <w:adjustRightInd w:val="0"/>
                    <w:snapToGrid w:val="0"/>
                    <w:jc w:val="both"/>
                    <w:rPr>
                      <w:rFonts w:hint="default" w:ascii="Times New Roman" w:hAnsi="Times New Roman" w:cs="Times New Roman"/>
                      <w:color w:val="auto"/>
                      <w:sz w:val="20"/>
                      <w:lang w:eastAsia="zh-CN"/>
                    </w:rPr>
                  </w:pPr>
                </w:p>
                <w:p w14:paraId="79662B7E">
                  <w:pPr>
                    <w:pStyle w:val="30"/>
                    <w:adjustRightInd w:val="0"/>
                    <w:snapToGrid w:val="0"/>
                    <w:jc w:val="both"/>
                    <w:rPr>
                      <w:rFonts w:hint="default" w:ascii="Times New Roman" w:hAnsi="Times New Roman" w:cs="Times New Roman"/>
                      <w:color w:val="auto"/>
                      <w:sz w:val="20"/>
                      <w:lang w:eastAsia="zh-CN"/>
                    </w:rPr>
                  </w:pPr>
                </w:p>
                <w:p w14:paraId="6C964FD6">
                  <w:pPr>
                    <w:pStyle w:val="30"/>
                    <w:adjustRightInd w:val="0"/>
                    <w:snapToGrid w:val="0"/>
                    <w:jc w:val="both"/>
                    <w:rPr>
                      <w:rFonts w:hint="default" w:ascii="Times New Roman" w:hAnsi="Times New Roman" w:cs="Times New Roman"/>
                      <w:color w:val="auto"/>
                      <w:sz w:val="20"/>
                      <w:lang w:eastAsia="zh-CN"/>
                    </w:rPr>
                  </w:pPr>
                </w:p>
                <w:p w14:paraId="18364B80">
                  <w:pPr>
                    <w:pStyle w:val="30"/>
                    <w:adjustRightInd w:val="0"/>
                    <w:snapToGrid w:val="0"/>
                    <w:jc w:val="both"/>
                    <w:rPr>
                      <w:rFonts w:hint="default" w:ascii="Times New Roman" w:hAnsi="Times New Roman" w:cs="Times New Roman"/>
                      <w:color w:val="auto"/>
                      <w:sz w:val="20"/>
                      <w:lang w:eastAsia="zh-CN"/>
                    </w:rPr>
                  </w:pPr>
                </w:p>
                <w:p w14:paraId="3BD94856">
                  <w:pPr>
                    <w:pStyle w:val="30"/>
                    <w:adjustRightInd w:val="0"/>
                    <w:snapToGrid w:val="0"/>
                    <w:jc w:val="both"/>
                    <w:rPr>
                      <w:rFonts w:hint="default" w:ascii="Times New Roman" w:hAnsi="Times New Roman" w:cs="Times New Roman"/>
                      <w:color w:val="auto"/>
                      <w:sz w:val="20"/>
                      <w:lang w:eastAsia="zh-CN"/>
                    </w:rPr>
                  </w:pPr>
                </w:p>
                <w:p w14:paraId="1FD1BBF7">
                  <w:pPr>
                    <w:pStyle w:val="30"/>
                    <w:adjustRightInd w:val="0"/>
                    <w:snapToGrid w:val="0"/>
                    <w:jc w:val="both"/>
                    <w:rPr>
                      <w:rFonts w:hint="default" w:ascii="Times New Roman" w:hAnsi="Times New Roman" w:cs="Times New Roman"/>
                      <w:color w:val="auto"/>
                      <w:sz w:val="25"/>
                      <w:lang w:eastAsia="zh-CN"/>
                    </w:rPr>
                  </w:pPr>
                </w:p>
                <w:p w14:paraId="1A96C2A8">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color w:val="auto"/>
                      <w:sz w:val="21"/>
                    </w:rPr>
                    <w:t>符合</w:t>
                  </w:r>
                </w:p>
              </w:tc>
            </w:tr>
            <w:tr w14:paraId="35A0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5" w:type="dxa"/>
                  <w:gridSpan w:val="4"/>
                  <w:vAlign w:val="center"/>
                </w:tcPr>
                <w:p w14:paraId="699A4668">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color w:val="auto"/>
                      <w:sz w:val="21"/>
                      <w:lang w:eastAsia="zh-CN"/>
                    </w:rPr>
                    <w:t>备注：其他与项目无关项未列入。</w:t>
                  </w:r>
                </w:p>
              </w:tc>
            </w:tr>
          </w:tbl>
          <w:p w14:paraId="14DA8F79">
            <w:pPr>
              <w:pStyle w:val="30"/>
              <w:adjustRightInd w:val="0"/>
              <w:snapToGrid w:val="0"/>
              <w:spacing w:line="360" w:lineRule="auto"/>
              <w:ind w:firstLine="480" w:firstLineChars="200"/>
              <w:rPr>
                <w:rFonts w:hint="default" w:ascii="Times New Roman" w:hAnsi="Times New Roman" w:cs="Times New Roman"/>
                <w:b/>
                <w:color w:val="auto"/>
                <w:sz w:val="21"/>
                <w:lang w:eastAsia="zh-CN"/>
              </w:rPr>
            </w:pPr>
            <w:r>
              <w:rPr>
                <w:rFonts w:hint="default" w:ascii="Times New Roman" w:hAnsi="Times New Roman" w:cs="Times New Roman"/>
                <w:color w:val="auto"/>
                <w:sz w:val="24"/>
                <w:lang w:eastAsia="zh-CN"/>
              </w:rPr>
              <w:t>综上，项目建设符合《关于深入打好污染防治攻坚战的实施方案》的相关要求。</w:t>
            </w:r>
          </w:p>
          <w:p w14:paraId="1093EEBD">
            <w:pPr>
              <w:pStyle w:val="30"/>
              <w:adjustRightInd w:val="0"/>
              <w:snapToGrid w:val="0"/>
              <w:spacing w:line="360" w:lineRule="auto"/>
              <w:ind w:firstLine="422" w:firstLineChars="200"/>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十一、</w:t>
            </w:r>
            <w:r>
              <w:rPr>
                <w:rFonts w:hint="default" w:ascii="Times New Roman" w:hAnsi="Times New Roman" w:cs="Times New Roman"/>
                <w:b/>
                <w:color w:val="auto"/>
                <w:w w:val="95"/>
                <w:sz w:val="24"/>
                <w:lang w:eastAsia="zh-CN"/>
              </w:rPr>
              <w:t xml:space="preserve">本项目与《玉溪市“十四五”节能减排综合工作实施方案》 </w:t>
            </w:r>
            <w:r>
              <w:rPr>
                <w:rFonts w:hint="default" w:ascii="Times New Roman" w:hAnsi="Times New Roman" w:cs="Times New Roman"/>
                <w:b/>
                <w:color w:val="auto"/>
                <w:sz w:val="24"/>
                <w:lang w:eastAsia="zh-CN"/>
              </w:rPr>
              <w:t>符合性分析</w:t>
            </w:r>
          </w:p>
          <w:p w14:paraId="1CCEDE7E">
            <w:pPr>
              <w:pStyle w:val="30"/>
              <w:adjustRightInd w:val="0"/>
              <w:snapToGrid w:val="0"/>
              <w:spacing w:before="120" w:beforeLines="50"/>
              <w:ind w:firstLine="422" w:firstLineChars="200"/>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 xml:space="preserve">表 </w:t>
            </w:r>
            <w:r>
              <w:rPr>
                <w:rFonts w:hint="default" w:ascii="Times New Roman" w:hAnsi="Times New Roman" w:eastAsia="Times New Roman" w:cs="Times New Roman"/>
                <w:b/>
                <w:color w:val="auto"/>
                <w:sz w:val="21"/>
                <w:lang w:eastAsia="zh-CN"/>
              </w:rPr>
              <w:t xml:space="preserve">1-6 </w:t>
            </w:r>
            <w:r>
              <w:rPr>
                <w:rFonts w:hint="default" w:ascii="Times New Roman" w:hAnsi="Times New Roman" w:cs="Times New Roman"/>
                <w:b/>
                <w:color w:val="auto"/>
                <w:sz w:val="21"/>
                <w:lang w:eastAsia="zh-CN"/>
              </w:rPr>
              <w:t>项目与《玉溪市“十四五”节能减排综合工作实施方案》符合性分析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805"/>
              <w:gridCol w:w="2948"/>
              <w:gridCol w:w="1056"/>
            </w:tblGrid>
            <w:tr w14:paraId="3BD1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Align w:val="center"/>
                </w:tcPr>
                <w:p w14:paraId="79DF6C0B">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rPr>
                    <w:t>序号</w:t>
                  </w:r>
                </w:p>
              </w:tc>
              <w:tc>
                <w:tcPr>
                  <w:tcW w:w="2805" w:type="dxa"/>
                  <w:vAlign w:val="center"/>
                </w:tcPr>
                <w:p w14:paraId="5872553A">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b/>
                      <w:color w:val="auto"/>
                      <w:sz w:val="21"/>
                    </w:rPr>
                    <w:t>工作实施方案</w:t>
                  </w:r>
                </w:p>
              </w:tc>
              <w:tc>
                <w:tcPr>
                  <w:tcW w:w="2948" w:type="dxa"/>
                  <w:vAlign w:val="center"/>
                </w:tcPr>
                <w:p w14:paraId="79C944EA">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b/>
                      <w:color w:val="auto"/>
                      <w:sz w:val="21"/>
                    </w:rPr>
                    <w:t>本项目情况</w:t>
                  </w:r>
                </w:p>
              </w:tc>
              <w:tc>
                <w:tcPr>
                  <w:tcW w:w="1056" w:type="dxa"/>
                  <w:vAlign w:val="center"/>
                </w:tcPr>
                <w:p w14:paraId="230D369C">
                  <w:pPr>
                    <w:pStyle w:val="30"/>
                    <w:adjustRightInd w:val="0"/>
                    <w:snapToGrid w:val="0"/>
                    <w:jc w:val="center"/>
                    <w:rPr>
                      <w:rFonts w:hint="default" w:ascii="Times New Roman" w:hAnsi="Times New Roman" w:cs="Times New Roman"/>
                      <w:b/>
                      <w:color w:val="auto"/>
                      <w:sz w:val="21"/>
                    </w:rPr>
                  </w:pPr>
                  <w:r>
                    <w:rPr>
                      <w:rFonts w:hint="default" w:ascii="Times New Roman" w:hAnsi="Times New Roman" w:cs="Times New Roman"/>
                      <w:b/>
                      <w:color w:val="auto"/>
                      <w:sz w:val="21"/>
                    </w:rPr>
                    <w:t>符合性</w:t>
                  </w:r>
                </w:p>
              </w:tc>
            </w:tr>
            <w:tr w14:paraId="164C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Align w:val="center"/>
                </w:tcPr>
                <w:p w14:paraId="7FEB6003">
                  <w:pPr>
                    <w:pStyle w:val="30"/>
                    <w:adjustRightInd w:val="0"/>
                    <w:snapToGrid w:val="0"/>
                    <w:jc w:val="center"/>
                    <w:rPr>
                      <w:rFonts w:hint="default" w:ascii="Times New Roman" w:hAnsi="Times New Roman" w:cs="Times New Roman"/>
                      <w:color w:val="auto"/>
                      <w:spacing w:val="-9"/>
                      <w:sz w:val="21"/>
                      <w:lang w:eastAsia="zh-CN"/>
                    </w:rPr>
                  </w:pPr>
                </w:p>
                <w:p w14:paraId="350CE287">
                  <w:pPr>
                    <w:pStyle w:val="30"/>
                    <w:adjustRightInd w:val="0"/>
                    <w:snapToGrid w:val="0"/>
                    <w:jc w:val="center"/>
                    <w:rPr>
                      <w:rFonts w:hint="default" w:ascii="Times New Roman" w:hAnsi="Times New Roman" w:cs="Times New Roman"/>
                      <w:color w:val="auto"/>
                      <w:spacing w:val="-9"/>
                      <w:sz w:val="21"/>
                      <w:lang w:eastAsia="zh-CN"/>
                    </w:rPr>
                  </w:pPr>
                </w:p>
                <w:p w14:paraId="7EAC9983">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w w:val="100"/>
                      <w:sz w:val="21"/>
                      <w:lang w:eastAsia="zh-CN"/>
                    </w:rPr>
                    <w:t>1</w:t>
                  </w:r>
                </w:p>
              </w:tc>
              <w:tc>
                <w:tcPr>
                  <w:tcW w:w="2805" w:type="dxa"/>
                  <w:vAlign w:val="center"/>
                </w:tcPr>
                <w:p w14:paraId="6703E02D">
                  <w:pPr>
                    <w:pStyle w:val="30"/>
                    <w:adjustRightInd w:val="0"/>
                    <w:snapToGrid w:val="0"/>
                    <w:jc w:val="both"/>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w w:val="100"/>
                      <w:sz w:val="21"/>
                      <w:lang w:eastAsia="zh-CN"/>
                    </w:rPr>
                    <w:t>重点行业绿色升级工程。以钢铁、</w:t>
                  </w:r>
                  <w:r>
                    <w:rPr>
                      <w:rFonts w:hint="default" w:ascii="Times New Roman" w:hAnsi="Times New Roman" w:cs="Times New Roman"/>
                      <w:color w:val="auto"/>
                      <w:spacing w:val="-9"/>
                      <w:sz w:val="21"/>
                      <w:lang w:eastAsia="zh-CN"/>
                    </w:rPr>
                    <w:t>有色金属、建材、石化化工等行业为重点，推进节能改造和污染物深度治理。</w:t>
                  </w:r>
                </w:p>
              </w:tc>
              <w:tc>
                <w:tcPr>
                  <w:tcW w:w="2948" w:type="dxa"/>
                  <w:vAlign w:val="center"/>
                </w:tcPr>
                <w:p w14:paraId="44104BAC">
                  <w:pPr>
                    <w:pStyle w:val="30"/>
                    <w:adjustRightInd w:val="0"/>
                    <w:snapToGrid w:val="0"/>
                    <w:jc w:val="both"/>
                    <w:rPr>
                      <w:rFonts w:hint="default" w:ascii="Times New Roman" w:hAnsi="Times New Roman" w:cs="Times New Roman"/>
                      <w:b w:val="0"/>
                      <w:color w:val="auto"/>
                      <w:spacing w:val="-9"/>
                      <w:sz w:val="21"/>
                      <w:lang w:eastAsia="zh-CN"/>
                    </w:rPr>
                  </w:pPr>
                  <w:r>
                    <w:rPr>
                      <w:rFonts w:hint="default" w:ascii="Times New Roman" w:hAnsi="Times New Roman" w:cs="Times New Roman"/>
                      <w:bCs/>
                      <w:color w:val="auto"/>
                      <w:sz w:val="21"/>
                      <w:lang w:eastAsia="zh-CN"/>
                    </w:rPr>
                    <w:t>本项目属于拌合料生产项目</w:t>
                  </w:r>
                  <w:r>
                    <w:rPr>
                      <w:rFonts w:hint="default" w:ascii="Times New Roman" w:hAnsi="Times New Roman" w:cs="Times New Roman"/>
                      <w:color w:val="auto"/>
                      <w:sz w:val="21"/>
                      <w:lang w:eastAsia="zh-CN"/>
                    </w:rPr>
                    <w:t>，</w:t>
                  </w:r>
                  <w:r>
                    <w:rPr>
                      <w:rFonts w:hint="default" w:ascii="Times New Roman" w:hAnsi="Times New Roman" w:cs="Times New Roman"/>
                      <w:color w:val="auto"/>
                      <w:spacing w:val="-9"/>
                      <w:w w:val="100"/>
                      <w:sz w:val="21"/>
                      <w:lang w:eastAsia="zh-CN"/>
                    </w:rPr>
                    <w:t>不属于重</w:t>
                  </w:r>
                  <w:r>
                    <w:rPr>
                      <w:rFonts w:hint="default" w:ascii="Times New Roman" w:hAnsi="Times New Roman" w:cs="Times New Roman"/>
                      <w:color w:val="auto"/>
                      <w:spacing w:val="-9"/>
                      <w:sz w:val="21"/>
                      <w:lang w:eastAsia="zh-CN"/>
                    </w:rPr>
                    <w:t>点行业，不涉及。</w:t>
                  </w:r>
                </w:p>
              </w:tc>
              <w:tc>
                <w:tcPr>
                  <w:tcW w:w="1056" w:type="dxa"/>
                  <w:vAlign w:val="center"/>
                </w:tcPr>
                <w:p w14:paraId="256BFA44">
                  <w:pPr>
                    <w:pStyle w:val="30"/>
                    <w:adjustRightInd w:val="0"/>
                    <w:snapToGrid w:val="0"/>
                    <w:jc w:val="center"/>
                    <w:rPr>
                      <w:rFonts w:hint="default" w:ascii="Times New Roman" w:hAnsi="Times New Roman" w:cs="Times New Roman"/>
                      <w:color w:val="auto"/>
                      <w:spacing w:val="-9"/>
                      <w:sz w:val="21"/>
                      <w:lang w:eastAsia="zh-CN"/>
                    </w:rPr>
                  </w:pPr>
                </w:p>
                <w:p w14:paraId="44257877">
                  <w:pPr>
                    <w:pStyle w:val="30"/>
                    <w:adjustRightInd w:val="0"/>
                    <w:snapToGrid w:val="0"/>
                    <w:jc w:val="center"/>
                    <w:rPr>
                      <w:rFonts w:hint="default" w:ascii="Times New Roman" w:hAnsi="Times New Roman" w:cs="Times New Roman"/>
                      <w:color w:val="auto"/>
                      <w:spacing w:val="-9"/>
                      <w:sz w:val="21"/>
                      <w:lang w:eastAsia="zh-CN"/>
                    </w:rPr>
                  </w:pPr>
                </w:p>
                <w:p w14:paraId="41799C63">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sz w:val="21"/>
                      <w:lang w:eastAsia="zh-CN"/>
                    </w:rPr>
                    <w:t>符合</w:t>
                  </w:r>
                </w:p>
              </w:tc>
            </w:tr>
            <w:tr w14:paraId="5374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Align w:val="center"/>
                </w:tcPr>
                <w:p w14:paraId="12F7ABD7">
                  <w:pPr>
                    <w:pStyle w:val="30"/>
                    <w:adjustRightInd w:val="0"/>
                    <w:snapToGrid w:val="0"/>
                    <w:jc w:val="center"/>
                    <w:rPr>
                      <w:rFonts w:hint="default" w:ascii="Times New Roman" w:hAnsi="Times New Roman" w:cs="Times New Roman"/>
                      <w:color w:val="auto"/>
                      <w:spacing w:val="-9"/>
                      <w:sz w:val="21"/>
                      <w:lang w:eastAsia="zh-CN"/>
                    </w:rPr>
                  </w:pPr>
                </w:p>
                <w:p w14:paraId="6B96F82D">
                  <w:pPr>
                    <w:pStyle w:val="30"/>
                    <w:adjustRightInd w:val="0"/>
                    <w:snapToGrid w:val="0"/>
                    <w:jc w:val="center"/>
                    <w:rPr>
                      <w:rFonts w:hint="default" w:ascii="Times New Roman" w:hAnsi="Times New Roman" w:cs="Times New Roman"/>
                      <w:color w:val="auto"/>
                      <w:spacing w:val="-9"/>
                      <w:sz w:val="21"/>
                      <w:lang w:eastAsia="zh-CN"/>
                    </w:rPr>
                  </w:pPr>
                </w:p>
                <w:p w14:paraId="74B440BC">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w w:val="100"/>
                      <w:sz w:val="21"/>
                      <w:lang w:eastAsia="zh-CN"/>
                    </w:rPr>
                    <w:t>2</w:t>
                  </w:r>
                </w:p>
              </w:tc>
              <w:tc>
                <w:tcPr>
                  <w:tcW w:w="2805" w:type="dxa"/>
                  <w:vAlign w:val="center"/>
                </w:tcPr>
                <w:p w14:paraId="270D4299">
                  <w:pPr>
                    <w:pStyle w:val="30"/>
                    <w:adjustRightInd w:val="0"/>
                    <w:snapToGrid w:val="0"/>
                    <w:jc w:val="both"/>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w w:val="100"/>
                      <w:sz w:val="21"/>
                      <w:lang w:eastAsia="zh-CN"/>
                    </w:rPr>
                    <w:t>农业农村节能减排工程。加快风能、太阳能、生物质能等可再生能源在农业生产和农村生活中的</w:t>
                  </w:r>
                  <w:r>
                    <w:rPr>
                      <w:rFonts w:hint="default" w:ascii="Times New Roman" w:hAnsi="Times New Roman" w:cs="Times New Roman"/>
                      <w:color w:val="auto"/>
                      <w:spacing w:val="-9"/>
                      <w:sz w:val="21"/>
                      <w:lang w:eastAsia="zh-CN"/>
                    </w:rPr>
                    <w:t>应用。</w:t>
                  </w:r>
                </w:p>
              </w:tc>
              <w:tc>
                <w:tcPr>
                  <w:tcW w:w="2948" w:type="dxa"/>
                  <w:vAlign w:val="center"/>
                </w:tcPr>
                <w:p w14:paraId="5A427A33">
                  <w:pPr>
                    <w:pStyle w:val="30"/>
                    <w:adjustRightInd w:val="0"/>
                    <w:snapToGrid w:val="0"/>
                    <w:jc w:val="both"/>
                    <w:rPr>
                      <w:rFonts w:hint="default" w:ascii="Times New Roman" w:hAnsi="Times New Roman" w:cs="Times New Roman"/>
                      <w:b w:val="0"/>
                      <w:color w:val="auto"/>
                      <w:spacing w:val="-9"/>
                      <w:sz w:val="21"/>
                      <w:lang w:eastAsia="zh-CN"/>
                    </w:rPr>
                  </w:pPr>
                  <w:r>
                    <w:rPr>
                      <w:rFonts w:hint="default" w:ascii="Times New Roman" w:hAnsi="Times New Roman" w:cs="Times New Roman"/>
                      <w:bCs/>
                      <w:color w:val="auto"/>
                      <w:sz w:val="21"/>
                      <w:lang w:eastAsia="zh-CN"/>
                    </w:rPr>
                    <w:t>本项目属于拌合料生产项目</w:t>
                  </w:r>
                  <w:r>
                    <w:rPr>
                      <w:rFonts w:hint="default" w:ascii="Times New Roman" w:hAnsi="Times New Roman" w:cs="Times New Roman"/>
                      <w:color w:val="auto"/>
                      <w:sz w:val="21"/>
                      <w:lang w:eastAsia="zh-CN"/>
                    </w:rPr>
                    <w:t>，</w:t>
                  </w:r>
                  <w:r>
                    <w:rPr>
                      <w:rFonts w:hint="default" w:ascii="Times New Roman" w:hAnsi="Times New Roman" w:cs="Times New Roman"/>
                      <w:color w:val="auto"/>
                      <w:spacing w:val="-9"/>
                      <w:w w:val="100"/>
                      <w:sz w:val="21"/>
                      <w:lang w:eastAsia="zh-CN"/>
                    </w:rPr>
                    <w:t>属于生物</w:t>
                  </w:r>
                  <w:r>
                    <w:rPr>
                      <w:rFonts w:hint="default" w:ascii="Times New Roman" w:hAnsi="Times New Roman" w:cs="Times New Roman"/>
                      <w:color w:val="auto"/>
                      <w:spacing w:val="-9"/>
                      <w:sz w:val="21"/>
                      <w:lang w:eastAsia="zh-CN"/>
                    </w:rPr>
                    <w:t>质可再生能源。</w:t>
                  </w:r>
                </w:p>
              </w:tc>
              <w:tc>
                <w:tcPr>
                  <w:tcW w:w="1056" w:type="dxa"/>
                  <w:vAlign w:val="center"/>
                </w:tcPr>
                <w:p w14:paraId="5CDD5B67">
                  <w:pPr>
                    <w:pStyle w:val="30"/>
                    <w:adjustRightInd w:val="0"/>
                    <w:snapToGrid w:val="0"/>
                    <w:jc w:val="center"/>
                    <w:rPr>
                      <w:rFonts w:hint="default" w:ascii="Times New Roman" w:hAnsi="Times New Roman" w:cs="Times New Roman"/>
                      <w:color w:val="auto"/>
                      <w:spacing w:val="-9"/>
                      <w:sz w:val="21"/>
                      <w:lang w:eastAsia="zh-CN"/>
                    </w:rPr>
                  </w:pPr>
                </w:p>
                <w:p w14:paraId="092BC3D3">
                  <w:pPr>
                    <w:pStyle w:val="30"/>
                    <w:adjustRightInd w:val="0"/>
                    <w:snapToGrid w:val="0"/>
                    <w:jc w:val="center"/>
                    <w:rPr>
                      <w:rFonts w:hint="default" w:ascii="Times New Roman" w:hAnsi="Times New Roman" w:cs="Times New Roman"/>
                      <w:color w:val="auto"/>
                      <w:spacing w:val="-9"/>
                      <w:sz w:val="21"/>
                      <w:lang w:eastAsia="zh-CN"/>
                    </w:rPr>
                  </w:pPr>
                </w:p>
                <w:p w14:paraId="147D55ED">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sz w:val="21"/>
                      <w:lang w:eastAsia="zh-CN"/>
                    </w:rPr>
                    <w:t>符合</w:t>
                  </w:r>
                </w:p>
              </w:tc>
            </w:tr>
            <w:tr w14:paraId="5589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56" w:type="dxa"/>
                  <w:vAlign w:val="center"/>
                </w:tcPr>
                <w:p w14:paraId="47CC943F">
                  <w:pPr>
                    <w:pStyle w:val="30"/>
                    <w:adjustRightInd w:val="0"/>
                    <w:snapToGrid w:val="0"/>
                    <w:jc w:val="center"/>
                    <w:rPr>
                      <w:rFonts w:hint="default" w:ascii="Times New Roman" w:hAnsi="Times New Roman" w:cs="Times New Roman"/>
                      <w:color w:val="auto"/>
                      <w:spacing w:val="-9"/>
                      <w:sz w:val="21"/>
                      <w:lang w:eastAsia="zh-CN"/>
                    </w:rPr>
                  </w:pPr>
                </w:p>
                <w:p w14:paraId="6373CF11">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w w:val="100"/>
                      <w:sz w:val="21"/>
                      <w:lang w:eastAsia="zh-CN"/>
                    </w:rPr>
                    <w:t>3</w:t>
                  </w:r>
                </w:p>
              </w:tc>
              <w:tc>
                <w:tcPr>
                  <w:tcW w:w="2805" w:type="dxa"/>
                  <w:vAlign w:val="center"/>
                </w:tcPr>
                <w:p w14:paraId="3461B6E2">
                  <w:pPr>
                    <w:pStyle w:val="30"/>
                    <w:adjustRightInd w:val="0"/>
                    <w:snapToGrid w:val="0"/>
                    <w:jc w:val="both"/>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w w:val="100"/>
                      <w:sz w:val="21"/>
                      <w:lang w:eastAsia="zh-CN"/>
                    </w:rPr>
                    <w:t>城镇绿色节能改造工程。全面推进城镇绿色规划、绿色建设、绿色运行管理，推动低碳城市、韧性城市、海绵城市、“无废城市”建设。</w:t>
                  </w:r>
                </w:p>
              </w:tc>
              <w:tc>
                <w:tcPr>
                  <w:tcW w:w="2948" w:type="dxa"/>
                  <w:vAlign w:val="center"/>
                </w:tcPr>
                <w:p w14:paraId="6E92514B">
                  <w:pPr>
                    <w:pStyle w:val="30"/>
                    <w:adjustRightInd w:val="0"/>
                    <w:snapToGrid w:val="0"/>
                    <w:jc w:val="both"/>
                    <w:rPr>
                      <w:rFonts w:hint="default" w:ascii="Times New Roman" w:hAnsi="Times New Roman" w:cs="Times New Roman"/>
                      <w:b w:val="0"/>
                      <w:color w:val="auto"/>
                      <w:spacing w:val="-9"/>
                      <w:sz w:val="21"/>
                      <w:lang w:eastAsia="zh-CN"/>
                    </w:rPr>
                  </w:pPr>
                  <w:r>
                    <w:rPr>
                      <w:rFonts w:hint="default" w:ascii="Times New Roman" w:hAnsi="Times New Roman" w:cs="Times New Roman"/>
                      <w:bCs/>
                      <w:color w:val="auto"/>
                      <w:sz w:val="21"/>
                      <w:lang w:eastAsia="zh-CN"/>
                    </w:rPr>
                    <w:t>本项目属于拌合料生产项目</w:t>
                  </w:r>
                  <w:r>
                    <w:rPr>
                      <w:rFonts w:hint="default" w:ascii="Times New Roman" w:hAnsi="Times New Roman" w:cs="Times New Roman"/>
                      <w:color w:val="auto"/>
                      <w:spacing w:val="-9"/>
                      <w:sz w:val="21"/>
                      <w:lang w:eastAsia="zh-CN"/>
                    </w:rPr>
                    <w:t>，本项目对</w:t>
                  </w:r>
                  <w:r>
                    <w:rPr>
                      <w:rFonts w:hint="default" w:ascii="Times New Roman" w:hAnsi="Times New Roman" w:cs="Times New Roman"/>
                      <w:color w:val="auto"/>
                      <w:spacing w:val="-9"/>
                      <w:w w:val="100"/>
                      <w:sz w:val="21"/>
                      <w:lang w:eastAsia="zh-CN"/>
                    </w:rPr>
                    <w:t>于玉溪提升绿色经济发展质量，全面提高低碳发展能力属于正面项目。</w:t>
                  </w:r>
                </w:p>
              </w:tc>
              <w:tc>
                <w:tcPr>
                  <w:tcW w:w="1056" w:type="dxa"/>
                  <w:vAlign w:val="center"/>
                </w:tcPr>
                <w:p w14:paraId="4ABBFD0F">
                  <w:pPr>
                    <w:pStyle w:val="30"/>
                    <w:adjustRightInd w:val="0"/>
                    <w:snapToGrid w:val="0"/>
                    <w:jc w:val="center"/>
                    <w:rPr>
                      <w:rFonts w:hint="default" w:ascii="Times New Roman" w:hAnsi="Times New Roman" w:cs="Times New Roman"/>
                      <w:color w:val="auto"/>
                      <w:spacing w:val="-9"/>
                      <w:sz w:val="21"/>
                      <w:lang w:eastAsia="zh-CN"/>
                    </w:rPr>
                  </w:pPr>
                </w:p>
                <w:p w14:paraId="71A571CB">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sz w:val="21"/>
                      <w:lang w:eastAsia="zh-CN"/>
                    </w:rPr>
                    <w:t>符合</w:t>
                  </w:r>
                </w:p>
              </w:tc>
            </w:tr>
            <w:tr w14:paraId="258F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Align w:val="center"/>
                </w:tcPr>
                <w:p w14:paraId="5F13EC84">
                  <w:pPr>
                    <w:pStyle w:val="30"/>
                    <w:adjustRightInd w:val="0"/>
                    <w:snapToGrid w:val="0"/>
                    <w:jc w:val="center"/>
                    <w:rPr>
                      <w:rFonts w:hint="default" w:ascii="Times New Roman" w:hAnsi="Times New Roman" w:cs="Times New Roman"/>
                      <w:color w:val="auto"/>
                      <w:spacing w:val="-9"/>
                      <w:sz w:val="21"/>
                      <w:lang w:eastAsia="zh-CN"/>
                    </w:rPr>
                  </w:pPr>
                </w:p>
                <w:p w14:paraId="13CED988">
                  <w:pPr>
                    <w:pStyle w:val="30"/>
                    <w:adjustRightInd w:val="0"/>
                    <w:snapToGrid w:val="0"/>
                    <w:jc w:val="center"/>
                    <w:rPr>
                      <w:rFonts w:hint="default" w:ascii="Times New Roman" w:hAnsi="Times New Roman" w:cs="Times New Roman"/>
                      <w:color w:val="auto"/>
                      <w:spacing w:val="-9"/>
                      <w:sz w:val="21"/>
                      <w:lang w:eastAsia="zh-CN"/>
                    </w:rPr>
                  </w:pPr>
                </w:p>
                <w:p w14:paraId="2FC35DE8">
                  <w:pPr>
                    <w:pStyle w:val="30"/>
                    <w:adjustRightInd w:val="0"/>
                    <w:snapToGrid w:val="0"/>
                    <w:jc w:val="center"/>
                    <w:rPr>
                      <w:rFonts w:hint="default" w:ascii="Times New Roman" w:hAnsi="Times New Roman" w:cs="Times New Roman"/>
                      <w:color w:val="auto"/>
                      <w:spacing w:val="-9"/>
                      <w:sz w:val="21"/>
                      <w:lang w:eastAsia="zh-CN"/>
                    </w:rPr>
                  </w:pPr>
                </w:p>
                <w:p w14:paraId="65E926C3">
                  <w:pPr>
                    <w:pStyle w:val="30"/>
                    <w:adjustRightInd w:val="0"/>
                    <w:snapToGrid w:val="0"/>
                    <w:jc w:val="center"/>
                    <w:rPr>
                      <w:rFonts w:hint="default" w:ascii="Times New Roman" w:hAnsi="Times New Roman" w:cs="Times New Roman"/>
                      <w:color w:val="auto"/>
                      <w:spacing w:val="-9"/>
                      <w:sz w:val="21"/>
                      <w:lang w:eastAsia="zh-CN"/>
                    </w:rPr>
                  </w:pPr>
                </w:p>
                <w:p w14:paraId="045F4775">
                  <w:pPr>
                    <w:pStyle w:val="30"/>
                    <w:adjustRightInd w:val="0"/>
                    <w:snapToGrid w:val="0"/>
                    <w:jc w:val="center"/>
                    <w:rPr>
                      <w:rFonts w:hint="default" w:ascii="Times New Roman" w:hAnsi="Times New Roman" w:cs="Times New Roman"/>
                      <w:color w:val="auto"/>
                      <w:spacing w:val="-9"/>
                      <w:sz w:val="21"/>
                      <w:lang w:eastAsia="zh-CN"/>
                    </w:rPr>
                  </w:pPr>
                </w:p>
                <w:p w14:paraId="5959BA0F">
                  <w:pPr>
                    <w:pStyle w:val="30"/>
                    <w:adjustRightInd w:val="0"/>
                    <w:snapToGrid w:val="0"/>
                    <w:jc w:val="center"/>
                    <w:rPr>
                      <w:rFonts w:hint="default" w:ascii="Times New Roman" w:hAnsi="Times New Roman" w:cs="Times New Roman"/>
                      <w:color w:val="auto"/>
                      <w:spacing w:val="-9"/>
                      <w:sz w:val="21"/>
                      <w:lang w:eastAsia="zh-CN"/>
                    </w:rPr>
                  </w:pPr>
                </w:p>
                <w:p w14:paraId="6381C7F5">
                  <w:pPr>
                    <w:pStyle w:val="30"/>
                    <w:adjustRightInd w:val="0"/>
                    <w:snapToGrid w:val="0"/>
                    <w:jc w:val="center"/>
                    <w:rPr>
                      <w:rFonts w:hint="default" w:ascii="Times New Roman" w:hAnsi="Times New Roman" w:cs="Times New Roman"/>
                      <w:color w:val="auto"/>
                      <w:spacing w:val="-9"/>
                      <w:sz w:val="21"/>
                      <w:lang w:eastAsia="zh-CN"/>
                    </w:rPr>
                  </w:pPr>
                </w:p>
                <w:p w14:paraId="1EEBB4C5">
                  <w:pPr>
                    <w:pStyle w:val="30"/>
                    <w:adjustRightInd w:val="0"/>
                    <w:snapToGrid w:val="0"/>
                    <w:jc w:val="center"/>
                    <w:rPr>
                      <w:rFonts w:hint="default" w:ascii="Times New Roman" w:hAnsi="Times New Roman" w:cs="Times New Roman"/>
                      <w:color w:val="auto"/>
                      <w:spacing w:val="-9"/>
                      <w:sz w:val="21"/>
                      <w:lang w:eastAsia="zh-CN"/>
                    </w:rPr>
                  </w:pPr>
                </w:p>
                <w:p w14:paraId="18FEFFB9">
                  <w:pPr>
                    <w:pStyle w:val="30"/>
                    <w:adjustRightInd w:val="0"/>
                    <w:snapToGrid w:val="0"/>
                    <w:jc w:val="center"/>
                    <w:rPr>
                      <w:rFonts w:hint="default" w:ascii="Times New Roman" w:hAnsi="Times New Roman" w:cs="Times New Roman"/>
                      <w:color w:val="auto"/>
                      <w:spacing w:val="-9"/>
                      <w:sz w:val="21"/>
                      <w:lang w:eastAsia="zh-CN"/>
                    </w:rPr>
                  </w:pPr>
                </w:p>
                <w:p w14:paraId="7189EDA1">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w w:val="100"/>
                      <w:sz w:val="21"/>
                      <w:lang w:eastAsia="zh-CN"/>
                    </w:rPr>
                    <w:t>4</w:t>
                  </w:r>
                </w:p>
              </w:tc>
              <w:tc>
                <w:tcPr>
                  <w:tcW w:w="2805" w:type="dxa"/>
                  <w:vAlign w:val="center"/>
                </w:tcPr>
                <w:p w14:paraId="19BFD456">
                  <w:pPr>
                    <w:pStyle w:val="30"/>
                    <w:adjustRightInd w:val="0"/>
                    <w:snapToGrid w:val="0"/>
                    <w:jc w:val="both"/>
                    <w:rPr>
                      <w:rFonts w:hint="default" w:ascii="Times New Roman" w:hAnsi="Times New Roman" w:cs="Times New Roman"/>
                      <w:color w:val="auto"/>
                      <w:spacing w:val="-9"/>
                      <w:w w:val="100"/>
                      <w:sz w:val="21"/>
                      <w:lang w:eastAsia="zh-CN"/>
                    </w:rPr>
                  </w:pPr>
                  <w:r>
                    <w:rPr>
                      <w:rFonts w:hint="default" w:ascii="Times New Roman" w:hAnsi="Times New Roman" w:cs="Times New Roman"/>
                      <w:color w:val="auto"/>
                      <w:spacing w:val="-9"/>
                      <w:w w:val="100"/>
                      <w:sz w:val="21"/>
                      <w:lang w:eastAsia="zh-CN"/>
                    </w:rPr>
                    <w:t>重点区域污染物减排工程。持续推进大气污染防治重点区域秋冬季攻坚行动，加大重点行业结构调整和污染防治力度。以大气污染防治重点区域及珠三角地区、成渝地区等为重点，推进挥发性</w:t>
                  </w:r>
                </w:p>
                <w:p w14:paraId="79FA8D71">
                  <w:pPr>
                    <w:pStyle w:val="30"/>
                    <w:adjustRightInd w:val="0"/>
                    <w:snapToGrid w:val="0"/>
                    <w:jc w:val="both"/>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w w:val="100"/>
                      <w:sz w:val="21"/>
                      <w:lang w:eastAsia="zh-CN"/>
                    </w:rPr>
                    <w:t>有机物和氮氧化物协同减排，加强细颗粒物和臭氧协同控制。</w:t>
                  </w:r>
                </w:p>
              </w:tc>
              <w:tc>
                <w:tcPr>
                  <w:tcW w:w="2948" w:type="dxa"/>
                  <w:vAlign w:val="center"/>
                </w:tcPr>
                <w:p w14:paraId="3DEC92E3">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sz w:val="21"/>
                      <w:lang w:eastAsia="zh-CN"/>
                    </w:rPr>
                    <w:t>本项目所在地不属于污染物重点区域。</w:t>
                  </w:r>
                </w:p>
              </w:tc>
              <w:tc>
                <w:tcPr>
                  <w:tcW w:w="1056" w:type="dxa"/>
                  <w:vAlign w:val="center"/>
                </w:tcPr>
                <w:p w14:paraId="1C261164">
                  <w:pPr>
                    <w:pStyle w:val="30"/>
                    <w:adjustRightInd w:val="0"/>
                    <w:snapToGrid w:val="0"/>
                    <w:jc w:val="center"/>
                    <w:rPr>
                      <w:rFonts w:hint="default" w:ascii="Times New Roman" w:hAnsi="Times New Roman" w:cs="Times New Roman"/>
                      <w:b w:val="0"/>
                      <w:color w:val="auto"/>
                      <w:spacing w:val="-9"/>
                      <w:sz w:val="21"/>
                      <w:lang w:eastAsia="zh-CN"/>
                    </w:rPr>
                  </w:pPr>
                  <w:r>
                    <w:rPr>
                      <w:rFonts w:hint="default" w:ascii="Times New Roman" w:hAnsi="Times New Roman" w:cs="Times New Roman"/>
                      <w:color w:val="auto"/>
                      <w:spacing w:val="-9"/>
                      <w:sz w:val="21"/>
                      <w:lang w:eastAsia="zh-CN"/>
                    </w:rPr>
                    <w:t>符合</w:t>
                  </w:r>
                </w:p>
              </w:tc>
            </w:tr>
            <w:tr w14:paraId="6502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5" w:type="dxa"/>
                  <w:gridSpan w:val="4"/>
                  <w:vAlign w:val="center"/>
                </w:tcPr>
                <w:p w14:paraId="78EFEEBE">
                  <w:pPr>
                    <w:pStyle w:val="30"/>
                    <w:adjustRightInd w:val="0"/>
                    <w:snapToGrid w:val="0"/>
                    <w:jc w:val="both"/>
                    <w:rPr>
                      <w:rFonts w:hint="default" w:ascii="Times New Roman" w:hAnsi="Times New Roman" w:cs="Times New Roman"/>
                      <w:b/>
                      <w:color w:val="auto"/>
                      <w:sz w:val="21"/>
                      <w:lang w:eastAsia="zh-CN"/>
                    </w:rPr>
                  </w:pPr>
                  <w:r>
                    <w:rPr>
                      <w:rFonts w:hint="default" w:ascii="Times New Roman" w:hAnsi="Times New Roman" w:cs="Times New Roman"/>
                      <w:color w:val="auto"/>
                      <w:sz w:val="21"/>
                      <w:lang w:eastAsia="zh-CN"/>
                    </w:rPr>
                    <w:t>备注：其他与项目无关项未列入。</w:t>
                  </w:r>
                </w:p>
              </w:tc>
            </w:tr>
          </w:tbl>
          <w:p w14:paraId="57D371D1">
            <w:pPr>
              <w:pStyle w:val="30"/>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综上，项目建设符合《玉溪市“十四五”节能减排综合工作实施方案》的相关要求。</w:t>
            </w:r>
          </w:p>
          <w:p w14:paraId="474C55FF">
            <w:pPr>
              <w:pStyle w:val="30"/>
              <w:numPr>
                <w:ilvl w:val="0"/>
                <w:numId w:val="1"/>
              </w:numPr>
              <w:adjustRightInd w:val="0"/>
              <w:snapToGrid w:val="0"/>
              <w:spacing w:line="360" w:lineRule="auto"/>
              <w:ind w:firstLine="482" w:firstLineChars="200"/>
              <w:rPr>
                <w:rFonts w:hint="default" w:ascii="Times New Roman" w:hAnsi="Times New Roman" w:cs="Times New Roman"/>
                <w:b/>
                <w:color w:val="auto"/>
                <w:w w:val="95"/>
                <w:sz w:val="24"/>
                <w:lang w:eastAsia="zh-CN"/>
              </w:rPr>
            </w:pPr>
            <w:r>
              <w:rPr>
                <w:rFonts w:hint="default" w:ascii="Times New Roman" w:hAnsi="Times New Roman" w:cs="Times New Roman"/>
                <w:b/>
                <w:bCs/>
                <w:color w:val="auto"/>
                <w:sz w:val="24"/>
                <w:szCs w:val="24"/>
                <w:lang w:eastAsia="zh-CN"/>
              </w:rPr>
              <w:t>与《玉溪市国土空间总体规划（2021—2035年）》的符合性分析</w:t>
            </w:r>
          </w:p>
          <w:p w14:paraId="530AB90D">
            <w:pPr>
              <w:pStyle w:val="29"/>
              <w:ind w:firstLine="480"/>
              <w:rPr>
                <w:rFonts w:hint="default" w:ascii="Times New Roman" w:hAnsi="Times New Roman" w:cs="Times New Roman"/>
                <w:color w:val="auto"/>
                <w:kern w:val="0"/>
              </w:rPr>
            </w:pPr>
            <w:r>
              <w:rPr>
                <w:rFonts w:hint="default" w:ascii="Times New Roman" w:hAnsi="Times New Roman" w:cs="Times New Roman"/>
                <w:color w:val="auto"/>
                <w:kern w:val="0"/>
              </w:rPr>
              <w:t>本项目与《玉溪市国土空间总体规划（2021—2035年）》的对比情况见下表1-8。</w:t>
            </w:r>
          </w:p>
          <w:p w14:paraId="3E31C928">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表1-8  项目与《玉溪市国土空间总体规划（2021—2035年）》相符性分析</w:t>
            </w:r>
          </w:p>
          <w:tbl>
            <w:tblPr>
              <w:tblStyle w:val="20"/>
              <w:tblW w:w="499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635"/>
              <w:gridCol w:w="3075"/>
              <w:gridCol w:w="949"/>
            </w:tblGrid>
            <w:tr w14:paraId="68312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12" w:type="pct"/>
                  <w:vAlign w:val="center"/>
                </w:tcPr>
                <w:p w14:paraId="44DB803C">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《玉溪市国土空间总体规划》要求</w:t>
                  </w:r>
                </w:p>
              </w:tc>
              <w:tc>
                <w:tcPr>
                  <w:tcW w:w="1929" w:type="pct"/>
                  <w:vAlign w:val="center"/>
                </w:tcPr>
                <w:p w14:paraId="380CD021">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57" w:type="pct"/>
                  <w:vAlign w:val="center"/>
                </w:tcPr>
                <w:p w14:paraId="1382D557">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相符性分析</w:t>
                  </w:r>
                </w:p>
              </w:tc>
            </w:tr>
            <w:tr w14:paraId="53207E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12" w:type="pct"/>
                  <w:vAlign w:val="center"/>
                </w:tcPr>
                <w:p w14:paraId="77729D52">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根据《玉溪市国土空间总体规划（2021—2035年）》中，第二条筑牢安全发展的空间基础。到2035年，玉溪市耕地保有量不低于293.46万亩，其中永久基本农田保护面积不低于224.00万亩，坝区耕地划入永久基本农田比例不低于90.04%；生态保护红线面积不低于3852.89平方千米；城镇开发边界扩展倍数控制在基于2020年城镇建设用地规模的1.293倍以内；用水总量不超过省级下达指标，其中2025年不超过9.31亿立方米。以生态文明建设大视野谋划湖泊保护治理，深入推进“湖泊革命”，加强抚仙湖、星云湖、杞麓湖、阳宗海流域空间管控，严格落实高原湖泊“两线”、“三区”管控要求。明确自然灾害风险重点防控区域，划定洪涝、地震等风险控制线和城市蓝线、绿线、黄线、紫线，落实战略性矿产资源、历史文化保护等安全保障空间，严格河湖水域空间管控，全面锚固高质量发展的空间。</w:t>
                  </w:r>
                </w:p>
              </w:tc>
              <w:tc>
                <w:tcPr>
                  <w:tcW w:w="1929" w:type="pct"/>
                  <w:vAlign w:val="center"/>
                </w:tcPr>
                <w:p w14:paraId="366DD71C">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本项目位于云南省玉溪市新平彝族傣族自治县老厂乡，项目于2026年3月16日取得了新平彝族傣族自治县自然资源局出具的“关于老厂太桥双壹拌合站建设项目是否占用新平县生态保护红线的查询结果”的证明，查询结果显示，项目用地范围不涉及占用新平县生态保护红线，位于优化后城镇开发边界外，未占用耕地后备资源，未占用耕地后备资源补充空间（详见附件5）；根据2026年3月16日新平彝族傣族自治县老厂乡人民政府出具的同意项目建设的证明显示该项目于2026年2月13日取得新平县发展和改革局出具的投资项目备案证，项目代码:2602-530427-04-01-908689。经查该建设用地范围地类为</w:t>
                  </w:r>
                  <w:r>
                    <w:rPr>
                      <w:rFonts w:hint="default" w:ascii="Times New Roman" w:hAnsi="Times New Roman" w:cs="Times New Roman"/>
                      <w:color w:val="auto"/>
                      <w:lang w:val="en-US" w:eastAsia="zh-CN"/>
                    </w:rPr>
                    <w:t>建设</w:t>
                  </w:r>
                  <w:r>
                    <w:rPr>
                      <w:rFonts w:hint="default" w:ascii="Times New Roman" w:hAnsi="Times New Roman" w:cs="Times New Roman"/>
                      <w:color w:val="auto"/>
                    </w:rPr>
                    <w:t>用地，评价区域内无风景名胜、文物古迹等需要特殊保护的环境敏感点，该项目建设未对周边村庄造成影响，情况属实，同意本项目建设（详见附件8）；根据2026年3月13日新平彝族傣族自治县水利局出具的“关于新平双壹农业有限公司老厂太桥双壹拌合站项目涉河情况的回复”（详见附件6），项目占地未占用新平县已规划的河道管理范围，因此，项目不占河道；项目于2026年3月16日取得玉溪市生态环境局新平分局“关于新平双壹农业有限公司《老厂太桥双壹拌合站建设项目》是否占用新平县“三线一单”的查询申请的复函”，结果显示该项目用地涉及占用新平县1个生态管控单元，即新平彝族傣族自治县一般管控单元（单元编码为：ZH53042730001）。不涉及经批准的新平县已划定的饮用水水源保护区等环境敏感区域（详见附件7）。</w:t>
                  </w:r>
                </w:p>
              </w:tc>
              <w:tc>
                <w:tcPr>
                  <w:tcW w:w="657" w:type="pct"/>
                  <w:vAlign w:val="center"/>
                </w:tcPr>
                <w:p w14:paraId="1CC044CE">
                  <w:pPr>
                    <w:pStyle w:val="3"/>
                    <w:ind w:left="55" w:right="55"/>
                    <w:rPr>
                      <w:rFonts w:hint="default" w:ascii="Times New Roman" w:hAnsi="Times New Roman" w:cs="Times New Roman"/>
                      <w:color w:val="auto"/>
                    </w:rPr>
                  </w:pPr>
                  <w:r>
                    <w:rPr>
                      <w:rFonts w:hint="default" w:ascii="Times New Roman" w:hAnsi="Times New Roman" w:cs="Times New Roman"/>
                      <w:color w:val="auto"/>
                    </w:rPr>
                    <w:t>符合</w:t>
                  </w:r>
                </w:p>
              </w:tc>
            </w:tr>
            <w:tr w14:paraId="0DAE3A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000" w:type="pct"/>
                  <w:gridSpan w:val="3"/>
                  <w:vAlign w:val="center"/>
                </w:tcPr>
                <w:p w14:paraId="60F1DF15">
                  <w:pPr>
                    <w:pStyle w:val="3"/>
                    <w:ind w:left="55" w:right="55"/>
                    <w:rPr>
                      <w:rFonts w:hint="default" w:ascii="Times New Roman" w:hAnsi="Times New Roman" w:cs="Times New Roman"/>
                      <w:color w:val="auto"/>
                    </w:rPr>
                  </w:pPr>
                  <w:r>
                    <w:rPr>
                      <w:rFonts w:hint="default" w:ascii="Times New Roman" w:hAnsi="Times New Roman" w:cs="Times New Roman"/>
                      <w:color w:val="auto"/>
                    </w:rPr>
                    <w:t>备注：其他与项目无关项未列入。</w:t>
                  </w:r>
                </w:p>
              </w:tc>
            </w:tr>
          </w:tbl>
          <w:p w14:paraId="0D49418C">
            <w:pPr>
              <w:pStyle w:val="29"/>
              <w:ind w:firstLine="480"/>
              <w:rPr>
                <w:rStyle w:val="24"/>
                <w:rFonts w:hint="default" w:ascii="Times New Roman" w:hAnsi="Times New Roman" w:cs="Times New Roman"/>
                <w:color w:val="auto"/>
                <w:kern w:val="0"/>
                <w:lang w:eastAsia="en-US"/>
              </w:rPr>
            </w:pPr>
            <w:r>
              <w:rPr>
                <w:rFonts w:hint="default" w:ascii="Times New Roman" w:hAnsi="Times New Roman" w:cs="Times New Roman"/>
                <w:color w:val="auto"/>
                <w:kern w:val="0"/>
                <w:lang w:bidi="ar"/>
              </w:rPr>
              <w:t>综上所述，本项目的建设符合</w:t>
            </w:r>
            <w:r>
              <w:rPr>
                <w:rFonts w:hint="default" w:ascii="Times New Roman" w:hAnsi="Times New Roman" w:cs="Times New Roman"/>
                <w:color w:val="auto"/>
                <w:kern w:val="0"/>
              </w:rPr>
              <w:t>《玉溪市国土空间总体规划（2021—2035年）》</w:t>
            </w:r>
            <w:r>
              <w:rPr>
                <w:rFonts w:hint="default" w:ascii="Times New Roman" w:hAnsi="Times New Roman" w:cs="Times New Roman"/>
                <w:color w:val="auto"/>
                <w:kern w:val="0"/>
                <w:lang w:bidi="ar"/>
              </w:rPr>
              <w:t>的相关要求。</w:t>
            </w:r>
          </w:p>
          <w:p w14:paraId="0D5E557B">
            <w:pPr>
              <w:autoSpaceDE/>
              <w:autoSpaceDN/>
              <w:adjustRightInd w:val="0"/>
              <w:snapToGrid w:val="0"/>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十</w:t>
            </w:r>
            <w:r>
              <w:rPr>
                <w:rFonts w:hint="default" w:ascii="Times New Roman" w:hAnsi="Times New Roman" w:cs="Times New Roman"/>
                <w:b/>
                <w:bCs/>
                <w:color w:val="auto"/>
                <w:sz w:val="24"/>
                <w:szCs w:val="24"/>
                <w:lang w:val="en-US" w:eastAsia="zh-CN"/>
              </w:rPr>
              <w:t>三</w:t>
            </w:r>
            <w:r>
              <w:rPr>
                <w:rFonts w:hint="default" w:ascii="Times New Roman" w:hAnsi="Times New Roman" w:cs="Times New Roman"/>
                <w:b/>
                <w:bCs/>
                <w:color w:val="auto"/>
                <w:sz w:val="24"/>
                <w:szCs w:val="24"/>
                <w:lang w:eastAsia="zh-CN"/>
              </w:rPr>
              <w:t>、与《新平彝族傣族自治县国土空间总体规划（2021-2035年）》的符合性分析</w:t>
            </w:r>
          </w:p>
          <w:p w14:paraId="71FD9958">
            <w:pPr>
              <w:pStyle w:val="3"/>
              <w:ind w:left="55" w:right="55"/>
              <w:jc w:val="center"/>
              <w:rPr>
                <w:rFonts w:hint="default" w:ascii="Times New Roman" w:hAnsi="Times New Roman" w:cs="Times New Roman"/>
                <w:b/>
                <w:bCs/>
                <w:color w:val="auto"/>
              </w:rPr>
            </w:pPr>
            <w:r>
              <w:rPr>
                <w:rFonts w:hint="default" w:ascii="Times New Roman" w:hAnsi="Times New Roman" w:cs="Times New Roman"/>
                <w:b/>
                <w:bCs/>
                <w:color w:val="auto"/>
              </w:rPr>
              <w:t>表1-</w:t>
            </w:r>
            <w:r>
              <w:rPr>
                <w:rFonts w:hint="default" w:ascii="Times New Roman" w:hAnsi="Times New Roman" w:cs="Times New Roman"/>
                <w:b/>
                <w:bCs/>
                <w:color w:val="auto"/>
                <w:lang w:val="en-US" w:eastAsia="zh-CN"/>
              </w:rPr>
              <w:t>9</w:t>
            </w:r>
            <w:r>
              <w:rPr>
                <w:rFonts w:hint="default" w:ascii="Times New Roman" w:hAnsi="Times New Roman" w:cs="Times New Roman"/>
                <w:b/>
                <w:bCs/>
                <w:color w:val="auto"/>
              </w:rPr>
              <w:t>项目与《新平彝族傣族自治县国土空间总体规划（2021-2035年）》相符性分析</w:t>
            </w:r>
          </w:p>
          <w:tbl>
            <w:tblPr>
              <w:tblStyle w:val="20"/>
              <w:tblW w:w="499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437"/>
              <w:gridCol w:w="3216"/>
              <w:gridCol w:w="1005"/>
            </w:tblGrid>
            <w:tr w14:paraId="48CD7D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44" w:type="pct"/>
                  <w:vAlign w:val="center"/>
                </w:tcPr>
                <w:p w14:paraId="7EE320BE">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lang w:eastAsia="zh-CN"/>
                    </w:rPr>
                    <w:t>新平县</w:t>
                  </w:r>
                  <w:r>
                    <w:rPr>
                      <w:rFonts w:hint="default" w:ascii="Times New Roman" w:hAnsi="Times New Roman" w:cs="Times New Roman"/>
                      <w:b/>
                      <w:bCs/>
                      <w:color w:val="auto"/>
                    </w:rPr>
                    <w:t>国土空间总体规划》要求</w:t>
                  </w:r>
                </w:p>
              </w:tc>
              <w:tc>
                <w:tcPr>
                  <w:tcW w:w="2099" w:type="pct"/>
                  <w:vAlign w:val="center"/>
                </w:tcPr>
                <w:p w14:paraId="77B61181">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56" w:type="pct"/>
                  <w:vAlign w:val="center"/>
                </w:tcPr>
                <w:p w14:paraId="45032853">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相符性分析</w:t>
                  </w:r>
                </w:p>
              </w:tc>
            </w:tr>
            <w:tr w14:paraId="52A9A6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44" w:type="pct"/>
                  <w:vAlign w:val="center"/>
                </w:tcPr>
                <w:p w14:paraId="2A6B1586">
                  <w:pPr>
                    <w:pStyle w:val="3"/>
                    <w:ind w:left="0" w:leftChars="0" w:right="0" w:rightChars="0"/>
                    <w:jc w:val="both"/>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国土空间发展目标：</w:t>
                  </w:r>
                </w:p>
                <w:p w14:paraId="3CFFE128">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近期</w:t>
                  </w:r>
                  <w:r>
                    <w:rPr>
                      <w:rFonts w:hint="default" w:ascii="Times New Roman" w:hAnsi="Times New Roman" w:cs="Times New Roman"/>
                      <w:color w:val="auto"/>
                      <w:lang w:val="en-US" w:eastAsia="zh-CN"/>
                    </w:rPr>
                    <w:t>2025年：</w:t>
                  </w:r>
                  <w:r>
                    <w:rPr>
                      <w:rFonts w:hint="default" w:ascii="Times New Roman" w:hAnsi="Times New Roman" w:cs="Times New Roman"/>
                      <w:color w:val="auto"/>
                    </w:rPr>
                    <w:t>“滇中绿谷”国土空间新格局初具雏形。主体功能区和“三区三线”得到严格落实；全县永久基本农田和耕地得到有效保护，粮食安全保障能力得到巩固；以哀牢山为主的“两山两廊道”生态屏障初步建立；城镇空间更加宜居，城乡绿化美化成效显著，公共服务均等化水平不断提升；服务“园区经济”和“资源经济”的要素保障能力显著提升，重大项目稳步落地。</w:t>
                  </w:r>
                </w:p>
                <w:p w14:paraId="5AAAFD61">
                  <w:pPr>
                    <w:pStyle w:val="3"/>
                    <w:ind w:left="0" w:leftChars="0" w:right="0" w:rightChars="0"/>
                    <w:jc w:val="both"/>
                    <w:rPr>
                      <w:rFonts w:hint="default" w:ascii="Times New Roman" w:hAnsi="Times New Roman" w:cs="Times New Roman"/>
                      <w:color w:val="auto"/>
                      <w:lang w:eastAsia="zh-CN"/>
                    </w:rPr>
                  </w:pPr>
                  <w:r>
                    <w:rPr>
                      <w:rFonts w:hint="default" w:ascii="Times New Roman" w:hAnsi="Times New Roman" w:cs="Times New Roman"/>
                      <w:b/>
                      <w:bCs/>
                      <w:color w:val="auto"/>
                      <w:lang w:eastAsia="zh-CN"/>
                    </w:rPr>
                    <w:t>规划指标体系：</w:t>
                  </w:r>
                </w:p>
                <w:p w14:paraId="1E2F3B61">
                  <w:pPr>
                    <w:pStyle w:val="3"/>
                    <w:ind w:left="0" w:leftChars="0" w:right="0" w:rightChars="0"/>
                    <w:jc w:val="both"/>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落实《云南省国土空间规划（2021—2035 年）》和《玉溪市国土空间总体规划（2021—2035 年）》，新平县构建刚性考核与弹性管理相结合的规划指标体系，围绕空间底线、空间结构与效率、空间品质三大类，搭建29 项指标：其中约束性指标11项，预期性指标 18 项。</w:t>
                  </w:r>
                </w:p>
                <w:p w14:paraId="41D955D6">
                  <w:pPr>
                    <w:pStyle w:val="3"/>
                    <w:ind w:left="0" w:leftChars="0" w:right="0" w:rightChars="0"/>
                    <w:jc w:val="both"/>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加强耕地“三位一体”保护：</w:t>
                  </w:r>
                </w:p>
                <w:p w14:paraId="211DC0A2">
                  <w:pPr>
                    <w:pStyle w:val="3"/>
                    <w:ind w:left="0" w:leftChars="0" w:right="0" w:rightChars="0"/>
                    <w:jc w:val="both"/>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坚守耕地保护红线。实施最严格的耕地保护制度，严格落实省级下达的耕地保护图斑，通过严格的耕地“占补平衡”用途管制制度，以及考核耕地保护目标严格落实耕地和永久基本农田保护目标，保证既有耕地面积和空间相对稳定，防止耕地“非农化”“非粮化”。</w:t>
                  </w:r>
                </w:p>
                <w:p w14:paraId="3EAE1F6C">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2.坚守永久基本农田保护红线。严格落实玉溪市下达的永久基本农田任务，严格执行永久基本农田保护制度。坝区耕地（扣除已依法批准且落实占补平衡即将建设稳定耕地）划入永久基本农田比例不低于 92.49%。</w:t>
                  </w:r>
                </w:p>
                <w:p w14:paraId="0039DB9B">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严格执行耕地“占补平衡”政策。各类非农建设选址布局尽量不占或少占耕地，特别是永久基本农田。确需占用的经批准后，按照“占多少、垦多少”的原则，补充与占用耕地数量相等、质量相当、产能不降的耕地。</w:t>
                  </w:r>
                </w:p>
              </w:tc>
              <w:tc>
                <w:tcPr>
                  <w:tcW w:w="2099" w:type="pct"/>
                  <w:vAlign w:val="center"/>
                </w:tcPr>
                <w:p w14:paraId="43E4A884">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本项目位于云南省玉溪市新平彝族傣族自治县老厂乡，项目于2026年3月16日取得了新平彝族傣族自治县自然资源局出具的“关于老厂太桥双壹拌合站建设项目是否占用新平县生态保护红线的查询结果”的证明，查询结果显示，项目用地范围不涉及占用新平县生态保护红线，位于优化后城镇开发边界外，未占用耕地后备资源，未占用耕地后备资源补充空间（详见附件5）；根据2026年3月16日新平彝族傣族自治县老厂乡人民政府出具的同意项目建设的证明显示该项目于2026年2月13日取得新平县发展和改革局出具的投资项目备案证，项目代码:2602-530427-04-01-908689。经查该建设用地范围地类为</w:t>
                  </w:r>
                  <w:r>
                    <w:rPr>
                      <w:rFonts w:hint="default" w:ascii="Times New Roman" w:hAnsi="Times New Roman" w:cs="Times New Roman"/>
                      <w:color w:val="auto"/>
                      <w:lang w:val="en-US" w:eastAsia="zh-CN"/>
                    </w:rPr>
                    <w:t>建设</w:t>
                  </w:r>
                  <w:r>
                    <w:rPr>
                      <w:rFonts w:hint="default" w:ascii="Times New Roman" w:hAnsi="Times New Roman" w:cs="Times New Roman"/>
                      <w:color w:val="auto"/>
                    </w:rPr>
                    <w:t>用地，评价区域内无风景名胜、文物古迹等需要特殊保护的环境敏感点，该项目建设未对周边村庄造成影响，情况属实，同意本项目建设（详见附件8）；根据2026年3月13日新平彝族傣族自治县水利局出具的“关于新平双壹农业有限公司老厂太桥双壹拌合站项目涉河情况的回复”（详见附件6），项目占地未占用新平县已规划的河道管理范围，因此，项目不占河道；项目于2026年3月16日取得玉溪市生态环境局新平分局“关于新平双壹农业有限公司《老厂太桥双壹拌合站建设项目》是否占用新平县“三线一单”的查询申请的复函”，结果显示该项目用地涉及占用新平县1个生态管控单元，即新平彝族傣族自治县一般管控单元（单元编码为：ZH53042730001）。不涉及经批准的新平县已划定的饮用水水源保护区等环境敏感区域（详见附件7）。</w:t>
                  </w:r>
                </w:p>
              </w:tc>
              <w:tc>
                <w:tcPr>
                  <w:tcW w:w="656" w:type="pct"/>
                  <w:vAlign w:val="center"/>
                </w:tcPr>
                <w:p w14:paraId="7188FD44">
                  <w:pPr>
                    <w:pStyle w:val="3"/>
                    <w:ind w:left="55" w:right="55"/>
                    <w:rPr>
                      <w:rFonts w:hint="default" w:ascii="Times New Roman" w:hAnsi="Times New Roman" w:cs="Times New Roman"/>
                      <w:color w:val="auto"/>
                    </w:rPr>
                  </w:pPr>
                </w:p>
                <w:p w14:paraId="3290600F">
                  <w:pPr>
                    <w:pStyle w:val="3"/>
                    <w:ind w:left="55" w:right="55"/>
                    <w:rPr>
                      <w:rFonts w:hint="default" w:ascii="Times New Roman" w:hAnsi="Times New Roman" w:cs="Times New Roman"/>
                      <w:color w:val="auto"/>
                    </w:rPr>
                  </w:pPr>
                </w:p>
                <w:p w14:paraId="7BD9002A">
                  <w:pPr>
                    <w:pStyle w:val="3"/>
                    <w:ind w:left="55" w:right="55"/>
                    <w:rPr>
                      <w:rFonts w:hint="default" w:ascii="Times New Roman" w:hAnsi="Times New Roman" w:cs="Times New Roman"/>
                      <w:color w:val="auto"/>
                    </w:rPr>
                  </w:pPr>
                </w:p>
                <w:p w14:paraId="610BEB61">
                  <w:pPr>
                    <w:pStyle w:val="3"/>
                    <w:ind w:left="55" w:right="55"/>
                    <w:rPr>
                      <w:rFonts w:hint="default" w:ascii="Times New Roman" w:hAnsi="Times New Roman" w:cs="Times New Roman"/>
                      <w:color w:val="auto"/>
                    </w:rPr>
                  </w:pPr>
                </w:p>
                <w:p w14:paraId="71C24386">
                  <w:pPr>
                    <w:pStyle w:val="3"/>
                    <w:ind w:left="55" w:right="55"/>
                    <w:rPr>
                      <w:rFonts w:hint="default" w:ascii="Times New Roman" w:hAnsi="Times New Roman" w:cs="Times New Roman"/>
                      <w:color w:val="auto"/>
                    </w:rPr>
                  </w:pPr>
                </w:p>
                <w:p w14:paraId="0C55F2D1">
                  <w:pPr>
                    <w:pStyle w:val="3"/>
                    <w:ind w:left="55" w:right="55"/>
                    <w:rPr>
                      <w:rFonts w:hint="default" w:ascii="Times New Roman" w:hAnsi="Times New Roman" w:cs="Times New Roman"/>
                      <w:color w:val="auto"/>
                    </w:rPr>
                  </w:pPr>
                </w:p>
                <w:p w14:paraId="561192D2">
                  <w:pPr>
                    <w:pStyle w:val="3"/>
                    <w:ind w:left="55" w:right="55"/>
                    <w:rPr>
                      <w:rFonts w:hint="default" w:ascii="Times New Roman" w:hAnsi="Times New Roman" w:cs="Times New Roman"/>
                      <w:color w:val="auto"/>
                    </w:rPr>
                  </w:pPr>
                </w:p>
                <w:p w14:paraId="3CCB0928">
                  <w:pPr>
                    <w:pStyle w:val="3"/>
                    <w:ind w:left="55" w:right="55"/>
                    <w:rPr>
                      <w:rFonts w:hint="default" w:ascii="Times New Roman" w:hAnsi="Times New Roman" w:cs="Times New Roman"/>
                      <w:color w:val="auto"/>
                    </w:rPr>
                  </w:pPr>
                </w:p>
                <w:p w14:paraId="62173832">
                  <w:pPr>
                    <w:pStyle w:val="3"/>
                    <w:ind w:left="55" w:right="55"/>
                    <w:rPr>
                      <w:rFonts w:hint="default" w:ascii="Times New Roman" w:hAnsi="Times New Roman" w:cs="Times New Roman"/>
                      <w:color w:val="auto"/>
                    </w:rPr>
                  </w:pPr>
                </w:p>
                <w:p w14:paraId="4FA2B2EF">
                  <w:pPr>
                    <w:pStyle w:val="3"/>
                    <w:ind w:left="55" w:right="55"/>
                    <w:rPr>
                      <w:rFonts w:hint="default" w:ascii="Times New Roman" w:hAnsi="Times New Roman" w:cs="Times New Roman"/>
                      <w:color w:val="auto"/>
                    </w:rPr>
                  </w:pPr>
                </w:p>
                <w:p w14:paraId="29D05CB1">
                  <w:pPr>
                    <w:pStyle w:val="3"/>
                    <w:ind w:left="55" w:right="55"/>
                    <w:rPr>
                      <w:rFonts w:hint="default" w:ascii="Times New Roman" w:hAnsi="Times New Roman" w:cs="Times New Roman"/>
                      <w:color w:val="auto"/>
                    </w:rPr>
                  </w:pPr>
                  <w:r>
                    <w:rPr>
                      <w:rFonts w:hint="default" w:ascii="Times New Roman" w:hAnsi="Times New Roman" w:cs="Times New Roman"/>
                      <w:color w:val="auto"/>
                    </w:rPr>
                    <w:t>符合</w:t>
                  </w:r>
                </w:p>
              </w:tc>
            </w:tr>
          </w:tbl>
          <w:p w14:paraId="4B305F9F">
            <w:pPr>
              <w:pStyle w:val="29"/>
              <w:ind w:firstLine="480"/>
              <w:rPr>
                <w:rStyle w:val="24"/>
                <w:rFonts w:hint="default" w:ascii="Times New Roman" w:hAnsi="Times New Roman" w:cs="Times New Roman"/>
                <w:color w:val="auto"/>
                <w:kern w:val="0"/>
                <w:lang w:eastAsia="en-US"/>
              </w:rPr>
            </w:pPr>
            <w:r>
              <w:rPr>
                <w:rFonts w:hint="default" w:ascii="Times New Roman" w:hAnsi="Times New Roman" w:cs="Times New Roman"/>
                <w:color w:val="auto"/>
                <w:kern w:val="0"/>
                <w:lang w:bidi="ar"/>
              </w:rPr>
              <w:t>综上所述，本项目的建设符合</w:t>
            </w:r>
            <w:r>
              <w:rPr>
                <w:rFonts w:hint="default" w:ascii="Times New Roman" w:hAnsi="Times New Roman" w:cs="Times New Roman"/>
                <w:color w:val="auto"/>
                <w:kern w:val="0"/>
              </w:rPr>
              <w:t>《新平彝族傣族自治县国土空间总体规划（2021-2035年）》</w:t>
            </w:r>
            <w:r>
              <w:rPr>
                <w:rFonts w:hint="default" w:ascii="Times New Roman" w:hAnsi="Times New Roman" w:cs="Times New Roman"/>
                <w:color w:val="auto"/>
                <w:kern w:val="0"/>
                <w:lang w:bidi="ar"/>
              </w:rPr>
              <w:t>的相关要求。</w:t>
            </w:r>
          </w:p>
          <w:p w14:paraId="326605F4">
            <w:pPr>
              <w:pStyle w:val="29"/>
              <w:numPr>
                <w:ilvl w:val="0"/>
                <w:numId w:val="0"/>
              </w:numPr>
              <w:ind w:firstLine="482" w:firstLineChars="200"/>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十四、与《中华人民共和国固体废物污染环境防治法》中的工业固体废物污染环境的防治符合性分析</w:t>
            </w:r>
          </w:p>
          <w:p w14:paraId="34325F83">
            <w:pPr>
              <w:pStyle w:val="29"/>
              <w:numPr>
                <w:ilvl w:val="0"/>
                <w:numId w:val="0"/>
              </w:numPr>
              <w:ind w:firstLine="48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根据《中华人民共和国固体废物污染环境防治法》中的工业固体废物污染环境的防治符合性分析情况见下表1-10。</w:t>
            </w:r>
          </w:p>
          <w:p w14:paraId="5C21BB01">
            <w:pPr>
              <w:pStyle w:val="29"/>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240" w:lineRule="auto"/>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bCs w:val="0"/>
                <w:color w:val="auto"/>
                <w:sz w:val="21"/>
                <w:szCs w:val="21"/>
                <w:lang w:val="en-US" w:eastAsia="zh-CN"/>
              </w:rPr>
              <w:t>表1-10    工业固体废物污染环境的防治符合性分析</w:t>
            </w:r>
          </w:p>
          <w:tbl>
            <w:tblPr>
              <w:tblStyle w:val="2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739"/>
              <w:gridCol w:w="2936"/>
              <w:gridCol w:w="992"/>
            </w:tblGrid>
            <w:tr w14:paraId="7B84BC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38" w:type="pct"/>
                  <w:vAlign w:val="center"/>
                </w:tcPr>
                <w:p w14:paraId="702E4CBB">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《中华人民共和国固体废物污染环境防治法》中的工业固体废物污染环境的防治要求</w:t>
                  </w:r>
                </w:p>
              </w:tc>
              <w:tc>
                <w:tcPr>
                  <w:tcW w:w="1914" w:type="pct"/>
                  <w:vAlign w:val="center"/>
                </w:tcPr>
                <w:p w14:paraId="5985381B">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47" w:type="pct"/>
                  <w:vAlign w:val="center"/>
                </w:tcPr>
                <w:p w14:paraId="0EF2B7BA">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相符性分析</w:t>
                  </w:r>
                </w:p>
              </w:tc>
            </w:tr>
            <w:tr w14:paraId="336D85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38" w:type="pct"/>
                  <w:vAlign w:val="center"/>
                </w:tcPr>
                <w:p w14:paraId="338C2BD7">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产生工业固体废物的单位应当建立、健全污染环境防治责任制度，采取防治工业固体废物污染环境的措施。</w:t>
                  </w:r>
                </w:p>
              </w:tc>
              <w:tc>
                <w:tcPr>
                  <w:tcW w:w="1914" w:type="pct"/>
                  <w:vAlign w:val="center"/>
                </w:tcPr>
                <w:p w14:paraId="295B1041">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项目运营过程中产生的少量</w:t>
                  </w:r>
                  <w:r>
                    <w:rPr>
                      <w:rFonts w:hint="default" w:ascii="Times New Roman" w:hAnsi="Times New Roman" w:cs="Times New Roman"/>
                      <w:color w:val="auto"/>
                      <w:lang w:val="en-US" w:eastAsia="zh-CN"/>
                    </w:rPr>
                    <w:t>固废</w:t>
                  </w:r>
                  <w:r>
                    <w:rPr>
                      <w:rFonts w:hint="default" w:ascii="Times New Roman" w:hAnsi="Times New Roman" w:cs="Times New Roman"/>
                      <w:color w:val="auto"/>
                    </w:rPr>
                    <w:t>。沉淀池沉渣收集后回用生产工序；不合格产品全部可回用于生产；</w:t>
                  </w:r>
                  <w:r>
                    <w:rPr>
                      <w:rFonts w:hint="default" w:ascii="Times New Roman" w:hAnsi="Times New Roman" w:cs="Times New Roman"/>
                      <w:color w:val="auto"/>
                      <w:lang w:val="en-US" w:eastAsia="zh-CN"/>
                    </w:rPr>
                    <w:t>日常</w:t>
                  </w:r>
                  <w:r>
                    <w:rPr>
                      <w:rFonts w:hint="default" w:ascii="Times New Roman" w:hAnsi="Times New Roman" w:cs="Times New Roman"/>
                      <w:color w:val="auto"/>
                    </w:rPr>
                    <w:t>生活垃圾集中收集后由管理人员定期清运至老厂乡垃圾收集点清运处置；废机油及废油桶属于危险废物，暂存于一个5m</w:t>
                  </w:r>
                  <w:r>
                    <w:rPr>
                      <w:rFonts w:hint="default" w:ascii="Times New Roman" w:hAnsi="Times New Roman" w:cs="Times New Roman"/>
                      <w:color w:val="auto"/>
                      <w:vertAlign w:val="superscript"/>
                    </w:rPr>
                    <w:t>2</w:t>
                  </w:r>
                  <w:r>
                    <w:rPr>
                      <w:rFonts w:hint="default" w:ascii="Times New Roman" w:hAnsi="Times New Roman" w:cs="Times New Roman"/>
                      <w:color w:val="auto"/>
                    </w:rPr>
                    <w:t>的危废贮存库，定期委托有资质的单位清运处置。</w:t>
                  </w:r>
                </w:p>
              </w:tc>
              <w:tc>
                <w:tcPr>
                  <w:tcW w:w="647" w:type="pct"/>
                  <w:vAlign w:val="center"/>
                </w:tcPr>
                <w:p w14:paraId="3155737E">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02248C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38" w:type="pct"/>
                  <w:vAlign w:val="center"/>
                </w:tcPr>
                <w:p w14:paraId="0667DCD2">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企业事业单位应当合理选择和利用原材料、能源和其他资源，采用先进的生产工艺和设备，减少工业固体废物产生量。</w:t>
                  </w:r>
                </w:p>
              </w:tc>
              <w:tc>
                <w:tcPr>
                  <w:tcW w:w="1914" w:type="pct"/>
                  <w:vAlign w:val="center"/>
                </w:tcPr>
                <w:p w14:paraId="5DD9A938">
                  <w:pPr>
                    <w:pStyle w:val="3"/>
                    <w:ind w:left="0" w:leftChars="0" w:right="0" w:rightChars="0"/>
                    <w:jc w:val="both"/>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本项目采用成熟合规生产工艺，未使用国家淘汰类设备，不新增工业固废产生量；主要以浩盛矿业磁选尾矿、公分石和老厂集镇西侧滑坡治理及综合开发利用项目建设开采的土石方作为原料，推动矿山尾矿及建筑开挖土石方就近资源化利用，替代原生砂石和土方的开采，有效降低固废堆存强度，落实源头减量要求。</w:t>
                  </w:r>
                </w:p>
              </w:tc>
              <w:tc>
                <w:tcPr>
                  <w:tcW w:w="647" w:type="pct"/>
                  <w:vAlign w:val="center"/>
                </w:tcPr>
                <w:p w14:paraId="38E9C670">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4704E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38" w:type="pct"/>
                  <w:vAlign w:val="center"/>
                </w:tcPr>
                <w:p w14:paraId="3819363A">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产生工业固体废物的单位必须按照国务院环境保护行政主管部门的规定，向所在地县级以上地方人民政府环境保护行政主管部门提供工业固体废物的产生量、流向、贮存、处置等有关资料。</w:t>
                  </w:r>
                </w:p>
              </w:tc>
              <w:tc>
                <w:tcPr>
                  <w:tcW w:w="1914" w:type="pct"/>
                  <w:vAlign w:val="center"/>
                </w:tcPr>
                <w:p w14:paraId="5A881C27">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运营期</w:t>
                  </w:r>
                  <w:r>
                    <w:rPr>
                      <w:rFonts w:hint="default" w:ascii="Times New Roman" w:hAnsi="Times New Roman" w:cs="Times New Roman"/>
                      <w:color w:val="auto"/>
                    </w:rPr>
                    <w:t>建立完整的工业固体废物管理台账，如实记录</w:t>
                  </w:r>
                  <w:r>
                    <w:rPr>
                      <w:rFonts w:hint="default" w:ascii="Times New Roman" w:hAnsi="Times New Roman" w:cs="Times New Roman"/>
                      <w:color w:val="auto"/>
                      <w:lang w:val="en-US" w:eastAsia="zh-CN"/>
                    </w:rPr>
                    <w:t>原料和产品</w:t>
                  </w:r>
                  <w:r>
                    <w:rPr>
                      <w:rFonts w:hint="default" w:ascii="Times New Roman" w:hAnsi="Times New Roman" w:cs="Times New Roman"/>
                      <w:color w:val="auto"/>
                    </w:rPr>
                    <w:t>的种类、数量、流向、贮存、利用全流程信息；原料及</w:t>
                  </w:r>
                  <w:r>
                    <w:rPr>
                      <w:rFonts w:hint="default" w:ascii="Times New Roman" w:hAnsi="Times New Roman" w:cs="Times New Roman"/>
                      <w:color w:val="auto"/>
                      <w:lang w:val="en-US" w:eastAsia="zh-CN"/>
                    </w:rPr>
                    <w:t>产品</w:t>
                  </w:r>
                  <w:r>
                    <w:rPr>
                      <w:rFonts w:hint="default" w:ascii="Times New Roman" w:hAnsi="Times New Roman" w:cs="Times New Roman"/>
                      <w:color w:val="auto"/>
                    </w:rPr>
                    <w:t>分类收集、规范贮存，设置专用贮存区域并采取防扬散、防流失措施，严禁混入生活垃圾；原料及产品均在本地范围内流转，不涉及跨省转移，落实规范化管理要求。</w:t>
                  </w:r>
                </w:p>
              </w:tc>
              <w:tc>
                <w:tcPr>
                  <w:tcW w:w="647" w:type="pct"/>
                  <w:vAlign w:val="center"/>
                </w:tcPr>
                <w:p w14:paraId="31F40417">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48CC32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38" w:type="pct"/>
                  <w:vAlign w:val="center"/>
                </w:tcPr>
                <w:p w14:paraId="5646DE07">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企业事业单位对其产生的不能利用或者暂时不利用的工业固体废物，必须按照国务院环境保护行政主管部门的规定建设贮存或者处置的设施、场所。</w:t>
                  </w:r>
                </w:p>
              </w:tc>
              <w:tc>
                <w:tcPr>
                  <w:tcW w:w="1914" w:type="pct"/>
                  <w:vAlign w:val="center"/>
                </w:tcPr>
                <w:p w14:paraId="793E6882">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项目运营过程中产生的少量</w:t>
                  </w:r>
                  <w:r>
                    <w:rPr>
                      <w:rFonts w:hint="default" w:ascii="Times New Roman" w:hAnsi="Times New Roman" w:cs="Times New Roman"/>
                      <w:color w:val="auto"/>
                      <w:lang w:val="en-US" w:eastAsia="zh-CN"/>
                    </w:rPr>
                    <w:t>固废</w:t>
                  </w:r>
                  <w:r>
                    <w:rPr>
                      <w:rFonts w:hint="default" w:ascii="Times New Roman" w:hAnsi="Times New Roman" w:cs="Times New Roman"/>
                      <w:color w:val="auto"/>
                    </w:rPr>
                    <w:t>。沉淀池沉渣收集后回用生产工序；不合格产品全部可回用于生产；生活垃圾集中收集后由管理人员定期清运至老厂乡垃圾收集点清运处置；废机油及废油桶属于危险废物，暂存于一个5m</w:t>
                  </w:r>
                  <w:r>
                    <w:rPr>
                      <w:rFonts w:hint="default" w:ascii="Times New Roman" w:hAnsi="Times New Roman" w:cs="Times New Roman"/>
                      <w:color w:val="auto"/>
                      <w:vertAlign w:val="superscript"/>
                    </w:rPr>
                    <w:t>2</w:t>
                  </w:r>
                  <w:r>
                    <w:rPr>
                      <w:rFonts w:hint="default" w:ascii="Times New Roman" w:hAnsi="Times New Roman" w:cs="Times New Roman"/>
                      <w:color w:val="auto"/>
                    </w:rPr>
                    <w:t>的危废贮存库，定期委托有资质的单位清运处置。</w:t>
                  </w:r>
                </w:p>
              </w:tc>
              <w:tc>
                <w:tcPr>
                  <w:tcW w:w="647" w:type="pct"/>
                  <w:vAlign w:val="center"/>
                </w:tcPr>
                <w:p w14:paraId="173C165D">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1BE451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38" w:type="pct"/>
                  <w:vAlign w:val="center"/>
                </w:tcPr>
                <w:p w14:paraId="72646B85">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露天贮存冶炼渣、化工渣、燃煤灰渣、废矿石、尾矿和其他工业固体废物的，应当设置专用的贮存设施、场所。</w:t>
                  </w:r>
                </w:p>
              </w:tc>
              <w:tc>
                <w:tcPr>
                  <w:tcW w:w="1914" w:type="pct"/>
                  <w:vAlign w:val="center"/>
                </w:tcPr>
                <w:p w14:paraId="0E6A0E9E">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本项目原料堆场</w:t>
                  </w:r>
                  <w:r>
                    <w:rPr>
                      <w:rFonts w:hint="default" w:ascii="Times New Roman" w:hAnsi="Times New Roman" w:cs="Times New Roman"/>
                      <w:color w:val="auto"/>
                    </w:rPr>
                    <w:t>位于项目</w:t>
                  </w:r>
                  <w:r>
                    <w:rPr>
                      <w:rFonts w:hint="default" w:ascii="Times New Roman" w:hAnsi="Times New Roman" w:cs="Times New Roman"/>
                      <w:color w:val="auto"/>
                      <w:lang w:val="en-US" w:eastAsia="zh-CN"/>
                    </w:rPr>
                    <w:t>厂界西侧</w:t>
                  </w:r>
                  <w:r>
                    <w:rPr>
                      <w:rFonts w:hint="default" w:ascii="Times New Roman" w:hAnsi="Times New Roman" w:cs="Times New Roman"/>
                      <w:color w:val="auto"/>
                    </w:rPr>
                    <w:t>，在办公区的南侧，原料堆场总占地面积约为1445m</w:t>
                  </w:r>
                  <w:r>
                    <w:rPr>
                      <w:rFonts w:hint="default" w:ascii="Times New Roman" w:hAnsi="Times New Roman" w:cs="Times New Roman"/>
                      <w:color w:val="auto"/>
                      <w:vertAlign w:val="superscript"/>
                    </w:rPr>
                    <w:t>2</w:t>
                  </w:r>
                  <w:r>
                    <w:rPr>
                      <w:rFonts w:hint="default" w:ascii="Times New Roman" w:hAnsi="Times New Roman" w:cs="Times New Roman"/>
                      <w:color w:val="auto"/>
                    </w:rPr>
                    <w:t>，堆存量约500t。本项目原料周转较快，因此，本项目原料堆场设置一个面积约500m</w:t>
                  </w:r>
                  <w:r>
                    <w:rPr>
                      <w:rFonts w:hint="default" w:ascii="Times New Roman" w:hAnsi="Times New Roman" w:cs="Times New Roman"/>
                      <w:color w:val="auto"/>
                      <w:vertAlign w:val="superscript"/>
                    </w:rPr>
                    <w:t>2</w:t>
                  </w:r>
                  <w:r>
                    <w:rPr>
                      <w:rFonts w:hint="default" w:ascii="Times New Roman" w:hAnsi="Times New Roman" w:cs="Times New Roman"/>
                      <w:color w:val="auto"/>
                    </w:rPr>
                    <w:t>的原料堆场，堆场设置三面围挡+顶棚措施，所有物料均进入料棚内堆存，同时采用篷布遮盖，此外，原料堆场应定时洒水降尘。</w:t>
                  </w:r>
                </w:p>
              </w:tc>
              <w:tc>
                <w:tcPr>
                  <w:tcW w:w="647" w:type="pct"/>
                  <w:vAlign w:val="center"/>
                </w:tcPr>
                <w:p w14:paraId="38B8B8D6">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23082E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38" w:type="pct"/>
                  <w:vAlign w:val="center"/>
                </w:tcPr>
                <w:p w14:paraId="10F06667">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建设工业固体废物贮存、处置的设施、场所，必须符合国务院环境保护行政主管部门规定的环境保护标准。</w:t>
                  </w:r>
                </w:p>
              </w:tc>
              <w:tc>
                <w:tcPr>
                  <w:tcW w:w="1914" w:type="pct"/>
                  <w:vAlign w:val="center"/>
                </w:tcPr>
                <w:p w14:paraId="1DA2A7E4">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废机油及废油桶属于危险废物，暂存于一个5m</w:t>
                  </w:r>
                  <w:r>
                    <w:rPr>
                      <w:rFonts w:hint="default" w:ascii="Times New Roman" w:hAnsi="Times New Roman" w:cs="Times New Roman"/>
                      <w:color w:val="auto"/>
                      <w:vertAlign w:val="superscript"/>
                    </w:rPr>
                    <w:t>2</w:t>
                  </w:r>
                  <w:r>
                    <w:rPr>
                      <w:rFonts w:hint="default" w:ascii="Times New Roman" w:hAnsi="Times New Roman" w:cs="Times New Roman"/>
                      <w:color w:val="auto"/>
                    </w:rPr>
                    <w:t>的危废贮存库，定期委托有资质的单位清运处置。</w:t>
                  </w:r>
                </w:p>
              </w:tc>
              <w:tc>
                <w:tcPr>
                  <w:tcW w:w="647" w:type="pct"/>
                  <w:vAlign w:val="center"/>
                </w:tcPr>
                <w:p w14:paraId="1C5725E5">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bl>
          <w:p w14:paraId="6CE0090C">
            <w:pPr>
              <w:pStyle w:val="29"/>
              <w:ind w:firstLine="480"/>
              <w:rPr>
                <w:rStyle w:val="24"/>
                <w:rFonts w:hint="default" w:ascii="Times New Roman" w:hAnsi="Times New Roman" w:cs="Times New Roman"/>
                <w:color w:val="auto"/>
                <w:kern w:val="0"/>
                <w:lang w:eastAsia="en-US"/>
              </w:rPr>
            </w:pPr>
            <w:r>
              <w:rPr>
                <w:rFonts w:hint="default" w:ascii="Times New Roman" w:hAnsi="Times New Roman" w:cs="Times New Roman"/>
                <w:color w:val="auto"/>
                <w:kern w:val="0"/>
                <w:lang w:bidi="ar"/>
              </w:rPr>
              <w:t>综上所述，本项目的建设符合</w:t>
            </w:r>
            <w:r>
              <w:rPr>
                <w:rFonts w:hint="default" w:ascii="Times New Roman" w:hAnsi="Times New Roman" w:cs="Times New Roman"/>
                <w:b w:val="0"/>
                <w:bCs/>
                <w:color w:val="auto"/>
                <w:lang w:val="en-US" w:eastAsia="zh-CN"/>
              </w:rPr>
              <w:t>《中华人民共和国固体废物污染环境防治法》中的工业固体废物污染环境的防治的</w:t>
            </w:r>
            <w:r>
              <w:rPr>
                <w:rFonts w:hint="default" w:ascii="Times New Roman" w:hAnsi="Times New Roman" w:cs="Times New Roman"/>
                <w:color w:val="auto"/>
                <w:kern w:val="0"/>
                <w:lang w:bidi="ar"/>
              </w:rPr>
              <w:t>相关要求。</w:t>
            </w:r>
          </w:p>
          <w:p w14:paraId="7632FE93">
            <w:pPr>
              <w:pStyle w:val="29"/>
              <w:numPr>
                <w:ilvl w:val="0"/>
                <w:numId w:val="0"/>
              </w:numPr>
              <w:ind w:left="440" w:leftChars="0"/>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十五、与《固体废物综合治理行动计划》符合性分析</w:t>
            </w:r>
          </w:p>
          <w:p w14:paraId="10816AEC">
            <w:pPr>
              <w:pStyle w:val="29"/>
              <w:numPr>
                <w:ilvl w:val="0"/>
                <w:numId w:val="0"/>
              </w:numPr>
              <w:ind w:firstLine="48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本项目与《固体废物综合治理行动计划》符合性分析见下表1-11。</w:t>
            </w:r>
          </w:p>
          <w:p w14:paraId="3152CF47">
            <w:pPr>
              <w:pStyle w:val="29"/>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240" w:lineRule="auto"/>
              <w:ind w:leftChars="200"/>
              <w:jc w:val="center"/>
              <w:textAlignment w:val="auto"/>
              <w:rPr>
                <w:rFonts w:hint="default" w:ascii="Times New Roman" w:hAnsi="Times New Roman" w:cs="Times New Roman"/>
                <w:b/>
                <w:color w:val="auto"/>
                <w:lang w:val="en-US" w:eastAsia="zh-CN"/>
              </w:rPr>
            </w:pPr>
            <w:r>
              <w:rPr>
                <w:rFonts w:hint="default" w:ascii="Times New Roman" w:hAnsi="Times New Roman" w:cs="Times New Roman"/>
                <w:b/>
                <w:bCs w:val="0"/>
                <w:color w:val="auto"/>
                <w:sz w:val="21"/>
                <w:szCs w:val="21"/>
                <w:lang w:val="en-US" w:eastAsia="zh-CN"/>
              </w:rPr>
              <w:t>表1-11    《固体废物综合治理行动计划》符合性分析</w:t>
            </w:r>
          </w:p>
          <w:tbl>
            <w:tblPr>
              <w:tblStyle w:val="20"/>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814"/>
              <w:gridCol w:w="2807"/>
              <w:gridCol w:w="1034"/>
            </w:tblGrid>
            <w:tr w14:paraId="2E1768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2491" w:type="pct"/>
                  <w:vAlign w:val="center"/>
                </w:tcPr>
                <w:p w14:paraId="1C02B12E">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《固体废物综合治理行动计划》要求</w:t>
                  </w:r>
                </w:p>
              </w:tc>
              <w:tc>
                <w:tcPr>
                  <w:tcW w:w="1833" w:type="pct"/>
                  <w:vAlign w:val="center"/>
                </w:tcPr>
                <w:p w14:paraId="020E373A">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75" w:type="pct"/>
                  <w:vAlign w:val="center"/>
                </w:tcPr>
                <w:p w14:paraId="6A311303">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相符性分析</w:t>
                  </w:r>
                </w:p>
              </w:tc>
            </w:tr>
            <w:tr w14:paraId="385C10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1AB73FFB">
                  <w:pPr>
                    <w:pStyle w:val="3"/>
                    <w:ind w:left="0" w:leftChars="0" w:right="0" w:rightChars="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加强工业固体废物源头减量。严格落实产业、环保、节能等政策，依法依规淘汰落后产能。强化工业园区固体废物源头管控。大力推行绿色设计，支持企业改进生产工艺和装备，强化工业生产精细化管控，降低固体废物产生强度。推动重有色金属矿采选一体化建设，促进尾矿就近充填回填，原则上不再批准建设无自建矿山、无配套尾矿利用处置设施的选矿项目。推动重点行业固体废物产生量与综合消纳量逐步实现动态平衡。</w:t>
                  </w:r>
                </w:p>
              </w:tc>
              <w:tc>
                <w:tcPr>
                  <w:tcW w:w="1833" w:type="pct"/>
                  <w:vAlign w:val="center"/>
                </w:tcPr>
                <w:p w14:paraId="41B08F22">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采用成熟合规生产工艺，未使用国家淘汰类设备，不新增工业固废产生量；主要以浩盛矿业磁选尾矿、公分石和老厂集镇西侧滑坡治理及综合开发利用项目建设开采的土石方作为原料，推动矿山尾矿及建筑开挖土石方就近资源化利用，替代原生砂石和土方的开采，有效降低固废堆存强度，落实源头减量要求。</w:t>
                  </w:r>
                </w:p>
              </w:tc>
              <w:tc>
                <w:tcPr>
                  <w:tcW w:w="675" w:type="pct"/>
                  <w:vAlign w:val="center"/>
                </w:tcPr>
                <w:p w14:paraId="1BD2B2D1">
                  <w:pPr>
                    <w:pStyle w:val="3"/>
                    <w:ind w:left="55" w:right="55"/>
                    <w:rPr>
                      <w:rFonts w:hint="default" w:ascii="Times New Roman" w:hAnsi="Times New Roman" w:cs="Times New Roman"/>
                      <w:color w:val="auto"/>
                    </w:rPr>
                  </w:pPr>
                  <w:r>
                    <w:rPr>
                      <w:rFonts w:hint="default" w:ascii="Times New Roman" w:hAnsi="Times New Roman" w:cs="Times New Roman"/>
                      <w:color w:val="auto"/>
                    </w:rPr>
                    <w:t>符合</w:t>
                  </w:r>
                </w:p>
              </w:tc>
            </w:tr>
            <w:tr w14:paraId="099207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3356593C">
                  <w:pPr>
                    <w:pStyle w:val="3"/>
                    <w:ind w:left="0" w:leftChars="0" w:right="0" w:right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实施城镇固体废物源头管控。推进建筑垃圾分类处理。稳步发展装配式建筑，推广绿色施工、全装修或标准化装修交付，强化建筑工地固体废物源头管控。将建筑垃圾减量、运输、利用、处置所需费用列入工程造价，在工程招标和施工设计中明确减量要求和措施。探索房屋建筑和市政工程固体废物排放限额管理。鼓励就地就近处理园林垃圾。压实经营者主体责任，严格落实塑料制品规范使用和减量要求。加快推进快递包装绿色转型，加强商品过度包装治理。</w:t>
                  </w:r>
                </w:p>
              </w:tc>
              <w:tc>
                <w:tcPr>
                  <w:tcW w:w="1833" w:type="pct"/>
                  <w:vAlign w:val="center"/>
                </w:tcPr>
                <w:p w14:paraId="020070D5">
                  <w:pPr>
                    <w:keepNext w:val="0"/>
                    <w:keepLines w:val="0"/>
                    <w:widowControl/>
                    <w:suppressLineNumbers w:val="0"/>
                    <w:jc w:val="both"/>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本项目为临时工程，主要产生少量生产废料（泥沙或不合格产品），全部收集后均可回用于生，无建筑垃圾分类处置隐患；生产过程中减少包装类废弃物使用，各类包装材料分类回收，待后期治理工程竣工结束后本项目将进行拆除恢复场地平整，落实城镇固废源头管控要求。</w:t>
                  </w:r>
                </w:p>
                <w:p w14:paraId="20851790">
                  <w:pPr>
                    <w:pStyle w:val="3"/>
                    <w:ind w:left="0" w:leftChars="0" w:right="0" w:rightChars="0"/>
                    <w:jc w:val="center"/>
                    <w:rPr>
                      <w:rFonts w:hint="default" w:ascii="Times New Roman" w:hAnsi="Times New Roman" w:cs="Times New Roman"/>
                      <w:color w:val="auto"/>
                      <w:sz w:val="21"/>
                      <w:szCs w:val="21"/>
                    </w:rPr>
                  </w:pPr>
                </w:p>
              </w:tc>
              <w:tc>
                <w:tcPr>
                  <w:tcW w:w="675" w:type="pct"/>
                  <w:vAlign w:val="center"/>
                </w:tcPr>
                <w:p w14:paraId="679A4D2C">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3BEC48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7B2D3554">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3.减少农林固体废物产生。加强地膜科学使用和管理，严禁非标地膜入市下田。强化农业投入品包装管理，减少包装废弃物产生。推广循环型农业生产模式。</w:t>
                  </w:r>
                </w:p>
              </w:tc>
              <w:tc>
                <w:tcPr>
                  <w:tcW w:w="1833" w:type="pct"/>
                  <w:vAlign w:val="center"/>
                </w:tcPr>
                <w:p w14:paraId="0163A721">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项目为工业固废资源化利用及建材生产项目，不涉及农林固体废物产生、处理相关环节，与本条要求无冲突，不违反相关管控规定。</w:t>
                  </w:r>
                </w:p>
              </w:tc>
              <w:tc>
                <w:tcPr>
                  <w:tcW w:w="675" w:type="pct"/>
                  <w:vAlign w:val="center"/>
                </w:tcPr>
                <w:p w14:paraId="39AF96B5">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1627DC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283524C4">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default" w:ascii="Times New Roman" w:hAnsi="Times New Roman" w:cs="Times New Roman"/>
                      <w:color w:val="auto"/>
                    </w:rPr>
                    <w:t>加强工业固体废物规范化管理。完善工业固体废物管理台账制度，强化全链条跟踪管控。推行工业固体废物分类收集贮存，防范混堆混排。禁止向生活垃圾收集设施中投放工业固体废物。严格执行工业固体废物、危险废物跨省转移审批制度。规范各类企业危险废物收集管理。</w:t>
                  </w:r>
                </w:p>
              </w:tc>
              <w:tc>
                <w:tcPr>
                  <w:tcW w:w="1833" w:type="pct"/>
                  <w:vAlign w:val="center"/>
                </w:tcPr>
                <w:p w14:paraId="0BE4CB20">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运营期</w:t>
                  </w:r>
                  <w:r>
                    <w:rPr>
                      <w:rFonts w:hint="default" w:ascii="Times New Roman" w:hAnsi="Times New Roman" w:cs="Times New Roman"/>
                      <w:color w:val="auto"/>
                    </w:rPr>
                    <w:t>建立完整的工业固体废物管理台账，如实记录</w:t>
                  </w:r>
                  <w:r>
                    <w:rPr>
                      <w:rFonts w:hint="default" w:ascii="Times New Roman" w:hAnsi="Times New Roman" w:cs="Times New Roman"/>
                      <w:color w:val="auto"/>
                      <w:lang w:val="en-US" w:eastAsia="zh-CN"/>
                    </w:rPr>
                    <w:t>原料和产品</w:t>
                  </w:r>
                  <w:r>
                    <w:rPr>
                      <w:rFonts w:hint="default" w:ascii="Times New Roman" w:hAnsi="Times New Roman" w:cs="Times New Roman"/>
                      <w:color w:val="auto"/>
                    </w:rPr>
                    <w:t>的种类、数量、流向、贮存、利用全流程信息；原料及</w:t>
                  </w:r>
                  <w:r>
                    <w:rPr>
                      <w:rFonts w:hint="default" w:ascii="Times New Roman" w:hAnsi="Times New Roman" w:cs="Times New Roman"/>
                      <w:color w:val="auto"/>
                      <w:lang w:val="en-US" w:eastAsia="zh-CN"/>
                    </w:rPr>
                    <w:t>产品</w:t>
                  </w:r>
                  <w:r>
                    <w:rPr>
                      <w:rFonts w:hint="default" w:ascii="Times New Roman" w:hAnsi="Times New Roman" w:cs="Times New Roman"/>
                      <w:color w:val="auto"/>
                    </w:rPr>
                    <w:t>分类收集、规范贮存，设置专用贮存区域并采取防扬散、防流失措施，严禁混入生活垃圾；原料及产品均在本地范围内流转，不涉及跨省转移，落实规范化管理要求。</w:t>
                  </w:r>
                </w:p>
              </w:tc>
              <w:tc>
                <w:tcPr>
                  <w:tcW w:w="675" w:type="pct"/>
                  <w:vAlign w:val="center"/>
                </w:tcPr>
                <w:p w14:paraId="4E6EC988">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773CE9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703A1EB3">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规范城镇固体废物回收转运体系。提高生活垃圾分类和资源化利用水平。深化生活垃圾分类网点与废旧物资回收网点“两网融合”。发展“互联网＋回收”模式。加强建筑工地、临时贮存场所信息化监管，加强运输车辆动态监管，严防沿途遗撒和乱倒乱卸建筑垃圾，防止城市建筑垃圾向农村转移。因地制宜配置园林垃圾分类收集容器和运输设备。</w:t>
                  </w:r>
                </w:p>
              </w:tc>
              <w:tc>
                <w:tcPr>
                  <w:tcW w:w="1833" w:type="pct"/>
                  <w:vAlign w:val="center"/>
                </w:tcPr>
                <w:p w14:paraId="09BE51BE">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项目运营过程中产生的少量</w:t>
                  </w:r>
                  <w:r>
                    <w:rPr>
                      <w:rFonts w:hint="default" w:ascii="Times New Roman" w:hAnsi="Times New Roman" w:cs="Times New Roman"/>
                      <w:color w:val="auto"/>
                      <w:lang w:val="en-US" w:eastAsia="zh-CN"/>
                    </w:rPr>
                    <w:t>固废</w:t>
                  </w:r>
                  <w:r>
                    <w:rPr>
                      <w:rFonts w:hint="default" w:ascii="Times New Roman" w:hAnsi="Times New Roman" w:cs="Times New Roman"/>
                      <w:color w:val="auto"/>
                    </w:rPr>
                    <w:t>。沉淀池沉渣收集后回用生产工序；不合格产品全部可回用于生产；生活垃圾集中收集后由管理人员定期清运至老厂乡垃圾收集点清运处置；废机油及废油桶属于危险废物，暂存于一个5m</w:t>
                  </w:r>
                  <w:r>
                    <w:rPr>
                      <w:rFonts w:hint="default" w:ascii="Times New Roman" w:hAnsi="Times New Roman" w:cs="Times New Roman"/>
                      <w:color w:val="auto"/>
                      <w:vertAlign w:val="superscript"/>
                    </w:rPr>
                    <w:t>2</w:t>
                  </w:r>
                  <w:r>
                    <w:rPr>
                      <w:rFonts w:hint="default" w:ascii="Times New Roman" w:hAnsi="Times New Roman" w:cs="Times New Roman"/>
                      <w:color w:val="auto"/>
                    </w:rPr>
                    <w:t>的危废贮存库，定期委托有资质的单位清运处置。</w:t>
                  </w:r>
                </w:p>
              </w:tc>
              <w:tc>
                <w:tcPr>
                  <w:tcW w:w="675" w:type="pct"/>
                  <w:vAlign w:val="center"/>
                </w:tcPr>
                <w:p w14:paraId="659A531A">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391129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5" w:hRule="atLeast"/>
                <w:jc w:val="center"/>
              </w:trPr>
              <w:tc>
                <w:tcPr>
                  <w:tcW w:w="2491" w:type="pct"/>
                  <w:vAlign w:val="center"/>
                </w:tcPr>
                <w:p w14:paraId="3C6C1E46">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提高农林固体废物收集转运能力。因地制宜建设畜禽粪污收集处理设施。健全秸秆收储运体系，培育专业化第三方服务主体。加强废旧农用物资和报废农机回收处置。积极发挥供销合作系统回收网络作用。建设农资经营点和农村垃圾回收站结合的回收体系，推广押金制、回收奖励制等模式。</w:t>
                  </w:r>
                </w:p>
              </w:tc>
              <w:tc>
                <w:tcPr>
                  <w:tcW w:w="1833" w:type="pct"/>
                  <w:vAlign w:val="center"/>
                </w:tcPr>
                <w:p w14:paraId="50ABCE8C">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项目不涉及农林固体废物的收集、转运、处置相关工作，与本条要求无关联，不违反相关管理规定。</w:t>
                  </w:r>
                </w:p>
              </w:tc>
              <w:tc>
                <w:tcPr>
                  <w:tcW w:w="675" w:type="pct"/>
                  <w:vAlign w:val="center"/>
                </w:tcPr>
                <w:p w14:paraId="3D4E2521">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3C3814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632D382F">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r>
                    <w:rPr>
                      <w:rFonts w:hint="default" w:ascii="Times New Roman" w:hAnsi="Times New Roman" w:cs="Times New Roman"/>
                      <w:color w:val="auto"/>
                    </w:rPr>
                    <w:t>加强大宗固体废弃物综合利用。提升冶炼渣、尾矿、共伴生矿、赤泥、建筑垃圾综合利用能力，加强有价组分高效提取及整体利用，因地制宜推动煤矸石多元化利用。拓宽秸秆综合利用途径，提高秸秆还田科学化、规范化水平。推进畜禽养殖废弃物资源化利用。</w:t>
                  </w:r>
                </w:p>
              </w:tc>
              <w:tc>
                <w:tcPr>
                  <w:tcW w:w="1833" w:type="pct"/>
                  <w:vAlign w:val="center"/>
                </w:tcPr>
                <w:p w14:paraId="7FA3BF7B">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项目核心原料为浩盛矿业磁选尾矿</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公分石和</w:t>
                  </w:r>
                  <w:r>
                    <w:rPr>
                      <w:rFonts w:hint="default" w:ascii="Times New Roman" w:hAnsi="Times New Roman" w:eastAsia="宋体" w:cs="Times New Roman"/>
                      <w:color w:val="auto"/>
                      <w:kern w:val="0"/>
                      <w:sz w:val="21"/>
                      <w:szCs w:val="21"/>
                      <w:lang w:val="en-US" w:eastAsia="zh-CN" w:bidi="ar"/>
                    </w:rPr>
                    <w:t>和老厂集镇西侧滑坡治理及综合开发利用项目建设开采的土石方</w:t>
                  </w:r>
                  <w:r>
                    <w:rPr>
                      <w:rFonts w:hint="default" w:ascii="Times New Roman" w:hAnsi="Times New Roman" w:cs="Times New Roman"/>
                      <w:color w:val="auto"/>
                    </w:rPr>
                    <w:t>，通过筛分、配比等工艺加工成</w:t>
                  </w:r>
                  <w:r>
                    <w:rPr>
                      <w:rFonts w:hint="default" w:ascii="Times New Roman" w:hAnsi="Times New Roman" w:cs="Times New Roman"/>
                      <w:color w:val="auto"/>
                      <w:lang w:eastAsia="zh-CN"/>
                    </w:rPr>
                    <w:t>拌合料</w:t>
                  </w:r>
                  <w:r>
                    <w:rPr>
                      <w:rFonts w:hint="default" w:ascii="Times New Roman" w:hAnsi="Times New Roman" w:cs="Times New Roman"/>
                      <w:color w:val="auto"/>
                    </w:rPr>
                    <w:t>，定向供应滑坡治理工程，有效拓宽了矿山尾矿</w:t>
                  </w:r>
                  <w:r>
                    <w:rPr>
                      <w:rFonts w:hint="default" w:ascii="Times New Roman" w:hAnsi="Times New Roman" w:cs="Times New Roman"/>
                      <w:color w:val="auto"/>
                      <w:lang w:val="en-US" w:eastAsia="zh-CN"/>
                    </w:rPr>
                    <w:t>和开挖土石方</w:t>
                  </w:r>
                  <w:r>
                    <w:rPr>
                      <w:rFonts w:hint="default" w:ascii="Times New Roman" w:hAnsi="Times New Roman" w:cs="Times New Roman"/>
                      <w:color w:val="auto"/>
                    </w:rPr>
                    <w:t>的资源化利用途径，提升大宗固废综合利用水平，</w:t>
                  </w:r>
                  <w:r>
                    <w:rPr>
                      <w:rFonts w:hint="default" w:ascii="Times New Roman" w:hAnsi="Times New Roman" w:cs="Times New Roman"/>
                      <w:color w:val="auto"/>
                      <w:lang w:val="en-US" w:eastAsia="zh-CN"/>
                    </w:rPr>
                    <w:t>符合</w:t>
                  </w:r>
                  <w:r>
                    <w:rPr>
                      <w:rFonts w:hint="default" w:ascii="Times New Roman" w:hAnsi="Times New Roman" w:cs="Times New Roman"/>
                      <w:color w:val="auto"/>
                    </w:rPr>
                    <w:t>本条要求。</w:t>
                  </w:r>
                </w:p>
              </w:tc>
              <w:tc>
                <w:tcPr>
                  <w:tcW w:w="675" w:type="pct"/>
                  <w:vAlign w:val="center"/>
                </w:tcPr>
                <w:p w14:paraId="2E612293">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6A3E30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78ADD7CE">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提升再生资源循环利用水平。强化再生资源综合利用行业规范管理。开展“城市矿产”示范基地升级行动。深入实施生产者责任延伸制度，引导电器电子产品、汽车、动力电池等生产企业参与回收利用。完善旧货交易管理制度。鼓励“互联网＋二手”模式发展。大力发展再制造产业。在确保固体废物零进口的前提下，有序推进海外优质再生资源进口利用。</w:t>
                  </w:r>
                </w:p>
              </w:tc>
              <w:tc>
                <w:tcPr>
                  <w:tcW w:w="1833" w:type="pct"/>
                  <w:vAlign w:val="center"/>
                </w:tcPr>
                <w:p w14:paraId="3E1E7C7E">
                  <w:pPr>
                    <w:pStyle w:val="3"/>
                    <w:ind w:left="0" w:leftChars="0" w:right="0" w:rightChars="0"/>
                    <w:jc w:val="left"/>
                    <w:rPr>
                      <w:rFonts w:hint="default" w:ascii="Times New Roman" w:hAnsi="Times New Roman" w:cs="Times New Roman"/>
                      <w:color w:val="auto"/>
                    </w:rPr>
                  </w:pPr>
                  <w:r>
                    <w:rPr>
                      <w:rFonts w:hint="default" w:ascii="Times New Roman" w:hAnsi="Times New Roman" w:cs="Times New Roman"/>
                      <w:color w:val="auto"/>
                    </w:rPr>
                    <w:t>项目核心原料为浩盛矿业磁选尾矿</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公分石和</w:t>
                  </w:r>
                  <w:r>
                    <w:rPr>
                      <w:rFonts w:hint="default" w:ascii="Times New Roman" w:hAnsi="Times New Roman" w:eastAsia="宋体" w:cs="Times New Roman"/>
                      <w:color w:val="auto"/>
                      <w:kern w:val="0"/>
                      <w:sz w:val="21"/>
                      <w:szCs w:val="21"/>
                      <w:lang w:val="en-US" w:eastAsia="zh-CN" w:bidi="ar"/>
                    </w:rPr>
                    <w:t>和老厂集镇西侧滑坡治理及综合开发利用项目建设开采的土石方</w:t>
                  </w:r>
                  <w:r>
                    <w:rPr>
                      <w:rFonts w:hint="default" w:ascii="Times New Roman" w:hAnsi="Times New Roman" w:cs="Times New Roman"/>
                      <w:color w:val="auto"/>
                    </w:rPr>
                    <w:t>，通过筛分、配比等工艺加工成</w:t>
                  </w:r>
                  <w:r>
                    <w:rPr>
                      <w:rFonts w:hint="default" w:ascii="Times New Roman" w:hAnsi="Times New Roman" w:cs="Times New Roman"/>
                      <w:color w:val="auto"/>
                      <w:lang w:eastAsia="zh-CN"/>
                    </w:rPr>
                    <w:t>拌合料</w:t>
                  </w:r>
                  <w:r>
                    <w:rPr>
                      <w:rFonts w:hint="default" w:ascii="Times New Roman" w:hAnsi="Times New Roman" w:cs="Times New Roman"/>
                      <w:color w:val="auto"/>
                    </w:rPr>
                    <w:t>，定向供应滑坡治理工程，有效拓宽了矿山尾矿</w:t>
                  </w:r>
                  <w:r>
                    <w:rPr>
                      <w:rFonts w:hint="default" w:ascii="Times New Roman" w:hAnsi="Times New Roman" w:cs="Times New Roman"/>
                      <w:color w:val="auto"/>
                      <w:lang w:val="en-US" w:eastAsia="zh-CN"/>
                    </w:rPr>
                    <w:t>和开挖土石方</w:t>
                  </w:r>
                  <w:r>
                    <w:rPr>
                      <w:rFonts w:hint="default" w:ascii="Times New Roman" w:hAnsi="Times New Roman" w:cs="Times New Roman"/>
                      <w:color w:val="auto"/>
                    </w:rPr>
                    <w:t>的资源化利用途径，提升大宗固废综合利用水平，</w:t>
                  </w:r>
                  <w:r>
                    <w:rPr>
                      <w:rFonts w:hint="default" w:ascii="Times New Roman" w:hAnsi="Times New Roman" w:cs="Times New Roman"/>
                      <w:color w:val="auto"/>
                      <w:lang w:val="en-US" w:eastAsia="zh-CN"/>
                    </w:rPr>
                    <w:t>实现了再生资源循环利用</w:t>
                  </w:r>
                  <w:r>
                    <w:rPr>
                      <w:rFonts w:hint="default" w:ascii="Times New Roman" w:hAnsi="Times New Roman" w:cs="Times New Roman"/>
                      <w:color w:val="auto"/>
                    </w:rPr>
                    <w:t>。</w:t>
                  </w:r>
                </w:p>
              </w:tc>
              <w:tc>
                <w:tcPr>
                  <w:tcW w:w="675" w:type="pct"/>
                  <w:vAlign w:val="center"/>
                </w:tcPr>
                <w:p w14:paraId="00DA9B8E">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5C2E6C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91" w:type="pct"/>
                  <w:vAlign w:val="center"/>
                </w:tcPr>
                <w:p w14:paraId="377D1B8A">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9..提升全过程无害化水平。加强大宗工业固体废物无害化预处理，降低贮存填埋量和环境污染风险。因地制宜确定生活垃圾处理方式，合理布局建设生活垃圾焚烧处理设施，鼓励在确保安全稳定运行前提下，协同处置城镇污水处理厂污泥和工业固体废物。新建生活垃圾焚烧项目应同步落实飞灰处理途径，逐步减少飞灰填埋量。优化污泥处理处置结构，压减填埋规模。</w:t>
                  </w:r>
                </w:p>
              </w:tc>
              <w:tc>
                <w:tcPr>
                  <w:tcW w:w="1833" w:type="pct"/>
                  <w:vAlign w:val="center"/>
                </w:tcPr>
                <w:p w14:paraId="77ACBD9C">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浩盛矿业生产过程原料矿石来源于玉溪大红山矿业有限公司开采的矿石。根据业主提供资料，2023年9月25日玉溪大红山矿业有限公司委托云南省地质矿劫查开发局中心实验室（自然资源部昆明矿产资源检测中心）对《玉溪大红山矿业有限公司选矿扩能节能技术改造项目》的矿物进行了放射性检验检测，检测结果表明，该原料已按GB 6566-2010《建筑材料放射性核素限量》（强制性国家标准）完成放射性检测，符合该标准中A类建筑材料限值要求（内照射指数I≤1.0、外照射指数I≤1.3），无放射性危害（详见附件</w:t>
                  </w:r>
                  <w:r>
                    <w:rPr>
                      <w:rFonts w:hint="default" w:ascii="Times New Roman" w:hAnsi="Times New Roman" w:cs="Times New Roman"/>
                      <w:color w:val="auto"/>
                      <w:lang w:val="en-US" w:eastAsia="zh-CN"/>
                    </w:rPr>
                    <w:t>12</w:t>
                  </w:r>
                  <w:r>
                    <w:rPr>
                      <w:rFonts w:hint="default" w:ascii="Times New Roman" w:hAnsi="Times New Roman" w:cs="Times New Roman"/>
                      <w:color w:val="auto"/>
                    </w:rPr>
                    <w:t>）。因此，本项目原料无放射性危害。生产过程中废水循环利用、废气达标排放、固废规范处置，优化固废利用及处置结构，无环境污染风险，落实全过程无害化要求。</w:t>
                  </w:r>
                </w:p>
              </w:tc>
              <w:tc>
                <w:tcPr>
                  <w:tcW w:w="675" w:type="pct"/>
                  <w:vAlign w:val="center"/>
                </w:tcPr>
                <w:p w14:paraId="27E2F0BB">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bl>
          <w:p w14:paraId="11123853">
            <w:pPr>
              <w:pStyle w:val="29"/>
              <w:ind w:firstLine="480"/>
              <w:jc w:val="both"/>
              <w:rPr>
                <w:rStyle w:val="24"/>
                <w:rFonts w:hint="default" w:ascii="Times New Roman" w:hAnsi="Times New Roman" w:cs="Times New Roman"/>
                <w:color w:val="auto"/>
                <w:kern w:val="0"/>
                <w:lang w:eastAsia="en-US"/>
              </w:rPr>
            </w:pPr>
            <w:r>
              <w:rPr>
                <w:rFonts w:hint="default" w:ascii="Times New Roman" w:hAnsi="Times New Roman" w:cs="Times New Roman"/>
                <w:color w:val="auto"/>
                <w:kern w:val="0"/>
                <w:lang w:bidi="ar"/>
              </w:rPr>
              <w:t>综上所述，本项目全面落实《固体废物综合治理行动计划》（国发〔2025〕14号）“固十条”所有相关要求，</w:t>
            </w:r>
            <w:r>
              <w:rPr>
                <w:rFonts w:hint="default" w:ascii="Times New Roman" w:hAnsi="Times New Roman" w:cs="Times New Roman"/>
                <w:color w:val="auto"/>
                <w:kern w:val="0"/>
                <w:lang w:val="en-US" w:eastAsia="zh-CN" w:bidi="ar"/>
              </w:rPr>
              <w:t>符合</w:t>
            </w:r>
            <w:r>
              <w:rPr>
                <w:rFonts w:hint="default" w:ascii="Times New Roman" w:hAnsi="Times New Roman" w:cs="Times New Roman"/>
                <w:color w:val="auto"/>
                <w:kern w:val="0"/>
                <w:lang w:bidi="ar"/>
              </w:rPr>
              <w:t>工业固废源头减量、规范化管理、大宗固废资源化利用及全过程无害化等核心条款，无违反“固十条”的情形，与固十条要求</w:t>
            </w:r>
            <w:r>
              <w:rPr>
                <w:rFonts w:hint="default" w:ascii="Times New Roman" w:hAnsi="Times New Roman" w:cs="Times New Roman"/>
                <w:color w:val="auto"/>
                <w:kern w:val="0"/>
                <w:lang w:val="en-US" w:eastAsia="zh-CN" w:bidi="ar"/>
              </w:rPr>
              <w:t>相符</w:t>
            </w:r>
            <w:r>
              <w:rPr>
                <w:rFonts w:hint="default" w:ascii="Times New Roman" w:hAnsi="Times New Roman" w:cs="Times New Roman"/>
                <w:color w:val="auto"/>
                <w:kern w:val="0"/>
                <w:lang w:bidi="ar"/>
              </w:rPr>
              <w:t>。</w:t>
            </w:r>
          </w:p>
          <w:p w14:paraId="3D91C925">
            <w:pPr>
              <w:pStyle w:val="29"/>
              <w:numPr>
                <w:ilvl w:val="0"/>
                <w:numId w:val="0"/>
              </w:numPr>
              <w:ind w:firstLine="482" w:firstLineChars="200"/>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十六、与《关于“十四五”大宗固体废弃物综合利用的指导意见》符合性分析</w:t>
            </w:r>
          </w:p>
          <w:p w14:paraId="4C89C2B6">
            <w:pPr>
              <w:pStyle w:val="29"/>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240" w:lineRule="auto"/>
              <w:ind w:leftChars="200"/>
              <w:jc w:val="center"/>
              <w:textAlignment w:val="auto"/>
              <w:rPr>
                <w:rFonts w:hint="default" w:ascii="Times New Roman" w:hAnsi="Times New Roman" w:cs="Times New Roman"/>
                <w:b/>
                <w:color w:val="auto"/>
                <w:lang w:val="en-US" w:eastAsia="zh-CN"/>
              </w:rPr>
            </w:pPr>
            <w:r>
              <w:rPr>
                <w:rFonts w:hint="default" w:ascii="Times New Roman" w:hAnsi="Times New Roman" w:cs="Times New Roman"/>
                <w:b/>
                <w:bCs w:val="0"/>
                <w:color w:val="auto"/>
                <w:sz w:val="21"/>
                <w:szCs w:val="21"/>
                <w:lang w:val="en-US" w:eastAsia="zh-CN"/>
              </w:rPr>
              <w:t>表1-12    《关于“十四五”大宗固体废弃物综合利用的指导意见》符合性分析</w:t>
            </w:r>
          </w:p>
          <w:tbl>
            <w:tblPr>
              <w:tblStyle w:val="20"/>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814"/>
              <w:gridCol w:w="2807"/>
              <w:gridCol w:w="1034"/>
            </w:tblGrid>
            <w:tr w14:paraId="4A02A7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43F5103D">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《固体废物综合治理行动计划》要求</w:t>
                  </w:r>
                </w:p>
              </w:tc>
              <w:tc>
                <w:tcPr>
                  <w:tcW w:w="1833" w:type="pct"/>
                  <w:vAlign w:val="center"/>
                </w:tcPr>
                <w:p w14:paraId="456A604B">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75" w:type="pct"/>
                  <w:vAlign w:val="center"/>
                </w:tcPr>
                <w:p w14:paraId="02B2E500">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相符性分析</w:t>
                  </w:r>
                </w:p>
              </w:tc>
            </w:tr>
            <w:tr w14:paraId="02F795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505425C8">
                  <w:pPr>
                    <w:pStyle w:val="3"/>
                    <w:ind w:left="0" w:leftChars="0" w:right="0" w:rightChars="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煤矸石和粉煤灰。持续提高煤矸石和粉煤灰综合利用水平，推进煤矸石和粉煤灰在工程建设、塌陷区治理、矿井充填以及盐碱地、沙漠化土地生态修复等领域的利用，有序引导利用煤矸石、粉煤灰生产新型墙体材料、装饰装修材料等绿色建材，在风险可控前提下深入推动农业领域应用和有价组分提取，加强大掺量和高附加值产品应用推广。</w:t>
                  </w:r>
                </w:p>
              </w:tc>
              <w:tc>
                <w:tcPr>
                  <w:tcW w:w="1833" w:type="pct"/>
                  <w:vAlign w:val="center"/>
                </w:tcPr>
                <w:p w14:paraId="4E1F8C1D">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w:t>
                  </w:r>
                  <w:r>
                    <w:rPr>
                      <w:rFonts w:hint="default" w:ascii="Times New Roman" w:hAnsi="Times New Roman" w:cs="Times New Roman"/>
                      <w:color w:val="auto"/>
                      <w:kern w:val="0"/>
                      <w:sz w:val="21"/>
                      <w:szCs w:val="21"/>
                      <w:lang w:val="en-US" w:eastAsia="zh-CN" w:bidi="ar"/>
                    </w:rPr>
                    <w:t>不涉及。</w:t>
                  </w:r>
                </w:p>
              </w:tc>
              <w:tc>
                <w:tcPr>
                  <w:tcW w:w="675" w:type="pct"/>
                  <w:vAlign w:val="center"/>
                </w:tcPr>
                <w:p w14:paraId="2E0BAFD9">
                  <w:pPr>
                    <w:pStyle w:val="3"/>
                    <w:ind w:left="55" w:right="55"/>
                    <w:rPr>
                      <w:rFonts w:hint="default" w:ascii="Times New Roman" w:hAnsi="Times New Roman" w:cs="Times New Roman"/>
                      <w:color w:val="auto"/>
                    </w:rPr>
                  </w:pPr>
                  <w:r>
                    <w:rPr>
                      <w:rFonts w:hint="default" w:ascii="Times New Roman" w:hAnsi="Times New Roman" w:cs="Times New Roman"/>
                      <w:color w:val="auto"/>
                    </w:rPr>
                    <w:t>符合</w:t>
                  </w:r>
                </w:p>
              </w:tc>
            </w:tr>
            <w:tr w14:paraId="1BAF5B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57" w:hRule="atLeast"/>
                <w:jc w:val="center"/>
              </w:trPr>
              <w:tc>
                <w:tcPr>
                  <w:tcW w:w="2491" w:type="pct"/>
                  <w:vAlign w:val="center"/>
                </w:tcPr>
                <w:p w14:paraId="190FD628">
                  <w:pPr>
                    <w:pStyle w:val="3"/>
                    <w:ind w:left="0" w:leftChars="0" w:right="0" w:right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尾矿（共伴生矿）。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推动有价金属提取后剩余废渣的规模化利用。依法依规推动已闭库尾矿库生态修复，未经批准不得擅自回采尾矿。</w:t>
                  </w:r>
                </w:p>
              </w:tc>
              <w:tc>
                <w:tcPr>
                  <w:tcW w:w="1833" w:type="pct"/>
                  <w:vAlign w:val="center"/>
                </w:tcPr>
                <w:p w14:paraId="641E9E26">
                  <w:pPr>
                    <w:pStyle w:val="3"/>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本项目选址位于云南省玉溪市新平彝族傣族自治县老厂乡，紧邻滑坡治理工程区域与原料供应源头，专为《老厂集镇西侧滑坡治理及综合开发利用项目》回填配套工程服务。原料主要以浩盛矿业磁选尾矿及产品公分石为主要原料，生产产品</w:t>
                  </w:r>
                  <w:r>
                    <w:rPr>
                      <w:rFonts w:hint="default" w:ascii="Times New Roman" w:hAnsi="Times New Roman" w:cs="Times New Roman"/>
                      <w:color w:val="auto"/>
                      <w:kern w:val="0"/>
                      <w:sz w:val="21"/>
                      <w:szCs w:val="21"/>
                      <w:lang w:val="en-US" w:eastAsia="zh-CN" w:bidi="ar"/>
                    </w:rPr>
                    <w:t>拌合料</w:t>
                  </w:r>
                  <w:r>
                    <w:rPr>
                      <w:rFonts w:hint="default" w:ascii="Times New Roman" w:hAnsi="Times New Roman" w:eastAsia="宋体" w:cs="Times New Roman"/>
                      <w:color w:val="auto"/>
                      <w:kern w:val="0"/>
                      <w:sz w:val="21"/>
                      <w:szCs w:val="21"/>
                      <w:lang w:val="en-US" w:eastAsia="zh-CN" w:bidi="ar"/>
                    </w:rPr>
                    <w:t>，实现固废资源化利用。鉴于本项目服务对象具有明确工程周期，项目性质定位为临时建设工程，待滑坡治理及综合开发项目全部竣工后，拌合站将按规范拆除并完成场地生态恢复。根据2026年3月10日新平浩盛矿业发展有限公司关于新平浩盛矿业发展有限公司老厂乡三苏寨尾矿库回采工程（试运行）向新平县应急管理局的请示可知：公司于2024年5月委托昆明勘察设计研究院股份有限公司编制了此工程的初步设计与安全设施设计，2025年9月11日通过专家组评审，2026年1月21日取得云南省玉溪市应急管理局安全生产行政审批管理事务事项许可决定书</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编号：审决字[2025]第217号（详见附件</w:t>
                  </w:r>
                  <w:r>
                    <w:rPr>
                      <w:rFonts w:hint="default" w:ascii="Times New Roman" w:hAnsi="Times New Roman" w:cs="Times New Roman"/>
                      <w:color w:val="auto"/>
                      <w:kern w:val="0"/>
                      <w:sz w:val="21"/>
                      <w:szCs w:val="21"/>
                      <w:lang w:val="en-US" w:eastAsia="zh-CN" w:bidi="ar"/>
                    </w:rPr>
                    <w:t>20</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于2026年2月3日由昆明和安矿业有限公司（施工单位）及云南鑫华工程项目管理有限公司（监理公司）按照安全设施设计要求了开展三苏寨尾矿库回采配套基建工程的现场施工。尾矿回采手续齐全（详见附件</w:t>
                  </w:r>
                  <w:r>
                    <w:rPr>
                      <w:rFonts w:hint="default" w:ascii="Times New Roman" w:hAnsi="Times New Roman" w:cs="Times New Roman"/>
                      <w:color w:val="auto"/>
                      <w:kern w:val="0"/>
                      <w:sz w:val="21"/>
                      <w:szCs w:val="21"/>
                      <w:lang w:val="en-US" w:eastAsia="zh-CN" w:bidi="ar"/>
                    </w:rPr>
                    <w:t>18</w:t>
                  </w:r>
                  <w:r>
                    <w:rPr>
                      <w:rFonts w:hint="default" w:ascii="Times New Roman" w:hAnsi="Times New Roman" w:eastAsia="宋体" w:cs="Times New Roman"/>
                      <w:color w:val="auto"/>
                      <w:kern w:val="0"/>
                      <w:sz w:val="21"/>
                      <w:szCs w:val="21"/>
                      <w:lang w:val="en-US" w:eastAsia="zh-CN" w:bidi="ar"/>
                    </w:rPr>
                    <w:t>）。</w:t>
                  </w:r>
                </w:p>
              </w:tc>
              <w:tc>
                <w:tcPr>
                  <w:tcW w:w="675" w:type="pct"/>
                  <w:vAlign w:val="center"/>
                </w:tcPr>
                <w:p w14:paraId="3202B491">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2932BF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4294B9AE">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冶炼渣。加强产业协同利用，扩大赤泥和钢渣利用规模，提高赤泥在道路材料中的掺用比例，扩大钢渣微粉作混凝土掺合料在建设工程等领域的利用。不断探索赤泥和钢渣的其他规模化利用渠道。鼓励从赤泥中回收铁、碱、氧化铝，从冶炼渣中回收稀有稀散金属和稀贵金属等有价组分，提高矿产资源利用效率，保障国家资源安全，逐步提高冶炼渣综合利用率。</w:t>
                  </w:r>
                </w:p>
              </w:tc>
              <w:tc>
                <w:tcPr>
                  <w:tcW w:w="1833" w:type="pct"/>
                  <w:vAlign w:val="center"/>
                </w:tcPr>
                <w:p w14:paraId="7708EA55">
                  <w:pPr>
                    <w:pStyle w:val="3"/>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本项目不涉及。</w:t>
                  </w:r>
                </w:p>
              </w:tc>
              <w:tc>
                <w:tcPr>
                  <w:tcW w:w="675" w:type="pct"/>
                  <w:vAlign w:val="center"/>
                </w:tcPr>
                <w:p w14:paraId="269DE368">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0128FB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0241C9B3">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default" w:ascii="Times New Roman" w:hAnsi="Times New Roman" w:cs="Times New Roman"/>
                      <w:color w:val="auto"/>
                    </w:rPr>
                    <w:t>工业副产石膏。拓宽磷石膏利用途径，继续推广磷石膏在生产水泥和新型建筑材料等领域的利用，在确保环境安全的前提下，探索磷石膏在土壤改良、井下充填、路基材料等领域的应用。支持利用脱硫石膏、柠檬酸石膏制备绿色建材、石膏晶须等新产品新材料，扩大工业副产石膏高值化利用规模。积极探索钛石膏、氟石膏等复杂难用工业副产石膏的资源化利用途径。</w:t>
                  </w:r>
                </w:p>
              </w:tc>
              <w:tc>
                <w:tcPr>
                  <w:tcW w:w="1833" w:type="pct"/>
                  <w:vAlign w:val="center"/>
                </w:tcPr>
                <w:p w14:paraId="1339B14C">
                  <w:pPr>
                    <w:pStyle w:val="3"/>
                    <w:ind w:left="0" w:leftChars="0" w:right="0" w:right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本项目不涉及。</w:t>
                  </w:r>
                </w:p>
              </w:tc>
              <w:tc>
                <w:tcPr>
                  <w:tcW w:w="675" w:type="pct"/>
                  <w:vAlign w:val="center"/>
                </w:tcPr>
                <w:p w14:paraId="2CA98386">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6F6BE1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1" w:type="pct"/>
                  <w:vAlign w:val="center"/>
                </w:tcPr>
                <w:p w14:paraId="77E87DA0">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建筑垃圾。加强建筑垃圾分类处理和回收利用，规范建筑垃圾堆存、中转和资源化利用场所建设和运营，推动建筑垃圾综合利用产品应用。鼓励建筑垃圾再生骨料及制品在建筑工程和道路工程中的应用，以及将建筑垃圾用于土方平衡、林业用土、环境治理、烧结制品及回填等，不断提高利用质量、扩大资源化利用规模。</w:t>
                  </w:r>
                </w:p>
              </w:tc>
              <w:tc>
                <w:tcPr>
                  <w:tcW w:w="1833" w:type="pct"/>
                  <w:vAlign w:val="center"/>
                </w:tcPr>
                <w:p w14:paraId="2310A88E">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施工期：</w:t>
                  </w:r>
                </w:p>
                <w:p w14:paraId="1B2610FD">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项目施工期产生的固体废弃物通过回收利用、集中收集处置，固废处置率100%，对周边环境的影响可接受，且随施工结束而终止。</w:t>
                  </w:r>
                </w:p>
                <w:p w14:paraId="2D6E3AFF">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运营期：</w:t>
                  </w:r>
                </w:p>
                <w:p w14:paraId="63CC163B">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项目运营过程中产生的少量</w:t>
                  </w:r>
                  <w:r>
                    <w:rPr>
                      <w:rFonts w:hint="default" w:ascii="Times New Roman" w:hAnsi="Times New Roman" w:cs="Times New Roman"/>
                      <w:color w:val="auto"/>
                      <w:lang w:val="en-US" w:eastAsia="zh-CN"/>
                    </w:rPr>
                    <w:t>固废</w:t>
                  </w:r>
                  <w:r>
                    <w:rPr>
                      <w:rFonts w:hint="default" w:ascii="Times New Roman" w:hAnsi="Times New Roman" w:cs="Times New Roman"/>
                      <w:color w:val="auto"/>
                    </w:rPr>
                    <w:t>。沉淀池沉渣收集后回用生产工序；不合格产品全部可回用于生产；生活垃圾集中收集后由管理人员定期清运至老厂乡垃圾收集点清运处置；废机油及废油桶属于危险废物，暂存于一个5m</w:t>
                  </w:r>
                  <w:r>
                    <w:rPr>
                      <w:rFonts w:hint="default" w:ascii="Times New Roman" w:hAnsi="Times New Roman" w:cs="Times New Roman"/>
                      <w:color w:val="auto"/>
                      <w:vertAlign w:val="superscript"/>
                    </w:rPr>
                    <w:t>2</w:t>
                  </w:r>
                  <w:r>
                    <w:rPr>
                      <w:rFonts w:hint="default" w:ascii="Times New Roman" w:hAnsi="Times New Roman" w:cs="Times New Roman"/>
                      <w:color w:val="auto"/>
                    </w:rPr>
                    <w:t>的危废贮存库，定期委托有资质的单位清运处置。</w:t>
                  </w:r>
                </w:p>
              </w:tc>
              <w:tc>
                <w:tcPr>
                  <w:tcW w:w="675" w:type="pct"/>
                  <w:vAlign w:val="center"/>
                </w:tcPr>
                <w:p w14:paraId="346F92D8">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76E4A0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5" w:hRule="atLeast"/>
                <w:jc w:val="center"/>
              </w:trPr>
              <w:tc>
                <w:tcPr>
                  <w:tcW w:w="2491" w:type="pct"/>
                  <w:vAlign w:val="center"/>
                </w:tcPr>
                <w:p w14:paraId="52EBEAEF">
                  <w:pPr>
                    <w:pStyle w:val="3"/>
                    <w:ind w:left="0" w:leftChars="0" w:right="0" w:rightChars="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农作物秸秆。大力推进秸秆综合利用，推动秸秆综合利用产业提质增效。坚持农用优先，持续推进秸秆肥料化、饲料化和基料化利用，发挥好秸秆耕地保育和种养结合功能。扩大秸秆清洁能源利用规模，鼓励利用秸秆等生物质能供热供气供暖，优化农村用能结构，推进生物质天然气在工业领域应用。不断拓宽秸秆原料化利用途径，鼓励利用秸秆生产环保板材、炭基产品、聚乳酸、纸浆等，推动秸秆资源转化为高附加值的绿色产品。建立健全秸秆收储运体系，开展专业化、精细化的运管服务，打通秸秆产业发展的“最初一公里”。</w:t>
                  </w:r>
                </w:p>
              </w:tc>
              <w:tc>
                <w:tcPr>
                  <w:tcW w:w="1833" w:type="pct"/>
                  <w:vAlign w:val="center"/>
                </w:tcPr>
                <w:p w14:paraId="463F2523">
                  <w:pPr>
                    <w:pStyle w:val="3"/>
                    <w:ind w:left="0" w:leftChars="0" w:right="0" w:right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项目不涉及。</w:t>
                  </w:r>
                </w:p>
              </w:tc>
              <w:tc>
                <w:tcPr>
                  <w:tcW w:w="675" w:type="pct"/>
                  <w:vAlign w:val="center"/>
                </w:tcPr>
                <w:p w14:paraId="332BB377">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bl>
          <w:p w14:paraId="78134397">
            <w:pPr>
              <w:pStyle w:val="29"/>
              <w:numPr>
                <w:ilvl w:val="0"/>
                <w:numId w:val="0"/>
              </w:numPr>
              <w:ind w:firstLine="482" w:firstLineChars="200"/>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十七、与周边环境相容性分析</w:t>
            </w:r>
          </w:p>
          <w:p w14:paraId="5F942BA7">
            <w:pPr>
              <w:pStyle w:val="29"/>
              <w:numPr>
                <w:ilvl w:val="0"/>
                <w:numId w:val="0"/>
              </w:numPr>
              <w:ind w:firstLine="48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本项目与周边环境相容性分析见下表1-13。</w:t>
            </w:r>
          </w:p>
          <w:p w14:paraId="1096A31E">
            <w:pPr>
              <w:pStyle w:val="29"/>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240" w:lineRule="auto"/>
              <w:ind w:leftChars="200"/>
              <w:jc w:val="center"/>
              <w:textAlignment w:val="auto"/>
              <w:rPr>
                <w:rFonts w:hint="default" w:ascii="Times New Roman" w:hAnsi="Times New Roman" w:cs="Times New Roman"/>
                <w:b/>
                <w:color w:val="auto"/>
                <w:lang w:val="en-US" w:eastAsia="zh-CN"/>
              </w:rPr>
            </w:pPr>
            <w:r>
              <w:rPr>
                <w:rFonts w:hint="default" w:ascii="Times New Roman" w:hAnsi="Times New Roman" w:cs="Times New Roman"/>
                <w:b/>
                <w:bCs w:val="0"/>
                <w:color w:val="auto"/>
                <w:sz w:val="21"/>
                <w:szCs w:val="21"/>
                <w:lang w:val="en-US" w:eastAsia="zh-CN"/>
              </w:rPr>
              <w:t>表1-13    周边环境相容性分析</w:t>
            </w:r>
          </w:p>
          <w:tbl>
            <w:tblPr>
              <w:tblStyle w:val="20"/>
              <w:tblW w:w="498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4729"/>
              <w:gridCol w:w="1032"/>
            </w:tblGrid>
            <w:tr w14:paraId="5A367E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1236" w:type="pct"/>
                  <w:vAlign w:val="center"/>
                </w:tcPr>
                <w:p w14:paraId="43824CD9">
                  <w:pPr>
                    <w:pStyle w:val="3"/>
                    <w:ind w:left="55" w:right="55"/>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分析类别</w:t>
                  </w:r>
                </w:p>
              </w:tc>
              <w:tc>
                <w:tcPr>
                  <w:tcW w:w="3089" w:type="pct"/>
                  <w:vAlign w:val="center"/>
                </w:tcPr>
                <w:p w14:paraId="0C9F1412">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74" w:type="pct"/>
                  <w:vAlign w:val="center"/>
                </w:tcPr>
                <w:p w14:paraId="6384DF62">
                  <w:pPr>
                    <w:pStyle w:val="3"/>
                    <w:ind w:left="55" w:right="55"/>
                    <w:rPr>
                      <w:rFonts w:hint="default" w:ascii="Times New Roman" w:hAnsi="Times New Roman" w:cs="Times New Roman"/>
                      <w:b/>
                      <w:bCs/>
                      <w:color w:val="auto"/>
                    </w:rPr>
                  </w:pPr>
                  <w:r>
                    <w:rPr>
                      <w:rFonts w:hint="default" w:ascii="Times New Roman" w:hAnsi="Times New Roman" w:cs="Times New Roman"/>
                      <w:b/>
                      <w:bCs/>
                      <w:color w:val="auto"/>
                    </w:rPr>
                    <w:t>相符性分析</w:t>
                  </w:r>
                </w:p>
              </w:tc>
            </w:tr>
            <w:tr w14:paraId="59EF25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92" w:hRule="atLeast"/>
                <w:jc w:val="center"/>
              </w:trPr>
              <w:tc>
                <w:tcPr>
                  <w:tcW w:w="1236" w:type="pct"/>
                  <w:vAlign w:val="center"/>
                </w:tcPr>
                <w:p w14:paraId="1EEA2F59">
                  <w:pPr>
                    <w:pStyle w:val="3"/>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规划相容性</w:t>
                  </w:r>
                </w:p>
              </w:tc>
              <w:tc>
                <w:tcPr>
                  <w:tcW w:w="3089" w:type="pct"/>
                  <w:vAlign w:val="center"/>
                </w:tcPr>
                <w:p w14:paraId="207243B7">
                  <w:pPr>
                    <w:pStyle w:val="3"/>
                    <w:ind w:left="0" w:leftChars="0" w:right="0" w:rightChars="0"/>
                    <w:jc w:val="left"/>
                    <w:rPr>
                      <w:rFonts w:hint="default" w:ascii="Times New Roman" w:hAnsi="Times New Roman" w:cs="Times New Roman"/>
                      <w:color w:val="auto"/>
                    </w:rPr>
                  </w:pPr>
                  <w:r>
                    <w:rPr>
                      <w:rFonts w:hint="default" w:ascii="Times New Roman" w:hAnsi="Times New Roman" w:cs="Times New Roman"/>
                      <w:color w:val="auto"/>
                      <w:sz w:val="21"/>
                      <w:szCs w:val="21"/>
                      <w:lang w:eastAsia="zh-CN" w:bidi="ar"/>
                    </w:rPr>
                    <w:t>本项目位于云南省玉溪市新平彝族傣族自治县老厂乡，项目于20</w:t>
                  </w:r>
                  <w:r>
                    <w:rPr>
                      <w:rFonts w:hint="default" w:ascii="Times New Roman" w:hAnsi="Times New Roman" w:cs="Times New Roman"/>
                      <w:color w:val="auto"/>
                      <w:sz w:val="21"/>
                      <w:szCs w:val="21"/>
                      <w:lang w:val="en-US" w:eastAsia="zh-CN" w:bidi="ar"/>
                    </w:rPr>
                    <w:t>26</w:t>
                  </w:r>
                  <w:r>
                    <w:rPr>
                      <w:rFonts w:hint="default" w:ascii="Times New Roman" w:hAnsi="Times New Roman" w:cs="Times New Roman"/>
                      <w:color w:val="auto"/>
                      <w:sz w:val="21"/>
                      <w:szCs w:val="21"/>
                      <w:lang w:eastAsia="zh-CN" w:bidi="ar"/>
                    </w:rPr>
                    <w:t>年</w:t>
                  </w:r>
                  <w:r>
                    <w:rPr>
                      <w:rFonts w:hint="default" w:ascii="Times New Roman" w:hAnsi="Times New Roman" w:cs="Times New Roman"/>
                      <w:color w:val="auto"/>
                      <w:sz w:val="21"/>
                      <w:szCs w:val="21"/>
                      <w:lang w:val="en-US" w:eastAsia="zh-CN" w:bidi="ar"/>
                    </w:rPr>
                    <w:t>3</w:t>
                  </w:r>
                  <w:r>
                    <w:rPr>
                      <w:rFonts w:hint="default" w:ascii="Times New Roman" w:hAnsi="Times New Roman" w:cs="Times New Roman"/>
                      <w:color w:val="auto"/>
                      <w:sz w:val="21"/>
                      <w:szCs w:val="21"/>
                      <w:lang w:eastAsia="zh-CN" w:bidi="ar"/>
                    </w:rPr>
                    <w:t>月</w:t>
                  </w:r>
                  <w:r>
                    <w:rPr>
                      <w:rFonts w:hint="default" w:ascii="Times New Roman" w:hAnsi="Times New Roman" w:cs="Times New Roman"/>
                      <w:color w:val="auto"/>
                      <w:sz w:val="21"/>
                      <w:szCs w:val="21"/>
                      <w:lang w:val="en-US" w:eastAsia="zh-CN" w:bidi="ar"/>
                    </w:rPr>
                    <w:t>16</w:t>
                  </w:r>
                  <w:r>
                    <w:rPr>
                      <w:rFonts w:hint="default" w:ascii="Times New Roman" w:hAnsi="Times New Roman" w:cs="Times New Roman"/>
                      <w:color w:val="auto"/>
                      <w:sz w:val="21"/>
                      <w:szCs w:val="21"/>
                      <w:lang w:eastAsia="zh-CN" w:bidi="ar"/>
                    </w:rPr>
                    <w:t>日取得了新平彝族傣族自治县自然资源局出具的“关于老厂太桥双壹拌合站建设项目是否占用新平县生态保护红线的查询结果”的证明，查询结果显示，项目用地范围不涉及占用新平县生态保护红线，位于优化后城镇开发边界外，未占用耕地后备资源，未占用耕地后备资源补充空间（</w:t>
                  </w:r>
                  <w:r>
                    <w:rPr>
                      <w:rFonts w:hint="default" w:ascii="Times New Roman" w:hAnsi="Times New Roman" w:cs="Times New Roman"/>
                      <w:color w:val="auto"/>
                      <w:sz w:val="21"/>
                      <w:szCs w:val="21"/>
                      <w:lang w:val="en-US" w:eastAsia="zh-CN" w:bidi="ar"/>
                    </w:rPr>
                    <w:t>详见</w:t>
                  </w:r>
                  <w:r>
                    <w:rPr>
                      <w:rFonts w:hint="default" w:ascii="Times New Roman" w:hAnsi="Times New Roman" w:cs="Times New Roman"/>
                      <w:color w:val="auto"/>
                      <w:sz w:val="21"/>
                      <w:szCs w:val="21"/>
                      <w:lang w:eastAsia="zh-CN" w:bidi="ar"/>
                    </w:rPr>
                    <w:t>附件</w:t>
                  </w:r>
                  <w:r>
                    <w:rPr>
                      <w:rFonts w:hint="default"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eastAsia="zh-CN" w:bidi="ar"/>
                    </w:rPr>
                    <w:t>）。</w:t>
                  </w:r>
                </w:p>
              </w:tc>
              <w:tc>
                <w:tcPr>
                  <w:tcW w:w="674" w:type="pct"/>
                  <w:vAlign w:val="center"/>
                </w:tcPr>
                <w:p w14:paraId="7655E968">
                  <w:pPr>
                    <w:pStyle w:val="3"/>
                    <w:ind w:left="55" w:right="55"/>
                    <w:rPr>
                      <w:rFonts w:hint="default" w:ascii="Times New Roman" w:hAnsi="Times New Roman" w:cs="Times New Roman"/>
                      <w:color w:val="auto"/>
                    </w:rPr>
                  </w:pPr>
                  <w:r>
                    <w:rPr>
                      <w:rFonts w:hint="default" w:ascii="Times New Roman" w:hAnsi="Times New Roman" w:cs="Times New Roman"/>
                      <w:color w:val="auto"/>
                    </w:rPr>
                    <w:t>符合</w:t>
                  </w:r>
                </w:p>
              </w:tc>
            </w:tr>
            <w:tr w14:paraId="4B7D22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36" w:type="pct"/>
                  <w:vAlign w:val="center"/>
                </w:tcPr>
                <w:p w14:paraId="2567ADA8">
                  <w:pPr>
                    <w:pStyle w:val="3"/>
                    <w:ind w:left="0" w:leftChars="0" w:right="0" w:right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土地利用相容性</w:t>
                  </w:r>
                </w:p>
              </w:tc>
              <w:tc>
                <w:tcPr>
                  <w:tcW w:w="3089" w:type="pct"/>
                  <w:vAlign w:val="center"/>
                </w:tcPr>
                <w:p w14:paraId="1E781F75">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项目用地为临时用地，不改变土地原有利用性质，不修建永久性建（构）筑物。</w:t>
                  </w:r>
                  <w:r>
                    <w:rPr>
                      <w:rFonts w:hint="default" w:ascii="Times New Roman" w:hAnsi="Times New Roman" w:cs="Times New Roman"/>
                      <w:color w:val="auto"/>
                      <w:lang w:val="en-US" w:eastAsia="zh-CN"/>
                    </w:rPr>
                    <w:t>根据</w:t>
                  </w:r>
                  <w:r>
                    <w:rPr>
                      <w:rFonts w:hint="default" w:ascii="Times New Roman" w:hAnsi="Times New Roman" w:cs="Times New Roman"/>
                      <w:color w:val="auto"/>
                      <w:sz w:val="21"/>
                      <w:szCs w:val="21"/>
                      <w:lang w:eastAsia="zh-CN" w:bidi="ar"/>
                    </w:rPr>
                    <w:t>20</w:t>
                  </w:r>
                  <w:r>
                    <w:rPr>
                      <w:rFonts w:hint="default" w:ascii="Times New Roman" w:hAnsi="Times New Roman" w:cs="Times New Roman"/>
                      <w:color w:val="auto"/>
                      <w:sz w:val="21"/>
                      <w:szCs w:val="21"/>
                      <w:lang w:val="en-US" w:eastAsia="zh-CN" w:bidi="ar"/>
                    </w:rPr>
                    <w:t>26</w:t>
                  </w:r>
                  <w:r>
                    <w:rPr>
                      <w:rFonts w:hint="default" w:ascii="Times New Roman" w:hAnsi="Times New Roman" w:cs="Times New Roman"/>
                      <w:color w:val="auto"/>
                      <w:sz w:val="21"/>
                      <w:szCs w:val="21"/>
                      <w:lang w:eastAsia="zh-CN" w:bidi="ar"/>
                    </w:rPr>
                    <w:t>年</w:t>
                  </w:r>
                  <w:r>
                    <w:rPr>
                      <w:rFonts w:hint="default" w:ascii="Times New Roman" w:hAnsi="Times New Roman" w:cs="Times New Roman"/>
                      <w:color w:val="auto"/>
                      <w:sz w:val="21"/>
                      <w:szCs w:val="21"/>
                      <w:lang w:val="en-US" w:eastAsia="zh-CN" w:bidi="ar"/>
                    </w:rPr>
                    <w:t>3</w:t>
                  </w:r>
                  <w:r>
                    <w:rPr>
                      <w:rFonts w:hint="default" w:ascii="Times New Roman" w:hAnsi="Times New Roman" w:cs="Times New Roman"/>
                      <w:color w:val="auto"/>
                      <w:sz w:val="21"/>
                      <w:szCs w:val="21"/>
                      <w:lang w:eastAsia="zh-CN" w:bidi="ar"/>
                    </w:rPr>
                    <w:t>月</w:t>
                  </w:r>
                  <w:r>
                    <w:rPr>
                      <w:rFonts w:hint="default" w:ascii="Times New Roman" w:hAnsi="Times New Roman" w:cs="Times New Roman"/>
                      <w:color w:val="auto"/>
                      <w:sz w:val="21"/>
                      <w:szCs w:val="21"/>
                      <w:lang w:val="en-US" w:eastAsia="zh-CN" w:bidi="ar"/>
                    </w:rPr>
                    <w:t>16</w:t>
                  </w:r>
                  <w:r>
                    <w:rPr>
                      <w:rFonts w:hint="default" w:ascii="Times New Roman" w:hAnsi="Times New Roman" w:cs="Times New Roman"/>
                      <w:color w:val="auto"/>
                      <w:sz w:val="21"/>
                      <w:szCs w:val="21"/>
                      <w:lang w:eastAsia="zh-CN" w:bidi="ar"/>
                    </w:rPr>
                    <w:t>日取得了新平彝族傣族自治县自然资源局出具的“关于老厂太桥双壹拌合站建设项目是否占用新平县生态保护红线的查询结果”的证明，查询结果显示，项目用地范围不涉及占用新平县生态保护红线，位于优化后城镇开发边界外，未占用耕地后备资源，未占用耕地后备资源补充空间（</w:t>
                  </w:r>
                  <w:r>
                    <w:rPr>
                      <w:rFonts w:hint="default" w:ascii="Times New Roman" w:hAnsi="Times New Roman" w:cs="Times New Roman"/>
                      <w:color w:val="auto"/>
                      <w:sz w:val="21"/>
                      <w:szCs w:val="21"/>
                      <w:lang w:val="en-US" w:eastAsia="zh-CN" w:bidi="ar"/>
                    </w:rPr>
                    <w:t>详见</w:t>
                  </w:r>
                  <w:r>
                    <w:rPr>
                      <w:rFonts w:hint="default" w:ascii="Times New Roman" w:hAnsi="Times New Roman" w:cs="Times New Roman"/>
                      <w:color w:val="auto"/>
                      <w:sz w:val="21"/>
                      <w:szCs w:val="21"/>
                      <w:lang w:eastAsia="zh-CN" w:bidi="ar"/>
                    </w:rPr>
                    <w:t>附件</w:t>
                  </w:r>
                  <w:r>
                    <w:rPr>
                      <w:rFonts w:hint="default"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eastAsia="zh-CN" w:bidi="ar"/>
                    </w:rPr>
                    <w:t>）。</w:t>
                  </w:r>
                  <w:r>
                    <w:rPr>
                      <w:rFonts w:hint="default" w:ascii="Times New Roman" w:hAnsi="Times New Roman" w:cs="Times New Roman"/>
                      <w:color w:val="auto"/>
                    </w:rPr>
                    <w:t>待老厂集镇西侧滑坡治理项目完工后，立即拆除全部生产设施，清理场地并开展植被恢复，不会打破周边林地、农田、荒地的土地利用格局，对周边土地利用无长期影响。</w:t>
                  </w:r>
                </w:p>
              </w:tc>
              <w:tc>
                <w:tcPr>
                  <w:tcW w:w="674" w:type="pct"/>
                  <w:vAlign w:val="center"/>
                </w:tcPr>
                <w:p w14:paraId="09D02898">
                  <w:pPr>
                    <w:ind w:left="55" w:right="55"/>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2CFE3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36" w:type="pct"/>
                  <w:vAlign w:val="center"/>
                </w:tcPr>
                <w:p w14:paraId="37BBA0D1">
                  <w:pPr>
                    <w:pStyle w:val="3"/>
                    <w:ind w:left="0" w:leftChars="0" w:right="0" w:right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环境功能区划相容性</w:t>
                  </w:r>
                </w:p>
              </w:tc>
              <w:tc>
                <w:tcPr>
                  <w:tcW w:w="3089" w:type="pct"/>
                  <w:vAlign w:val="center"/>
                </w:tcPr>
                <w:p w14:paraId="01A58AAD">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1.本</w:t>
                  </w:r>
                  <w:r>
                    <w:rPr>
                      <w:rFonts w:hint="default" w:ascii="Times New Roman" w:hAnsi="Times New Roman" w:cs="Times New Roman"/>
                      <w:color w:val="auto"/>
                    </w:rPr>
                    <w:t>项目所在区域环境空气执行《环境空气质量标准》（GB3095－2026）</w:t>
                  </w:r>
                  <w:r>
                    <w:rPr>
                      <w:rFonts w:hint="default" w:ascii="Times New Roman" w:hAnsi="Times New Roman" w:cs="Times New Roman"/>
                      <w:color w:val="auto"/>
                      <w:lang w:val="en-US" w:eastAsia="zh-CN"/>
                    </w:rPr>
                    <w:t>过渡阶段</w:t>
                  </w:r>
                  <w:r>
                    <w:rPr>
                      <w:rFonts w:hint="default" w:ascii="Times New Roman" w:hAnsi="Times New Roman" w:cs="Times New Roman"/>
                      <w:color w:val="auto"/>
                    </w:rPr>
                    <w:t>二级标准</w:t>
                  </w:r>
                  <w:r>
                    <w:rPr>
                      <w:rFonts w:hint="default" w:ascii="Times New Roman" w:hAnsi="Times New Roman" w:cs="Times New Roman"/>
                      <w:color w:val="auto"/>
                      <w:lang w:eastAsia="zh-CN"/>
                    </w:rPr>
                    <w:t>、</w:t>
                  </w:r>
                  <w:r>
                    <w:rPr>
                      <w:rFonts w:hint="default" w:ascii="Times New Roman" w:hAnsi="Times New Roman" w:cs="Times New Roman"/>
                      <w:color w:val="auto"/>
                    </w:rPr>
                    <w:t>声环境执行《声环境质量标准》（GB3096-2008）中2类区标准，</w:t>
                  </w:r>
                  <w:r>
                    <w:rPr>
                      <w:rFonts w:hint="default" w:ascii="Times New Roman" w:hAnsi="Times New Roman" w:cs="Times New Roman"/>
                      <w:color w:val="auto"/>
                      <w:lang w:val="en-US" w:eastAsia="zh-CN"/>
                    </w:rPr>
                    <w:t>地表水</w:t>
                  </w:r>
                  <w:r>
                    <w:rPr>
                      <w:rFonts w:hint="default" w:ascii="Times New Roman" w:hAnsi="Times New Roman" w:cs="Times New Roman"/>
                      <w:color w:val="auto"/>
                    </w:rPr>
                    <w:t>执行《地表水环境质量标准》（GB3838-2002）的III类标准</w:t>
                  </w:r>
                  <w:r>
                    <w:rPr>
                      <w:rFonts w:hint="default" w:ascii="Times New Roman" w:hAnsi="Times New Roman" w:cs="Times New Roman"/>
                      <w:color w:val="auto"/>
                      <w:lang w:eastAsia="zh-CN"/>
                    </w:rPr>
                    <w:t>；项目一般固体废物排放执行《一般工业固体废弃物贮存和填埋污染控制标准》（GB18599-2020）中的相关规定。危险废物暂存、转移执行《危险废物贮存污染控制标准》（GB18597-2023）；危险废物台账执行《危险废物管理计划和管理台账制定技术导则》（JH1259-2022）；危废豁免执行《国家危险废物名录（2025年版）》豁免清单。</w:t>
                  </w:r>
                </w:p>
                <w:p w14:paraId="0FCD4D6B">
                  <w:pPr>
                    <w:pStyle w:val="3"/>
                    <w:ind w:left="0" w:leftChars="0" w:right="0" w:rightChars="0"/>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废气治理措施：本项目骨料上料过程通过洒水降尘可以有效减少粉尘产生量；原料采用卡车运输，卡车用苫布苫盖，原料的运输过程产生的扬尘通过定期洒水进行降尘、限速行驶等措施，可有效降低粉尘产生；采取围挡＋苫布遮盖措施以及洒水降尘等措施；本项目原料堆场设置一个面积约500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的原料堆场，堆场设置三面围挡+顶棚措施，所有物料均进入料棚内堆存，同时采用篷布遮盖，此外，原料堆场应定时洒水降尘；生产车间为半封闭车间（三面封闭，其中一面预留物料出入口大门），约60%的粉尘在生产车间内自然沉降；本项目对搅拌机和投料口进行整体封闭，定时洒水降尘；项目汽车发车频次较少，项目占地面积较大，全部为露天排放，有利于空气的扩散，且项目临路和临山周边种植有植物，对大气环境也有一定的净化作用。对周边空气环境影响较小。</w:t>
                  </w:r>
                </w:p>
                <w:p w14:paraId="357958F6">
                  <w:pPr>
                    <w:pStyle w:val="3"/>
                    <w:ind w:left="0" w:leftChars="0" w:right="0" w:rightChars="0"/>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3.废水治理措施：原料混合搅拌用水全部进入产品，不外排，故不产生废水；搅拌机冲洗废水和运输车辆冲洗废水经三级沉淀池处理后循环使用，不外排；在项目地势较低处设置一个容积不小于54m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的初期雨水收集池对初期雨水进行沉淀处理后，回用于生产或厂区洒水降尘；原料堆场设置三面围挡+顶棚措施，所有物料均进入料棚内堆存，同时采用篷布遮盖，此外，原料堆场应定时洒水降尘。</w:t>
                  </w:r>
                </w:p>
                <w:p w14:paraId="00623D37">
                  <w:pPr>
                    <w:pStyle w:val="3"/>
                    <w:ind w:left="0" w:leftChars="0" w:right="0" w:rightChars="0"/>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4.噪声治理措施：加强运输车辆的管理，合理安排运输时间，减少或避免夜间运输；车辆在路经的村庄处设置限速、禁鸣标志牌；严禁车辆超速、超载行驶，经过村庄时严禁鸣笛。</w:t>
                  </w:r>
                </w:p>
                <w:p w14:paraId="3B750729">
                  <w:pPr>
                    <w:pStyle w:val="3"/>
                    <w:ind w:left="0" w:leftChars="0" w:right="0" w:rightChars="0"/>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5.固废治理措施：沉淀池沉渣收集后回用生产工序；不合格产品全部可回用于生产；生活垃圾集中收集后由管理人员定期清运至老厂乡垃圾收集点清运处置；废机油及废油桶属于危险废物，暂存于一个5m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的危废贮存库，定期委托有资质的单位清运处置。</w:t>
                  </w:r>
                </w:p>
                <w:p w14:paraId="61F337EE">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6.项目</w:t>
                  </w:r>
                  <w:r>
                    <w:rPr>
                      <w:rFonts w:hint="default" w:ascii="Times New Roman" w:hAnsi="Times New Roman" w:cs="Times New Roman"/>
                      <w:color w:val="auto"/>
                    </w:rPr>
                    <w:t>运营期</w:t>
                  </w:r>
                  <w:r>
                    <w:rPr>
                      <w:rFonts w:hint="default" w:ascii="Times New Roman" w:hAnsi="Times New Roman" w:cs="Times New Roman"/>
                      <w:color w:val="auto"/>
                      <w:lang w:val="en-US" w:eastAsia="zh-CN"/>
                    </w:rPr>
                    <w:t>废气经有效治理</w:t>
                  </w:r>
                  <w:r>
                    <w:rPr>
                      <w:rFonts w:hint="default" w:ascii="Times New Roman" w:hAnsi="Times New Roman" w:cs="Times New Roman"/>
                      <w:color w:val="auto"/>
                    </w:rPr>
                    <w:t>，生产废水循环利用不外排，选用低噪声设备并采取减振降噪措施，固废分类妥善处置，各类污染物均可稳定达标排放，不会改变区域现有环境功能区划。</w:t>
                  </w:r>
                </w:p>
              </w:tc>
              <w:tc>
                <w:tcPr>
                  <w:tcW w:w="674" w:type="pct"/>
                  <w:vAlign w:val="center"/>
                </w:tcPr>
                <w:p w14:paraId="1B02F505">
                  <w:pPr>
                    <w:ind w:left="55" w:right="55"/>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6FA45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36" w:type="pct"/>
                  <w:vAlign w:val="center"/>
                </w:tcPr>
                <w:p w14:paraId="14B68A53">
                  <w:pPr>
                    <w:pStyle w:val="3"/>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周边敏感目标相容性</w:t>
                  </w:r>
                </w:p>
              </w:tc>
              <w:tc>
                <w:tcPr>
                  <w:tcW w:w="3089" w:type="pct"/>
                  <w:vAlign w:val="center"/>
                </w:tcPr>
                <w:p w14:paraId="66036D8D">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sz w:val="21"/>
                      <w:szCs w:val="21"/>
                      <w:lang w:val="en-US" w:eastAsia="zh-CN" w:bidi="ar"/>
                    </w:rPr>
                    <w:t>1.</w:t>
                  </w:r>
                  <w:r>
                    <w:rPr>
                      <w:rFonts w:hint="default" w:ascii="Times New Roman" w:hAnsi="Times New Roman" w:cs="Times New Roman"/>
                      <w:color w:val="auto"/>
                      <w:sz w:val="21"/>
                      <w:szCs w:val="21"/>
                      <w:lang w:eastAsia="zh-CN" w:bidi="ar"/>
                    </w:rPr>
                    <w:t>本项目位于云南省玉溪市新平彝族傣族自治县老厂乡，</w:t>
                  </w:r>
                  <w:r>
                    <w:rPr>
                      <w:rFonts w:hint="default" w:ascii="Times New Roman" w:hAnsi="Times New Roman" w:cs="Times New Roman"/>
                      <w:color w:val="auto"/>
                    </w:rPr>
                    <w:t>项目厂界外500m范围内大气环境保护目标主要为：东面200m处的老厂乡、西面480m处的旧糖房村；项目厂界外50m范围内不存在声环境保护目标</w:t>
                  </w:r>
                  <w:r>
                    <w:rPr>
                      <w:rFonts w:hint="default" w:ascii="Times New Roman" w:hAnsi="Times New Roman" w:cs="Times New Roman"/>
                      <w:color w:val="auto"/>
                      <w:lang w:eastAsia="zh-CN"/>
                    </w:rPr>
                    <w:t>；</w:t>
                  </w:r>
                  <w:r>
                    <w:rPr>
                      <w:rFonts w:hint="default" w:ascii="Times New Roman" w:hAnsi="Times New Roman" w:cs="Times New Roman"/>
                      <w:color w:val="auto"/>
                    </w:rPr>
                    <w:t>地表水环境：项目所在地附近主要地表水体为东面200m处的老厂河。项目场地及周边200m范围内无国家级和省级保护植物物种，以及地方狭域植物种类分布，也无古树名木。无大型野生哺乳动物、受国家和云南省重点保护及关注物种，同时也无当地特有物种，无生态环境保护目标。项目厂界外500m范围内无地下水集中式饮用水水源和热水、 矿泉水、温泉等特殊地下水资源，项目无地下水保护目标。</w:t>
                  </w:r>
                  <w:r>
                    <w:rPr>
                      <w:rFonts w:hint="default" w:ascii="Times New Roman" w:hAnsi="Times New Roman" w:cs="Times New Roman"/>
                      <w:color w:val="auto"/>
                      <w:sz w:val="21"/>
                      <w:szCs w:val="21"/>
                      <w:lang w:val="en-US" w:eastAsia="zh-CN" w:bidi="ar"/>
                    </w:rPr>
                    <w:t>根据</w:t>
                  </w:r>
                  <w:r>
                    <w:rPr>
                      <w:rFonts w:hint="default" w:ascii="Times New Roman" w:hAnsi="Times New Roman" w:cs="Times New Roman"/>
                      <w:color w:val="auto"/>
                      <w:sz w:val="21"/>
                      <w:szCs w:val="21"/>
                      <w:lang w:eastAsia="zh-CN" w:bidi="ar"/>
                    </w:rPr>
                    <w:t>2026年3月16日取得玉溪市生态环境局新平分局“关于新平双壹农业有限公司《老厂太桥双壹拌合站建设项目》是否占用新平县“三线一单”的查询申请的复函”，结果显示该项目用地涉及占用新平县1个生态管控单元，即新平彝族傣族自治县一般管控单元（单元编码为：ZH53042730001）。不涉及经批准的新平县已划定的饮用水水源保护区等环境敏感区域（详见附件7）。</w:t>
                  </w:r>
                </w:p>
                <w:p w14:paraId="3F9D4A0D">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通过严控作业时间、强化污染治理</w:t>
                  </w:r>
                  <w:r>
                    <w:rPr>
                      <w:rFonts w:hint="default" w:ascii="Times New Roman" w:hAnsi="Times New Roman" w:cs="Times New Roman"/>
                      <w:color w:val="auto"/>
                      <w:lang w:val="en-US" w:eastAsia="zh-CN"/>
                    </w:rPr>
                    <w:t>措施</w:t>
                  </w:r>
                  <w:r>
                    <w:rPr>
                      <w:rFonts w:hint="default" w:ascii="Times New Roman" w:hAnsi="Times New Roman" w:cs="Times New Roman"/>
                      <w:color w:val="auto"/>
                    </w:rPr>
                    <w:t>，可最大限度减轻废气、噪声对周边居民生活的影响，干扰范围小、程度轻，不会影响周边敏感目标的正常生产生活。</w:t>
                  </w:r>
                </w:p>
              </w:tc>
              <w:tc>
                <w:tcPr>
                  <w:tcW w:w="674" w:type="pct"/>
                  <w:vAlign w:val="center"/>
                </w:tcPr>
                <w:p w14:paraId="150113E6">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47C3B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36" w:type="pct"/>
                  <w:vAlign w:val="center"/>
                </w:tcPr>
                <w:p w14:paraId="39C37BB6">
                  <w:pPr>
                    <w:pStyle w:val="3"/>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生态环境相容性</w:t>
                  </w:r>
                </w:p>
              </w:tc>
              <w:tc>
                <w:tcPr>
                  <w:tcW w:w="3089" w:type="pct"/>
                  <w:vAlign w:val="center"/>
                </w:tcPr>
                <w:p w14:paraId="58256789">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项目以浩盛矿业磁选尾矿</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公分石和</w:t>
                  </w:r>
                  <w:r>
                    <w:rPr>
                      <w:rFonts w:hint="default" w:ascii="Times New Roman" w:hAnsi="Times New Roman" w:eastAsia="宋体" w:cs="Times New Roman"/>
                      <w:color w:val="auto"/>
                      <w:kern w:val="0"/>
                      <w:sz w:val="21"/>
                      <w:szCs w:val="21"/>
                      <w:lang w:val="en-US" w:eastAsia="zh-CN" w:bidi="ar"/>
                    </w:rPr>
                    <w:t>老厂集镇西侧滑坡治理及综合开发利用项目建设开采的土石方作为</w:t>
                  </w:r>
                  <w:r>
                    <w:rPr>
                      <w:rFonts w:hint="default" w:ascii="Times New Roman" w:hAnsi="Times New Roman" w:cs="Times New Roman"/>
                      <w:color w:val="auto"/>
                    </w:rPr>
                    <w:t>主要生产原料，实现一般工业固废资源化利用，</w:t>
                  </w:r>
                  <w:r>
                    <w:rPr>
                      <w:rFonts w:hint="default" w:ascii="Times New Roman" w:hAnsi="Times New Roman" w:cs="Times New Roman"/>
                      <w:color w:val="auto"/>
                      <w:lang w:val="en-US" w:eastAsia="zh-CN"/>
                    </w:rPr>
                    <w:t>符合</w:t>
                  </w:r>
                  <w:r>
                    <w:rPr>
                      <w:rFonts w:hint="default" w:ascii="Times New Roman" w:hAnsi="Times New Roman" w:cs="Times New Roman"/>
                      <w:color w:val="auto"/>
                    </w:rPr>
                    <w:t>固废减量化、资源化、无害化处置要求。项目为临时工程，建设运营期严格控制占地范围，减小生态扰动，完工后及时复绿，对区域生态环境无持续性破坏，与周边自然生态环境相容。</w:t>
                  </w:r>
                </w:p>
              </w:tc>
              <w:tc>
                <w:tcPr>
                  <w:tcW w:w="674" w:type="pct"/>
                  <w:vAlign w:val="center"/>
                </w:tcPr>
                <w:p w14:paraId="47CDD822">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49E716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36" w:type="pct"/>
                  <w:vAlign w:val="center"/>
                </w:tcPr>
                <w:p w14:paraId="754F4795">
                  <w:pPr>
                    <w:pStyle w:val="3"/>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产业布局相容性</w:t>
                  </w:r>
                </w:p>
              </w:tc>
              <w:tc>
                <w:tcPr>
                  <w:tcW w:w="3089" w:type="pct"/>
                  <w:vAlign w:val="center"/>
                </w:tcPr>
                <w:p w14:paraId="403D99F3">
                  <w:pPr>
                    <w:pStyle w:val="3"/>
                    <w:ind w:left="0" w:leftChars="0" w:right="0" w:rightChars="0"/>
                    <w:jc w:val="both"/>
                    <w:rPr>
                      <w:rFonts w:hint="default" w:ascii="Times New Roman" w:hAnsi="Times New Roman" w:cs="Times New Roman"/>
                      <w:color w:val="auto"/>
                    </w:rPr>
                  </w:pPr>
                  <w:r>
                    <w:rPr>
                      <w:rFonts w:hint="default" w:ascii="Times New Roman" w:hAnsi="Times New Roman" w:cs="Times New Roman"/>
                      <w:color w:val="auto"/>
                    </w:rPr>
                    <w:t>项目专为地质灾害治理工程配套，定向供应</w:t>
                  </w:r>
                  <w:r>
                    <w:rPr>
                      <w:rFonts w:hint="default" w:ascii="Times New Roman" w:hAnsi="Times New Roman" w:cs="Times New Roman"/>
                      <w:color w:val="auto"/>
                      <w:lang w:eastAsia="zh-CN"/>
                    </w:rPr>
                    <w:t>拌合料</w:t>
                  </w:r>
                  <w:r>
                    <w:rPr>
                      <w:rFonts w:hint="default" w:ascii="Times New Roman" w:hAnsi="Times New Roman" w:cs="Times New Roman"/>
                      <w:color w:val="auto"/>
                    </w:rPr>
                    <w:t>，不属于高污染、高耗能、高排放产业，与周边农业、矿业、乡村建设等产业布局互不冲突，且能助力区域地质灾害治理和生态修复，与周边产业发展协调适配。</w:t>
                  </w:r>
                </w:p>
              </w:tc>
              <w:tc>
                <w:tcPr>
                  <w:tcW w:w="674" w:type="pct"/>
                  <w:vAlign w:val="center"/>
                </w:tcPr>
                <w:p w14:paraId="06A7E9B5">
                  <w:pPr>
                    <w:pStyle w:val="3"/>
                    <w:ind w:left="55" w:right="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bl>
          <w:p w14:paraId="6DBABE24">
            <w:pPr>
              <w:pStyle w:val="29"/>
              <w:ind w:firstLine="48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综上所述，</w:t>
            </w:r>
            <w:r>
              <w:rPr>
                <w:rFonts w:hint="default" w:ascii="Times New Roman" w:hAnsi="Times New Roman" w:eastAsia="宋体" w:cs="Times New Roman"/>
                <w:color w:val="auto"/>
                <w:lang w:eastAsia="zh-CN"/>
              </w:rPr>
              <w:t>项目选址合理、定位清晰，污染可控、生态扰动小，运营周期短且后期可完全恢复场地原貌，与周边规划、土地利用、环境功能、敏感目标及生态环境</w:t>
            </w:r>
            <w:r>
              <w:rPr>
                <w:rFonts w:hint="default" w:ascii="Times New Roman" w:hAnsi="Times New Roman" w:eastAsia="宋体" w:cs="Times New Roman"/>
                <w:color w:val="auto"/>
                <w:lang w:val="en-US" w:eastAsia="zh-CN"/>
              </w:rPr>
              <w:t>相容</w:t>
            </w:r>
            <w:r>
              <w:rPr>
                <w:rFonts w:hint="default" w:ascii="Times New Roman" w:hAnsi="Times New Roman" w:eastAsia="宋体" w:cs="Times New Roman"/>
                <w:color w:val="auto"/>
                <w:lang w:eastAsia="zh-CN"/>
              </w:rPr>
              <w:t>。</w:t>
            </w:r>
          </w:p>
          <w:p w14:paraId="06E870A7">
            <w:pPr>
              <w:pStyle w:val="29"/>
              <w:numPr>
                <w:ilvl w:val="0"/>
                <w:numId w:val="2"/>
              </w:numPr>
              <w:ind w:firstLine="482"/>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本项目与国务院关于印发《空气质量持续改善行动计划》的通知的符合性分析</w:t>
            </w:r>
          </w:p>
          <w:p w14:paraId="21B8C8F6">
            <w:pPr>
              <w:pStyle w:val="29"/>
              <w:numPr>
                <w:ilvl w:val="0"/>
                <w:numId w:val="0"/>
              </w:numPr>
              <w:ind w:firstLine="48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本项目与《空气质量持续改善行动计划》的符合性分析见下表1-14。</w:t>
            </w:r>
          </w:p>
          <w:p w14:paraId="77A10CC3">
            <w:pPr>
              <w:pStyle w:val="29"/>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240" w:lineRule="auto"/>
              <w:ind w:leftChars="200"/>
              <w:jc w:val="center"/>
              <w:textAlignment w:val="auto"/>
              <w:rPr>
                <w:rFonts w:hint="default" w:ascii="Times New Roman" w:hAnsi="Times New Roman" w:cs="Times New Roman"/>
                <w:b/>
                <w:color w:val="auto"/>
                <w:lang w:val="en-US" w:eastAsia="zh-CN"/>
              </w:rPr>
            </w:pPr>
            <w:r>
              <w:rPr>
                <w:rFonts w:hint="default" w:ascii="Times New Roman" w:hAnsi="Times New Roman" w:cs="Times New Roman"/>
                <w:b/>
                <w:bCs w:val="0"/>
                <w:color w:val="auto"/>
                <w:sz w:val="21"/>
                <w:szCs w:val="21"/>
                <w:lang w:val="en-US" w:eastAsia="zh-CN"/>
              </w:rPr>
              <w:t>表1-14    与《空气质量持续改善行动计划》的符合性分析</w:t>
            </w:r>
          </w:p>
          <w:tbl>
            <w:tblPr>
              <w:tblStyle w:val="20"/>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82"/>
              <w:gridCol w:w="4337"/>
              <w:gridCol w:w="1030"/>
            </w:tblGrid>
            <w:tr w14:paraId="29160C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1492" w:type="pct"/>
                  <w:vAlign w:val="center"/>
                </w:tcPr>
                <w:p w14:paraId="7441A028">
                  <w:pPr>
                    <w:pStyle w:val="3"/>
                    <w:ind w:left="55" w:right="55"/>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《空气质量持续改善行动计划》要求</w:t>
                  </w:r>
                </w:p>
              </w:tc>
              <w:tc>
                <w:tcPr>
                  <w:tcW w:w="2834" w:type="pct"/>
                  <w:vAlign w:val="center"/>
                </w:tcPr>
                <w:p w14:paraId="5EFA4034">
                  <w:pPr>
                    <w:pStyle w:val="3"/>
                    <w:ind w:left="55" w:right="55"/>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673" w:type="pct"/>
                  <w:vAlign w:val="center"/>
                </w:tcPr>
                <w:p w14:paraId="2462F9AA">
                  <w:pPr>
                    <w:pStyle w:val="3"/>
                    <w:ind w:left="55" w:right="55"/>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相符性分析</w:t>
                  </w:r>
                </w:p>
              </w:tc>
            </w:tr>
            <w:tr w14:paraId="5FFA10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92" w:type="pct"/>
                  <w:vAlign w:val="center"/>
                </w:tcPr>
                <w:p w14:paraId="033E9A07">
                  <w:pPr>
                    <w:pStyle w:val="3"/>
                    <w:keepNext w:val="0"/>
                    <w:keepLines w:val="0"/>
                    <w:pageBreakBefore w:val="0"/>
                    <w:widowControl w:val="0"/>
                    <w:wordWrap/>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优化产业结构，促进产业产品绿色升级：</w:t>
                  </w:r>
                  <w:r>
                    <w:rPr>
                      <w:rFonts w:hint="default" w:ascii="Times New Roman" w:hAnsi="Times New Roman" w:cs="Times New Roman"/>
                      <w:color w:val="auto"/>
                      <w:sz w:val="21"/>
                      <w:szCs w:val="21"/>
                      <w:lang w:val="en-US" w:eastAsia="zh-CN"/>
                    </w:rPr>
                    <w:t>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2834" w:type="pct"/>
                  <w:vAlign w:val="center"/>
                </w:tcPr>
                <w:p w14:paraId="0AC2D1F8">
                  <w:pPr>
                    <w:pStyle w:val="3"/>
                    <w:keepNext w:val="0"/>
                    <w:keepLines w:val="0"/>
                    <w:pageBreakBefore w:val="0"/>
                    <w:widowControl w:val="0"/>
                    <w:wordWrap/>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本项目属于拌合料生产项目，根据国家发展改革委令第7号《产业结构调整指导目录（2024年本）》，项目不属于“鼓励类、限制类和淘汰类”，项目涉及的产品、工艺和设备均不属于《产业结构调整指导目录》（2024年本）中的“鼓励类”、“限制类”和“淘汰类”之列，根据《促进产业结构调整暂行规定》（国发〔2005〕40号）第十三条规定，本项目属于“允许类”，同时对照《市场准入负面清单（2022年版）》，本项目不属于禁止事项，符合国家产业政策。</w:t>
                  </w:r>
                </w:p>
                <w:p w14:paraId="38508CD4">
                  <w:pPr>
                    <w:pStyle w:val="3"/>
                    <w:keepNext w:val="0"/>
                    <w:keepLines w:val="0"/>
                    <w:pageBreakBefore w:val="0"/>
                    <w:widowControl w:val="0"/>
                    <w:wordWrap/>
                    <w:topLinePunct w:val="0"/>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②项目已于2026年2月13日取得新平县发展和改革局出具的投资项目备案证（详见附件2），项目代码：2602-530427-04-01-908689。</w:t>
                  </w:r>
                </w:p>
                <w:p w14:paraId="5B54F1F4">
                  <w:pPr>
                    <w:pStyle w:val="29"/>
                    <w:keepNext w:val="0"/>
                    <w:keepLines w:val="0"/>
                    <w:pageBreakBefore w:val="0"/>
                    <w:widowControl w:val="0"/>
                    <w:wordWrap/>
                    <w:topLinePunct w:val="0"/>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③装载机上料粉尘：</w:t>
                  </w:r>
                  <w:r>
                    <w:rPr>
                      <w:rFonts w:hint="default" w:ascii="Times New Roman" w:hAnsi="Times New Roman" w:cs="Times New Roman"/>
                      <w:color w:val="auto"/>
                      <w:spacing w:val="-7"/>
                      <w:sz w:val="21"/>
                      <w:szCs w:val="21"/>
                    </w:rPr>
                    <w:t>本项目</w:t>
                  </w:r>
                  <w:r>
                    <w:rPr>
                      <w:rFonts w:hint="default" w:ascii="Times New Roman" w:hAnsi="Times New Roman" w:cs="Times New Roman"/>
                      <w:color w:val="auto"/>
                      <w:spacing w:val="-7"/>
                      <w:sz w:val="21"/>
                      <w:szCs w:val="21"/>
                      <w:lang w:val="en-US" w:eastAsia="zh-CN"/>
                    </w:rPr>
                    <w:t>骨料上料过程</w:t>
                  </w:r>
                  <w:r>
                    <w:rPr>
                      <w:rFonts w:hint="default" w:ascii="Times New Roman" w:hAnsi="Times New Roman" w:cs="Times New Roman"/>
                      <w:color w:val="auto"/>
                      <w:sz w:val="21"/>
                      <w:szCs w:val="21"/>
                    </w:rPr>
                    <w:t>通过洒水降尘</w:t>
                  </w:r>
                  <w:r>
                    <w:rPr>
                      <w:rFonts w:hint="default" w:ascii="Times New Roman" w:hAnsi="Times New Roman" w:cs="Times New Roman"/>
                      <w:color w:val="auto"/>
                      <w:sz w:val="21"/>
                      <w:szCs w:val="21"/>
                      <w:lang w:val="en-US" w:eastAsia="zh-CN"/>
                    </w:rPr>
                    <w:t>可以有效减少粉尘产生量</w:t>
                  </w:r>
                  <w:r>
                    <w:rPr>
                      <w:rFonts w:hint="default" w:ascii="Times New Roman" w:hAnsi="Times New Roman" w:cs="Times New Roman"/>
                      <w:color w:val="auto"/>
                      <w:sz w:val="21"/>
                      <w:szCs w:val="21"/>
                    </w:rPr>
                    <w:t>；运输过程扬尘：原料采用卡车运输，卡车用苫布苫盖，原料的运输过程产生的扬尘通过定期洒水进行降尘、限速行驶等措施</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可有效降低粉尘产生</w:t>
                  </w:r>
                  <w:r>
                    <w:rPr>
                      <w:rFonts w:hint="default" w:ascii="Times New Roman" w:hAnsi="Times New Roman" w:cs="Times New Roman"/>
                      <w:color w:val="auto"/>
                      <w:sz w:val="21"/>
                      <w:szCs w:val="21"/>
                    </w:rPr>
                    <w:t>；原料堆场粉尘：</w:t>
                  </w:r>
                  <w:r>
                    <w:rPr>
                      <w:rFonts w:hint="default" w:ascii="Times New Roman" w:hAnsi="Times New Roman" w:cs="Times New Roman"/>
                      <w:color w:val="auto"/>
                      <w:sz w:val="21"/>
                      <w:szCs w:val="21"/>
                      <w:lang w:val="en-US" w:eastAsia="zh-CN"/>
                    </w:rPr>
                    <w:t>本项目原料周转较快，因此，本项目原料堆场设置一个面积约500m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的原料堆场，堆场设置三面围挡+顶棚措施，所有物料均进入料棚内堆存，同时采用篷布遮盖，此外，原料堆场应定时洒水降尘</w:t>
                  </w:r>
                  <w:r>
                    <w:rPr>
                      <w:rFonts w:hint="default" w:ascii="Times New Roman" w:hAnsi="Times New Roman" w:cs="Times New Roman"/>
                      <w:color w:val="auto"/>
                      <w:sz w:val="21"/>
                      <w:szCs w:val="21"/>
                    </w:rPr>
                    <w:t>；车间无组织粉尘：</w:t>
                  </w:r>
                  <w:r>
                    <w:rPr>
                      <w:rFonts w:hint="default" w:ascii="Times New Roman" w:hAnsi="Times New Roman" w:cs="Times New Roman"/>
                      <w:color w:val="auto"/>
                      <w:spacing w:val="-3"/>
                      <w:sz w:val="21"/>
                      <w:szCs w:val="21"/>
                      <w:lang w:val="en-US" w:eastAsia="zh-CN"/>
                    </w:rPr>
                    <w:t>生产工段</w:t>
                  </w:r>
                  <w:r>
                    <w:rPr>
                      <w:rFonts w:hint="default" w:ascii="Times New Roman" w:hAnsi="Times New Roman" w:cs="Times New Roman"/>
                      <w:color w:val="auto"/>
                      <w:spacing w:val="-3"/>
                      <w:sz w:val="21"/>
                      <w:szCs w:val="21"/>
                    </w:rPr>
                    <w:t>为半封闭车间</w:t>
                  </w:r>
                  <w:r>
                    <w:rPr>
                      <w:rFonts w:hint="default" w:ascii="Times New Roman" w:hAnsi="Times New Roman" w:cs="Times New Roman"/>
                      <w:color w:val="auto"/>
                      <w:sz w:val="21"/>
                      <w:szCs w:val="21"/>
                    </w:rPr>
                    <w:t>（</w:t>
                  </w:r>
                  <w:r>
                    <w:rPr>
                      <w:rFonts w:hint="default" w:ascii="Times New Roman" w:hAnsi="Times New Roman" w:cs="Times New Roman"/>
                      <w:color w:val="auto"/>
                      <w:spacing w:val="-1"/>
                      <w:sz w:val="21"/>
                      <w:szCs w:val="21"/>
                    </w:rPr>
                    <w:t>三面封闭，其中一面预留物料出入口大门</w:t>
                  </w:r>
                  <w:r>
                    <w:rPr>
                      <w:rFonts w:hint="default" w:ascii="Times New Roman" w:hAnsi="Times New Roman" w:cs="Times New Roman"/>
                      <w:color w:val="auto"/>
                      <w:spacing w:val="-11"/>
                      <w:sz w:val="21"/>
                      <w:szCs w:val="21"/>
                    </w:rPr>
                    <w:t>）</w:t>
                  </w:r>
                  <w:r>
                    <w:rPr>
                      <w:rFonts w:hint="default" w:ascii="Times New Roman" w:hAnsi="Times New Roman" w:cs="Times New Roman"/>
                      <w:color w:val="auto"/>
                      <w:spacing w:val="-6"/>
                      <w:sz w:val="21"/>
                      <w:szCs w:val="21"/>
                    </w:rPr>
                    <w:t>，约</w:t>
                  </w:r>
                  <w:r>
                    <w:rPr>
                      <w:rFonts w:hint="default" w:ascii="Times New Roman" w:hAnsi="Times New Roman" w:eastAsia="Times New Roman" w:cs="Times New Roman"/>
                      <w:color w:val="auto"/>
                      <w:sz w:val="21"/>
                      <w:szCs w:val="21"/>
                    </w:rPr>
                    <w:t>60%</w:t>
                  </w:r>
                  <w:r>
                    <w:rPr>
                      <w:rFonts w:hint="default" w:ascii="Times New Roman" w:hAnsi="Times New Roman" w:cs="Times New Roman"/>
                      <w:color w:val="auto"/>
                      <w:spacing w:val="-1"/>
                      <w:sz w:val="21"/>
                      <w:szCs w:val="21"/>
                    </w:rPr>
                    <w:t>的粉尘在生产车间内自然沉降</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搅拌机粉尘：</w:t>
                  </w:r>
                  <w:r>
                    <w:rPr>
                      <w:rFonts w:hint="default" w:ascii="Times New Roman" w:hAnsi="Times New Roman" w:cs="Times New Roman"/>
                      <w:color w:val="auto"/>
                      <w:sz w:val="21"/>
                      <w:szCs w:val="21"/>
                    </w:rPr>
                    <w:t>本项目对搅拌机和投料口进行整体封闭，</w:t>
                  </w:r>
                  <w:r>
                    <w:rPr>
                      <w:rFonts w:hint="default" w:ascii="Times New Roman" w:hAnsi="Times New Roman" w:cs="Times New Roman"/>
                      <w:color w:val="auto"/>
                      <w:sz w:val="21"/>
                      <w:szCs w:val="21"/>
                      <w:lang w:val="en-US" w:eastAsia="zh-CN"/>
                    </w:rPr>
                    <w:t>定时洒水降尘；</w:t>
                  </w:r>
                  <w:r>
                    <w:rPr>
                      <w:rFonts w:hint="default" w:ascii="Times New Roman" w:hAnsi="Times New Roman" w:cs="Times New Roman"/>
                      <w:color w:val="auto"/>
                      <w:sz w:val="21"/>
                      <w:szCs w:val="21"/>
                    </w:rPr>
                    <w:t>汽车尾气：项目汽车发车频次较</w:t>
                  </w:r>
                  <w:r>
                    <w:rPr>
                      <w:rFonts w:hint="default" w:ascii="Times New Roman" w:hAnsi="Times New Roman" w:cs="Times New Roman"/>
                      <w:color w:val="auto"/>
                      <w:sz w:val="21"/>
                      <w:szCs w:val="21"/>
                      <w:lang w:val="en-US" w:eastAsia="zh-CN"/>
                    </w:rPr>
                    <w:t>少</w:t>
                  </w:r>
                  <w:r>
                    <w:rPr>
                      <w:rFonts w:hint="default" w:ascii="Times New Roman" w:hAnsi="Times New Roman" w:cs="Times New Roman"/>
                      <w:color w:val="auto"/>
                      <w:sz w:val="21"/>
                      <w:szCs w:val="21"/>
                    </w:rPr>
                    <w:t>，项目占地面积较大，全部为露天排放，有利于空气的扩散，且项目临路和临山周边种植有植物，对大气环境也有一定的净化作用。对周边空气环境影响较小。</w:t>
                  </w:r>
                </w:p>
              </w:tc>
              <w:tc>
                <w:tcPr>
                  <w:tcW w:w="673" w:type="pct"/>
                  <w:vAlign w:val="center"/>
                </w:tcPr>
                <w:p w14:paraId="5E9B6995">
                  <w:pPr>
                    <w:pStyle w:val="3"/>
                    <w:ind w:left="55" w:right="5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9445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492" w:type="pct"/>
                  <w:vAlign w:val="center"/>
                </w:tcPr>
                <w:p w14:paraId="1CF1B599">
                  <w:pPr>
                    <w:pStyle w:val="3"/>
                    <w:ind w:left="0" w:leftChars="0" w:right="0" w:right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强化多污染物减排，切实降低排放强度：</w:t>
                  </w:r>
                  <w:r>
                    <w:rPr>
                      <w:rFonts w:hint="default" w:ascii="Times New Roman" w:hAnsi="Times New Roman" w:cs="Times New Roman"/>
                      <w:color w:val="auto"/>
                      <w:sz w:val="21"/>
                      <w:szCs w:val="21"/>
                      <w:lang w:val="en-US" w:eastAsia="zh-CN"/>
                    </w:rPr>
                    <w:t>高质量推进钢铁、水泥、焦化等重点行业及燃煤锅炉超低排放改造。到2025年，全国80%以上的钢铁产能完成超低排放改造任务；重点区域全部实现钢铁行业超低排放，基本完成燃煤锅炉超低排放改造。</w:t>
                  </w:r>
                </w:p>
                <w:p w14:paraId="0E6A0908">
                  <w:pPr>
                    <w:pStyle w:val="3"/>
                    <w:ind w:left="0" w:leftChars="0" w:right="0" w:righ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确保工业企业全面稳定达标排放。推进玻璃、石灰、矿棉、有色等行业深度治理。全面开展锅炉和工业炉窑简易低效污染治理设施排查，通过清洁能源替代、升级改造、整合退出等方式实施分类处置。推进燃气锅炉低氮燃烧改造。生物质锅炉采用专用锅炉，配套布袋等高效除尘设施，禁止掺烧煤炭、生活垃圾等其他物料。推进整合小型生物质锅炉，积极引导城市建成区内生物质锅炉（含电力）超低排放改造。强化治污设施运行维护，减少非正常工况排放。重点涉气企业逐步取消烟气和含VOCs废气旁路，因安全生产需要无法取消的，安装在线监控系统及备用处置设施。</w:t>
                  </w:r>
                </w:p>
              </w:tc>
              <w:tc>
                <w:tcPr>
                  <w:tcW w:w="2834" w:type="pct"/>
                  <w:vAlign w:val="center"/>
                </w:tcPr>
                <w:p w14:paraId="15676149">
                  <w:pPr>
                    <w:pStyle w:val="3"/>
                    <w:ind w:left="0" w:leftChars="0" w:right="0" w:right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本项目属于拌合料生产项目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不涉及锅炉、除尘器、钢铁、焦化等行业。</w:t>
                  </w:r>
                </w:p>
                <w:p w14:paraId="4B69A94C">
                  <w:pPr>
                    <w:pStyle w:val="3"/>
                    <w:ind w:left="0" w:leftChars="0" w:right="0" w:right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装载机上料粉尘：</w:t>
                  </w:r>
                  <w:r>
                    <w:rPr>
                      <w:rFonts w:hint="default" w:ascii="Times New Roman" w:hAnsi="Times New Roman" w:cs="Times New Roman"/>
                      <w:color w:val="auto"/>
                      <w:spacing w:val="-7"/>
                      <w:sz w:val="21"/>
                      <w:szCs w:val="21"/>
                    </w:rPr>
                    <w:t>本项目</w:t>
                  </w:r>
                  <w:r>
                    <w:rPr>
                      <w:rFonts w:hint="default" w:ascii="Times New Roman" w:hAnsi="Times New Roman" w:cs="Times New Roman"/>
                      <w:color w:val="auto"/>
                      <w:spacing w:val="-7"/>
                      <w:sz w:val="21"/>
                      <w:szCs w:val="21"/>
                      <w:lang w:val="en-US" w:eastAsia="zh-CN"/>
                    </w:rPr>
                    <w:t>骨料上料过程</w:t>
                  </w:r>
                  <w:r>
                    <w:rPr>
                      <w:rFonts w:hint="default" w:ascii="Times New Roman" w:hAnsi="Times New Roman" w:cs="Times New Roman"/>
                      <w:color w:val="auto"/>
                      <w:sz w:val="21"/>
                      <w:szCs w:val="21"/>
                    </w:rPr>
                    <w:t>通过洒水降尘</w:t>
                  </w:r>
                  <w:r>
                    <w:rPr>
                      <w:rFonts w:hint="default" w:ascii="Times New Roman" w:hAnsi="Times New Roman" w:cs="Times New Roman"/>
                      <w:color w:val="auto"/>
                      <w:sz w:val="21"/>
                      <w:szCs w:val="21"/>
                      <w:lang w:val="en-US" w:eastAsia="zh-CN"/>
                    </w:rPr>
                    <w:t>可以有效减少粉尘产生量</w:t>
                  </w:r>
                  <w:r>
                    <w:rPr>
                      <w:rFonts w:hint="default" w:ascii="Times New Roman" w:hAnsi="Times New Roman" w:cs="Times New Roman"/>
                      <w:color w:val="auto"/>
                      <w:sz w:val="21"/>
                      <w:szCs w:val="21"/>
                    </w:rPr>
                    <w:t>；运输过程扬尘：原料采用卡车运输，卡车用苫布苫盖，原料的运输过程产生的扬尘通过定期洒水进行降尘、限速行驶等措施</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可有效降低粉尘产生</w:t>
                  </w:r>
                  <w:r>
                    <w:rPr>
                      <w:rFonts w:hint="default" w:ascii="Times New Roman" w:hAnsi="Times New Roman" w:cs="Times New Roman"/>
                      <w:color w:val="auto"/>
                      <w:sz w:val="21"/>
                      <w:szCs w:val="21"/>
                    </w:rPr>
                    <w:t>；原料堆场粉尘：</w:t>
                  </w:r>
                  <w:r>
                    <w:rPr>
                      <w:rFonts w:hint="default" w:ascii="Times New Roman" w:hAnsi="Times New Roman" w:cs="Times New Roman"/>
                      <w:color w:val="auto"/>
                      <w:sz w:val="21"/>
                      <w:szCs w:val="21"/>
                      <w:lang w:val="en-US" w:eastAsia="zh-CN"/>
                    </w:rPr>
                    <w:t>本项目原料周转较快，因此，本项目原料堆场设置一个面积约500m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的原料堆场，堆场设置三面围挡+顶棚措施，所有物料均进入料棚内堆存，同时采用篷布遮盖，此外，原料堆场应定时洒水降尘</w:t>
                  </w:r>
                  <w:r>
                    <w:rPr>
                      <w:rFonts w:hint="default" w:ascii="Times New Roman" w:hAnsi="Times New Roman" w:cs="Times New Roman"/>
                      <w:color w:val="auto"/>
                      <w:sz w:val="21"/>
                      <w:szCs w:val="21"/>
                    </w:rPr>
                    <w:t>；车间无组织粉尘：</w:t>
                  </w:r>
                  <w:r>
                    <w:rPr>
                      <w:rFonts w:hint="default" w:ascii="Times New Roman" w:hAnsi="Times New Roman" w:cs="Times New Roman"/>
                      <w:color w:val="auto"/>
                      <w:spacing w:val="-3"/>
                      <w:sz w:val="21"/>
                      <w:szCs w:val="21"/>
                      <w:lang w:val="en-US" w:eastAsia="zh-CN"/>
                    </w:rPr>
                    <w:t>生产工段</w:t>
                  </w:r>
                  <w:r>
                    <w:rPr>
                      <w:rFonts w:hint="default" w:ascii="Times New Roman" w:hAnsi="Times New Roman" w:cs="Times New Roman"/>
                      <w:color w:val="auto"/>
                      <w:spacing w:val="-3"/>
                      <w:sz w:val="21"/>
                      <w:szCs w:val="21"/>
                    </w:rPr>
                    <w:t>为半封闭车间</w:t>
                  </w:r>
                  <w:r>
                    <w:rPr>
                      <w:rFonts w:hint="default" w:ascii="Times New Roman" w:hAnsi="Times New Roman" w:cs="Times New Roman"/>
                      <w:color w:val="auto"/>
                      <w:sz w:val="21"/>
                      <w:szCs w:val="21"/>
                    </w:rPr>
                    <w:t>（</w:t>
                  </w:r>
                  <w:r>
                    <w:rPr>
                      <w:rFonts w:hint="default" w:ascii="Times New Roman" w:hAnsi="Times New Roman" w:cs="Times New Roman"/>
                      <w:color w:val="auto"/>
                      <w:spacing w:val="-1"/>
                      <w:sz w:val="21"/>
                      <w:szCs w:val="21"/>
                    </w:rPr>
                    <w:t>三面封闭，其中一面预留物料出入口大门</w:t>
                  </w:r>
                  <w:r>
                    <w:rPr>
                      <w:rFonts w:hint="default" w:ascii="Times New Roman" w:hAnsi="Times New Roman" w:cs="Times New Roman"/>
                      <w:color w:val="auto"/>
                      <w:spacing w:val="-11"/>
                      <w:sz w:val="21"/>
                      <w:szCs w:val="21"/>
                    </w:rPr>
                    <w:t>）</w:t>
                  </w:r>
                  <w:r>
                    <w:rPr>
                      <w:rFonts w:hint="default" w:ascii="Times New Roman" w:hAnsi="Times New Roman" w:cs="Times New Roman"/>
                      <w:color w:val="auto"/>
                      <w:spacing w:val="-6"/>
                      <w:sz w:val="21"/>
                      <w:szCs w:val="21"/>
                    </w:rPr>
                    <w:t>，约</w:t>
                  </w:r>
                  <w:r>
                    <w:rPr>
                      <w:rFonts w:hint="default" w:ascii="Times New Roman" w:hAnsi="Times New Roman" w:eastAsia="Times New Roman" w:cs="Times New Roman"/>
                      <w:color w:val="auto"/>
                      <w:sz w:val="21"/>
                      <w:szCs w:val="21"/>
                    </w:rPr>
                    <w:t>60%</w:t>
                  </w:r>
                  <w:r>
                    <w:rPr>
                      <w:rFonts w:hint="default" w:ascii="Times New Roman" w:hAnsi="Times New Roman" w:cs="Times New Roman"/>
                      <w:color w:val="auto"/>
                      <w:spacing w:val="-1"/>
                      <w:sz w:val="21"/>
                      <w:szCs w:val="21"/>
                    </w:rPr>
                    <w:t>的粉尘在生产车间内自然沉降</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搅拌机粉尘：</w:t>
                  </w:r>
                  <w:r>
                    <w:rPr>
                      <w:rFonts w:hint="default" w:ascii="Times New Roman" w:hAnsi="Times New Roman" w:cs="Times New Roman"/>
                      <w:color w:val="auto"/>
                      <w:sz w:val="21"/>
                      <w:szCs w:val="21"/>
                    </w:rPr>
                    <w:t>本项目对搅拌机和投料口进行整体封闭，</w:t>
                  </w:r>
                  <w:r>
                    <w:rPr>
                      <w:rFonts w:hint="default" w:ascii="Times New Roman" w:hAnsi="Times New Roman" w:cs="Times New Roman"/>
                      <w:color w:val="auto"/>
                      <w:sz w:val="21"/>
                      <w:szCs w:val="21"/>
                      <w:lang w:val="en-US" w:eastAsia="zh-CN"/>
                    </w:rPr>
                    <w:t>定时洒水降尘；</w:t>
                  </w:r>
                  <w:r>
                    <w:rPr>
                      <w:rFonts w:hint="default" w:ascii="Times New Roman" w:hAnsi="Times New Roman" w:cs="Times New Roman"/>
                      <w:color w:val="auto"/>
                      <w:sz w:val="21"/>
                      <w:szCs w:val="21"/>
                    </w:rPr>
                    <w:t>汽车尾气：项目汽车发车频次较</w:t>
                  </w:r>
                  <w:r>
                    <w:rPr>
                      <w:rFonts w:hint="default" w:ascii="Times New Roman" w:hAnsi="Times New Roman" w:cs="Times New Roman"/>
                      <w:color w:val="auto"/>
                      <w:sz w:val="21"/>
                      <w:szCs w:val="21"/>
                      <w:lang w:val="en-US" w:eastAsia="zh-CN"/>
                    </w:rPr>
                    <w:t>少</w:t>
                  </w:r>
                  <w:r>
                    <w:rPr>
                      <w:rFonts w:hint="default" w:ascii="Times New Roman" w:hAnsi="Times New Roman" w:cs="Times New Roman"/>
                      <w:color w:val="auto"/>
                      <w:sz w:val="21"/>
                      <w:szCs w:val="21"/>
                    </w:rPr>
                    <w:t>，项目占地面积较大，全部为露天排放，有利于空气的扩散，且项目临路和临山周边种植有植物，对大气环境也有一定的净化作用。对周边空气环境影响较小。</w:t>
                  </w:r>
                </w:p>
              </w:tc>
              <w:tc>
                <w:tcPr>
                  <w:tcW w:w="673" w:type="pct"/>
                  <w:vAlign w:val="center"/>
                </w:tcPr>
                <w:p w14:paraId="01DFD2AF">
                  <w:pPr>
                    <w:ind w:left="55" w:right="5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AC961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492" w:type="pct"/>
                  <w:vAlign w:val="center"/>
                </w:tcPr>
                <w:p w14:paraId="5EC016C4">
                  <w:pPr>
                    <w:pStyle w:val="3"/>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val="en-US" w:eastAsia="zh-CN"/>
                    </w:rPr>
                    <w:t>优化交通结构，大力发展绿色运输体系：</w:t>
                  </w:r>
                  <w:r>
                    <w:rPr>
                      <w:rFonts w:hint="default" w:ascii="Times New Roman" w:hAnsi="Times New Roman" w:cs="Times New Roman"/>
                      <w:color w:val="auto"/>
                      <w:sz w:val="21"/>
                      <w:szCs w:val="21"/>
                      <w:lang w:val="en-US" w:eastAsia="zh-CN"/>
                    </w:rPr>
                    <w:t>大宗货物中长距离运输优先采用铁路、水路运输，短距离运输优先采用封闭式皮带廊道或新能源车船。</w:t>
                  </w:r>
                </w:p>
              </w:tc>
              <w:tc>
                <w:tcPr>
                  <w:tcW w:w="2834" w:type="pct"/>
                  <w:vAlign w:val="center"/>
                </w:tcPr>
                <w:p w14:paraId="5F2FEFD9">
                  <w:pPr>
                    <w:pStyle w:val="3"/>
                    <w:ind w:left="0" w:leftChars="0" w:right="0" w:righ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装载机上料粉尘：</w:t>
                  </w:r>
                  <w:r>
                    <w:rPr>
                      <w:rFonts w:hint="default" w:ascii="Times New Roman" w:hAnsi="Times New Roman" w:cs="Times New Roman"/>
                      <w:color w:val="auto"/>
                      <w:spacing w:val="-7"/>
                      <w:sz w:val="21"/>
                      <w:szCs w:val="21"/>
                    </w:rPr>
                    <w:t>本项目</w:t>
                  </w:r>
                  <w:r>
                    <w:rPr>
                      <w:rFonts w:hint="default" w:ascii="Times New Roman" w:hAnsi="Times New Roman" w:cs="Times New Roman"/>
                      <w:color w:val="auto"/>
                      <w:spacing w:val="-7"/>
                      <w:sz w:val="21"/>
                      <w:szCs w:val="21"/>
                      <w:lang w:val="en-US" w:eastAsia="zh-CN"/>
                    </w:rPr>
                    <w:t>骨料上料过程</w:t>
                  </w:r>
                  <w:r>
                    <w:rPr>
                      <w:rFonts w:hint="default" w:ascii="Times New Roman" w:hAnsi="Times New Roman" w:cs="Times New Roman"/>
                      <w:color w:val="auto"/>
                      <w:sz w:val="21"/>
                      <w:szCs w:val="21"/>
                    </w:rPr>
                    <w:t>通过洒水降尘</w:t>
                  </w:r>
                  <w:r>
                    <w:rPr>
                      <w:rFonts w:hint="default" w:ascii="Times New Roman" w:hAnsi="Times New Roman" w:cs="Times New Roman"/>
                      <w:color w:val="auto"/>
                      <w:sz w:val="21"/>
                      <w:szCs w:val="21"/>
                      <w:lang w:val="en-US" w:eastAsia="zh-CN"/>
                    </w:rPr>
                    <w:t>可以有效减少粉尘产生量</w:t>
                  </w:r>
                  <w:r>
                    <w:rPr>
                      <w:rFonts w:hint="default" w:ascii="Times New Roman" w:hAnsi="Times New Roman" w:cs="Times New Roman"/>
                      <w:color w:val="auto"/>
                      <w:sz w:val="21"/>
                      <w:szCs w:val="21"/>
                    </w:rPr>
                    <w:t>；运输过程扬尘：原料采用卡车运输，卡车用苫布苫盖，原料的运输过程产生的扬尘通过定期洒水进行降尘、限速行驶等措施</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可有效降低粉尘产生。</w:t>
                  </w:r>
                </w:p>
              </w:tc>
              <w:tc>
                <w:tcPr>
                  <w:tcW w:w="673" w:type="pct"/>
                  <w:vAlign w:val="center"/>
                </w:tcPr>
                <w:p w14:paraId="5E3A5769">
                  <w:pPr>
                    <w:ind w:left="55" w:right="55"/>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51809460">
            <w:pPr>
              <w:pStyle w:val="29"/>
              <w:ind w:firstLine="482"/>
              <w:rPr>
                <w:rFonts w:hint="default" w:ascii="Times New Roman" w:hAnsi="Times New Roman" w:cs="Times New Roman"/>
                <w:b/>
                <w:color w:val="auto"/>
                <w:lang w:eastAsia="zh-CN"/>
              </w:rPr>
            </w:pPr>
            <w:r>
              <w:rPr>
                <w:rFonts w:hint="default" w:ascii="Times New Roman" w:hAnsi="Times New Roman" w:eastAsia="宋体" w:cs="Times New Roman"/>
                <w:color w:val="auto"/>
                <w:lang w:val="en-US" w:eastAsia="zh-CN"/>
              </w:rPr>
              <w:t>综上所述，</w:t>
            </w:r>
            <w:r>
              <w:rPr>
                <w:rFonts w:hint="default" w:ascii="Times New Roman" w:hAnsi="Times New Roman" w:cs="Times New Roman"/>
                <w:color w:val="auto"/>
                <w:lang w:val="en-US" w:eastAsia="zh-CN"/>
              </w:rPr>
              <w:t>本项目与国务院关于印发《空气质量持续改善行动计划》的要求相符</w:t>
            </w:r>
            <w:r>
              <w:rPr>
                <w:rFonts w:hint="default" w:ascii="Times New Roman" w:hAnsi="Times New Roman" w:eastAsia="宋体" w:cs="Times New Roman"/>
                <w:color w:val="auto"/>
                <w:lang w:eastAsia="zh-CN"/>
              </w:rPr>
              <w:t>。</w:t>
            </w:r>
          </w:p>
          <w:p w14:paraId="37B32F36">
            <w:pPr>
              <w:pStyle w:val="29"/>
              <w:ind w:firstLine="482"/>
              <w:rPr>
                <w:rFonts w:hint="default" w:ascii="Times New Roman" w:hAnsi="Times New Roman" w:cs="Times New Roman"/>
                <w:b/>
                <w:color w:val="auto"/>
              </w:rPr>
            </w:pPr>
            <w:r>
              <w:rPr>
                <w:rFonts w:hint="default" w:ascii="Times New Roman" w:hAnsi="Times New Roman" w:cs="Times New Roman"/>
                <w:b/>
                <w:color w:val="auto"/>
                <w:lang w:eastAsia="zh-CN"/>
              </w:rPr>
              <w:t>十</w:t>
            </w:r>
            <w:r>
              <w:rPr>
                <w:rFonts w:hint="default" w:ascii="Times New Roman" w:hAnsi="Times New Roman" w:cs="Times New Roman"/>
                <w:b/>
                <w:color w:val="auto"/>
                <w:lang w:val="en-US" w:eastAsia="zh-CN"/>
              </w:rPr>
              <w:t>九</w:t>
            </w:r>
            <w:r>
              <w:rPr>
                <w:rFonts w:hint="default" w:ascii="Times New Roman" w:hAnsi="Times New Roman" w:cs="Times New Roman"/>
                <w:b/>
                <w:color w:val="auto"/>
              </w:rPr>
              <w:t>、选址合理性分析</w:t>
            </w:r>
          </w:p>
          <w:p w14:paraId="481F9464">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本项目位于云南省玉溪市新平彝族傣族自治县老厂乡。项目场地租用</w:t>
            </w:r>
            <w:r>
              <w:rPr>
                <w:rFonts w:hint="default" w:ascii="Times New Roman" w:hAnsi="Times New Roman" w:cs="Times New Roman"/>
                <w:color w:val="auto"/>
                <w:lang w:val="en-US" w:eastAsia="zh-CN"/>
              </w:rPr>
              <w:t>新平县城镇建设投资有限公司</w:t>
            </w:r>
            <w:r>
              <w:rPr>
                <w:rFonts w:hint="default" w:ascii="Times New Roman" w:hAnsi="Times New Roman" w:cs="Times New Roman"/>
                <w:color w:val="auto"/>
              </w:rPr>
              <w:t>的土地进行项目建设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租地合同详见附件9</w:t>
            </w:r>
            <w:r>
              <w:rPr>
                <w:rFonts w:hint="default" w:ascii="Times New Roman" w:hAnsi="Times New Roman" w:cs="Times New Roman"/>
                <w:color w:val="auto"/>
                <w:lang w:eastAsia="zh-CN"/>
              </w:rPr>
              <w:t>）</w:t>
            </w:r>
            <w:r>
              <w:rPr>
                <w:rFonts w:hint="default" w:ascii="Times New Roman" w:hAnsi="Times New Roman" w:cs="Times New Roman"/>
                <w:color w:val="auto"/>
              </w:rPr>
              <w:t>。本项目不占用河道。</w:t>
            </w:r>
          </w:p>
          <w:p w14:paraId="4ECC8308">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项目于2026年3月16日取得了新平彝族傣族自治县自然资源局出具的“关于老厂太桥双壹拌合站建设项目是否占用新平县生态保护红线的查询结果”的证明，查询结果显示，项目用地范围不涉及占用新平县生态保护红线，位于优化后城镇开发边界外，未占用耕地后备资源，未占用耕地后备资源补充空间（详见附件5）；根据2026年3月16日新平彝族傣族自治县老厂乡人民政府出具的同意项目建设的证明显示该项目于2026年2月13日取得新平县发展和改革局出具的投资项目备案证，项目代码:2602-530427-04-01-908689。经查该建设用地范围地类为</w:t>
            </w:r>
            <w:r>
              <w:rPr>
                <w:rFonts w:hint="default" w:ascii="Times New Roman" w:hAnsi="Times New Roman" w:cs="Times New Roman"/>
                <w:color w:val="auto"/>
                <w:sz w:val="24"/>
                <w:lang w:val="en-US" w:eastAsia="zh-CN"/>
              </w:rPr>
              <w:t>建设</w:t>
            </w:r>
            <w:r>
              <w:rPr>
                <w:rFonts w:hint="default" w:ascii="Times New Roman" w:hAnsi="Times New Roman" w:cs="Times New Roman"/>
                <w:color w:val="auto"/>
                <w:sz w:val="24"/>
                <w:lang w:eastAsia="zh-CN"/>
              </w:rPr>
              <w:t>用地，评价区域内无风景名胜、文物古迹等需要特殊保护的环境敏感点，该项目建设未对周边村庄造成影响，情况属实，同意本项目建设（详见附件8）；根据2026年3月13日新平彝族傣族自治县水利局出具的“关于新平双壹农业有限公司老厂太桥双壹拌合站项目涉河情况的回复”（详见附件6），项目占地未占用新平县已规划的河道管理范围，因此，项目不占河道；项目于2026年3月16日取得玉溪市生态环境局新平分局“关于新平双壹农业有限公司《老厂太桥双壹拌合站建设项目》是否占用新平县“三线一单”的查询申请的复函”，结果显示该项目用地涉及占用新平县1个生态管控单元，即新平彝族傣族自治县一般管控单元（单元编码为：ZH53042730001）。不涉及经批准的新平县已划定的饮用水水源保护区等环境敏感区域（详见附件7）。</w:t>
            </w:r>
          </w:p>
          <w:p w14:paraId="5AD8437D">
            <w:pPr>
              <w:pStyle w:val="29"/>
              <w:ind w:firstLine="480"/>
              <w:jc w:val="both"/>
              <w:rPr>
                <w:rFonts w:hint="default" w:ascii="Times New Roman" w:hAnsi="Times New Roman" w:cs="Times New Roman"/>
                <w:b/>
                <w:bCs/>
                <w:color w:val="auto"/>
              </w:rPr>
            </w:pPr>
            <w:r>
              <w:rPr>
                <w:rFonts w:hint="default" w:ascii="Times New Roman" w:hAnsi="Times New Roman" w:cs="Times New Roman"/>
                <w:color w:val="auto"/>
              </w:rPr>
              <w:t>综上所述，项目选址合理。</w:t>
            </w:r>
          </w:p>
          <w:p w14:paraId="755A8A22">
            <w:pPr>
              <w:pStyle w:val="29"/>
              <w:ind w:firstLine="482"/>
              <w:jc w:val="both"/>
              <w:rPr>
                <w:rFonts w:hint="default" w:ascii="Times New Roman" w:hAnsi="Times New Roman" w:cs="Times New Roman"/>
                <w:b/>
                <w:bCs/>
                <w:color w:val="auto"/>
              </w:rPr>
            </w:pPr>
            <w:r>
              <w:rPr>
                <w:rFonts w:hint="default" w:ascii="Times New Roman" w:hAnsi="Times New Roman" w:cs="Times New Roman"/>
                <w:b/>
                <w:bCs/>
                <w:color w:val="auto"/>
                <w:lang w:val="en-US" w:eastAsia="zh-CN"/>
              </w:rPr>
              <w:t>二十</w:t>
            </w:r>
            <w:r>
              <w:rPr>
                <w:rFonts w:hint="default" w:ascii="Times New Roman" w:hAnsi="Times New Roman" w:cs="Times New Roman"/>
                <w:b/>
                <w:bCs/>
                <w:color w:val="auto"/>
              </w:rPr>
              <w:t>、项目平面布置合理性分析</w:t>
            </w:r>
          </w:p>
          <w:p w14:paraId="57116746">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本项目总平面布置以“符合设计规范、保障安全生产、工艺流程合理、节约工程建设投资、方便检修和考虑发展、注重环境质量”为原则。总平面布置符合《建设项目环境保护设计规定》的规定，主体设备符合国家及行业相关的防火、安全、卫生、交通运输和环保设计规范、规定和规程的要求。</w:t>
            </w:r>
          </w:p>
          <w:p w14:paraId="4941A8A9">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总</w:t>
            </w:r>
            <w:r>
              <w:rPr>
                <w:rFonts w:hint="default" w:ascii="Times New Roman" w:hAnsi="Times New Roman" w:cs="Times New Roman"/>
                <w:color w:val="auto"/>
              </w:rPr>
              <w:t>占地面积为</w:t>
            </w:r>
            <w:r>
              <w:rPr>
                <w:rFonts w:hint="default" w:ascii="Times New Roman" w:hAnsi="Times New Roman" w:cs="Times New Roman"/>
                <w:color w:val="auto"/>
                <w:lang w:val="en-US" w:eastAsia="zh-CN"/>
              </w:rPr>
              <w:t>4662</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。项目占地区域呈现不规则多边形，项目区内主要分布有办公区、</w:t>
            </w:r>
            <w:r>
              <w:rPr>
                <w:rFonts w:hint="default" w:ascii="Times New Roman" w:hAnsi="Times New Roman" w:cs="Times New Roman"/>
                <w:color w:val="auto"/>
                <w:lang w:val="en-US" w:eastAsia="zh-CN"/>
              </w:rPr>
              <w:t>值班室</w:t>
            </w:r>
            <w:r>
              <w:rPr>
                <w:rFonts w:hint="default" w:ascii="Times New Roman" w:hAnsi="Times New Roman" w:cs="Times New Roman"/>
                <w:color w:val="auto"/>
              </w:rPr>
              <w:t>、原料堆放区和生产车间。其中办公区位于项目</w:t>
            </w:r>
            <w:r>
              <w:rPr>
                <w:rFonts w:hint="default" w:ascii="Times New Roman" w:hAnsi="Times New Roman" w:cs="Times New Roman"/>
                <w:color w:val="auto"/>
                <w:lang w:val="en-US" w:eastAsia="zh-CN"/>
              </w:rPr>
              <w:t>南</w:t>
            </w:r>
            <w:r>
              <w:rPr>
                <w:rFonts w:hint="default" w:ascii="Times New Roman" w:hAnsi="Times New Roman" w:cs="Times New Roman"/>
                <w:color w:val="auto"/>
              </w:rPr>
              <w:t>侧，办公区</w:t>
            </w:r>
            <w:r>
              <w:rPr>
                <w:rFonts w:hint="default" w:ascii="Times New Roman" w:hAnsi="Times New Roman" w:cs="Times New Roman"/>
                <w:color w:val="auto"/>
                <w:lang w:val="en-US" w:eastAsia="zh-CN"/>
              </w:rPr>
              <w:t>往北</w:t>
            </w:r>
            <w:r>
              <w:rPr>
                <w:rFonts w:hint="default" w:ascii="Times New Roman" w:hAnsi="Times New Roman" w:cs="Times New Roman"/>
                <w:color w:val="auto"/>
              </w:rPr>
              <w:t>，依次为</w:t>
            </w:r>
            <w:r>
              <w:rPr>
                <w:rFonts w:hint="default" w:ascii="Times New Roman" w:hAnsi="Times New Roman" w:cs="Times New Roman"/>
                <w:color w:val="auto"/>
                <w:lang w:val="en-US" w:eastAsia="zh-CN"/>
              </w:rPr>
              <w:t>生产区</w:t>
            </w:r>
            <w:r>
              <w:rPr>
                <w:rFonts w:hint="default" w:ascii="Times New Roman" w:hAnsi="Times New Roman" w:cs="Times New Roman"/>
                <w:color w:val="auto"/>
              </w:rPr>
              <w:t>→</w:t>
            </w:r>
            <w:r>
              <w:rPr>
                <w:rFonts w:hint="default" w:ascii="Times New Roman" w:hAnsi="Times New Roman" w:cs="Times New Roman"/>
                <w:color w:val="auto"/>
                <w:lang w:val="en-US" w:eastAsia="zh-CN"/>
              </w:rPr>
              <w:t>雨水收集池</w:t>
            </w:r>
            <w:r>
              <w:rPr>
                <w:rFonts w:hint="default" w:ascii="Times New Roman" w:hAnsi="Times New Roman" w:cs="Times New Roman"/>
                <w:color w:val="auto"/>
              </w:rPr>
              <w:t>。</w:t>
            </w:r>
            <w:r>
              <w:rPr>
                <w:rFonts w:hint="default" w:ascii="Times New Roman" w:hAnsi="Times New Roman" w:cs="Times New Roman"/>
                <w:color w:val="auto"/>
                <w:lang w:val="en-US" w:eastAsia="zh-CN"/>
              </w:rPr>
              <w:t>办公区西侧往北，依次为生产区</w:t>
            </w:r>
            <w:r>
              <w:rPr>
                <w:rFonts w:hint="default" w:ascii="Times New Roman" w:hAnsi="Times New Roman" w:cs="Times New Roman"/>
                <w:color w:val="auto"/>
              </w:rPr>
              <w:t>→</w:t>
            </w:r>
            <w:r>
              <w:rPr>
                <w:rFonts w:hint="default" w:ascii="Times New Roman" w:hAnsi="Times New Roman" w:cs="Times New Roman"/>
                <w:color w:val="auto"/>
                <w:lang w:val="en-US" w:eastAsia="zh-CN"/>
              </w:rPr>
              <w:t>原料堆场</w:t>
            </w:r>
            <w:r>
              <w:rPr>
                <w:rFonts w:hint="default" w:ascii="Times New Roman" w:hAnsi="Times New Roman" w:cs="Times New Roman"/>
                <w:color w:val="auto"/>
              </w:rPr>
              <w:t>→</w:t>
            </w:r>
            <w:r>
              <w:rPr>
                <w:rFonts w:hint="default" w:ascii="Times New Roman" w:hAnsi="Times New Roman" w:cs="Times New Roman"/>
                <w:color w:val="auto"/>
                <w:lang w:val="en-US" w:eastAsia="zh-CN"/>
              </w:rPr>
              <w:t>洗车台</w:t>
            </w:r>
            <w:r>
              <w:rPr>
                <w:rFonts w:hint="default" w:ascii="Times New Roman" w:hAnsi="Times New Roman" w:cs="Times New Roman"/>
                <w:color w:val="auto"/>
              </w:rPr>
              <w:t>→</w:t>
            </w:r>
            <w:r>
              <w:rPr>
                <w:rFonts w:hint="default" w:ascii="Times New Roman" w:hAnsi="Times New Roman" w:cs="Times New Roman"/>
                <w:color w:val="auto"/>
                <w:lang w:val="en-US" w:eastAsia="zh-CN"/>
              </w:rPr>
              <w:t>沉淀池。</w:t>
            </w:r>
            <w:r>
              <w:rPr>
                <w:rFonts w:hint="default" w:ascii="Times New Roman" w:hAnsi="Times New Roman" w:cs="Times New Roman"/>
                <w:color w:val="auto"/>
              </w:rPr>
              <w:t>生产</w:t>
            </w:r>
            <w:r>
              <w:rPr>
                <w:rFonts w:hint="default" w:ascii="Times New Roman" w:hAnsi="Times New Roman" w:cs="Times New Roman"/>
                <w:color w:val="auto"/>
                <w:lang w:val="en-US" w:eastAsia="zh-CN"/>
              </w:rPr>
              <w:t>过程洒水降尘</w:t>
            </w:r>
            <w:r>
              <w:rPr>
                <w:rFonts w:hint="default" w:ascii="Times New Roman" w:hAnsi="Times New Roman" w:cs="Times New Roman"/>
                <w:color w:val="auto"/>
              </w:rPr>
              <w:t>，对项目区周边环境敏感点影响较小，项目区周边有</w:t>
            </w:r>
            <w:r>
              <w:rPr>
                <w:rFonts w:hint="default" w:ascii="Times New Roman" w:hAnsi="Times New Roman" w:cs="Times New Roman"/>
                <w:color w:val="auto"/>
                <w:lang w:val="en-US" w:eastAsia="zh-CN"/>
              </w:rPr>
              <w:t>乡道</w:t>
            </w:r>
            <w:r>
              <w:rPr>
                <w:rFonts w:hint="default" w:ascii="Times New Roman" w:hAnsi="Times New Roman" w:cs="Times New Roman"/>
                <w:color w:val="auto"/>
              </w:rPr>
              <w:t>，方便原料、成品的运输。在项目区</w:t>
            </w:r>
            <w:r>
              <w:rPr>
                <w:rFonts w:hint="default" w:ascii="Times New Roman" w:hAnsi="Times New Roman" w:cs="Times New Roman"/>
                <w:color w:val="auto"/>
                <w:lang w:val="en-US" w:eastAsia="zh-CN"/>
              </w:rPr>
              <w:t>北</w:t>
            </w:r>
            <w:r>
              <w:rPr>
                <w:rFonts w:hint="default" w:ascii="Times New Roman" w:hAnsi="Times New Roman" w:cs="Times New Roman"/>
                <w:color w:val="auto"/>
              </w:rPr>
              <w:t>侧地势较低处设置1个容积为</w:t>
            </w:r>
            <w:r>
              <w:rPr>
                <w:rFonts w:hint="default" w:ascii="Times New Roman" w:hAnsi="Times New Roman" w:cs="Times New Roman"/>
                <w:color w:val="auto"/>
                <w:lang w:val="en-US" w:eastAsia="zh-CN"/>
              </w:rPr>
              <w:t>54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的初期雨水收集池，项目区实行雨污分流。项目总平面布置及环保设施分布图详见附图4。</w:t>
            </w:r>
          </w:p>
          <w:p w14:paraId="7D2D3DA0">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综上所述，项目建筑物布局合理，不会相互影响。环保设施布置相对合理，能有效的治理项目废气，能有效处理相关污染物的同时能降低对自身及周围环境的相互影响，从环保的角度，项目整体布局合理可行。</w:t>
            </w:r>
          </w:p>
        </w:tc>
      </w:tr>
    </w:tbl>
    <w:p w14:paraId="3B710CE6">
      <w:pPr>
        <w:rPr>
          <w:rFonts w:hint="default" w:ascii="Times New Roman" w:hAnsi="Times New Roman" w:cs="Times New Roman"/>
          <w:color w:val="auto"/>
          <w:lang w:eastAsia="zh-CN"/>
        </w:rPr>
        <w:sectPr>
          <w:footerReference r:id="rId4" w:type="default"/>
          <w:pgSz w:w="11910" w:h="16840"/>
          <w:pgMar w:top="1360" w:right="1500" w:bottom="1120" w:left="1580" w:header="904" w:footer="921" w:gutter="0"/>
          <w:pgBorders>
            <w:top w:val="none" w:sz="0" w:space="0"/>
            <w:left w:val="none" w:sz="0" w:space="0"/>
            <w:bottom w:val="none" w:sz="0" w:space="0"/>
            <w:right w:val="none" w:sz="0" w:space="0"/>
          </w:pgBorders>
          <w:pgNumType w:start="1"/>
          <w:cols w:space="720" w:num="1"/>
        </w:sectPr>
      </w:pPr>
    </w:p>
    <w:p w14:paraId="6BB0DB4D">
      <w:pPr>
        <w:keepNext/>
        <w:overflowPunct w:val="0"/>
        <w:snapToGrid w:val="0"/>
        <w:jc w:val="center"/>
        <w:outlineLvl w:val="0"/>
        <w:rPr>
          <w:rFonts w:hint="default" w:ascii="Times New Roman" w:hAnsi="Times New Roman" w:cs="Times New Roman"/>
          <w:b/>
          <w:bCs/>
          <w:snapToGrid w:val="0"/>
          <w:color w:val="auto"/>
          <w:kern w:val="44"/>
          <w:sz w:val="30"/>
          <w:szCs w:val="30"/>
          <w:lang w:eastAsia="zh-CN"/>
        </w:rPr>
      </w:pPr>
      <w:bookmarkStart w:id="8" w:name="_Toc12752"/>
      <w:bookmarkStart w:id="9" w:name="_Toc77840037"/>
      <w:r>
        <w:rPr>
          <w:rFonts w:hint="default" w:ascii="Times New Roman" w:hAnsi="Times New Roman" w:cs="Times New Roman"/>
          <w:b/>
          <w:bCs/>
          <w:snapToGrid w:val="0"/>
          <w:color w:val="auto"/>
          <w:kern w:val="44"/>
          <w:sz w:val="30"/>
          <w:szCs w:val="30"/>
          <w:lang w:eastAsia="zh-CN"/>
        </w:rPr>
        <w:t>二、建设项目工程分析</w:t>
      </w:r>
      <w:bookmarkEnd w:id="8"/>
      <w:bookmarkEnd w:id="9"/>
    </w:p>
    <w:tbl>
      <w:tblPr>
        <w:tblStyle w:val="2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263"/>
      </w:tblGrid>
      <w:tr w14:paraId="63583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dxa"/>
            <w:tcBorders>
              <w:tl2br w:val="nil"/>
              <w:tr2bl w:val="nil"/>
            </w:tcBorders>
            <w:vAlign w:val="center"/>
          </w:tcPr>
          <w:p w14:paraId="7ADF6500">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4"/>
                <w:szCs w:val="52"/>
                <w:lang w:eastAsia="zh-CN"/>
              </w:rPr>
              <w:t>建设内容</w:t>
            </w:r>
          </w:p>
        </w:tc>
        <w:tc>
          <w:tcPr>
            <w:tcW w:w="8263" w:type="dxa"/>
            <w:tcBorders>
              <w:tl2br w:val="nil"/>
              <w:tr2bl w:val="nil"/>
            </w:tcBorders>
          </w:tcPr>
          <w:p w14:paraId="53F16854">
            <w:pPr>
              <w:adjustRightInd w:val="0"/>
              <w:snapToGrid w:val="0"/>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一、项目由来</w:t>
            </w:r>
          </w:p>
          <w:p w14:paraId="39ECCBE1">
            <w:pPr>
              <w:pStyle w:val="30"/>
              <w:adjustRightInd w:val="0"/>
              <w:snapToGrid w:val="0"/>
              <w:spacing w:line="360" w:lineRule="auto"/>
              <w:ind w:left="107" w:right="-29" w:firstLine="48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本项目位于</w:t>
            </w:r>
            <w:r>
              <w:rPr>
                <w:rFonts w:hint="default" w:ascii="Times New Roman" w:hAnsi="Times New Roman" w:cs="Times New Roman"/>
                <w:color w:val="auto"/>
                <w:spacing w:val="1"/>
                <w:sz w:val="24"/>
                <w:lang w:eastAsia="zh-CN"/>
              </w:rPr>
              <w:t>云南省玉溪市新平彝族傣族自治县老厂乡</w:t>
            </w:r>
            <w:r>
              <w:rPr>
                <w:rFonts w:hint="default" w:ascii="Times New Roman" w:hAnsi="Times New Roman" w:cs="Times New Roman"/>
                <w:color w:val="auto"/>
                <w:spacing w:val="-1"/>
                <w:sz w:val="24"/>
                <w:lang w:eastAsia="zh-CN"/>
              </w:rPr>
              <w:t>，</w:t>
            </w:r>
            <w:r>
              <w:rPr>
                <w:rFonts w:hint="default" w:ascii="Times New Roman" w:hAnsi="Times New Roman" w:cs="Times New Roman"/>
                <w:color w:val="auto"/>
                <w:sz w:val="24"/>
                <w:lang w:eastAsia="zh-CN"/>
              </w:rPr>
              <w:t>老厂乡集镇西侧因地质结构、地形地貌及降雨侵蚀等多重因素影响，存在滑坡</w:t>
            </w:r>
            <w:r>
              <w:rPr>
                <w:rFonts w:hint="default" w:ascii="Times New Roman" w:hAnsi="Times New Roman" w:cs="Times New Roman"/>
                <w:color w:val="auto"/>
                <w:sz w:val="24"/>
                <w:lang w:val="en-US" w:eastAsia="zh-CN"/>
              </w:rPr>
              <w:t>等</w:t>
            </w:r>
            <w:r>
              <w:rPr>
                <w:rFonts w:hint="default" w:ascii="Times New Roman" w:hAnsi="Times New Roman" w:cs="Times New Roman"/>
                <w:color w:val="auto"/>
                <w:sz w:val="24"/>
                <w:lang w:eastAsia="zh-CN"/>
              </w:rPr>
              <w:t>地质灾害</w:t>
            </w:r>
            <w:r>
              <w:rPr>
                <w:rFonts w:hint="default" w:ascii="Times New Roman" w:hAnsi="Times New Roman" w:cs="Times New Roman"/>
                <w:color w:val="auto"/>
                <w:sz w:val="24"/>
                <w:lang w:val="en-US" w:eastAsia="zh-CN"/>
              </w:rPr>
              <w:t>影响</w:t>
            </w:r>
            <w:r>
              <w:rPr>
                <w:rFonts w:hint="default" w:ascii="Times New Roman" w:hAnsi="Times New Roman" w:cs="Times New Roman"/>
                <w:color w:val="auto"/>
                <w:sz w:val="24"/>
                <w:lang w:eastAsia="zh-CN"/>
              </w:rPr>
              <w:t>，严重威胁集镇居民生命财产安全与区域公共设施稳定。为彻底消除地质灾害风险、保障民生安全，并同步推进集镇土地综合开发与生态修复，</w:t>
            </w:r>
            <w:r>
              <w:rPr>
                <w:rFonts w:hint="default" w:ascii="Times New Roman" w:hAnsi="Times New Roman" w:cs="Times New Roman"/>
                <w:color w:val="auto"/>
                <w:sz w:val="24"/>
                <w:lang w:val="en-US" w:eastAsia="zh-CN"/>
              </w:rPr>
              <w:t>因此，</w:t>
            </w:r>
            <w:r>
              <w:rPr>
                <w:rFonts w:hint="default" w:ascii="Times New Roman" w:hAnsi="Times New Roman" w:cs="Times New Roman"/>
                <w:color w:val="auto"/>
                <w:sz w:val="24"/>
                <w:lang w:eastAsia="zh-CN"/>
              </w:rPr>
              <w:t>老厂乡人民政府启动</w:t>
            </w:r>
            <w:r>
              <w:rPr>
                <w:rFonts w:hint="default" w:ascii="Times New Roman" w:hAnsi="Times New Roman" w:cs="Times New Roman"/>
                <w:color w:val="auto"/>
                <w:sz w:val="24"/>
                <w:lang w:val="en-US" w:eastAsia="zh-CN"/>
              </w:rPr>
              <w:t>并</w:t>
            </w:r>
            <w:r>
              <w:rPr>
                <w:rFonts w:hint="default" w:ascii="Times New Roman" w:hAnsi="Times New Roman" w:cs="Times New Roman"/>
                <w:color w:val="auto"/>
                <w:sz w:val="24"/>
                <w:lang w:eastAsia="zh-CN"/>
              </w:rPr>
              <w:t>实施《老厂集镇西侧滑坡治理及综合开发利用项目》</w:t>
            </w:r>
            <w:r>
              <w:rPr>
                <w:rFonts w:hint="default" w:ascii="Times New Roman" w:hAnsi="Times New Roman" w:cs="Times New Roman"/>
                <w:color w:val="auto"/>
                <w:sz w:val="24"/>
                <w:lang w:val="en-US" w:eastAsia="zh-CN"/>
              </w:rPr>
              <w:t>工程</w:t>
            </w:r>
            <w:r>
              <w:rPr>
                <w:rFonts w:hint="default" w:ascii="Times New Roman" w:hAnsi="Times New Roman" w:cs="Times New Roman"/>
                <w:color w:val="auto"/>
                <w:sz w:val="24"/>
                <w:lang w:eastAsia="zh-CN"/>
              </w:rPr>
              <w:t>。该治理工程需大量拌合料作为滑坡加固、边坡支护及场地平整的核心建材，若采用传统外购模式，不仅运输成本高、供应效率低，且难以匹配项目连续施工的进度需求。</w:t>
            </w:r>
            <w:r>
              <w:rPr>
                <w:rFonts w:hint="default" w:ascii="Times New Roman" w:hAnsi="Times New Roman" w:cs="Times New Roman"/>
                <w:color w:val="auto"/>
                <w:sz w:val="24"/>
                <w:lang w:val="en-US" w:eastAsia="zh-CN"/>
              </w:rPr>
              <w:t>因此，为保障滑坡治理项目高效推进、实现建材就近稳定供应，同时响应国家 “减量化、资源化、无害化” 的固废利用政策，新平双壹农业有限公司结合自身业务布局与区域资源条件，规划建设</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老厂太桥双壹拌合站建设项目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本项目选址位于云南省玉溪市新平彝族傣族自治县老厂乡，紧邻滑坡治理工程区域与原料供应源头，专为《老厂集镇西侧滑坡治理及综合开发利用项目》回填配套工程服务。原料主要以浩盛矿业磁选尾矿及产品公分石为主要原料，生产产品拌合料，实现固废资源化利用。鉴于本项目服务对象具有明确工程周期，项目性质定位为临时建设工程，待滑坡治理及综合开发项目全部竣工后，拌合站将按规范拆除并完成场地生态恢复。根据2026年3月10日新平浩盛矿业发展有限公司关于新平浩盛矿业发展有限公司老厂乡三苏寨尾矿库回采工程（试运行）向新平县应急管理局的请示可知：公司于2024年5月委托昆明勘察设计研究院股份有限公司编制了此工程的初步设计与安全设施设计，2025年9月11日通过专家组评审，2026年1月21日取得云南省玉溪市应急管理局安全生产行政审批管理事务事项许可决定书，编号：审决字[2025]第217号（详见附件20），于2026年2月3日由昆明和安矿业有限公司（施工单位）及云南鑫华工程项目管理有限公司（监理公司）按照安全设施设计要求了开展三苏寨尾矿库回采配套基建工程的现场施工。尾矿回采手续齐全（详见附件18）。</w:t>
            </w:r>
          </w:p>
          <w:p w14:paraId="1877F756">
            <w:pPr>
              <w:pStyle w:val="30"/>
              <w:adjustRightInd w:val="0"/>
              <w:snapToGrid w:val="0"/>
              <w:spacing w:line="360" w:lineRule="auto"/>
              <w:ind w:left="107" w:right="-29" w:firstLine="480"/>
              <w:jc w:val="both"/>
              <w:rPr>
                <w:rFonts w:hint="default" w:ascii="Times New Roman" w:hAnsi="Times New Roman" w:cs="Times New Roman"/>
                <w:color w:val="auto"/>
                <w:spacing w:val="-1"/>
                <w:sz w:val="24"/>
                <w:lang w:eastAsia="zh-CN"/>
              </w:rPr>
            </w:pPr>
            <w:r>
              <w:rPr>
                <w:rFonts w:hint="default" w:ascii="Times New Roman" w:hAnsi="Times New Roman" w:cs="Times New Roman"/>
                <w:color w:val="auto"/>
                <w:sz w:val="24"/>
                <w:lang w:eastAsia="zh-CN"/>
              </w:rPr>
              <w:t>新平双壹农业有限公司成立于20</w:t>
            </w:r>
            <w:r>
              <w:rPr>
                <w:rFonts w:hint="default" w:ascii="Times New Roman" w:hAnsi="Times New Roman" w:cs="Times New Roman"/>
                <w:color w:val="auto"/>
                <w:sz w:val="24"/>
                <w:lang w:val="en-US" w:eastAsia="zh-CN"/>
              </w:rPr>
              <w:t>22</w:t>
            </w:r>
            <w:r>
              <w:rPr>
                <w:rFonts w:hint="default" w:ascii="Times New Roman" w:hAnsi="Times New Roman" w:cs="Times New Roman"/>
                <w:color w:val="auto"/>
                <w:sz w:val="24"/>
                <w:lang w:eastAsia="zh-CN"/>
              </w:rPr>
              <w:t>年</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lang w:eastAsia="zh-CN"/>
              </w:rPr>
              <w:t>月</w:t>
            </w:r>
            <w:r>
              <w:rPr>
                <w:rFonts w:hint="default" w:ascii="Times New Roman" w:hAnsi="Times New Roman" w:cs="Times New Roman"/>
                <w:color w:val="auto"/>
                <w:sz w:val="24"/>
                <w:lang w:val="en-US" w:eastAsia="zh-CN"/>
              </w:rPr>
              <w:t>16</w:t>
            </w:r>
            <w:r>
              <w:rPr>
                <w:rFonts w:hint="default" w:ascii="Times New Roman" w:hAnsi="Times New Roman" w:cs="Times New Roman"/>
                <w:color w:val="auto"/>
                <w:sz w:val="24"/>
                <w:lang w:eastAsia="zh-CN"/>
              </w:rPr>
              <w:t>日，</w:t>
            </w:r>
            <w:r>
              <w:rPr>
                <w:rFonts w:hint="default" w:ascii="Times New Roman" w:hAnsi="Times New Roman" w:cs="Times New Roman"/>
                <w:color w:val="auto"/>
                <w:sz w:val="24"/>
                <w:lang w:val="en-US" w:eastAsia="zh-CN"/>
              </w:rPr>
              <w:t>建设</w:t>
            </w:r>
            <w:r>
              <w:rPr>
                <w:rFonts w:hint="default" w:ascii="Times New Roman" w:hAnsi="Times New Roman" w:cs="Times New Roman"/>
                <w:color w:val="auto"/>
                <w:sz w:val="24"/>
                <w:lang w:eastAsia="zh-CN"/>
              </w:rPr>
              <w:t>选址</w:t>
            </w:r>
            <w:r>
              <w:rPr>
                <w:rFonts w:hint="default" w:ascii="Times New Roman" w:hAnsi="Times New Roman" w:cs="Times New Roman"/>
                <w:color w:val="auto"/>
                <w:spacing w:val="1"/>
                <w:sz w:val="24"/>
                <w:lang w:eastAsia="zh-CN"/>
              </w:rPr>
              <w:t>位于云南省玉溪市新平彝族傣族自治县老厂乡。</w:t>
            </w:r>
            <w:r>
              <w:rPr>
                <w:rFonts w:hint="default" w:ascii="Times New Roman" w:hAnsi="Times New Roman" w:cs="Times New Roman"/>
                <w:color w:val="auto"/>
                <w:spacing w:val="-1"/>
                <w:sz w:val="24"/>
                <w:lang w:val="en-US" w:eastAsia="zh-CN"/>
              </w:rPr>
              <w:t>设计一条“</w:t>
            </w:r>
            <w:r>
              <w:rPr>
                <w:rFonts w:hint="default" w:ascii="Times New Roman" w:hAnsi="Times New Roman" w:cs="Times New Roman"/>
                <w:color w:val="auto"/>
                <w:sz w:val="24"/>
                <w:lang w:eastAsia="zh-CN"/>
              </w:rPr>
              <w:t>年产约40万立方米合格拌合料”</w:t>
            </w:r>
            <w:r>
              <w:rPr>
                <w:rFonts w:hint="default" w:ascii="Times New Roman" w:hAnsi="Times New Roman" w:cs="Times New Roman"/>
                <w:color w:val="auto"/>
                <w:sz w:val="24"/>
                <w:lang w:val="en-US" w:eastAsia="zh-CN"/>
              </w:rPr>
              <w:t>生产线，项目</w:t>
            </w:r>
            <w:r>
              <w:rPr>
                <w:rFonts w:hint="default" w:ascii="Times New Roman" w:hAnsi="Times New Roman" w:cs="Times New Roman"/>
                <w:color w:val="auto"/>
                <w:sz w:val="24"/>
                <w:lang w:eastAsia="zh-CN"/>
              </w:rPr>
              <w:t>拟投资</w:t>
            </w:r>
            <w:r>
              <w:rPr>
                <w:rFonts w:hint="default" w:ascii="Times New Roman" w:hAnsi="Times New Roman" w:cs="Times New Roman"/>
                <w:color w:val="auto"/>
                <w:sz w:val="24"/>
                <w:lang w:val="en-US" w:eastAsia="zh-CN"/>
              </w:rPr>
              <w:t>为2270</w:t>
            </w:r>
            <w:r>
              <w:rPr>
                <w:rFonts w:hint="default" w:ascii="Times New Roman" w:hAnsi="Times New Roman" w:cs="Times New Roman"/>
                <w:color w:val="auto"/>
                <w:sz w:val="24"/>
                <w:lang w:eastAsia="zh-CN"/>
              </w:rPr>
              <w:t>万元，项目占地面积为</w:t>
            </w:r>
            <w:r>
              <w:rPr>
                <w:rFonts w:hint="default" w:ascii="Times New Roman" w:hAnsi="Times New Roman" w:cs="Times New Roman"/>
                <w:color w:val="auto"/>
                <w:sz w:val="24"/>
                <w:lang w:val="en-US" w:eastAsia="zh-CN"/>
              </w:rPr>
              <w:t>4662</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2</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lang w:val="en-US" w:eastAsia="zh-CN"/>
              </w:rPr>
              <w:t>于</w:t>
            </w:r>
            <w:r>
              <w:rPr>
                <w:rFonts w:hint="default" w:ascii="Times New Roman" w:hAnsi="Times New Roman" w:cs="Times New Roman"/>
                <w:color w:val="auto"/>
                <w:sz w:val="24"/>
                <w:lang w:eastAsia="zh-CN" w:bidi="ar"/>
              </w:rPr>
              <w:t>202</w:t>
            </w:r>
            <w:r>
              <w:rPr>
                <w:rFonts w:hint="default" w:ascii="Times New Roman" w:hAnsi="Times New Roman" w:cs="Times New Roman"/>
                <w:color w:val="auto"/>
                <w:sz w:val="24"/>
                <w:lang w:val="en-US" w:eastAsia="zh-CN" w:bidi="ar"/>
              </w:rPr>
              <w:t>6</w:t>
            </w:r>
            <w:r>
              <w:rPr>
                <w:rFonts w:hint="default" w:ascii="Times New Roman" w:hAnsi="Times New Roman" w:cs="Times New Roman"/>
                <w:color w:val="auto"/>
                <w:sz w:val="24"/>
                <w:lang w:eastAsia="zh-CN" w:bidi="ar"/>
              </w:rPr>
              <w:t>年</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eastAsia="zh-CN" w:bidi="ar"/>
              </w:rPr>
              <w:t>月</w:t>
            </w:r>
            <w:r>
              <w:rPr>
                <w:rFonts w:hint="default" w:ascii="Times New Roman" w:hAnsi="Times New Roman" w:cs="Times New Roman"/>
                <w:color w:val="auto"/>
                <w:sz w:val="24"/>
                <w:lang w:val="en-US" w:eastAsia="zh-CN" w:bidi="ar"/>
              </w:rPr>
              <w:t>13</w:t>
            </w:r>
            <w:r>
              <w:rPr>
                <w:rFonts w:hint="default" w:ascii="Times New Roman" w:hAnsi="Times New Roman" w:cs="Times New Roman"/>
                <w:color w:val="auto"/>
                <w:sz w:val="24"/>
                <w:lang w:eastAsia="zh-CN" w:bidi="ar"/>
              </w:rPr>
              <w:t>日取得</w:t>
            </w:r>
            <w:r>
              <w:rPr>
                <w:rFonts w:hint="default" w:ascii="Times New Roman" w:hAnsi="Times New Roman" w:cs="Times New Roman"/>
                <w:color w:val="auto"/>
                <w:sz w:val="24"/>
                <w:szCs w:val="21"/>
                <w:lang w:eastAsia="zh-CN"/>
              </w:rPr>
              <w:t>新平县发展和改革局</w:t>
            </w:r>
            <w:r>
              <w:rPr>
                <w:rFonts w:hint="default" w:ascii="Times New Roman" w:hAnsi="Times New Roman" w:cs="Times New Roman"/>
                <w:color w:val="auto"/>
                <w:sz w:val="24"/>
                <w:lang w:eastAsia="zh-CN" w:bidi="ar"/>
              </w:rPr>
              <w:t>出具的投资项目备案证（详见附件</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eastAsia="zh-CN" w:bidi="ar"/>
              </w:rPr>
              <w:t>），项目代码：2602-530427-04-01-908689（</w:t>
            </w:r>
            <w:r>
              <w:rPr>
                <w:rFonts w:hint="default" w:ascii="Times New Roman" w:hAnsi="Times New Roman" w:cs="Times New Roman"/>
                <w:color w:val="auto"/>
                <w:sz w:val="24"/>
                <w:lang w:val="en-US" w:eastAsia="zh-CN" w:bidi="ar"/>
              </w:rPr>
              <w:t>说明：本项目办理备案手续时，结合场地拌合站远期规划，备案清单中列明立罐式水泥仓设备。现阶段项目仅服务于滑坡治理专项工程，场内拌合站仅生产单一回填拌合料，不生产路基垫层材料，不对外经营，实际生产过程中不设置立罐式水泥仓设备。待滑坡治理工程全部竣工后，场内拌合站及相关临时设施将全部拆除，场地按要求恢复原貌。</w:t>
            </w:r>
            <w:r>
              <w:rPr>
                <w:rFonts w:hint="default" w:ascii="Times New Roman" w:hAnsi="Times New Roman" w:cs="Times New Roman"/>
                <w:color w:val="auto"/>
                <w:sz w:val="24"/>
                <w:lang w:eastAsia="zh-CN" w:bidi="ar"/>
              </w:rPr>
              <w:t>）。</w:t>
            </w:r>
            <w:r>
              <w:rPr>
                <w:rFonts w:hint="default" w:ascii="Times New Roman" w:hAnsi="Times New Roman" w:cs="Times New Roman"/>
                <w:color w:val="auto"/>
                <w:spacing w:val="-4"/>
                <w:sz w:val="24"/>
                <w:lang w:eastAsia="zh-CN"/>
              </w:rPr>
              <w:t>公司拟</w:t>
            </w:r>
            <w:r>
              <w:rPr>
                <w:rFonts w:hint="default" w:ascii="Times New Roman" w:hAnsi="Times New Roman" w:cs="Times New Roman"/>
                <w:color w:val="auto"/>
                <w:spacing w:val="-4"/>
                <w:sz w:val="24"/>
                <w:lang w:val="en-US" w:eastAsia="zh-CN"/>
              </w:rPr>
              <w:t>建</w:t>
            </w:r>
            <w:r>
              <w:rPr>
                <w:rFonts w:hint="default" w:ascii="Times New Roman" w:hAnsi="Times New Roman" w:cs="Times New Roman"/>
                <w:color w:val="auto"/>
                <w:spacing w:val="-4"/>
                <w:sz w:val="24"/>
                <w:lang w:eastAsia="zh-CN"/>
              </w:rPr>
              <w:t>项目场地租用</w:t>
            </w:r>
            <w:r>
              <w:rPr>
                <w:rFonts w:hint="default" w:ascii="Times New Roman" w:hAnsi="Times New Roman" w:cs="Times New Roman"/>
                <w:color w:val="auto"/>
                <w:spacing w:val="-4"/>
                <w:sz w:val="24"/>
                <w:lang w:val="en-US" w:eastAsia="zh-CN"/>
              </w:rPr>
              <w:t>新平县城镇建设投资有限公司</w:t>
            </w:r>
            <w:r>
              <w:rPr>
                <w:rFonts w:hint="default" w:ascii="Times New Roman" w:hAnsi="Times New Roman" w:cs="Times New Roman"/>
                <w:color w:val="auto"/>
                <w:spacing w:val="-4"/>
                <w:sz w:val="24"/>
                <w:lang w:eastAsia="zh-CN"/>
              </w:rPr>
              <w:t>的土地进行项目建设（</w:t>
            </w:r>
            <w:r>
              <w:rPr>
                <w:rFonts w:hint="default" w:ascii="Times New Roman" w:hAnsi="Times New Roman" w:cs="Times New Roman"/>
                <w:color w:val="auto"/>
                <w:spacing w:val="-4"/>
                <w:sz w:val="24"/>
                <w:lang w:val="en-US" w:eastAsia="zh-CN"/>
              </w:rPr>
              <w:t>租地合同详见附件9</w:t>
            </w:r>
            <w:r>
              <w:rPr>
                <w:rFonts w:hint="default" w:ascii="Times New Roman" w:hAnsi="Times New Roman" w:cs="Times New Roman"/>
                <w:color w:val="auto"/>
                <w:spacing w:val="-4"/>
                <w:sz w:val="24"/>
                <w:lang w:eastAsia="zh-CN"/>
              </w:rPr>
              <w:t>），建设“年产</w:t>
            </w:r>
            <w:r>
              <w:rPr>
                <w:rFonts w:hint="default" w:ascii="Times New Roman" w:hAnsi="Times New Roman" w:cs="Times New Roman"/>
                <w:color w:val="auto"/>
                <w:spacing w:val="-4"/>
                <w:sz w:val="24"/>
                <w:lang w:val="en-US" w:eastAsia="zh-CN"/>
              </w:rPr>
              <w:t>40</w:t>
            </w:r>
            <w:r>
              <w:rPr>
                <w:rFonts w:hint="default" w:ascii="Times New Roman" w:hAnsi="Times New Roman" w:cs="Times New Roman"/>
                <w:color w:val="auto"/>
                <w:spacing w:val="-4"/>
                <w:sz w:val="24"/>
                <w:lang w:eastAsia="zh-CN"/>
              </w:rPr>
              <w:t>万m</w:t>
            </w:r>
            <w:r>
              <w:rPr>
                <w:rFonts w:hint="default" w:ascii="Times New Roman" w:hAnsi="Times New Roman" w:cs="Times New Roman"/>
                <w:color w:val="auto"/>
                <w:spacing w:val="-4"/>
                <w:sz w:val="24"/>
                <w:vertAlign w:val="superscript"/>
                <w:lang w:val="en-US" w:eastAsia="zh-CN"/>
              </w:rPr>
              <w:t>3</w:t>
            </w:r>
            <w:r>
              <w:rPr>
                <w:rFonts w:hint="default" w:ascii="Times New Roman" w:hAnsi="Times New Roman" w:cs="Times New Roman"/>
                <w:color w:val="auto"/>
                <w:sz w:val="24"/>
                <w:lang w:eastAsia="zh-CN"/>
              </w:rPr>
              <w:t>合格拌合料</w:t>
            </w:r>
            <w:r>
              <w:rPr>
                <w:rFonts w:hint="default" w:ascii="Times New Roman" w:hAnsi="Times New Roman" w:cs="Times New Roman"/>
                <w:color w:val="auto"/>
                <w:spacing w:val="-4"/>
                <w:sz w:val="24"/>
                <w:lang w:eastAsia="zh-CN"/>
              </w:rPr>
              <w:t>”项目。</w:t>
            </w:r>
          </w:p>
          <w:p w14:paraId="2B78B487">
            <w:pPr>
              <w:spacing w:line="360" w:lineRule="auto"/>
              <w:ind w:firstLine="480" w:firstLineChars="200"/>
              <w:jc w:val="both"/>
              <w:rPr>
                <w:rFonts w:hint="default" w:ascii="Times New Roman" w:hAnsi="Times New Roman" w:cs="Times New Roman"/>
                <w:b/>
                <w:bCs/>
                <w:color w:val="auto"/>
                <w:sz w:val="24"/>
                <w:lang w:eastAsia="zh-CN"/>
              </w:rPr>
            </w:pPr>
            <w:r>
              <w:rPr>
                <w:rFonts w:hint="default" w:ascii="Times New Roman" w:hAnsi="Times New Roman" w:cs="Times New Roman"/>
                <w:color w:val="auto"/>
                <w:sz w:val="24"/>
                <w:lang w:eastAsia="zh-CN"/>
              </w:rPr>
              <w:t>根据《中华人民共和国环境保护法》、《中华人民共和国环境影响评价法》以及国务院令第253号《建设项目环境保护管理条例》、《建设项目环境影响评价分类管理名录（2021年版）》（生态环境部部令第16号）（2021年1月1日起实施），本项目属于“二十七、非金属矿物制品业”中“55、石膏、水泥制品及类似制品制造302”的“商品混凝土：砼结构构件制造；水泥制品制造”</w:t>
            </w:r>
            <w:r>
              <w:rPr>
                <w:rFonts w:hint="default" w:ascii="Times New Roman" w:hAnsi="Times New Roman" w:cs="Times New Roman"/>
                <w:color w:val="auto"/>
                <w:spacing w:val="-6"/>
                <w:sz w:val="24"/>
                <w:lang w:eastAsia="zh-CN"/>
              </w:rPr>
              <w:t>，应当编制</w:t>
            </w:r>
            <w:r>
              <w:rPr>
                <w:rFonts w:hint="default" w:ascii="Times New Roman" w:hAnsi="Times New Roman" w:cs="Times New Roman"/>
                <w:color w:val="auto"/>
                <w:spacing w:val="-3"/>
                <w:sz w:val="24"/>
                <w:lang w:eastAsia="zh-CN"/>
              </w:rPr>
              <w:t>环境影响报告表。为此，</w:t>
            </w:r>
            <w:r>
              <w:rPr>
                <w:rFonts w:hint="default" w:ascii="Times New Roman" w:hAnsi="Times New Roman" w:cs="Times New Roman"/>
                <w:color w:val="auto"/>
                <w:sz w:val="24"/>
                <w:lang w:eastAsia="zh-CN"/>
              </w:rPr>
              <w:t>新平双壹农业有限公司</w:t>
            </w:r>
            <w:r>
              <w:rPr>
                <w:rFonts w:hint="default" w:ascii="Times New Roman" w:hAnsi="Times New Roman" w:cs="Times New Roman"/>
                <w:color w:val="auto"/>
                <w:spacing w:val="-3"/>
                <w:sz w:val="24"/>
                <w:lang w:eastAsia="zh-CN"/>
              </w:rPr>
              <w:t>委托云南清蓝源环保科技有限公司进行本项目的环境影响评价工作。接受委托后，我公司即派有关人员对该项目进行现场踏勘和资料收集，按照有关技术规范和云南省生态环境厅的有关规定，编制了本项目环境影响报告表，供建设单位上报审批。</w:t>
            </w:r>
          </w:p>
          <w:p w14:paraId="12C8A79D">
            <w:pPr>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二、基本概况</w:t>
            </w:r>
          </w:p>
          <w:p w14:paraId="001D09D4">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项目名称：老厂太桥双壹拌合站建设项目</w:t>
            </w:r>
          </w:p>
          <w:p w14:paraId="47FFD4D2">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建设单位：新平双壹农业有限公司</w:t>
            </w:r>
          </w:p>
          <w:p w14:paraId="6FB50684">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建设地点：</w:t>
            </w:r>
            <w:r>
              <w:rPr>
                <w:rFonts w:hint="default" w:ascii="Times New Roman" w:hAnsi="Times New Roman" w:cs="Times New Roman"/>
                <w:color w:val="auto"/>
                <w:sz w:val="24"/>
                <w:szCs w:val="24"/>
                <w:lang w:eastAsia="zh-CN"/>
              </w:rPr>
              <w:t>云南省玉溪市新平彝族傣族自治县老厂乡</w:t>
            </w:r>
          </w:p>
          <w:p w14:paraId="1F0A5688">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建设性质：新建</w:t>
            </w:r>
          </w:p>
          <w:p w14:paraId="76F9F240">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项目总投资：</w:t>
            </w:r>
            <w:r>
              <w:rPr>
                <w:rFonts w:hint="default" w:ascii="Times New Roman" w:hAnsi="Times New Roman" w:cs="Times New Roman"/>
                <w:color w:val="auto"/>
                <w:sz w:val="24"/>
                <w:lang w:val="en-US" w:eastAsia="zh-CN"/>
              </w:rPr>
              <w:t>2270</w:t>
            </w:r>
            <w:r>
              <w:rPr>
                <w:rFonts w:hint="default" w:ascii="Times New Roman" w:hAnsi="Times New Roman" w:cs="Times New Roman"/>
                <w:color w:val="auto"/>
                <w:sz w:val="24"/>
                <w:lang w:eastAsia="zh-CN"/>
              </w:rPr>
              <w:t>万元，其中环保投资约</w:t>
            </w:r>
            <w:r>
              <w:rPr>
                <w:rFonts w:hint="default" w:ascii="Times New Roman" w:hAnsi="Times New Roman" w:cs="Times New Roman"/>
                <w:color w:val="auto"/>
                <w:sz w:val="24"/>
                <w:lang w:val="en-US" w:eastAsia="zh-CN"/>
              </w:rPr>
              <w:t>16.82</w:t>
            </w:r>
            <w:r>
              <w:rPr>
                <w:rFonts w:hint="default" w:ascii="Times New Roman" w:hAnsi="Times New Roman" w:cs="Times New Roman"/>
                <w:color w:val="auto"/>
                <w:sz w:val="24"/>
                <w:lang w:eastAsia="zh-CN"/>
              </w:rPr>
              <w:t>万元，占项目总投资的</w:t>
            </w:r>
            <w:r>
              <w:rPr>
                <w:rFonts w:hint="default" w:ascii="Times New Roman" w:hAnsi="Times New Roman" w:cs="Times New Roman"/>
                <w:color w:val="auto"/>
                <w:sz w:val="24"/>
                <w:lang w:val="en-US" w:eastAsia="zh-CN"/>
              </w:rPr>
              <w:t>0.74</w:t>
            </w:r>
            <w:r>
              <w:rPr>
                <w:rFonts w:hint="default" w:ascii="Times New Roman" w:hAnsi="Times New Roman" w:cs="Times New Roman"/>
                <w:color w:val="auto"/>
                <w:sz w:val="24"/>
                <w:lang w:eastAsia="zh-CN"/>
              </w:rPr>
              <w:t>%。</w:t>
            </w:r>
          </w:p>
          <w:p w14:paraId="5422C4B7">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主要建设内容及规模：项目占地面积</w:t>
            </w:r>
            <w:r>
              <w:rPr>
                <w:rFonts w:hint="default" w:ascii="Times New Roman" w:hAnsi="Times New Roman" w:cs="Times New Roman"/>
                <w:color w:val="auto"/>
                <w:sz w:val="24"/>
                <w:lang w:val="en-US" w:eastAsia="zh-CN"/>
              </w:rPr>
              <w:t>4662</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pacing w:val="-1"/>
                <w:sz w:val="24"/>
                <w:lang w:val="en-US" w:eastAsia="zh-CN"/>
              </w:rPr>
              <w:t>设计一条“</w:t>
            </w:r>
            <w:r>
              <w:rPr>
                <w:rFonts w:hint="default" w:ascii="Times New Roman" w:hAnsi="Times New Roman" w:cs="Times New Roman"/>
                <w:color w:val="auto"/>
                <w:sz w:val="24"/>
                <w:lang w:eastAsia="zh-CN"/>
              </w:rPr>
              <w:t>年产约40万立方米合格拌合料”</w:t>
            </w:r>
            <w:r>
              <w:rPr>
                <w:rFonts w:hint="default" w:ascii="Times New Roman" w:hAnsi="Times New Roman" w:cs="Times New Roman"/>
                <w:color w:val="auto"/>
                <w:sz w:val="24"/>
                <w:lang w:val="en-US" w:eastAsia="zh-CN"/>
              </w:rPr>
              <w:t>生产线</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建设</w:t>
            </w:r>
            <w:r>
              <w:rPr>
                <w:rFonts w:hint="default" w:ascii="Times New Roman" w:hAnsi="Times New Roman" w:cs="Times New Roman"/>
                <w:color w:val="auto"/>
                <w:sz w:val="24"/>
                <w:lang w:eastAsia="zh-CN"/>
              </w:rPr>
              <w:t>配电室、水泵房、洗车台</w:t>
            </w:r>
            <w:r>
              <w:rPr>
                <w:rFonts w:hint="default" w:ascii="Times New Roman" w:hAnsi="Times New Roman" w:cs="Times New Roman"/>
                <w:color w:val="auto"/>
                <w:sz w:val="24"/>
                <w:lang w:val="en-US" w:eastAsia="zh-CN"/>
              </w:rPr>
              <w:t>及</w:t>
            </w:r>
            <w:r>
              <w:rPr>
                <w:rFonts w:hint="default" w:ascii="Times New Roman" w:hAnsi="Times New Roman" w:cs="Times New Roman"/>
                <w:color w:val="auto"/>
                <w:sz w:val="24"/>
                <w:lang w:eastAsia="zh-CN"/>
              </w:rPr>
              <w:t>办公区等附属设施。</w:t>
            </w:r>
          </w:p>
          <w:p w14:paraId="5959E96F">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二、建设工程及内容</w:t>
            </w:r>
          </w:p>
          <w:p w14:paraId="01987FD5">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本项目主要对</w:t>
            </w:r>
            <w:r>
              <w:rPr>
                <w:rFonts w:hint="default" w:ascii="Times New Roman" w:hAnsi="Times New Roman" w:cs="Times New Roman"/>
                <w:color w:val="auto"/>
                <w:sz w:val="24"/>
                <w:lang w:val="en-US" w:eastAsia="zh-CN"/>
              </w:rPr>
              <w:t>拌合站</w:t>
            </w:r>
            <w:r>
              <w:rPr>
                <w:rFonts w:hint="default" w:ascii="Times New Roman" w:hAnsi="Times New Roman" w:cs="Times New Roman"/>
                <w:color w:val="auto"/>
                <w:sz w:val="24"/>
                <w:lang w:eastAsia="zh-CN"/>
              </w:rPr>
              <w:t>生产线及其配套设施进行建设，工程内容由主体工程、辅助工程、储运工程、公用工程、环保工程等五个部分组成。项目工程组成情况见表2-1。</w:t>
            </w:r>
          </w:p>
          <w:p w14:paraId="74F8EB30">
            <w:pPr>
              <w:pStyle w:val="31"/>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表2-1  项目工程组成一览表</w:t>
            </w:r>
          </w:p>
          <w:tbl>
            <w:tblPr>
              <w:tblStyle w:val="20"/>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84"/>
              <w:gridCol w:w="1063"/>
              <w:gridCol w:w="4509"/>
              <w:gridCol w:w="826"/>
            </w:tblGrid>
            <w:tr w14:paraId="5897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Align w:val="center"/>
                </w:tcPr>
                <w:p w14:paraId="60E01B76">
                  <w:pPr>
                    <w:autoSpaceDE/>
                    <w:autoSpaceDN/>
                    <w:adjustRightInd w:val="0"/>
                    <w:snapToGrid w:val="0"/>
                    <w:jc w:val="center"/>
                    <w:rPr>
                      <w:rFonts w:hint="default" w:ascii="Times New Roman" w:hAnsi="Times New Roman" w:cs="Times New Roman"/>
                      <w:b/>
                      <w:color w:val="auto"/>
                      <w:sz w:val="21"/>
                      <w:szCs w:val="21"/>
                    </w:rPr>
                  </w:pPr>
                  <w:bookmarkStart w:id="10" w:name="_Toc483056690"/>
                  <w:bookmarkStart w:id="11" w:name="_Toc483056312"/>
                  <w:bookmarkStart w:id="12" w:name="_Toc27892"/>
                  <w:r>
                    <w:rPr>
                      <w:rFonts w:hint="default" w:ascii="Times New Roman" w:hAnsi="Times New Roman" w:cs="Times New Roman"/>
                      <w:b/>
                      <w:color w:val="auto"/>
                      <w:sz w:val="21"/>
                      <w:szCs w:val="21"/>
                    </w:rPr>
                    <w:t>项目内容</w:t>
                  </w:r>
                </w:p>
              </w:tc>
              <w:tc>
                <w:tcPr>
                  <w:tcW w:w="552" w:type="pct"/>
                  <w:vAlign w:val="center"/>
                </w:tcPr>
                <w:p w14:paraId="70C08062">
                  <w:pPr>
                    <w:autoSpaceDE/>
                    <w:autoSpaceDN/>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3481" w:type="pct"/>
                  <w:gridSpan w:val="2"/>
                  <w:vAlign w:val="center"/>
                </w:tcPr>
                <w:p w14:paraId="1255735B">
                  <w:pPr>
                    <w:autoSpaceDE/>
                    <w:autoSpaceDN/>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项目组成</w:t>
                  </w:r>
                </w:p>
              </w:tc>
              <w:tc>
                <w:tcPr>
                  <w:tcW w:w="516" w:type="pct"/>
                  <w:vAlign w:val="center"/>
                </w:tcPr>
                <w:p w14:paraId="2D128BB8">
                  <w:pPr>
                    <w:autoSpaceDE/>
                    <w:autoSpaceDN/>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14:paraId="627F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450" w:type="pct"/>
                  <w:vAlign w:val="center"/>
                </w:tcPr>
                <w:p w14:paraId="57B4AE44">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552" w:type="pct"/>
                  <w:vAlign w:val="center"/>
                </w:tcPr>
                <w:p w14:paraId="7D657772">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拌合站</w:t>
                  </w:r>
                </w:p>
              </w:tc>
              <w:tc>
                <w:tcPr>
                  <w:tcW w:w="3481" w:type="pct"/>
                  <w:gridSpan w:val="2"/>
                  <w:vAlign w:val="center"/>
                </w:tcPr>
                <w:p w14:paraId="51647579">
                  <w:pPr>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lang w:val="en-US" w:eastAsia="zh-CN"/>
                    </w:rPr>
                    <w:t>6</w:t>
                  </w:r>
                  <w:r>
                    <w:rPr>
                      <w:rFonts w:hint="default" w:ascii="Times New Roman" w:hAnsi="Times New Roman" w:cs="Times New Roman"/>
                      <w:color w:val="auto"/>
                      <w:kern w:val="0"/>
                      <w:sz w:val="21"/>
                      <w:szCs w:val="21"/>
                    </w:rPr>
                    <w:t>座，建筑面积约</w:t>
                  </w:r>
                  <w:r>
                    <w:rPr>
                      <w:rFonts w:hint="default" w:ascii="Times New Roman" w:hAnsi="Times New Roman" w:cs="Times New Roman"/>
                      <w:color w:val="auto"/>
                      <w:kern w:val="0"/>
                      <w:sz w:val="21"/>
                      <w:szCs w:val="21"/>
                      <w:lang w:val="en-US" w:eastAsia="zh-CN"/>
                    </w:rPr>
                    <w:t>3045</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，位于厂区</w:t>
                  </w:r>
                  <w:r>
                    <w:rPr>
                      <w:rFonts w:hint="default" w:ascii="Times New Roman" w:hAnsi="Times New Roman" w:cs="Times New Roman"/>
                      <w:color w:val="auto"/>
                      <w:kern w:val="0"/>
                      <w:sz w:val="21"/>
                      <w:szCs w:val="21"/>
                      <w:lang w:val="en-US" w:eastAsia="zh-CN"/>
                    </w:rPr>
                    <w:t>中</w:t>
                  </w:r>
                  <w:r>
                    <w:rPr>
                      <w:rFonts w:hint="default" w:ascii="Times New Roman" w:hAnsi="Times New Roman" w:cs="Times New Roman"/>
                      <w:color w:val="auto"/>
                      <w:kern w:val="0"/>
                      <w:sz w:val="21"/>
                      <w:szCs w:val="21"/>
                    </w:rPr>
                    <w:t>部，搅拌机主体为全封闭建筑，由</w:t>
                  </w:r>
                  <w:r>
                    <w:rPr>
                      <w:rFonts w:hint="default" w:ascii="Times New Roman" w:hAnsi="Times New Roman" w:cs="Times New Roman"/>
                      <w:color w:val="auto"/>
                      <w:kern w:val="0"/>
                      <w:sz w:val="21"/>
                      <w:szCs w:val="21"/>
                      <w:lang w:val="en-US" w:eastAsia="zh-CN"/>
                    </w:rPr>
                    <w:t>水稳站</w:t>
                  </w:r>
                  <w:r>
                    <w:rPr>
                      <w:rFonts w:hint="default" w:ascii="Times New Roman" w:hAnsi="Times New Roman" w:cs="Times New Roman"/>
                      <w:color w:val="auto"/>
                      <w:kern w:val="0"/>
                      <w:sz w:val="21"/>
                      <w:szCs w:val="21"/>
                    </w:rPr>
                    <w:t>、计量系统、气动系统、控制系统</w:t>
                  </w:r>
                  <w:r>
                    <w:rPr>
                      <w:rFonts w:hint="default" w:ascii="Times New Roman" w:hAnsi="Times New Roman" w:cs="Times New Roman"/>
                      <w:color w:val="auto"/>
                      <w:kern w:val="0"/>
                      <w:sz w:val="21"/>
                      <w:szCs w:val="21"/>
                      <w:lang w:val="en-US" w:eastAsia="zh-CN"/>
                    </w:rPr>
                    <w:t>等</w:t>
                  </w:r>
                  <w:r>
                    <w:rPr>
                      <w:rFonts w:hint="default" w:ascii="Times New Roman" w:hAnsi="Times New Roman" w:cs="Times New Roman"/>
                      <w:color w:val="auto"/>
                      <w:kern w:val="0"/>
                      <w:sz w:val="21"/>
                      <w:szCs w:val="21"/>
                    </w:rPr>
                    <w:t>组成。所有原料在</w:t>
                  </w:r>
                  <w:r>
                    <w:rPr>
                      <w:rFonts w:hint="default" w:ascii="Times New Roman" w:hAnsi="Times New Roman" w:cs="Times New Roman"/>
                      <w:color w:val="auto"/>
                      <w:kern w:val="0"/>
                      <w:sz w:val="21"/>
                      <w:szCs w:val="21"/>
                      <w:lang w:val="en-US" w:eastAsia="zh-CN"/>
                    </w:rPr>
                    <w:t>拌合站</w:t>
                  </w:r>
                  <w:r>
                    <w:rPr>
                      <w:rFonts w:hint="default" w:ascii="Times New Roman" w:hAnsi="Times New Roman" w:cs="Times New Roman"/>
                      <w:color w:val="auto"/>
                      <w:kern w:val="0"/>
                      <w:sz w:val="21"/>
                      <w:szCs w:val="21"/>
                    </w:rPr>
                    <w:t>中混合搅拌均匀，年产约40万立方米合格拌合料，成品料直接装入运输车外运。</w:t>
                  </w:r>
                </w:p>
              </w:tc>
              <w:tc>
                <w:tcPr>
                  <w:tcW w:w="516" w:type="pct"/>
                  <w:vAlign w:val="center"/>
                </w:tcPr>
                <w:p w14:paraId="5403B75E">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0CF2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450" w:type="pct"/>
                  <w:vMerge w:val="restart"/>
                  <w:vAlign w:val="center"/>
                </w:tcPr>
                <w:p w14:paraId="59496374">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552" w:type="pct"/>
                  <w:vAlign w:val="center"/>
                </w:tcPr>
                <w:p w14:paraId="021BB852">
                  <w:pPr>
                    <w:widowControl/>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原料</w:t>
                  </w:r>
                </w:p>
                <w:p w14:paraId="3960A049">
                  <w:pPr>
                    <w:widowControl/>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堆场</w:t>
                  </w:r>
                </w:p>
              </w:tc>
              <w:tc>
                <w:tcPr>
                  <w:tcW w:w="3481" w:type="pct"/>
                  <w:gridSpan w:val="2"/>
                  <w:vAlign w:val="center"/>
                </w:tcPr>
                <w:p w14:paraId="3042CB5F">
                  <w:pPr>
                    <w:widowControl/>
                    <w:autoSpaceDE/>
                    <w:autoSpaceDN/>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位于项目</w:t>
                  </w:r>
                  <w:r>
                    <w:rPr>
                      <w:rFonts w:hint="default" w:ascii="Times New Roman" w:hAnsi="Times New Roman" w:cs="Times New Roman"/>
                      <w:color w:val="auto"/>
                      <w:sz w:val="21"/>
                      <w:szCs w:val="21"/>
                      <w:lang w:val="en-US" w:eastAsia="zh-CN"/>
                    </w:rPr>
                    <w:t>厂界西侧</w:t>
                  </w:r>
                  <w:r>
                    <w:rPr>
                      <w:rFonts w:hint="default" w:ascii="Times New Roman" w:hAnsi="Times New Roman" w:cs="Times New Roman"/>
                      <w:color w:val="auto"/>
                      <w:sz w:val="21"/>
                      <w:szCs w:val="21"/>
                      <w:lang w:eastAsia="zh-CN"/>
                    </w:rPr>
                    <w:t>，在办公区的南侧，原料堆场</w:t>
                  </w:r>
                  <w:r>
                    <w:rPr>
                      <w:rFonts w:hint="default" w:ascii="Times New Roman" w:hAnsi="Times New Roman" w:cs="Times New Roman"/>
                      <w:color w:val="auto"/>
                      <w:sz w:val="21"/>
                      <w:szCs w:val="21"/>
                      <w:lang w:val="en-US" w:eastAsia="zh-CN"/>
                    </w:rPr>
                    <w:t>总</w:t>
                  </w:r>
                  <w:r>
                    <w:rPr>
                      <w:rFonts w:hint="default" w:ascii="Times New Roman" w:hAnsi="Times New Roman" w:cs="Times New Roman"/>
                      <w:color w:val="auto"/>
                      <w:sz w:val="21"/>
                      <w:szCs w:val="21"/>
                      <w:lang w:eastAsia="zh-CN"/>
                    </w:rPr>
                    <w:t>占地面积约为</w:t>
                  </w:r>
                  <w:r>
                    <w:rPr>
                      <w:rFonts w:hint="default" w:ascii="Times New Roman" w:hAnsi="Times New Roman" w:cs="Times New Roman"/>
                      <w:color w:val="auto"/>
                      <w:sz w:val="21"/>
                      <w:szCs w:val="21"/>
                      <w:lang w:val="en-US" w:eastAsia="zh-CN"/>
                    </w:rPr>
                    <w:t>1445</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，堆存量约</w:t>
                  </w:r>
                  <w:r>
                    <w:rPr>
                      <w:rFonts w:hint="default" w:ascii="Times New Roman" w:hAnsi="Times New Roman" w:cs="Times New Roman"/>
                      <w:color w:val="auto"/>
                      <w:sz w:val="21"/>
                      <w:szCs w:val="21"/>
                      <w:lang w:val="en-US" w:eastAsia="zh-CN"/>
                    </w:rPr>
                    <w:t>500t。本项目原料周转较快，因此，本项目原料堆场设置一个面积约500m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的原料堆场，堆场设置三面围挡+顶棚措施，所有物料均进入料棚内堆存，同时采用篷布遮盖，此外，原料堆场应定时洒水降尘。</w:t>
                  </w:r>
                </w:p>
                <w:p w14:paraId="054E0AA8">
                  <w:pPr>
                    <w:widowControl/>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原料堆场</w:t>
                  </w:r>
                  <w:r>
                    <w:rPr>
                      <w:rFonts w:hint="default" w:ascii="Times New Roman" w:hAnsi="Times New Roman" w:cs="Times New Roman"/>
                      <w:color w:val="auto"/>
                      <w:sz w:val="21"/>
                      <w:szCs w:val="21"/>
                      <w:lang w:eastAsia="zh-CN"/>
                    </w:rPr>
                    <w:t>主要堆放</w:t>
                  </w:r>
                  <w:r>
                    <w:rPr>
                      <w:rFonts w:hint="default" w:ascii="Times New Roman" w:hAnsi="Times New Roman" w:cs="Times New Roman"/>
                      <w:color w:val="auto"/>
                      <w:sz w:val="21"/>
                      <w:szCs w:val="21"/>
                      <w:lang w:val="en-US" w:eastAsia="zh-CN"/>
                    </w:rPr>
                    <w:t>原料（公分石、尾矿砂、黏土</w:t>
                  </w:r>
                  <w:r>
                    <w:rPr>
                      <w:rFonts w:hint="default" w:ascii="Times New Roman" w:hAnsi="Times New Roman" w:cs="Times New Roman"/>
                      <w:color w:val="auto"/>
                      <w:sz w:val="21"/>
                      <w:szCs w:val="21"/>
                      <w:lang w:eastAsia="zh-CN"/>
                    </w:rPr>
                    <w:t>等原材料</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w:t>
                  </w:r>
                </w:p>
              </w:tc>
              <w:tc>
                <w:tcPr>
                  <w:tcW w:w="516" w:type="pct"/>
                  <w:vAlign w:val="center"/>
                </w:tcPr>
                <w:p w14:paraId="777BCF6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5BF8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28EF7B98">
                  <w:pPr>
                    <w:autoSpaceDE/>
                    <w:autoSpaceDN/>
                    <w:adjustRightInd w:val="0"/>
                    <w:snapToGrid w:val="0"/>
                    <w:jc w:val="center"/>
                    <w:rPr>
                      <w:rFonts w:hint="default" w:ascii="Times New Roman" w:hAnsi="Times New Roman" w:cs="Times New Roman"/>
                      <w:color w:val="auto"/>
                      <w:sz w:val="21"/>
                      <w:szCs w:val="21"/>
                    </w:rPr>
                  </w:pPr>
                </w:p>
              </w:tc>
              <w:tc>
                <w:tcPr>
                  <w:tcW w:w="552" w:type="pct"/>
                  <w:vAlign w:val="center"/>
                </w:tcPr>
                <w:p w14:paraId="4B3484E7">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地磅</w:t>
                  </w:r>
                </w:p>
              </w:tc>
              <w:tc>
                <w:tcPr>
                  <w:tcW w:w="3481" w:type="pct"/>
                  <w:gridSpan w:val="2"/>
                  <w:vAlign w:val="center"/>
                </w:tcPr>
                <w:p w14:paraId="5B8F966D">
                  <w:pPr>
                    <w:autoSpaceDE/>
                    <w:autoSpaceDN/>
                    <w:adjustRightInd w:val="0"/>
                    <w:snapToGrid w:val="0"/>
                    <w:ind w:right="5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位于厂区</w:t>
                  </w:r>
                  <w:r>
                    <w:rPr>
                      <w:rFonts w:hint="default" w:ascii="Times New Roman" w:hAnsi="Times New Roman" w:cs="Times New Roman"/>
                      <w:color w:val="auto"/>
                      <w:sz w:val="21"/>
                      <w:szCs w:val="21"/>
                      <w:lang w:val="en-US" w:eastAsia="zh-CN"/>
                    </w:rPr>
                    <w:t>东南</w:t>
                  </w:r>
                  <w:r>
                    <w:rPr>
                      <w:rFonts w:hint="default" w:ascii="Times New Roman" w:hAnsi="Times New Roman" w:cs="Times New Roman"/>
                      <w:color w:val="auto"/>
                      <w:sz w:val="21"/>
                      <w:szCs w:val="21"/>
                      <w:lang w:eastAsia="zh-CN"/>
                    </w:rPr>
                    <w:t>面入口处，占地面积15</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w:t>
                  </w:r>
                </w:p>
              </w:tc>
              <w:tc>
                <w:tcPr>
                  <w:tcW w:w="516" w:type="pct"/>
                  <w:vAlign w:val="center"/>
                </w:tcPr>
                <w:p w14:paraId="592EBAB5">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2D88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50" w:type="pct"/>
                  <w:vMerge w:val="restart"/>
                  <w:vAlign w:val="center"/>
                </w:tcPr>
                <w:p w14:paraId="5004A960">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552" w:type="pct"/>
                  <w:vAlign w:val="center"/>
                </w:tcPr>
                <w:p w14:paraId="26ADE4E4">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办公</w:t>
                  </w:r>
                  <w:r>
                    <w:rPr>
                      <w:rFonts w:hint="default" w:ascii="Times New Roman" w:hAnsi="Times New Roman" w:cs="Times New Roman"/>
                      <w:color w:val="auto"/>
                      <w:sz w:val="21"/>
                      <w:szCs w:val="21"/>
                      <w:lang w:eastAsia="zh-CN"/>
                    </w:rPr>
                    <w:t>区</w:t>
                  </w:r>
                </w:p>
              </w:tc>
              <w:tc>
                <w:tcPr>
                  <w:tcW w:w="3481" w:type="pct"/>
                  <w:gridSpan w:val="2"/>
                  <w:vAlign w:val="center"/>
                </w:tcPr>
                <w:p w14:paraId="51C98B79">
                  <w:pPr>
                    <w:widowControl/>
                    <w:autoSpaceDE/>
                    <w:autoSpaceDN/>
                    <w:adjustRightInd w:val="0"/>
                    <w:snapToGrid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位于项目区南侧，建筑占地面积约为</w:t>
                  </w:r>
                  <w:r>
                    <w:rPr>
                      <w:rFonts w:hint="default" w:ascii="Times New Roman" w:hAnsi="Times New Roman" w:cs="Times New Roman"/>
                      <w:color w:val="auto"/>
                      <w:sz w:val="21"/>
                      <w:szCs w:val="21"/>
                      <w:lang w:val="en-US" w:eastAsia="zh-CN"/>
                    </w:rPr>
                    <w:t>32</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，为1层活动板房结构。</w:t>
                  </w:r>
                </w:p>
              </w:tc>
              <w:tc>
                <w:tcPr>
                  <w:tcW w:w="516" w:type="pct"/>
                  <w:vAlign w:val="center"/>
                </w:tcPr>
                <w:p w14:paraId="07B26B1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3CDC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2624B3DE">
                  <w:pPr>
                    <w:autoSpaceDE/>
                    <w:autoSpaceDN/>
                    <w:adjustRightInd w:val="0"/>
                    <w:snapToGrid w:val="0"/>
                    <w:jc w:val="center"/>
                    <w:rPr>
                      <w:rFonts w:hint="default" w:ascii="Times New Roman" w:hAnsi="Times New Roman" w:cs="Times New Roman"/>
                      <w:color w:val="auto"/>
                      <w:sz w:val="21"/>
                      <w:szCs w:val="21"/>
                    </w:rPr>
                  </w:pPr>
                </w:p>
              </w:tc>
              <w:tc>
                <w:tcPr>
                  <w:tcW w:w="552" w:type="pct"/>
                  <w:vAlign w:val="center"/>
                </w:tcPr>
                <w:p w14:paraId="3697630E">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值班室</w:t>
                  </w:r>
                </w:p>
              </w:tc>
              <w:tc>
                <w:tcPr>
                  <w:tcW w:w="3481" w:type="pct"/>
                  <w:gridSpan w:val="2"/>
                  <w:vAlign w:val="center"/>
                </w:tcPr>
                <w:p w14:paraId="5C6D38FD">
                  <w:pPr>
                    <w:widowControl/>
                    <w:autoSpaceDE/>
                    <w:autoSpaceDN/>
                    <w:adjustRightInd w:val="0"/>
                    <w:snapToGrid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1间，位于项目区南侧，建筑占地面积约为30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w:t>
                  </w:r>
                </w:p>
              </w:tc>
              <w:tc>
                <w:tcPr>
                  <w:tcW w:w="516" w:type="pct"/>
                  <w:vAlign w:val="center"/>
                </w:tcPr>
                <w:p w14:paraId="1AF16570">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0A55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206E94DD">
                  <w:pPr>
                    <w:autoSpaceDE/>
                    <w:autoSpaceDN/>
                    <w:adjustRightInd w:val="0"/>
                    <w:snapToGrid w:val="0"/>
                    <w:jc w:val="center"/>
                    <w:rPr>
                      <w:rFonts w:hint="default" w:ascii="Times New Roman" w:hAnsi="Times New Roman" w:cs="Times New Roman"/>
                      <w:color w:val="auto"/>
                      <w:sz w:val="21"/>
                      <w:szCs w:val="21"/>
                    </w:rPr>
                  </w:pPr>
                </w:p>
              </w:tc>
              <w:tc>
                <w:tcPr>
                  <w:tcW w:w="552" w:type="pct"/>
                  <w:vAlign w:val="center"/>
                </w:tcPr>
                <w:p w14:paraId="4382F84C">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配电室</w:t>
                  </w:r>
                </w:p>
              </w:tc>
              <w:tc>
                <w:tcPr>
                  <w:tcW w:w="3481" w:type="pct"/>
                  <w:gridSpan w:val="2"/>
                  <w:vAlign w:val="center"/>
                </w:tcPr>
                <w:p w14:paraId="3C832043">
                  <w:pPr>
                    <w:widowControl/>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1间，位于</w:t>
                  </w:r>
                  <w:r>
                    <w:rPr>
                      <w:rFonts w:hint="default" w:ascii="Times New Roman" w:hAnsi="Times New Roman" w:cs="Times New Roman"/>
                      <w:color w:val="auto"/>
                      <w:sz w:val="21"/>
                      <w:szCs w:val="21"/>
                      <w:lang w:val="en-US" w:eastAsia="zh-CN"/>
                    </w:rPr>
                    <w:t>项目区南侧</w:t>
                  </w:r>
                  <w:r>
                    <w:rPr>
                      <w:rFonts w:hint="default" w:ascii="Times New Roman" w:hAnsi="Times New Roman" w:cs="Times New Roman"/>
                      <w:color w:val="auto"/>
                      <w:sz w:val="21"/>
                      <w:szCs w:val="21"/>
                      <w:lang w:eastAsia="zh-CN"/>
                    </w:rPr>
                    <w:t>，占地面积</w:t>
                  </w:r>
                  <w:r>
                    <w:rPr>
                      <w:rFonts w:hint="default" w:ascii="Times New Roman" w:hAnsi="Times New Roman" w:cs="Times New Roman"/>
                      <w:color w:val="auto"/>
                      <w:sz w:val="21"/>
                      <w:szCs w:val="21"/>
                      <w:lang w:val="en-US" w:eastAsia="zh-CN"/>
                    </w:rPr>
                    <w:t>约为30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，本次项目新建一个配电室。</w:t>
                  </w:r>
                </w:p>
              </w:tc>
              <w:tc>
                <w:tcPr>
                  <w:tcW w:w="516" w:type="pct"/>
                  <w:vAlign w:val="center"/>
                </w:tcPr>
                <w:p w14:paraId="1A047FBC">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28F1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4B790173">
                  <w:pPr>
                    <w:autoSpaceDE/>
                    <w:autoSpaceDN/>
                    <w:adjustRightInd w:val="0"/>
                    <w:snapToGrid w:val="0"/>
                    <w:jc w:val="center"/>
                    <w:rPr>
                      <w:rFonts w:hint="default" w:ascii="Times New Roman" w:hAnsi="Times New Roman" w:cs="Times New Roman"/>
                      <w:color w:val="auto"/>
                      <w:sz w:val="21"/>
                      <w:szCs w:val="21"/>
                    </w:rPr>
                  </w:pPr>
                </w:p>
              </w:tc>
              <w:tc>
                <w:tcPr>
                  <w:tcW w:w="552" w:type="pct"/>
                  <w:vAlign w:val="center"/>
                </w:tcPr>
                <w:p w14:paraId="6265B082">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水泵房</w:t>
                  </w:r>
                </w:p>
              </w:tc>
              <w:tc>
                <w:tcPr>
                  <w:tcW w:w="3481" w:type="pct"/>
                  <w:gridSpan w:val="2"/>
                  <w:vAlign w:val="center"/>
                </w:tcPr>
                <w:p w14:paraId="4B6B9200">
                  <w:pPr>
                    <w:widowControl/>
                    <w:autoSpaceDE/>
                    <w:autoSpaceDN/>
                    <w:adjustRightInd w:val="0"/>
                    <w:snapToGrid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位于项目北侧，占地面积约20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w:t>
                  </w:r>
                </w:p>
              </w:tc>
              <w:tc>
                <w:tcPr>
                  <w:tcW w:w="516" w:type="pct"/>
                  <w:vAlign w:val="center"/>
                </w:tcPr>
                <w:p w14:paraId="2EF604BC">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3D0A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77A4C298">
                  <w:pPr>
                    <w:autoSpaceDE/>
                    <w:autoSpaceDN/>
                    <w:adjustRightInd w:val="0"/>
                    <w:snapToGrid w:val="0"/>
                    <w:jc w:val="center"/>
                    <w:rPr>
                      <w:rFonts w:hint="default" w:ascii="Times New Roman" w:hAnsi="Times New Roman" w:cs="Times New Roman"/>
                      <w:color w:val="auto"/>
                      <w:sz w:val="21"/>
                      <w:szCs w:val="21"/>
                    </w:rPr>
                  </w:pPr>
                </w:p>
              </w:tc>
              <w:tc>
                <w:tcPr>
                  <w:tcW w:w="552" w:type="pct"/>
                  <w:vAlign w:val="center"/>
                </w:tcPr>
                <w:p w14:paraId="57D0466C">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洗车</w:t>
                  </w:r>
                </w:p>
                <w:p w14:paraId="71EBBD36">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平台</w:t>
                  </w:r>
                </w:p>
              </w:tc>
              <w:tc>
                <w:tcPr>
                  <w:tcW w:w="3481" w:type="pct"/>
                  <w:gridSpan w:val="2"/>
                  <w:vAlign w:val="center"/>
                </w:tcPr>
                <w:p w14:paraId="14F1489E">
                  <w:pPr>
                    <w:widowControl/>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位于项目</w:t>
                  </w:r>
                  <w:r>
                    <w:rPr>
                      <w:rFonts w:hint="default" w:ascii="Times New Roman" w:hAnsi="Times New Roman" w:cs="Times New Roman"/>
                      <w:color w:val="auto"/>
                      <w:sz w:val="21"/>
                      <w:szCs w:val="21"/>
                      <w:lang w:eastAsia="zh-CN"/>
                    </w:rPr>
                    <w:t>厂区</w:t>
                  </w:r>
                  <w:r>
                    <w:rPr>
                      <w:rFonts w:hint="default"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lang w:eastAsia="zh-CN"/>
                    </w:rPr>
                    <w:t>侧，占地面积</w:t>
                  </w:r>
                  <w:r>
                    <w:rPr>
                      <w:rFonts w:hint="default" w:ascii="Times New Roman" w:hAnsi="Times New Roman" w:cs="Times New Roman"/>
                      <w:color w:val="auto"/>
                      <w:sz w:val="21"/>
                      <w:szCs w:val="21"/>
                      <w:lang w:val="en-US" w:eastAsia="zh-CN"/>
                    </w:rPr>
                    <w:t>约60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。地面水泥硬化，配置1个三级沉淀池。</w:t>
                  </w:r>
                </w:p>
              </w:tc>
              <w:tc>
                <w:tcPr>
                  <w:tcW w:w="516" w:type="pct"/>
                  <w:vAlign w:val="center"/>
                </w:tcPr>
                <w:p w14:paraId="1436A17B">
                  <w:pPr>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0289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450" w:type="pct"/>
                  <w:vMerge w:val="restart"/>
                  <w:vAlign w:val="center"/>
                </w:tcPr>
                <w:p w14:paraId="44A07E99">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552" w:type="pct"/>
                  <w:vAlign w:val="center"/>
                </w:tcPr>
                <w:p w14:paraId="25FF34D6">
                  <w:pPr>
                    <w:widowControl/>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3481" w:type="pct"/>
                  <w:gridSpan w:val="2"/>
                  <w:vAlign w:val="center"/>
                </w:tcPr>
                <w:p w14:paraId="4FD780E4">
                  <w:pPr>
                    <w:widowControl/>
                    <w:autoSpaceDE/>
                    <w:autoSpaceDN/>
                    <w:adjustRightInd w:val="0"/>
                    <w:snapToGrid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本项目用电电源来源于南方电网，供电线路为</w:t>
                  </w:r>
                  <w:r>
                    <w:rPr>
                      <w:rFonts w:hint="default"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lang w:eastAsia="zh-CN"/>
                    </w:rPr>
                    <w:t>0K</w:t>
                  </w:r>
                  <w:r>
                    <w:rPr>
                      <w:rFonts w:hint="default" w:ascii="Times New Roman" w:hAnsi="Times New Roman" w:cs="Times New Roman"/>
                      <w:color w:val="auto"/>
                      <w:sz w:val="21"/>
                      <w:szCs w:val="21"/>
                      <w:lang w:val="en-US" w:eastAsia="zh-CN"/>
                    </w:rPr>
                    <w:t>W</w:t>
                  </w:r>
                  <w:r>
                    <w:rPr>
                      <w:rFonts w:hint="default" w:ascii="Times New Roman" w:hAnsi="Times New Roman" w:cs="Times New Roman"/>
                      <w:color w:val="auto"/>
                      <w:sz w:val="21"/>
                      <w:szCs w:val="21"/>
                      <w:lang w:eastAsia="zh-CN"/>
                    </w:rPr>
                    <w:t>，引入变压器，能满足生产、生活需要。</w:t>
                  </w:r>
                </w:p>
              </w:tc>
              <w:tc>
                <w:tcPr>
                  <w:tcW w:w="516" w:type="pct"/>
                  <w:vAlign w:val="center"/>
                </w:tcPr>
                <w:p w14:paraId="1606C2DB">
                  <w:pPr>
                    <w:widowControl/>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6CBB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386A7216">
                  <w:pPr>
                    <w:autoSpaceDE/>
                    <w:autoSpaceDN/>
                    <w:adjustRightInd w:val="0"/>
                    <w:snapToGrid w:val="0"/>
                    <w:jc w:val="center"/>
                    <w:rPr>
                      <w:rFonts w:hint="default" w:ascii="Times New Roman" w:hAnsi="Times New Roman" w:cs="Times New Roman"/>
                      <w:color w:val="auto"/>
                      <w:sz w:val="21"/>
                      <w:szCs w:val="21"/>
                    </w:rPr>
                  </w:pPr>
                </w:p>
              </w:tc>
              <w:tc>
                <w:tcPr>
                  <w:tcW w:w="552" w:type="pct"/>
                  <w:vAlign w:val="center"/>
                </w:tcPr>
                <w:p w14:paraId="71B63AA2">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p w14:paraId="755DC492">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3481" w:type="pct"/>
                  <w:gridSpan w:val="2"/>
                  <w:vAlign w:val="center"/>
                </w:tcPr>
                <w:p w14:paraId="2359B037">
                  <w:pPr>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本项目员工均不在厂内食宿，员工日常</w:t>
                  </w:r>
                  <w:r>
                    <w:rPr>
                      <w:rFonts w:hint="default" w:ascii="Times New Roman" w:hAnsi="Times New Roman" w:cs="Times New Roman"/>
                      <w:color w:val="auto"/>
                      <w:sz w:val="21"/>
                      <w:szCs w:val="21"/>
                      <w:lang w:eastAsia="zh-CN"/>
                    </w:rPr>
                    <w:t>饮用生活用水采取自运桶装矿泉水。</w:t>
                  </w:r>
                </w:p>
                <w:p w14:paraId="4BDF390D">
                  <w:pPr>
                    <w:autoSpaceDE/>
                    <w:autoSpaceDN/>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项目工艺用水抽取老厂河水。</w:t>
                  </w:r>
                </w:p>
              </w:tc>
              <w:tc>
                <w:tcPr>
                  <w:tcW w:w="516" w:type="pct"/>
                  <w:vAlign w:val="center"/>
                </w:tcPr>
                <w:p w14:paraId="18F849E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2501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6398CF0B">
                  <w:pPr>
                    <w:autoSpaceDE/>
                    <w:autoSpaceDN/>
                    <w:adjustRightInd w:val="0"/>
                    <w:snapToGrid w:val="0"/>
                    <w:jc w:val="center"/>
                    <w:rPr>
                      <w:rFonts w:hint="default" w:ascii="Times New Roman" w:hAnsi="Times New Roman" w:cs="Times New Roman"/>
                      <w:color w:val="auto"/>
                      <w:sz w:val="21"/>
                      <w:szCs w:val="21"/>
                    </w:rPr>
                  </w:pPr>
                </w:p>
              </w:tc>
              <w:tc>
                <w:tcPr>
                  <w:tcW w:w="552" w:type="pct"/>
                  <w:vAlign w:val="center"/>
                </w:tcPr>
                <w:p w14:paraId="596B7A79">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道路</w:t>
                  </w:r>
                </w:p>
                <w:p w14:paraId="301C5725">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3481" w:type="pct"/>
                  <w:gridSpan w:val="2"/>
                  <w:vAlign w:val="center"/>
                </w:tcPr>
                <w:p w14:paraId="2CDE94E7">
                  <w:pPr>
                    <w:autoSpaceDE/>
                    <w:autoSpaceDN/>
                    <w:adjustRightInd w:val="0"/>
                    <w:snapToGrid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厂内运输道路和车辆停放，总面积约500m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 xml:space="preserve">。场内道路需进行地面硬化处理，硬化路面约厂区出入口处至成品堆场处。 </w:t>
                  </w:r>
                </w:p>
              </w:tc>
              <w:tc>
                <w:tcPr>
                  <w:tcW w:w="516" w:type="pct"/>
                  <w:vAlign w:val="center"/>
                </w:tcPr>
                <w:p w14:paraId="3CF57D15">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新建</w:t>
                  </w:r>
                </w:p>
              </w:tc>
            </w:tr>
            <w:tr w14:paraId="5722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631C8D5E">
                  <w:pPr>
                    <w:autoSpaceDE/>
                    <w:autoSpaceDN/>
                    <w:adjustRightInd w:val="0"/>
                    <w:snapToGrid w:val="0"/>
                    <w:jc w:val="center"/>
                    <w:rPr>
                      <w:rFonts w:hint="default" w:ascii="Times New Roman" w:hAnsi="Times New Roman" w:cs="Times New Roman"/>
                      <w:color w:val="auto"/>
                      <w:sz w:val="21"/>
                      <w:szCs w:val="21"/>
                    </w:rPr>
                  </w:pPr>
                </w:p>
              </w:tc>
              <w:tc>
                <w:tcPr>
                  <w:tcW w:w="552" w:type="pct"/>
                  <w:vMerge w:val="restart"/>
                  <w:vAlign w:val="center"/>
                </w:tcPr>
                <w:p w14:paraId="02BFE9D7">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3481" w:type="pct"/>
                  <w:gridSpan w:val="2"/>
                  <w:vAlign w:val="center"/>
                </w:tcPr>
                <w:p w14:paraId="4704FB79">
                  <w:pPr>
                    <w:widowControl/>
                    <w:autoSpaceDE/>
                    <w:autoSpaceDN/>
                    <w:adjustRightInd w:val="0"/>
                    <w:snapToGrid w:val="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1"/>
                      <w:szCs w:val="21"/>
                      <w:lang w:eastAsia="zh-CN" w:bidi="ar"/>
                    </w:rPr>
                    <w:t>项目区实行</w:t>
                  </w:r>
                  <w:r>
                    <w:rPr>
                      <w:rFonts w:hint="default" w:ascii="Times New Roman" w:hAnsi="Times New Roman" w:cs="Times New Roman"/>
                      <w:color w:val="auto"/>
                      <w:sz w:val="21"/>
                      <w:szCs w:val="21"/>
                      <w:lang w:eastAsia="zh-CN"/>
                    </w:rPr>
                    <w:t>雨污分流。初期雨水经项目内新建的雨水排水沟（</w:t>
                  </w:r>
                  <w:r>
                    <w:rPr>
                      <w:rFonts w:hint="default"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lang w:eastAsia="zh-CN"/>
                    </w:rPr>
                    <w:t>侧拟布设有混凝土排水沟，尺寸0.4×0.4m，长206m）汇集后进入</w:t>
                  </w:r>
                  <w:r>
                    <w:rPr>
                      <w:rFonts w:hint="default" w:ascii="Times New Roman" w:hAnsi="Times New Roman" w:cs="Times New Roman"/>
                      <w:color w:val="auto"/>
                      <w:sz w:val="21"/>
                      <w:szCs w:val="21"/>
                      <w:lang w:val="en-US" w:eastAsia="zh-CN"/>
                    </w:rPr>
                    <w:t>54</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初期雨水收集池内，</w:t>
                  </w:r>
                  <w:r>
                    <w:rPr>
                      <w:rFonts w:hint="default" w:ascii="Times New Roman" w:hAnsi="Times New Roman" w:cs="Times New Roman"/>
                      <w:color w:val="auto"/>
                      <w:sz w:val="21"/>
                      <w:szCs w:val="21"/>
                      <w:lang w:val="en-US" w:eastAsia="zh-CN"/>
                    </w:rPr>
                    <w:t>待晴天回用于厂区洒水降尘</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lang w:eastAsia="zh-CN"/>
                    </w:rPr>
                    <w:t>喷淋废水</w:t>
                  </w:r>
                  <w:r>
                    <w:rPr>
                      <w:rFonts w:hint="default" w:ascii="Times New Roman" w:hAnsi="Times New Roman" w:cs="Times New Roman"/>
                      <w:color w:val="auto"/>
                      <w:sz w:val="21"/>
                      <w:szCs w:val="21"/>
                      <w:lang w:val="en-US" w:eastAsia="zh-CN"/>
                    </w:rPr>
                    <w:t>自然蒸发</w:t>
                  </w:r>
                  <w:r>
                    <w:rPr>
                      <w:rFonts w:hint="default" w:ascii="Times New Roman" w:hAnsi="Times New Roman" w:cs="Times New Roman"/>
                      <w:color w:val="auto"/>
                      <w:sz w:val="21"/>
                      <w:szCs w:val="21"/>
                      <w:lang w:eastAsia="zh-CN"/>
                    </w:rPr>
                    <w:t>，不外</w:t>
                  </w:r>
                  <w:r>
                    <w:rPr>
                      <w:rFonts w:hint="default" w:ascii="Times New Roman" w:hAnsi="Times New Roman" w:cs="Times New Roman"/>
                      <w:color w:val="auto"/>
                      <w:sz w:val="21"/>
                      <w:szCs w:val="21"/>
                      <w:lang w:eastAsia="zh-CN" w:bidi="ar"/>
                    </w:rPr>
                    <w:t>排。</w:t>
                  </w:r>
                  <w:r>
                    <w:rPr>
                      <w:rFonts w:hint="default" w:ascii="Times New Roman" w:hAnsi="Times New Roman" w:cs="Times New Roman"/>
                      <w:color w:val="auto"/>
                      <w:sz w:val="21"/>
                      <w:szCs w:val="21"/>
                      <w:lang w:val="en-US" w:eastAsia="zh-CN"/>
                    </w:rPr>
                    <w:t>本项目员工均不在厂内食宿，不产生生活废水。</w:t>
                  </w:r>
                </w:p>
              </w:tc>
              <w:tc>
                <w:tcPr>
                  <w:tcW w:w="516" w:type="pct"/>
                  <w:vAlign w:val="center"/>
                </w:tcPr>
                <w:p w14:paraId="4C565B20">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lang w:eastAsia="zh-CN"/>
                    </w:rPr>
                    <w:t>新建</w:t>
                  </w:r>
                </w:p>
              </w:tc>
            </w:tr>
            <w:tr w14:paraId="11AB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restart"/>
                  <w:vAlign w:val="center"/>
                </w:tcPr>
                <w:p w14:paraId="7E91C002">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552" w:type="pct"/>
                  <w:vMerge w:val="restart"/>
                  <w:vAlign w:val="center"/>
                </w:tcPr>
                <w:p w14:paraId="3B3D4AFE">
                  <w:pPr>
                    <w:widowControl/>
                    <w:autoSpaceDE/>
                    <w:autoSpaceDN/>
                    <w:adjustRightInd w:val="0"/>
                    <w:snapToGrid w:val="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废气治理设施</w:t>
                  </w:r>
                </w:p>
              </w:tc>
              <w:tc>
                <w:tcPr>
                  <w:tcW w:w="664" w:type="pct"/>
                  <w:vAlign w:val="center"/>
                </w:tcPr>
                <w:p w14:paraId="66101D28">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原料堆场废气</w:t>
                  </w:r>
                </w:p>
              </w:tc>
              <w:tc>
                <w:tcPr>
                  <w:tcW w:w="2816" w:type="pct"/>
                  <w:vAlign w:val="center"/>
                </w:tcPr>
                <w:p w14:paraId="390C2C0A">
                  <w:pPr>
                    <w:widowControl/>
                    <w:autoSpaceDE/>
                    <w:autoSpaceDN/>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位于项目</w:t>
                  </w:r>
                  <w:r>
                    <w:rPr>
                      <w:rFonts w:hint="default" w:ascii="Times New Roman" w:hAnsi="Times New Roman" w:cs="Times New Roman"/>
                      <w:color w:val="auto"/>
                      <w:sz w:val="21"/>
                      <w:szCs w:val="21"/>
                      <w:lang w:val="en-US" w:eastAsia="zh-CN"/>
                    </w:rPr>
                    <w:t>厂界西侧</w:t>
                  </w:r>
                  <w:r>
                    <w:rPr>
                      <w:rFonts w:hint="default" w:ascii="Times New Roman" w:hAnsi="Times New Roman" w:cs="Times New Roman"/>
                      <w:color w:val="auto"/>
                      <w:sz w:val="21"/>
                      <w:szCs w:val="21"/>
                      <w:lang w:eastAsia="zh-CN"/>
                    </w:rPr>
                    <w:t>，在办公区的南侧，原料堆场</w:t>
                  </w:r>
                  <w:r>
                    <w:rPr>
                      <w:rFonts w:hint="default" w:ascii="Times New Roman" w:hAnsi="Times New Roman" w:cs="Times New Roman"/>
                      <w:color w:val="auto"/>
                      <w:sz w:val="21"/>
                      <w:szCs w:val="21"/>
                      <w:lang w:val="en-US" w:eastAsia="zh-CN"/>
                    </w:rPr>
                    <w:t>总</w:t>
                  </w:r>
                  <w:r>
                    <w:rPr>
                      <w:rFonts w:hint="default" w:ascii="Times New Roman" w:hAnsi="Times New Roman" w:cs="Times New Roman"/>
                      <w:color w:val="auto"/>
                      <w:sz w:val="21"/>
                      <w:szCs w:val="21"/>
                      <w:lang w:eastAsia="zh-CN"/>
                    </w:rPr>
                    <w:t>占地面积约为</w:t>
                  </w:r>
                  <w:r>
                    <w:rPr>
                      <w:rFonts w:hint="default" w:ascii="Times New Roman" w:hAnsi="Times New Roman" w:cs="Times New Roman"/>
                      <w:color w:val="auto"/>
                      <w:sz w:val="21"/>
                      <w:szCs w:val="21"/>
                      <w:lang w:val="en-US" w:eastAsia="zh-CN"/>
                    </w:rPr>
                    <w:t>1445</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，堆存量约</w:t>
                  </w:r>
                  <w:r>
                    <w:rPr>
                      <w:rFonts w:hint="default" w:ascii="Times New Roman" w:hAnsi="Times New Roman" w:cs="Times New Roman"/>
                      <w:color w:val="auto"/>
                      <w:sz w:val="21"/>
                      <w:szCs w:val="21"/>
                      <w:lang w:val="en-US" w:eastAsia="zh-CN"/>
                    </w:rPr>
                    <w:t>500t。本项目原料周转较快，因此，本项目原料堆场设置一个面积约500m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的原料堆场，堆场设置三面围挡+顶棚措施，所有物料均进入料棚内堆存，同时采用篷布遮盖，此外，原料堆场应定时洒水降尘。</w:t>
                  </w:r>
                </w:p>
              </w:tc>
              <w:tc>
                <w:tcPr>
                  <w:tcW w:w="516" w:type="pct"/>
                  <w:vAlign w:val="center"/>
                </w:tcPr>
                <w:p w14:paraId="74B5546F">
                  <w:pPr>
                    <w:pStyle w:val="5"/>
                    <w:autoSpaceDE/>
                    <w:autoSpaceDN/>
                    <w:adjustRightInd w:val="0"/>
                    <w:snapToGrid w:val="0"/>
                    <w:spacing w:line="240" w:lineRule="auto"/>
                    <w:jc w:val="center"/>
                    <w:rPr>
                      <w:rFonts w:hint="default" w:ascii="Times New Roman" w:hAnsi="Times New Roman" w:cs="Times New Roman"/>
                      <w:color w:val="auto"/>
                    </w:rPr>
                  </w:pPr>
                  <w:bookmarkStart w:id="13" w:name="_Toc6068"/>
                  <w:bookmarkStart w:id="14" w:name="_Toc7129"/>
                  <w:r>
                    <w:rPr>
                      <w:rFonts w:hint="default" w:ascii="Times New Roman" w:hAnsi="Times New Roman" w:cs="Times New Roman"/>
                      <w:b w:val="0"/>
                      <w:bCs w:val="0"/>
                      <w:color w:val="auto"/>
                      <w:sz w:val="21"/>
                      <w:szCs w:val="21"/>
                    </w:rPr>
                    <w:t>新建</w:t>
                  </w:r>
                  <w:bookmarkEnd w:id="13"/>
                  <w:bookmarkEnd w:id="14"/>
                </w:p>
              </w:tc>
            </w:tr>
            <w:tr w14:paraId="0C20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1C174A61">
                  <w:pPr>
                    <w:autoSpaceDE/>
                    <w:autoSpaceDN/>
                    <w:adjustRightInd w:val="0"/>
                    <w:snapToGrid w:val="0"/>
                    <w:jc w:val="center"/>
                    <w:rPr>
                      <w:rFonts w:hint="default" w:ascii="Times New Roman" w:hAnsi="Times New Roman" w:cs="Times New Roman"/>
                      <w:color w:val="auto"/>
                      <w:sz w:val="21"/>
                      <w:szCs w:val="21"/>
                    </w:rPr>
                  </w:pPr>
                </w:p>
              </w:tc>
              <w:tc>
                <w:tcPr>
                  <w:tcW w:w="552" w:type="pct"/>
                  <w:vMerge w:val="continue"/>
                  <w:vAlign w:val="center"/>
                </w:tcPr>
                <w:p w14:paraId="647D6984">
                  <w:pPr>
                    <w:widowControl/>
                    <w:autoSpaceDE/>
                    <w:autoSpaceDN/>
                    <w:adjustRightInd w:val="0"/>
                    <w:snapToGrid w:val="0"/>
                    <w:jc w:val="center"/>
                    <w:rPr>
                      <w:rFonts w:hint="default" w:ascii="Times New Roman" w:hAnsi="Times New Roman" w:cs="Times New Roman"/>
                      <w:color w:val="auto"/>
                      <w:sz w:val="21"/>
                      <w:szCs w:val="21"/>
                      <w:lang w:bidi="ar"/>
                    </w:rPr>
                  </w:pPr>
                </w:p>
              </w:tc>
              <w:tc>
                <w:tcPr>
                  <w:tcW w:w="664" w:type="pct"/>
                  <w:vAlign w:val="center"/>
                </w:tcPr>
                <w:p w14:paraId="3B5D7467">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运输扬尘</w:t>
                  </w:r>
                </w:p>
              </w:tc>
              <w:tc>
                <w:tcPr>
                  <w:tcW w:w="2816" w:type="pct"/>
                  <w:vAlign w:val="center"/>
                </w:tcPr>
                <w:p w14:paraId="3B12839E">
                  <w:pPr>
                    <w:widowControl/>
                    <w:autoSpaceDE/>
                    <w:autoSpaceDN/>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原料采用卡车运输，卡车用苫布苫盖，原料的运输过程产生的扬尘通过定期洒水进行降尘、限速行驶等措施，可有效降低粉尘产生。</w:t>
                  </w:r>
                </w:p>
              </w:tc>
              <w:tc>
                <w:tcPr>
                  <w:tcW w:w="516" w:type="pct"/>
                  <w:vAlign w:val="center"/>
                </w:tcPr>
                <w:p w14:paraId="0C5D3EB7">
                  <w:pPr>
                    <w:pStyle w:val="5"/>
                    <w:autoSpaceDE/>
                    <w:autoSpaceDN/>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新建</w:t>
                  </w:r>
                </w:p>
              </w:tc>
            </w:tr>
            <w:tr w14:paraId="6A03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450" w:type="pct"/>
                  <w:vMerge w:val="continue"/>
                  <w:vAlign w:val="center"/>
                </w:tcPr>
                <w:p w14:paraId="4785BCB1">
                  <w:pPr>
                    <w:pStyle w:val="5"/>
                    <w:autoSpaceDE/>
                    <w:autoSpaceDN/>
                    <w:adjustRightInd w:val="0"/>
                    <w:snapToGrid w:val="0"/>
                    <w:spacing w:line="240" w:lineRule="auto"/>
                    <w:rPr>
                      <w:rFonts w:hint="default" w:ascii="Times New Roman" w:hAnsi="Times New Roman" w:cs="Times New Roman"/>
                      <w:color w:val="auto"/>
                      <w:sz w:val="21"/>
                      <w:szCs w:val="21"/>
                    </w:rPr>
                  </w:pPr>
                </w:p>
              </w:tc>
              <w:tc>
                <w:tcPr>
                  <w:tcW w:w="552" w:type="pct"/>
                  <w:vMerge w:val="continue"/>
                  <w:vAlign w:val="center"/>
                </w:tcPr>
                <w:p w14:paraId="28422E47">
                  <w:pPr>
                    <w:pStyle w:val="5"/>
                    <w:autoSpaceDE/>
                    <w:autoSpaceDN/>
                    <w:adjustRightInd w:val="0"/>
                    <w:snapToGrid w:val="0"/>
                    <w:spacing w:line="240" w:lineRule="auto"/>
                    <w:rPr>
                      <w:rFonts w:hint="default" w:ascii="Times New Roman" w:hAnsi="Times New Roman" w:cs="Times New Roman"/>
                      <w:color w:val="auto"/>
                      <w:sz w:val="21"/>
                      <w:szCs w:val="21"/>
                    </w:rPr>
                  </w:pPr>
                </w:p>
              </w:tc>
              <w:tc>
                <w:tcPr>
                  <w:tcW w:w="664" w:type="pct"/>
                  <w:vAlign w:val="center"/>
                </w:tcPr>
                <w:p w14:paraId="63BA2B10">
                  <w:pPr>
                    <w:pStyle w:val="5"/>
                    <w:autoSpaceDE/>
                    <w:autoSpaceDN/>
                    <w:adjustRightInd w:val="0"/>
                    <w:snapToGrid w:val="0"/>
                    <w:spacing w:line="240" w:lineRule="auto"/>
                    <w:jc w:val="center"/>
                    <w:rPr>
                      <w:rFonts w:hint="default" w:ascii="Times New Roman" w:hAnsi="Times New Roman" w:eastAsia="宋体" w:cs="Times New Roman"/>
                      <w:b w:val="0"/>
                      <w:bCs w:val="0"/>
                      <w:color w:val="auto"/>
                      <w:sz w:val="21"/>
                      <w:szCs w:val="21"/>
                    </w:rPr>
                  </w:pPr>
                  <w:bookmarkStart w:id="15" w:name="_Toc2989"/>
                  <w:r>
                    <w:rPr>
                      <w:rFonts w:hint="default" w:ascii="Times New Roman" w:hAnsi="Times New Roman" w:eastAsia="宋体" w:cs="Times New Roman"/>
                      <w:b w:val="0"/>
                      <w:bCs w:val="0"/>
                      <w:color w:val="auto"/>
                      <w:sz w:val="21"/>
                      <w:szCs w:val="21"/>
                      <w:lang w:val="en-US" w:eastAsia="zh-CN"/>
                    </w:rPr>
                    <w:t>上料</w:t>
                  </w:r>
                  <w:r>
                    <w:rPr>
                      <w:rFonts w:hint="default" w:ascii="Times New Roman" w:hAnsi="Times New Roman" w:eastAsia="宋体" w:cs="Times New Roman"/>
                      <w:b w:val="0"/>
                      <w:bCs w:val="0"/>
                      <w:color w:val="auto"/>
                      <w:sz w:val="21"/>
                      <w:szCs w:val="21"/>
                    </w:rPr>
                    <w:t>阶段废气</w:t>
                  </w:r>
                  <w:bookmarkEnd w:id="15"/>
                </w:p>
              </w:tc>
              <w:tc>
                <w:tcPr>
                  <w:tcW w:w="2816" w:type="pct"/>
                  <w:vAlign w:val="center"/>
                </w:tcPr>
                <w:p w14:paraId="5CDA214C">
                  <w:pPr>
                    <w:pStyle w:val="5"/>
                    <w:autoSpaceDE/>
                    <w:autoSpaceDN/>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装载机上料过程产生的粉尘采取洒水降尘，</w:t>
                  </w:r>
                  <w:r>
                    <w:rPr>
                      <w:rFonts w:hint="default" w:ascii="Times New Roman" w:hAnsi="Times New Roman" w:eastAsia="宋体" w:cs="Times New Roman"/>
                      <w:b w:val="0"/>
                      <w:bCs w:val="0"/>
                      <w:color w:val="auto"/>
                      <w:sz w:val="21"/>
                      <w:szCs w:val="21"/>
                    </w:rPr>
                    <w:t>原料的输送、计量及投料均为封闭式</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皮带输送要进行密闭</w:t>
                  </w:r>
                  <w:r>
                    <w:rPr>
                      <w:rFonts w:hint="default" w:ascii="Times New Roman" w:hAnsi="Times New Roman"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w:t>
                  </w:r>
                </w:p>
              </w:tc>
              <w:tc>
                <w:tcPr>
                  <w:tcW w:w="516" w:type="pct"/>
                  <w:vAlign w:val="center"/>
                </w:tcPr>
                <w:p w14:paraId="2D73D2BB">
                  <w:pPr>
                    <w:pStyle w:val="5"/>
                    <w:autoSpaceDE/>
                    <w:autoSpaceDN/>
                    <w:adjustRightInd w:val="0"/>
                    <w:snapToGrid w:val="0"/>
                    <w:spacing w:line="240" w:lineRule="auto"/>
                    <w:jc w:val="center"/>
                    <w:rPr>
                      <w:rFonts w:hint="default" w:ascii="Times New Roman" w:hAnsi="Times New Roman" w:cs="Times New Roman"/>
                      <w:b w:val="0"/>
                      <w:bCs w:val="0"/>
                      <w:color w:val="auto"/>
                      <w:sz w:val="21"/>
                      <w:szCs w:val="21"/>
                    </w:rPr>
                  </w:pPr>
                  <w:bookmarkStart w:id="16" w:name="_Toc19471"/>
                  <w:bookmarkStart w:id="17" w:name="_Toc10840"/>
                  <w:r>
                    <w:rPr>
                      <w:rFonts w:hint="default" w:ascii="Times New Roman" w:hAnsi="Times New Roman" w:cs="Times New Roman"/>
                      <w:b w:val="0"/>
                      <w:bCs w:val="0"/>
                      <w:color w:val="auto"/>
                      <w:sz w:val="21"/>
                      <w:szCs w:val="21"/>
                    </w:rPr>
                    <w:t>新建</w:t>
                  </w:r>
                  <w:bookmarkEnd w:id="16"/>
                  <w:bookmarkEnd w:id="17"/>
                </w:p>
              </w:tc>
            </w:tr>
            <w:tr w14:paraId="540D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450" w:type="pct"/>
                  <w:vMerge w:val="continue"/>
                  <w:vAlign w:val="center"/>
                </w:tcPr>
                <w:p w14:paraId="00A7EA50">
                  <w:pPr>
                    <w:pStyle w:val="5"/>
                    <w:autoSpaceDE/>
                    <w:autoSpaceDN/>
                    <w:adjustRightInd w:val="0"/>
                    <w:snapToGrid w:val="0"/>
                    <w:spacing w:line="240" w:lineRule="auto"/>
                    <w:rPr>
                      <w:rFonts w:hint="default" w:ascii="Times New Roman" w:hAnsi="Times New Roman" w:cs="Times New Roman"/>
                      <w:color w:val="auto"/>
                      <w:sz w:val="21"/>
                      <w:szCs w:val="21"/>
                    </w:rPr>
                  </w:pPr>
                </w:p>
              </w:tc>
              <w:tc>
                <w:tcPr>
                  <w:tcW w:w="552" w:type="pct"/>
                  <w:vMerge w:val="continue"/>
                  <w:vAlign w:val="center"/>
                </w:tcPr>
                <w:p w14:paraId="6AEB3300">
                  <w:pPr>
                    <w:pStyle w:val="5"/>
                    <w:autoSpaceDE/>
                    <w:autoSpaceDN/>
                    <w:adjustRightInd w:val="0"/>
                    <w:snapToGrid w:val="0"/>
                    <w:spacing w:line="240" w:lineRule="auto"/>
                    <w:rPr>
                      <w:rFonts w:hint="default" w:ascii="Times New Roman" w:hAnsi="Times New Roman" w:cs="Times New Roman"/>
                      <w:color w:val="auto"/>
                      <w:sz w:val="21"/>
                      <w:szCs w:val="21"/>
                    </w:rPr>
                  </w:pPr>
                </w:p>
              </w:tc>
              <w:tc>
                <w:tcPr>
                  <w:tcW w:w="664" w:type="pct"/>
                  <w:vAlign w:val="center"/>
                </w:tcPr>
                <w:p w14:paraId="44D93B22">
                  <w:pPr>
                    <w:pStyle w:val="5"/>
                    <w:autoSpaceDE/>
                    <w:autoSpaceDN/>
                    <w:adjustRightInd w:val="0"/>
                    <w:snapToGrid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搅拌机</w:t>
                  </w:r>
                </w:p>
                <w:p w14:paraId="6256DA13">
                  <w:pPr>
                    <w:pStyle w:val="5"/>
                    <w:autoSpaceDE/>
                    <w:autoSpaceDN/>
                    <w:adjustRightInd w:val="0"/>
                    <w:snapToGrid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粉尘</w:t>
                  </w:r>
                </w:p>
              </w:tc>
              <w:tc>
                <w:tcPr>
                  <w:tcW w:w="2816" w:type="pct"/>
                  <w:vAlign w:val="center"/>
                </w:tcPr>
                <w:p w14:paraId="607B9703">
                  <w:pPr>
                    <w:pStyle w:val="5"/>
                    <w:autoSpaceDE/>
                    <w:autoSpaceDN/>
                    <w:adjustRightInd w:val="0"/>
                    <w:snapToGrid w:val="0"/>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各种物料进入搅拌机时，小粒径颗粒物会飘散形成粉尘，尤其是加入搅拌机内的</w:t>
                  </w:r>
                  <w:r>
                    <w:rPr>
                      <w:rFonts w:hint="default" w:ascii="Times New Roman" w:hAnsi="Times New Roman" w:cs="Times New Roman"/>
                      <w:b w:val="0"/>
                      <w:bCs w:val="0"/>
                      <w:color w:val="auto"/>
                      <w:sz w:val="21"/>
                      <w:szCs w:val="21"/>
                      <w:lang w:val="en-US" w:eastAsia="zh-CN"/>
                    </w:rPr>
                    <w:t>粉料</w:t>
                  </w:r>
                  <w:r>
                    <w:rPr>
                      <w:rFonts w:hint="default" w:ascii="Times New Roman" w:hAnsi="Times New Roman" w:cs="Times New Roman"/>
                      <w:b w:val="0"/>
                      <w:bCs w:val="0"/>
                      <w:color w:val="auto"/>
                      <w:sz w:val="21"/>
                      <w:szCs w:val="21"/>
                    </w:rPr>
                    <w:t>。物料通过密闭管道输送及收集，搅拌机搅拌过程中为密闭状态。本项目对搅拌机和投料口采用彩钢板进行整体封闭。</w:t>
                  </w:r>
                </w:p>
              </w:tc>
              <w:tc>
                <w:tcPr>
                  <w:tcW w:w="516" w:type="pct"/>
                  <w:vAlign w:val="center"/>
                </w:tcPr>
                <w:p w14:paraId="0CEED25F">
                  <w:pPr>
                    <w:pStyle w:val="5"/>
                    <w:autoSpaceDE/>
                    <w:autoSpaceDN/>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新建</w:t>
                  </w:r>
                </w:p>
              </w:tc>
            </w:tr>
            <w:tr w14:paraId="01C8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50" w:type="pct"/>
                  <w:vMerge w:val="continue"/>
                  <w:vAlign w:val="center"/>
                </w:tcPr>
                <w:p w14:paraId="00D3AB93">
                  <w:pPr>
                    <w:pStyle w:val="5"/>
                    <w:autoSpaceDE/>
                    <w:autoSpaceDN/>
                    <w:adjustRightInd w:val="0"/>
                    <w:snapToGrid w:val="0"/>
                    <w:spacing w:line="240" w:lineRule="auto"/>
                    <w:rPr>
                      <w:rFonts w:hint="default" w:ascii="Times New Roman" w:hAnsi="Times New Roman" w:cs="Times New Roman"/>
                      <w:color w:val="auto"/>
                      <w:sz w:val="21"/>
                      <w:szCs w:val="21"/>
                    </w:rPr>
                  </w:pPr>
                </w:p>
              </w:tc>
              <w:tc>
                <w:tcPr>
                  <w:tcW w:w="552" w:type="pct"/>
                  <w:vMerge w:val="restart"/>
                  <w:vAlign w:val="center"/>
                </w:tcPr>
                <w:p w14:paraId="11E51910">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废水治理设施</w:t>
                  </w:r>
                </w:p>
              </w:tc>
              <w:tc>
                <w:tcPr>
                  <w:tcW w:w="664" w:type="pct"/>
                  <w:vAlign w:val="center"/>
                </w:tcPr>
                <w:p w14:paraId="0D738293">
                  <w:pPr>
                    <w:pStyle w:val="30"/>
                    <w:spacing w:before="2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沉淀池</w:t>
                  </w:r>
                </w:p>
              </w:tc>
              <w:tc>
                <w:tcPr>
                  <w:tcW w:w="2816" w:type="pct"/>
                  <w:vAlign w:val="center"/>
                </w:tcPr>
                <w:p w14:paraId="4F2CFFE6">
                  <w:pPr>
                    <w:pStyle w:val="30"/>
                    <w:spacing w:before="2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生产废水主要为搅拌机冲洗废水和运输车辆冲洗废水。废水经三级沉淀池（设计容约为200m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）处理后循环使用，不外排。</w:t>
                  </w:r>
                </w:p>
              </w:tc>
              <w:tc>
                <w:tcPr>
                  <w:tcW w:w="516" w:type="pct"/>
                  <w:vAlign w:val="center"/>
                </w:tcPr>
                <w:p w14:paraId="4BBE544A">
                  <w:pPr>
                    <w:pStyle w:val="5"/>
                    <w:autoSpaceDE/>
                    <w:autoSpaceDN/>
                    <w:adjustRightInd w:val="0"/>
                    <w:snapToGrid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新建</w:t>
                  </w:r>
                </w:p>
              </w:tc>
            </w:tr>
            <w:tr w14:paraId="3EE6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50" w:type="pct"/>
                  <w:vMerge w:val="continue"/>
                  <w:vAlign w:val="center"/>
                </w:tcPr>
                <w:p w14:paraId="7B451872">
                  <w:pPr>
                    <w:pStyle w:val="5"/>
                    <w:autoSpaceDE/>
                    <w:autoSpaceDN/>
                    <w:adjustRightInd w:val="0"/>
                    <w:snapToGrid w:val="0"/>
                    <w:spacing w:line="240" w:lineRule="auto"/>
                    <w:rPr>
                      <w:rFonts w:hint="default" w:ascii="Times New Roman" w:hAnsi="Times New Roman" w:cs="Times New Roman"/>
                      <w:color w:val="auto"/>
                      <w:sz w:val="21"/>
                      <w:szCs w:val="21"/>
                    </w:rPr>
                  </w:pPr>
                </w:p>
              </w:tc>
              <w:tc>
                <w:tcPr>
                  <w:tcW w:w="552" w:type="pct"/>
                  <w:vMerge w:val="continue"/>
                  <w:vAlign w:val="center"/>
                </w:tcPr>
                <w:p w14:paraId="5B6E9CC1">
                  <w:pPr>
                    <w:autoSpaceDE/>
                    <w:autoSpaceDN/>
                    <w:adjustRightInd w:val="0"/>
                    <w:snapToGrid w:val="0"/>
                    <w:jc w:val="center"/>
                    <w:rPr>
                      <w:rFonts w:hint="default" w:ascii="Times New Roman" w:hAnsi="Times New Roman" w:cs="Times New Roman"/>
                      <w:color w:val="auto"/>
                      <w:sz w:val="21"/>
                      <w:szCs w:val="21"/>
                    </w:rPr>
                  </w:pPr>
                </w:p>
              </w:tc>
              <w:tc>
                <w:tcPr>
                  <w:tcW w:w="664" w:type="pct"/>
                  <w:vAlign w:val="center"/>
                </w:tcPr>
                <w:p w14:paraId="07310BF7">
                  <w:pPr>
                    <w:pStyle w:val="30"/>
                    <w:spacing w:before="2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化粪池</w:t>
                  </w:r>
                </w:p>
              </w:tc>
              <w:tc>
                <w:tcPr>
                  <w:tcW w:w="2816" w:type="pct"/>
                  <w:vAlign w:val="center"/>
                </w:tcPr>
                <w:p w14:paraId="70AC98C2">
                  <w:pPr>
                    <w:pStyle w:val="30"/>
                    <w:spacing w:before="2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办公区</w:t>
                  </w:r>
                  <w:r>
                    <w:rPr>
                      <w:rFonts w:hint="default" w:ascii="Times New Roman" w:hAnsi="Times New Roman" w:eastAsia="宋体" w:cs="Times New Roman"/>
                      <w:b w:val="0"/>
                      <w:bCs w:val="0"/>
                      <w:color w:val="auto"/>
                      <w:kern w:val="2"/>
                      <w:sz w:val="21"/>
                      <w:szCs w:val="21"/>
                      <w:lang w:val="en-US" w:eastAsia="zh-CN" w:bidi="ar-SA"/>
                    </w:rPr>
                    <w:t>设置水冲厕，设置1个容积为3m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的化粪池，对生活污水进行预处理后，进入一体化污水处理站处理。</w:t>
                  </w:r>
                </w:p>
              </w:tc>
              <w:tc>
                <w:tcPr>
                  <w:tcW w:w="516" w:type="pct"/>
                  <w:vAlign w:val="center"/>
                </w:tcPr>
                <w:p w14:paraId="4138677C">
                  <w:pPr>
                    <w:pStyle w:val="5"/>
                    <w:autoSpaceDE/>
                    <w:autoSpaceDN/>
                    <w:adjustRightInd w:val="0"/>
                    <w:snapToGrid w:val="0"/>
                    <w:spacing w:line="240" w:lineRule="auto"/>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新建</w:t>
                  </w:r>
                </w:p>
              </w:tc>
            </w:tr>
            <w:tr w14:paraId="0C49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50" w:type="pct"/>
                  <w:vMerge w:val="continue"/>
                  <w:vAlign w:val="center"/>
                </w:tcPr>
                <w:p w14:paraId="3D828342">
                  <w:pPr>
                    <w:pStyle w:val="5"/>
                    <w:autoSpaceDE/>
                    <w:autoSpaceDN/>
                    <w:adjustRightInd w:val="0"/>
                    <w:snapToGrid w:val="0"/>
                    <w:spacing w:line="240" w:lineRule="auto"/>
                    <w:rPr>
                      <w:rFonts w:hint="default" w:ascii="Times New Roman" w:hAnsi="Times New Roman" w:cs="Times New Roman"/>
                      <w:color w:val="auto"/>
                      <w:sz w:val="21"/>
                      <w:szCs w:val="21"/>
                    </w:rPr>
                  </w:pPr>
                </w:p>
              </w:tc>
              <w:tc>
                <w:tcPr>
                  <w:tcW w:w="552" w:type="pct"/>
                  <w:vMerge w:val="continue"/>
                  <w:vAlign w:val="center"/>
                </w:tcPr>
                <w:p w14:paraId="72996E63">
                  <w:pPr>
                    <w:autoSpaceDE/>
                    <w:autoSpaceDN/>
                    <w:adjustRightInd w:val="0"/>
                    <w:snapToGrid w:val="0"/>
                    <w:jc w:val="center"/>
                    <w:rPr>
                      <w:rFonts w:hint="default" w:ascii="Times New Roman" w:hAnsi="Times New Roman" w:cs="Times New Roman"/>
                      <w:color w:val="auto"/>
                      <w:sz w:val="21"/>
                      <w:szCs w:val="21"/>
                    </w:rPr>
                  </w:pPr>
                </w:p>
              </w:tc>
              <w:tc>
                <w:tcPr>
                  <w:tcW w:w="664" w:type="pct"/>
                  <w:vAlign w:val="center"/>
                </w:tcPr>
                <w:p w14:paraId="4F12CAAF">
                  <w:pPr>
                    <w:pStyle w:val="30"/>
                    <w:spacing w:before="2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污水处理站、中水池</w:t>
                  </w:r>
                </w:p>
              </w:tc>
              <w:tc>
                <w:tcPr>
                  <w:tcW w:w="2816" w:type="pct"/>
                  <w:vAlign w:val="center"/>
                </w:tcPr>
                <w:p w14:paraId="66EE7697">
                  <w:pPr>
                    <w:pStyle w:val="30"/>
                    <w:spacing w:before="2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设置1个处理规模为2m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/d的污水处理站，对化粪池预处理后的生活污水进行处理后达到《城市污水再生利用 城市杂用水水质》（GB/T 18920-2020）中道路绿化、降尘标准后回用于项目区绿化及道路洒水降尘。在污水处理站旁边设一个容积为5m3的中水收集池，用于雨天暂存污水处理站处理后的中水。</w:t>
                  </w:r>
                </w:p>
              </w:tc>
              <w:tc>
                <w:tcPr>
                  <w:tcW w:w="516" w:type="pct"/>
                  <w:vAlign w:val="center"/>
                </w:tcPr>
                <w:p w14:paraId="2A436BA5">
                  <w:pPr>
                    <w:pStyle w:val="5"/>
                    <w:autoSpaceDE/>
                    <w:autoSpaceDN/>
                    <w:adjustRightInd w:val="0"/>
                    <w:snapToGrid w:val="0"/>
                    <w:spacing w:line="240" w:lineRule="auto"/>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新建</w:t>
                  </w:r>
                </w:p>
              </w:tc>
            </w:tr>
            <w:tr w14:paraId="7CDE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365C1B21">
                  <w:pPr>
                    <w:autoSpaceDE/>
                    <w:autoSpaceDN/>
                    <w:adjustRightInd w:val="0"/>
                    <w:snapToGrid w:val="0"/>
                    <w:rPr>
                      <w:rFonts w:hint="default" w:ascii="Times New Roman" w:hAnsi="Times New Roman" w:cs="Times New Roman"/>
                      <w:color w:val="auto"/>
                      <w:sz w:val="21"/>
                      <w:szCs w:val="21"/>
                    </w:rPr>
                  </w:pPr>
                </w:p>
              </w:tc>
              <w:tc>
                <w:tcPr>
                  <w:tcW w:w="552" w:type="pct"/>
                  <w:vMerge w:val="continue"/>
                  <w:vAlign w:val="center"/>
                </w:tcPr>
                <w:p w14:paraId="4299E11A">
                  <w:pPr>
                    <w:autoSpaceDE/>
                    <w:autoSpaceDN/>
                    <w:adjustRightInd w:val="0"/>
                    <w:snapToGrid w:val="0"/>
                    <w:jc w:val="center"/>
                    <w:rPr>
                      <w:rFonts w:hint="default" w:ascii="Times New Roman" w:hAnsi="Times New Roman" w:cs="Times New Roman"/>
                      <w:color w:val="auto"/>
                      <w:sz w:val="21"/>
                      <w:szCs w:val="21"/>
                    </w:rPr>
                  </w:pPr>
                </w:p>
              </w:tc>
              <w:tc>
                <w:tcPr>
                  <w:tcW w:w="664" w:type="pct"/>
                  <w:vAlign w:val="center"/>
                </w:tcPr>
                <w:p w14:paraId="27CB31ED">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初期雨水收集池</w:t>
                  </w:r>
                </w:p>
              </w:tc>
              <w:tc>
                <w:tcPr>
                  <w:tcW w:w="2816" w:type="pct"/>
                  <w:vAlign w:val="center"/>
                </w:tcPr>
                <w:p w14:paraId="216B2761">
                  <w:pPr>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在项目区西南侧地势较低处设置1个容积为</w:t>
                  </w:r>
                  <w:r>
                    <w:rPr>
                      <w:rFonts w:hint="default" w:ascii="Times New Roman" w:hAnsi="Times New Roman" w:cs="Times New Roman"/>
                      <w:color w:val="auto"/>
                      <w:sz w:val="21"/>
                      <w:szCs w:val="21"/>
                      <w:lang w:val="en-US" w:eastAsia="zh-CN"/>
                    </w:rPr>
                    <w:t>54</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的初期雨水收集池，</w:t>
                  </w:r>
                  <w:r>
                    <w:rPr>
                      <w:rFonts w:hint="default" w:ascii="Times New Roman" w:hAnsi="Times New Roman" w:cs="Times New Roman"/>
                      <w:color w:val="auto"/>
                      <w:sz w:val="21"/>
                      <w:szCs w:val="21"/>
                      <w:lang w:eastAsia="zh-CN" w:bidi="ar"/>
                    </w:rPr>
                    <w:t>项目区实行雨污分流。初期雨水经项目内新建的雨水排水沟（东侧拟布设有混凝土排水沟，尺寸0.4×0.4m，长206m）汇集后进入</w:t>
                  </w:r>
                  <w:r>
                    <w:rPr>
                      <w:rFonts w:hint="default" w:ascii="Times New Roman" w:hAnsi="Times New Roman" w:cs="Times New Roman"/>
                      <w:color w:val="auto"/>
                      <w:sz w:val="21"/>
                      <w:szCs w:val="21"/>
                      <w:lang w:val="en-US" w:eastAsia="zh-CN" w:bidi="ar"/>
                    </w:rPr>
                    <w:t>54</w:t>
                  </w:r>
                  <w:r>
                    <w:rPr>
                      <w:rFonts w:hint="default" w:ascii="Times New Roman" w:hAnsi="Times New Roman" w:cs="Times New Roman"/>
                      <w:color w:val="auto"/>
                      <w:sz w:val="21"/>
                      <w:szCs w:val="21"/>
                      <w:lang w:eastAsia="zh-CN" w:bidi="ar"/>
                    </w:rPr>
                    <w:t>m</w:t>
                  </w:r>
                  <w:r>
                    <w:rPr>
                      <w:rFonts w:hint="default" w:ascii="Times New Roman" w:hAnsi="Times New Roman" w:cs="Times New Roman"/>
                      <w:color w:val="auto"/>
                      <w:sz w:val="21"/>
                      <w:szCs w:val="21"/>
                      <w:vertAlign w:val="superscript"/>
                      <w:lang w:eastAsia="zh-CN" w:bidi="ar"/>
                    </w:rPr>
                    <w:t>3</w:t>
                  </w:r>
                  <w:r>
                    <w:rPr>
                      <w:rFonts w:hint="default" w:ascii="Times New Roman" w:hAnsi="Times New Roman" w:cs="Times New Roman"/>
                      <w:color w:val="auto"/>
                      <w:sz w:val="21"/>
                      <w:szCs w:val="21"/>
                      <w:lang w:eastAsia="zh-CN" w:bidi="ar"/>
                    </w:rPr>
                    <w:t>初期雨水收集池内，回用于生产或洒水降尘，不外排。</w:t>
                  </w:r>
                </w:p>
              </w:tc>
              <w:tc>
                <w:tcPr>
                  <w:tcW w:w="516" w:type="pct"/>
                  <w:vAlign w:val="center"/>
                </w:tcPr>
                <w:p w14:paraId="607EDE54">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71CC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50" w:type="pct"/>
                  <w:vMerge w:val="continue"/>
                  <w:vAlign w:val="center"/>
                </w:tcPr>
                <w:p w14:paraId="283E1478">
                  <w:pPr>
                    <w:autoSpaceDE/>
                    <w:autoSpaceDN/>
                    <w:adjustRightInd w:val="0"/>
                    <w:snapToGrid w:val="0"/>
                    <w:rPr>
                      <w:rFonts w:hint="default" w:ascii="Times New Roman" w:hAnsi="Times New Roman" w:cs="Times New Roman"/>
                      <w:color w:val="auto"/>
                      <w:sz w:val="21"/>
                      <w:szCs w:val="21"/>
                    </w:rPr>
                  </w:pPr>
                </w:p>
              </w:tc>
              <w:tc>
                <w:tcPr>
                  <w:tcW w:w="1216" w:type="pct"/>
                  <w:gridSpan w:val="2"/>
                  <w:vAlign w:val="center"/>
                </w:tcPr>
                <w:p w14:paraId="1093E99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噪声控制</w:t>
                  </w:r>
                </w:p>
              </w:tc>
              <w:tc>
                <w:tcPr>
                  <w:tcW w:w="2816" w:type="pct"/>
                  <w:vAlign w:val="center"/>
                </w:tcPr>
                <w:p w14:paraId="34C09331">
                  <w:pPr>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项目建成后，噪声主要来自搅拌机、输送带、</w:t>
                  </w:r>
                  <w:r>
                    <w:rPr>
                      <w:rFonts w:hint="default" w:ascii="Times New Roman" w:hAnsi="Times New Roman" w:cs="Times New Roman"/>
                      <w:color w:val="auto"/>
                      <w:sz w:val="21"/>
                      <w:szCs w:val="21"/>
                      <w:lang w:val="en-US" w:eastAsia="zh-CN"/>
                    </w:rPr>
                    <w:t>水泵</w:t>
                  </w:r>
                  <w:r>
                    <w:rPr>
                      <w:rFonts w:hint="default" w:ascii="Times New Roman" w:hAnsi="Times New Roman" w:cs="Times New Roman"/>
                      <w:color w:val="auto"/>
                      <w:sz w:val="21"/>
                      <w:szCs w:val="21"/>
                      <w:lang w:eastAsia="zh-CN"/>
                    </w:rPr>
                    <w:t>、风机、装载机等产生的噪声。设备噪声在80～90dB(A)之间。对于上述设备产生的噪声，采取基础减振、合理布局、产噪设备远离居民等措施，限制噪声向外传播。</w:t>
                  </w:r>
                </w:p>
              </w:tc>
              <w:tc>
                <w:tcPr>
                  <w:tcW w:w="516" w:type="pct"/>
                  <w:vAlign w:val="center"/>
                </w:tcPr>
                <w:p w14:paraId="0F72DD8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31F2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50" w:type="pct"/>
                  <w:vMerge w:val="continue"/>
                  <w:vAlign w:val="center"/>
                </w:tcPr>
                <w:p w14:paraId="0EAC9DB3">
                  <w:pPr>
                    <w:autoSpaceDE/>
                    <w:autoSpaceDN/>
                    <w:adjustRightInd w:val="0"/>
                    <w:snapToGrid w:val="0"/>
                    <w:rPr>
                      <w:rFonts w:hint="default" w:ascii="Times New Roman" w:hAnsi="Times New Roman" w:cs="Times New Roman"/>
                      <w:color w:val="auto"/>
                      <w:sz w:val="21"/>
                      <w:szCs w:val="21"/>
                    </w:rPr>
                  </w:pPr>
                </w:p>
              </w:tc>
              <w:tc>
                <w:tcPr>
                  <w:tcW w:w="552" w:type="pct"/>
                  <w:vMerge w:val="restart"/>
                  <w:vAlign w:val="center"/>
                </w:tcPr>
                <w:p w14:paraId="2C42DD0B">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固废治理设施</w:t>
                  </w:r>
                </w:p>
              </w:tc>
              <w:tc>
                <w:tcPr>
                  <w:tcW w:w="664" w:type="pct"/>
                  <w:vAlign w:val="center"/>
                </w:tcPr>
                <w:p w14:paraId="2E7FFFD3">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垃圾收集设施</w:t>
                  </w:r>
                </w:p>
              </w:tc>
              <w:tc>
                <w:tcPr>
                  <w:tcW w:w="2816" w:type="pct"/>
                  <w:vAlign w:val="center"/>
                </w:tcPr>
                <w:p w14:paraId="1588B441">
                  <w:pPr>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办公区布置垃圾桶，收集日常员工的生活垃圾，</w:t>
                  </w:r>
                  <w:r>
                    <w:rPr>
                      <w:rFonts w:hint="default" w:ascii="Times New Roman" w:hAnsi="Times New Roman" w:cs="Times New Roman"/>
                      <w:color w:val="auto"/>
                      <w:sz w:val="21"/>
                      <w:szCs w:val="21"/>
                      <w:lang w:eastAsia="zh-CN" w:bidi="ar"/>
                    </w:rPr>
                    <w:t>生活垃圾</w:t>
                  </w:r>
                  <w:r>
                    <w:rPr>
                      <w:rFonts w:hint="default" w:ascii="Times New Roman" w:hAnsi="Times New Roman" w:cs="Times New Roman"/>
                      <w:color w:val="auto"/>
                      <w:sz w:val="21"/>
                      <w:szCs w:val="21"/>
                      <w:lang w:eastAsia="zh-CN"/>
                    </w:rPr>
                    <w:t>集中收集后由管理人员定期清运至</w:t>
                  </w:r>
                  <w:r>
                    <w:rPr>
                      <w:rFonts w:hint="default" w:ascii="Times New Roman" w:hAnsi="Times New Roman" w:cs="Times New Roman"/>
                      <w:color w:val="auto"/>
                      <w:sz w:val="21"/>
                      <w:szCs w:val="21"/>
                      <w:lang w:val="en-US" w:eastAsia="zh-CN"/>
                    </w:rPr>
                    <w:t>老厂乡</w:t>
                  </w:r>
                  <w:r>
                    <w:rPr>
                      <w:rFonts w:hint="default" w:ascii="Times New Roman" w:hAnsi="Times New Roman" w:cs="Times New Roman"/>
                      <w:color w:val="auto"/>
                      <w:sz w:val="21"/>
                      <w:szCs w:val="21"/>
                      <w:lang w:eastAsia="zh-CN"/>
                    </w:rPr>
                    <w:t>垃圾收集点清运处置。</w:t>
                  </w:r>
                </w:p>
              </w:tc>
              <w:tc>
                <w:tcPr>
                  <w:tcW w:w="516" w:type="pct"/>
                  <w:vAlign w:val="center"/>
                </w:tcPr>
                <w:p w14:paraId="4B0A2B4C">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3F29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Merge w:val="continue"/>
                  <w:vAlign w:val="center"/>
                </w:tcPr>
                <w:p w14:paraId="07F94191">
                  <w:pPr>
                    <w:autoSpaceDE/>
                    <w:autoSpaceDN/>
                    <w:adjustRightInd w:val="0"/>
                    <w:snapToGrid w:val="0"/>
                    <w:rPr>
                      <w:rFonts w:hint="default" w:ascii="Times New Roman" w:hAnsi="Times New Roman" w:cs="Times New Roman"/>
                      <w:color w:val="auto"/>
                      <w:sz w:val="21"/>
                      <w:szCs w:val="21"/>
                    </w:rPr>
                  </w:pPr>
                </w:p>
              </w:tc>
              <w:tc>
                <w:tcPr>
                  <w:tcW w:w="552" w:type="pct"/>
                  <w:vMerge w:val="continue"/>
                  <w:vAlign w:val="center"/>
                </w:tcPr>
                <w:p w14:paraId="213B9122">
                  <w:pPr>
                    <w:autoSpaceDE/>
                    <w:autoSpaceDN/>
                    <w:adjustRightInd w:val="0"/>
                    <w:snapToGrid w:val="0"/>
                    <w:jc w:val="center"/>
                    <w:rPr>
                      <w:rFonts w:hint="default" w:ascii="Times New Roman" w:hAnsi="Times New Roman" w:cs="Times New Roman"/>
                      <w:color w:val="auto"/>
                      <w:sz w:val="21"/>
                      <w:szCs w:val="21"/>
                    </w:rPr>
                  </w:pPr>
                </w:p>
              </w:tc>
              <w:tc>
                <w:tcPr>
                  <w:tcW w:w="664" w:type="pct"/>
                  <w:vAlign w:val="center"/>
                </w:tcPr>
                <w:p w14:paraId="0482F4C5">
                  <w:pPr>
                    <w:autoSpaceDE/>
                    <w:autoSpaceDN/>
                    <w:adjustRightInd w:val="0"/>
                    <w:snapToGrid w:val="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沉淀池</w:t>
                  </w:r>
                </w:p>
                <w:p w14:paraId="78016A11">
                  <w:pPr>
                    <w:autoSpaceDE/>
                    <w:autoSpaceDN/>
                    <w:adjustRightInd w:val="0"/>
                    <w:snapToGrid w:val="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沉渣</w:t>
                  </w:r>
                </w:p>
              </w:tc>
              <w:tc>
                <w:tcPr>
                  <w:tcW w:w="2816" w:type="pct"/>
                  <w:vAlign w:val="center"/>
                </w:tcPr>
                <w:p w14:paraId="281DB43B">
                  <w:pPr>
                    <w:autoSpaceDE/>
                    <w:autoSpaceDN/>
                    <w:adjustRightInd w:val="0"/>
                    <w:snapToGrid w:val="0"/>
                    <w:jc w:val="center"/>
                    <w:rPr>
                      <w:rFonts w:hint="default" w:ascii="Times New Roman" w:hAnsi="Times New Roman" w:eastAsia="宋体" w:cs="Times New Roman"/>
                      <w:color w:val="auto"/>
                      <w:sz w:val="21"/>
                      <w:szCs w:val="21"/>
                      <w:lang w:eastAsia="zh-CN" w:bidi="ar"/>
                    </w:rPr>
                  </w:pPr>
                  <w:r>
                    <w:rPr>
                      <w:rFonts w:hint="default" w:ascii="Times New Roman" w:hAnsi="Times New Roman" w:eastAsia="宋体" w:cs="Times New Roman"/>
                      <w:color w:val="auto"/>
                      <w:sz w:val="21"/>
                      <w:szCs w:val="21"/>
                      <w:lang w:eastAsia="zh-CN" w:bidi="ar"/>
                    </w:rPr>
                    <w:t>回用于</w:t>
                  </w:r>
                  <w:r>
                    <w:rPr>
                      <w:rFonts w:hint="default" w:ascii="Times New Roman" w:hAnsi="Times New Roman" w:cs="Times New Roman"/>
                      <w:color w:val="auto"/>
                      <w:sz w:val="21"/>
                      <w:szCs w:val="21"/>
                      <w:lang w:eastAsia="zh-CN" w:bidi="ar"/>
                    </w:rPr>
                    <w:t>拌合料</w:t>
                  </w:r>
                  <w:r>
                    <w:rPr>
                      <w:rFonts w:hint="default" w:ascii="Times New Roman" w:hAnsi="Times New Roman" w:eastAsia="宋体" w:cs="Times New Roman"/>
                      <w:color w:val="auto"/>
                      <w:sz w:val="21"/>
                      <w:szCs w:val="21"/>
                      <w:lang w:eastAsia="zh-CN" w:bidi="ar"/>
                    </w:rPr>
                    <w:t>生产工序。</w:t>
                  </w:r>
                </w:p>
              </w:tc>
              <w:tc>
                <w:tcPr>
                  <w:tcW w:w="516" w:type="pct"/>
                  <w:vAlign w:val="center"/>
                </w:tcPr>
                <w:p w14:paraId="52D631FC">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6C07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2" w:hRule="atLeast"/>
                <w:jc w:val="center"/>
              </w:trPr>
              <w:tc>
                <w:tcPr>
                  <w:tcW w:w="450" w:type="pct"/>
                  <w:vMerge w:val="continue"/>
                  <w:vAlign w:val="center"/>
                </w:tcPr>
                <w:p w14:paraId="74B99BF4">
                  <w:pPr>
                    <w:autoSpaceDE/>
                    <w:autoSpaceDN/>
                    <w:adjustRightInd w:val="0"/>
                    <w:snapToGrid w:val="0"/>
                    <w:rPr>
                      <w:rFonts w:hint="default" w:ascii="Times New Roman" w:hAnsi="Times New Roman" w:cs="Times New Roman"/>
                      <w:color w:val="auto"/>
                      <w:sz w:val="21"/>
                      <w:szCs w:val="21"/>
                    </w:rPr>
                  </w:pPr>
                </w:p>
              </w:tc>
              <w:tc>
                <w:tcPr>
                  <w:tcW w:w="552" w:type="pct"/>
                  <w:vMerge w:val="continue"/>
                  <w:vAlign w:val="center"/>
                </w:tcPr>
                <w:p w14:paraId="7DB84768">
                  <w:pPr>
                    <w:autoSpaceDE/>
                    <w:autoSpaceDN/>
                    <w:adjustRightInd w:val="0"/>
                    <w:snapToGrid w:val="0"/>
                    <w:jc w:val="center"/>
                    <w:rPr>
                      <w:rFonts w:hint="default" w:ascii="Times New Roman" w:hAnsi="Times New Roman" w:cs="Times New Roman"/>
                      <w:color w:val="auto"/>
                      <w:sz w:val="21"/>
                      <w:szCs w:val="21"/>
                    </w:rPr>
                  </w:pPr>
                </w:p>
              </w:tc>
              <w:tc>
                <w:tcPr>
                  <w:tcW w:w="664" w:type="pct"/>
                  <w:vAlign w:val="center"/>
                </w:tcPr>
                <w:p w14:paraId="73442323">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危废贮</w:t>
                  </w:r>
                </w:p>
                <w:p w14:paraId="307FE66F">
                  <w:pPr>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存库</w:t>
                  </w:r>
                </w:p>
              </w:tc>
              <w:tc>
                <w:tcPr>
                  <w:tcW w:w="2816" w:type="pct"/>
                  <w:vAlign w:val="center"/>
                </w:tcPr>
                <w:p w14:paraId="74E08114">
                  <w:pPr>
                    <w:widowControl/>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在</w:t>
                  </w:r>
                  <w:r>
                    <w:rPr>
                      <w:rFonts w:hint="default"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lang w:eastAsia="zh-CN"/>
                    </w:rPr>
                    <w:t>设置1个占地面积为5m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的危废贮存库，用于暂存废机油和废油桶，并委托有资质单位定期清运处置。</w:t>
                  </w:r>
                  <w:r>
                    <w:rPr>
                      <w:rFonts w:hint="default" w:ascii="Times New Roman" w:hAnsi="Times New Roman" w:cs="Times New Roman"/>
                      <w:color w:val="auto"/>
                      <w:sz w:val="21"/>
                      <w:szCs w:val="21"/>
                      <w:lang w:eastAsia="zh-CN" w:bidi="ar"/>
                    </w:rPr>
                    <w:t>危废贮存库地面设置导流沟及收集池或设置</w:t>
                  </w:r>
                  <w:r>
                    <w:rPr>
                      <w:rFonts w:hint="default" w:ascii="Times New Roman" w:hAnsi="Times New Roman" w:cs="Times New Roman"/>
                      <w:color w:val="auto"/>
                      <w:sz w:val="21"/>
                      <w:szCs w:val="21"/>
                      <w:lang w:eastAsia="zh-CN"/>
                    </w:rPr>
                    <w:t>事故油盒</w:t>
                  </w:r>
                  <w:r>
                    <w:rPr>
                      <w:rFonts w:hint="default" w:ascii="Times New Roman" w:hAnsi="Times New Roman" w:cs="Times New Roman"/>
                      <w:color w:val="auto"/>
                      <w:sz w:val="21"/>
                      <w:szCs w:val="21"/>
                      <w:lang w:eastAsia="zh-CN" w:bidi="ar"/>
                    </w:rPr>
                    <w:t>，并进行防渗处理。危废贮存库按照《危险废物贮存和污染控制标准》（GB18597-2023）中基础必须防渗，防渗层为至少1m厚粘土层</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bidi="ar"/>
                    </w:rPr>
                    <w:t>渗透系数≤10</w:t>
                  </w:r>
                  <w:r>
                    <w:rPr>
                      <w:rFonts w:hint="default" w:ascii="Times New Roman" w:hAnsi="Times New Roman" w:cs="Times New Roman"/>
                      <w:color w:val="auto"/>
                      <w:sz w:val="21"/>
                      <w:szCs w:val="21"/>
                      <w:vertAlign w:val="superscript"/>
                      <w:lang w:eastAsia="zh-CN" w:bidi="ar"/>
                    </w:rPr>
                    <w:t>-7</w:t>
                  </w:r>
                  <w:r>
                    <w:rPr>
                      <w:rFonts w:hint="default" w:ascii="Times New Roman" w:hAnsi="Times New Roman" w:cs="Times New Roman"/>
                      <w:color w:val="auto"/>
                      <w:sz w:val="21"/>
                      <w:szCs w:val="21"/>
                      <w:lang w:eastAsia="zh-CN" w:bidi="ar"/>
                    </w:rPr>
                    <w:t>cm/s</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bidi="ar"/>
                    </w:rPr>
                    <w:t>，或2mm厚高密度聚乙烯，或至少2mm厚的其它人工材料，渗透系数≤10</w:t>
                  </w:r>
                  <w:r>
                    <w:rPr>
                      <w:rFonts w:hint="default" w:ascii="Times New Roman" w:hAnsi="Times New Roman" w:cs="Times New Roman"/>
                      <w:color w:val="auto"/>
                      <w:sz w:val="21"/>
                      <w:szCs w:val="21"/>
                      <w:vertAlign w:val="superscript"/>
                      <w:lang w:eastAsia="zh-CN" w:bidi="ar"/>
                    </w:rPr>
                    <w:t>-10</w:t>
                  </w:r>
                  <w:r>
                    <w:rPr>
                      <w:rFonts w:hint="default" w:ascii="Times New Roman" w:hAnsi="Times New Roman" w:cs="Times New Roman"/>
                      <w:color w:val="auto"/>
                      <w:sz w:val="21"/>
                      <w:szCs w:val="21"/>
                      <w:lang w:eastAsia="zh-CN" w:bidi="ar"/>
                    </w:rPr>
                    <w:t>cm/s进行防渗，同时</w:t>
                  </w:r>
                  <w:r>
                    <w:rPr>
                      <w:rFonts w:hint="default" w:ascii="Times New Roman" w:hAnsi="Times New Roman" w:cs="Times New Roman"/>
                      <w:color w:val="auto"/>
                      <w:sz w:val="21"/>
                      <w:szCs w:val="21"/>
                      <w:lang w:eastAsia="zh-CN"/>
                    </w:rPr>
                    <w:t xml:space="preserve">张贴规范的标志牌。 </w:t>
                  </w:r>
                </w:p>
              </w:tc>
              <w:tc>
                <w:tcPr>
                  <w:tcW w:w="516" w:type="pct"/>
                  <w:vAlign w:val="center"/>
                </w:tcPr>
                <w:p w14:paraId="1A4DB51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14:paraId="7F94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Align w:val="center"/>
                </w:tcPr>
                <w:p w14:paraId="6D3AC7D8">
                  <w:pPr>
                    <w:autoSpaceDE/>
                    <w:autoSpaceDN/>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依托工程</w:t>
                  </w:r>
                </w:p>
              </w:tc>
              <w:tc>
                <w:tcPr>
                  <w:tcW w:w="1216" w:type="pct"/>
                  <w:gridSpan w:val="2"/>
                  <w:vAlign w:val="center"/>
                </w:tcPr>
                <w:p w14:paraId="752F8ADA">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地下水监测井</w:t>
                  </w:r>
                </w:p>
              </w:tc>
              <w:tc>
                <w:tcPr>
                  <w:tcW w:w="2816" w:type="pct"/>
                  <w:vAlign w:val="center"/>
                </w:tcPr>
                <w:p w14:paraId="39226DC3">
                  <w:pPr>
                    <w:widowControl/>
                    <w:autoSpaceDE/>
                    <w:autoSpaceDN/>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地下水监测井1#位于本项目东北侧330m方向、2#位于本项目东南侧400m方向，地下水监测井依托《老厂集镇西侧滑坡治理及综合开发利用项目》建设的监测井。</w:t>
                  </w:r>
                </w:p>
              </w:tc>
              <w:tc>
                <w:tcPr>
                  <w:tcW w:w="516" w:type="pct"/>
                  <w:vAlign w:val="center"/>
                </w:tcPr>
                <w:p w14:paraId="61D18BDC">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依托</w:t>
                  </w:r>
                </w:p>
              </w:tc>
            </w:tr>
          </w:tbl>
          <w:p w14:paraId="6BEF8A76">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三、</w:t>
            </w:r>
            <w:bookmarkEnd w:id="10"/>
            <w:bookmarkEnd w:id="11"/>
            <w:bookmarkEnd w:id="12"/>
            <w:r>
              <w:rPr>
                <w:rFonts w:hint="default" w:ascii="Times New Roman" w:hAnsi="Times New Roman" w:cs="Times New Roman"/>
                <w:b/>
                <w:color w:val="auto"/>
                <w:sz w:val="24"/>
                <w:lang w:eastAsia="zh-CN"/>
              </w:rPr>
              <w:t>产品方案</w:t>
            </w:r>
          </w:p>
          <w:p w14:paraId="03120ED2">
            <w:pPr>
              <w:spacing w:line="360" w:lineRule="auto"/>
              <w:ind w:firstLine="480" w:firstLineChars="200"/>
              <w:rPr>
                <w:rFonts w:hint="default" w:ascii="Times New Roman" w:hAnsi="Times New Roman" w:cs="Times New Roman"/>
                <w:color w:val="auto"/>
                <w:sz w:val="24"/>
                <w:lang w:eastAsia="zh-CN"/>
              </w:rPr>
            </w:pPr>
            <w:bookmarkStart w:id="18" w:name="_Toc483056313"/>
            <w:bookmarkStart w:id="19" w:name="_Toc483056691"/>
            <w:r>
              <w:rPr>
                <w:rFonts w:hint="default" w:ascii="Times New Roman" w:hAnsi="Times New Roman" w:cs="Times New Roman"/>
                <w:color w:val="auto"/>
                <w:sz w:val="24"/>
                <w:lang w:eastAsia="zh-CN"/>
              </w:rPr>
              <w:t>项目年产约40万立方米合格拌合料。</w:t>
            </w:r>
          </w:p>
          <w:p w14:paraId="4DE0C183">
            <w:pPr>
              <w:spacing w:line="360" w:lineRule="auto"/>
              <w:ind w:firstLine="480" w:firstLineChars="200"/>
              <w:rPr>
                <w:rFonts w:hint="default" w:ascii="Times New Roman" w:hAnsi="Times New Roman" w:cs="Times New Roman"/>
                <w:color w:val="auto"/>
                <w:sz w:val="21"/>
                <w:szCs w:val="21"/>
                <w:lang w:eastAsia="zh-CN"/>
              </w:rPr>
            </w:pPr>
            <w:r>
              <w:rPr>
                <w:rFonts w:hint="default" w:ascii="Times New Roman" w:hAnsi="Times New Roman" w:cs="Times New Roman"/>
                <w:color w:val="auto"/>
                <w:sz w:val="24"/>
                <w:lang w:val="en-US" w:eastAsia="zh-CN"/>
              </w:rPr>
              <w:t>本项目回填拌合料配比：尾矿砂50%：土方25%：公分石25%。</w:t>
            </w:r>
            <w:r>
              <w:rPr>
                <w:rFonts w:hint="default" w:ascii="Times New Roman" w:hAnsi="Times New Roman" w:cs="Times New Roman"/>
                <w:color w:val="auto"/>
                <w:sz w:val="24"/>
                <w:lang w:eastAsia="zh-CN"/>
              </w:rPr>
              <w:t>本项目产品方案见表2-2。</w:t>
            </w:r>
          </w:p>
          <w:p w14:paraId="5AF2C2AA">
            <w:pPr>
              <w:pStyle w:val="31"/>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表2-2  项目产品方案</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440"/>
              <w:gridCol w:w="913"/>
              <w:gridCol w:w="1772"/>
              <w:gridCol w:w="3051"/>
            </w:tblGrid>
            <w:tr w14:paraId="1FEB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34" w:type="pct"/>
                  <w:vAlign w:val="center"/>
                </w:tcPr>
                <w:p w14:paraId="50FF28C1">
                  <w:pPr>
                    <w:widowControl/>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序号</w:t>
                  </w:r>
                </w:p>
              </w:tc>
              <w:tc>
                <w:tcPr>
                  <w:tcW w:w="896" w:type="pct"/>
                  <w:vAlign w:val="center"/>
                </w:tcPr>
                <w:p w14:paraId="0114B113">
                  <w:pPr>
                    <w:widowControl/>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产品名称</w:t>
                  </w:r>
                </w:p>
              </w:tc>
              <w:tc>
                <w:tcPr>
                  <w:tcW w:w="568" w:type="pct"/>
                  <w:vAlign w:val="center"/>
                </w:tcPr>
                <w:p w14:paraId="5671F35D">
                  <w:pPr>
                    <w:widowControl/>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年产量</w:t>
                  </w:r>
                </w:p>
              </w:tc>
              <w:tc>
                <w:tcPr>
                  <w:tcW w:w="1103" w:type="pct"/>
                  <w:vAlign w:val="center"/>
                </w:tcPr>
                <w:p w14:paraId="2632F0B7">
                  <w:pPr>
                    <w:widowControl/>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单位</w:t>
                  </w:r>
                </w:p>
              </w:tc>
              <w:tc>
                <w:tcPr>
                  <w:tcW w:w="1897" w:type="pct"/>
                  <w:vAlign w:val="center"/>
                </w:tcPr>
                <w:p w14:paraId="7C288482">
                  <w:pPr>
                    <w:widowControl/>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14:paraId="1F21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34" w:type="pct"/>
                  <w:vAlign w:val="center"/>
                </w:tcPr>
                <w:p w14:paraId="0945133E">
                  <w:pPr>
                    <w:widowControl/>
                    <w:adjustRightInd w:val="0"/>
                    <w:snapToGrid w:val="0"/>
                    <w:jc w:val="center"/>
                    <w:rPr>
                      <w:rFonts w:hint="default" w:ascii="Times New Roman" w:hAnsi="Times New Roman" w:eastAsia="等线" w:cs="Times New Roman"/>
                      <w:color w:val="auto"/>
                      <w:sz w:val="21"/>
                      <w:szCs w:val="21"/>
                      <w:lang w:eastAsia="zh-CN"/>
                    </w:rPr>
                  </w:pPr>
                  <w:r>
                    <w:rPr>
                      <w:rFonts w:hint="default" w:ascii="Times New Roman" w:hAnsi="Times New Roman" w:eastAsia="等线" w:cs="Times New Roman"/>
                      <w:color w:val="auto"/>
                      <w:sz w:val="21"/>
                      <w:szCs w:val="21"/>
                      <w:lang w:eastAsia="zh-CN"/>
                    </w:rPr>
                    <w:t>1</w:t>
                  </w:r>
                </w:p>
              </w:tc>
              <w:tc>
                <w:tcPr>
                  <w:tcW w:w="896" w:type="pct"/>
                  <w:vAlign w:val="center"/>
                </w:tcPr>
                <w:p w14:paraId="381C5189">
                  <w:pPr>
                    <w:widowControl/>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回填拌合料</w:t>
                  </w:r>
                </w:p>
              </w:tc>
              <w:tc>
                <w:tcPr>
                  <w:tcW w:w="568" w:type="pct"/>
                  <w:vAlign w:val="center"/>
                </w:tcPr>
                <w:p w14:paraId="7B6FA19A">
                  <w:pPr>
                    <w:widowControl/>
                    <w:adjustRightInd w:val="0"/>
                    <w:snapToGrid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1103" w:type="pct"/>
                  <w:vAlign w:val="center"/>
                </w:tcPr>
                <w:p w14:paraId="74D27905">
                  <w:pPr>
                    <w:widowControl/>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万m</w:t>
                  </w:r>
                  <w:r>
                    <w:rPr>
                      <w:rFonts w:hint="default" w:ascii="Times New Roman" w:hAnsi="Times New Roman" w:cs="Times New Roman"/>
                      <w:color w:val="auto"/>
                      <w:sz w:val="21"/>
                      <w:szCs w:val="21"/>
                      <w:vertAlign w:val="superscript"/>
                      <w:lang w:val="en-US" w:eastAsia="zh-CN"/>
                    </w:rPr>
                    <w:t>3</w:t>
                  </w:r>
                </w:p>
              </w:tc>
              <w:tc>
                <w:tcPr>
                  <w:tcW w:w="1897" w:type="pct"/>
                  <w:vAlign w:val="center"/>
                </w:tcPr>
                <w:p w14:paraId="6768BA5D">
                  <w:pPr>
                    <w:widowControl/>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土方、公分石及尾矿砂配比出来的产品为回填拌合料。</w:t>
                  </w:r>
                </w:p>
              </w:tc>
            </w:tr>
            <w:tr w14:paraId="39DD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000" w:type="pct"/>
                  <w:gridSpan w:val="5"/>
                  <w:vAlign w:val="center"/>
                </w:tcPr>
                <w:p w14:paraId="19D7FCE2">
                  <w:pPr>
                    <w:widowControl/>
                    <w:adjustRightInd w:val="0"/>
                    <w:snapToGrid w:val="0"/>
                    <w:jc w:val="left"/>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注：严格按照《中华人民共和国固体废物污染环境防治法》及“固十条”相关要求，建立完整的台账记录体系，具体记录内容包括：1. 产品台账（来源、数量、运输单位、接收时间、检测结果）；2. 生产台账（生产批次、原料配比、产品产量）；3. 产品去向台账（产品运输单位、运输数量、送达治理工程具体部位、接收确认信息）；4. 监测台账（尾矿及产品的放射性、污染物检测数据，土壤及地下水监测结果）。台账实行全程可追溯管理，专人负责、及时更新，留存期限符合环保监管要求，确保每一批原料、产品的流向清晰可查。</w:t>
                  </w:r>
                </w:p>
              </w:tc>
            </w:tr>
            <w:bookmarkEnd w:id="18"/>
            <w:bookmarkEnd w:id="19"/>
          </w:tbl>
          <w:p w14:paraId="008281F9">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根据2026年2月8日《新平县老厂乡集镇西侧滑坡治理项目监测报告》可知本项目产品配比质量数据情况如下表：</w:t>
            </w:r>
          </w:p>
          <w:p w14:paraId="74E3BA38">
            <w:pPr>
              <w:pStyle w:val="31"/>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表2-</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 xml:space="preserve">  </w:t>
            </w:r>
            <w:r>
              <w:rPr>
                <w:rFonts w:hint="default" w:ascii="Times New Roman" w:hAnsi="Times New Roman" w:cs="Times New Roman"/>
                <w:color w:val="auto"/>
                <w:sz w:val="21"/>
                <w:szCs w:val="21"/>
                <w:lang w:val="en-US" w:eastAsia="zh-CN"/>
              </w:rPr>
              <w:t>砂石土配合比检测结果一览表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429"/>
              <w:gridCol w:w="1541"/>
              <w:gridCol w:w="2161"/>
              <w:gridCol w:w="998"/>
            </w:tblGrid>
            <w:tr w14:paraId="3FB9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161269F2">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auto"/>
                      <w:kern w:val="0"/>
                      <w:sz w:val="21"/>
                      <w:szCs w:val="22"/>
                      <w:lang w:val="en-US" w:eastAsia="zh-CN"/>
                    </w:rPr>
                    <w:t>检测项目</w:t>
                  </w:r>
                </w:p>
              </w:tc>
              <w:tc>
                <w:tcPr>
                  <w:tcW w:w="1429" w:type="dxa"/>
                  <w:vAlign w:val="center"/>
                </w:tcPr>
                <w:p w14:paraId="0D876D56">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auto"/>
                      <w:kern w:val="0"/>
                      <w:sz w:val="21"/>
                      <w:szCs w:val="22"/>
                      <w:lang w:val="en-US" w:eastAsia="zh-CN"/>
                    </w:rPr>
                    <w:t>检测结果</w:t>
                  </w:r>
                </w:p>
              </w:tc>
              <w:tc>
                <w:tcPr>
                  <w:tcW w:w="1541" w:type="dxa"/>
                  <w:vAlign w:val="center"/>
                </w:tcPr>
                <w:p w14:paraId="1F89B6AE">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auto"/>
                      <w:kern w:val="0"/>
                      <w:sz w:val="21"/>
                      <w:szCs w:val="22"/>
                      <w:lang w:val="en-US" w:eastAsia="zh-CN"/>
                    </w:rPr>
                    <w:t>规范要求</w:t>
                  </w:r>
                </w:p>
              </w:tc>
              <w:tc>
                <w:tcPr>
                  <w:tcW w:w="2161" w:type="dxa"/>
                  <w:vAlign w:val="center"/>
                </w:tcPr>
                <w:p w14:paraId="62CAA805">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auto"/>
                      <w:kern w:val="0"/>
                      <w:sz w:val="21"/>
                      <w:szCs w:val="22"/>
                      <w:lang w:val="en-US" w:eastAsia="zh-CN"/>
                    </w:rPr>
                    <w:t>GB50021-2001 条文依据</w:t>
                  </w:r>
                </w:p>
              </w:tc>
              <w:tc>
                <w:tcPr>
                  <w:tcW w:w="998" w:type="dxa"/>
                  <w:vAlign w:val="center"/>
                </w:tcPr>
                <w:p w14:paraId="4A157CF6">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auto"/>
                      <w:kern w:val="0"/>
                      <w:sz w:val="21"/>
                      <w:szCs w:val="22"/>
                      <w:lang w:val="en-US" w:eastAsia="zh-CN"/>
                    </w:rPr>
                    <w:t>符合性</w:t>
                  </w:r>
                </w:p>
              </w:tc>
            </w:tr>
            <w:tr w14:paraId="59E9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629ECDAF">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粗集料压碎值</w:t>
                  </w:r>
                </w:p>
              </w:tc>
              <w:tc>
                <w:tcPr>
                  <w:tcW w:w="1429" w:type="dxa"/>
                  <w:vAlign w:val="center"/>
                </w:tcPr>
                <w:p w14:paraId="711946AF">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21.10%</w:t>
                  </w:r>
                </w:p>
              </w:tc>
              <w:tc>
                <w:tcPr>
                  <w:tcW w:w="1541" w:type="dxa"/>
                  <w:vAlign w:val="center"/>
                </w:tcPr>
                <w:p w14:paraId="38501B26">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≤30%</w:t>
                  </w:r>
                </w:p>
              </w:tc>
              <w:tc>
                <w:tcPr>
                  <w:tcW w:w="2161" w:type="dxa"/>
                  <w:vAlign w:val="center"/>
                </w:tcPr>
                <w:p w14:paraId="4F105745">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附录 A 岩土分类与鉴定；填料工程性质指标要求</w:t>
                  </w:r>
                </w:p>
              </w:tc>
              <w:tc>
                <w:tcPr>
                  <w:tcW w:w="998" w:type="dxa"/>
                  <w:vAlign w:val="center"/>
                </w:tcPr>
                <w:p w14:paraId="0380F1C8">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r w14:paraId="16E7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70BFBAE2">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粗集料＜0.075mm 颗粒含量</w:t>
                  </w:r>
                </w:p>
              </w:tc>
              <w:tc>
                <w:tcPr>
                  <w:tcW w:w="1429" w:type="dxa"/>
                  <w:vAlign w:val="center"/>
                </w:tcPr>
                <w:p w14:paraId="2376D3C3">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14.80%</w:t>
                  </w:r>
                </w:p>
              </w:tc>
              <w:tc>
                <w:tcPr>
                  <w:tcW w:w="1541" w:type="dxa"/>
                  <w:vAlign w:val="center"/>
                </w:tcPr>
                <w:p w14:paraId="7986E1D5">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≤20%</w:t>
                  </w:r>
                </w:p>
              </w:tc>
              <w:tc>
                <w:tcPr>
                  <w:tcW w:w="2161" w:type="dxa"/>
                  <w:vAlign w:val="center"/>
                </w:tcPr>
                <w:p w14:paraId="32AEFF16">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第 3 章 岩土分类；第 4 章 填料质量要求；附录 A 土的颗粒级配</w:t>
                  </w:r>
                </w:p>
              </w:tc>
              <w:tc>
                <w:tcPr>
                  <w:tcW w:w="998" w:type="dxa"/>
                  <w:vAlign w:val="center"/>
                </w:tcPr>
                <w:p w14:paraId="73B2B38B">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r w14:paraId="3EE8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7DD35065">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针片状颗粒含量</w:t>
                  </w:r>
                </w:p>
              </w:tc>
              <w:tc>
                <w:tcPr>
                  <w:tcW w:w="1429" w:type="dxa"/>
                  <w:vAlign w:val="center"/>
                </w:tcPr>
                <w:p w14:paraId="5B860A79">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1#：4.5%；2#：9.2%；3#：10.6%</w:t>
                  </w:r>
                </w:p>
              </w:tc>
              <w:tc>
                <w:tcPr>
                  <w:tcW w:w="1541" w:type="dxa"/>
                  <w:vAlign w:val="center"/>
                </w:tcPr>
                <w:p w14:paraId="2756A6FA">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≤20%</w:t>
                  </w:r>
                </w:p>
              </w:tc>
              <w:tc>
                <w:tcPr>
                  <w:tcW w:w="2161" w:type="dxa"/>
                  <w:vAlign w:val="center"/>
                </w:tcPr>
                <w:p w14:paraId="08C76364">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附录 A 碎石土密实度与颗粒形态要求</w:t>
                  </w:r>
                </w:p>
              </w:tc>
              <w:tc>
                <w:tcPr>
                  <w:tcW w:w="998" w:type="dxa"/>
                  <w:vAlign w:val="center"/>
                </w:tcPr>
                <w:p w14:paraId="3E64ACAA">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r w14:paraId="1724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6E2EC15B">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最大干密度</w:t>
                  </w:r>
                </w:p>
              </w:tc>
              <w:tc>
                <w:tcPr>
                  <w:tcW w:w="1429" w:type="dxa"/>
                  <w:vAlign w:val="center"/>
                </w:tcPr>
                <w:p w14:paraId="68E1F12D">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2.23g/cm³</w:t>
                  </w:r>
                </w:p>
              </w:tc>
              <w:tc>
                <w:tcPr>
                  <w:tcW w:w="1541" w:type="dxa"/>
                  <w:vAlign w:val="center"/>
                </w:tcPr>
                <w:p w14:paraId="0DE7B646">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满足填料压实控制</w:t>
                  </w:r>
                </w:p>
              </w:tc>
              <w:tc>
                <w:tcPr>
                  <w:tcW w:w="2161" w:type="dxa"/>
                  <w:vAlign w:val="center"/>
                </w:tcPr>
                <w:p w14:paraId="5EDE2E1E">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第 11 章 室内土工试验；击实试验要求</w:t>
                  </w:r>
                </w:p>
              </w:tc>
              <w:tc>
                <w:tcPr>
                  <w:tcW w:w="998" w:type="dxa"/>
                  <w:vAlign w:val="center"/>
                </w:tcPr>
                <w:p w14:paraId="148D7017">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r w14:paraId="7DFC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685BEBA0">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最佳含水率</w:t>
                  </w:r>
                </w:p>
              </w:tc>
              <w:tc>
                <w:tcPr>
                  <w:tcW w:w="1429" w:type="dxa"/>
                  <w:vAlign w:val="center"/>
                </w:tcPr>
                <w:p w14:paraId="304B6A29">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7.20%</w:t>
                  </w:r>
                </w:p>
              </w:tc>
              <w:tc>
                <w:tcPr>
                  <w:tcW w:w="1541" w:type="dxa"/>
                  <w:vAlign w:val="center"/>
                </w:tcPr>
                <w:p w14:paraId="43901667">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符合施工最优含水率控制</w:t>
                  </w:r>
                </w:p>
              </w:tc>
              <w:tc>
                <w:tcPr>
                  <w:tcW w:w="2161" w:type="dxa"/>
                  <w:vAlign w:val="center"/>
                </w:tcPr>
                <w:p w14:paraId="48C56ADA">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第 11 章 击实试验；填料施工控制指标</w:t>
                  </w:r>
                </w:p>
              </w:tc>
              <w:tc>
                <w:tcPr>
                  <w:tcW w:w="998" w:type="dxa"/>
                  <w:vAlign w:val="center"/>
                </w:tcPr>
                <w:p w14:paraId="1C944759">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r w14:paraId="0222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908" w:type="dxa"/>
                  <w:vAlign w:val="center"/>
                </w:tcPr>
                <w:p w14:paraId="7A50AE37">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液限 / 塑限 / 塑性指数</w:t>
                  </w:r>
                </w:p>
              </w:tc>
              <w:tc>
                <w:tcPr>
                  <w:tcW w:w="1429" w:type="dxa"/>
                  <w:vAlign w:val="center"/>
                </w:tcPr>
                <w:p w14:paraId="6DC1DC36">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49%/25%/24</w:t>
                  </w:r>
                </w:p>
              </w:tc>
              <w:tc>
                <w:tcPr>
                  <w:tcW w:w="1541" w:type="dxa"/>
                  <w:vAlign w:val="center"/>
                </w:tcPr>
                <w:p w14:paraId="2EFABFA8">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符合黏性土分类与评价</w:t>
                  </w:r>
                </w:p>
              </w:tc>
              <w:tc>
                <w:tcPr>
                  <w:tcW w:w="2161" w:type="dxa"/>
                  <w:vAlign w:val="center"/>
                </w:tcPr>
                <w:p w14:paraId="583AC5FB">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第 3 章 土的分类；附录 A 黏性土塑性指数划分</w:t>
                  </w:r>
                </w:p>
              </w:tc>
              <w:tc>
                <w:tcPr>
                  <w:tcW w:w="998" w:type="dxa"/>
                  <w:vAlign w:val="center"/>
                </w:tcPr>
                <w:p w14:paraId="0D3492DF">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r w14:paraId="0540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2B8EEB28">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CBR 值（93%/94%/96%）</w:t>
                  </w:r>
                </w:p>
              </w:tc>
              <w:tc>
                <w:tcPr>
                  <w:tcW w:w="1429" w:type="dxa"/>
                  <w:vAlign w:val="center"/>
                </w:tcPr>
                <w:p w14:paraId="5BE6C46C">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7.8%/8.3%/9.1%</w:t>
                  </w:r>
                </w:p>
              </w:tc>
              <w:tc>
                <w:tcPr>
                  <w:tcW w:w="1541" w:type="dxa"/>
                  <w:vAlign w:val="center"/>
                </w:tcPr>
                <w:p w14:paraId="03D0F868">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满足滑坡治理填料承载力</w:t>
                  </w:r>
                </w:p>
              </w:tc>
              <w:tc>
                <w:tcPr>
                  <w:tcW w:w="2161" w:type="dxa"/>
                  <w:vAlign w:val="center"/>
                </w:tcPr>
                <w:p w14:paraId="3D324AF2">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第 4 章 边坡治理工程填料要求；第 11 章 承载力试验</w:t>
                  </w:r>
                </w:p>
              </w:tc>
              <w:tc>
                <w:tcPr>
                  <w:tcW w:w="998" w:type="dxa"/>
                  <w:vAlign w:val="center"/>
                </w:tcPr>
                <w:p w14:paraId="4C3D2A2A">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r w14:paraId="7ACC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53F30828">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膨胀量</w:t>
                  </w:r>
                </w:p>
              </w:tc>
              <w:tc>
                <w:tcPr>
                  <w:tcW w:w="1429" w:type="dxa"/>
                  <w:vAlign w:val="center"/>
                </w:tcPr>
                <w:p w14:paraId="0AA8A421">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3.72%/3.23%/2.54%</w:t>
                  </w:r>
                </w:p>
              </w:tc>
              <w:tc>
                <w:tcPr>
                  <w:tcW w:w="1541" w:type="dxa"/>
                  <w:vAlign w:val="center"/>
                </w:tcPr>
                <w:p w14:paraId="6D1A633E">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符合填料膨胀特性控制</w:t>
                  </w:r>
                </w:p>
              </w:tc>
              <w:tc>
                <w:tcPr>
                  <w:tcW w:w="2161" w:type="dxa"/>
                  <w:vAlign w:val="center"/>
                </w:tcPr>
                <w:p w14:paraId="06882FB2">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第 6 章 膨胀土评价；附录 D 膨胀特性判别</w:t>
                  </w:r>
                </w:p>
              </w:tc>
              <w:tc>
                <w:tcPr>
                  <w:tcW w:w="998" w:type="dxa"/>
                  <w:vAlign w:val="center"/>
                </w:tcPr>
                <w:p w14:paraId="07A98C9A">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r w14:paraId="4F6E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3AF3227B">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土的分类</w:t>
                  </w:r>
                </w:p>
              </w:tc>
              <w:tc>
                <w:tcPr>
                  <w:tcW w:w="1429" w:type="dxa"/>
                  <w:vAlign w:val="center"/>
                </w:tcPr>
                <w:p w14:paraId="51973C63">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砾砂</w:t>
                  </w:r>
                </w:p>
              </w:tc>
              <w:tc>
                <w:tcPr>
                  <w:tcW w:w="1541" w:type="dxa"/>
                  <w:vAlign w:val="center"/>
                </w:tcPr>
                <w:p w14:paraId="5C6421C9">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符合规范土类划分</w:t>
                  </w:r>
                </w:p>
              </w:tc>
              <w:tc>
                <w:tcPr>
                  <w:tcW w:w="2161" w:type="dxa"/>
                  <w:vAlign w:val="center"/>
                </w:tcPr>
                <w:p w14:paraId="77B0BA4D">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第 3 章 土的分类；附录 A 砾砂、碎石土界定标准</w:t>
                  </w:r>
                </w:p>
              </w:tc>
              <w:tc>
                <w:tcPr>
                  <w:tcW w:w="998" w:type="dxa"/>
                  <w:vAlign w:val="center"/>
                </w:tcPr>
                <w:p w14:paraId="35213606">
                  <w:pPr>
                    <w:keepNext w:val="0"/>
                    <w:keepLines w:val="0"/>
                    <w:pageBreakBefore w:val="0"/>
                    <w:widowControl/>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2"/>
                      <w:lang w:val="en-US" w:eastAsia="zh-CN"/>
                    </w:rPr>
                    <w:t>符合</w:t>
                  </w:r>
                </w:p>
              </w:tc>
            </w:tr>
          </w:tbl>
          <w:p w14:paraId="5736964D">
            <w:pPr>
              <w:spacing w:line="360" w:lineRule="auto"/>
              <w:ind w:firstLine="480" w:firstLineChars="200"/>
              <w:jc w:val="both"/>
              <w:rPr>
                <w:rFonts w:hint="default" w:ascii="Times New Roman" w:hAnsi="Times New Roman" w:cs="Times New Roman"/>
                <w:b/>
                <w:color w:val="auto"/>
                <w:sz w:val="24"/>
                <w:lang w:eastAsia="zh-CN"/>
              </w:rPr>
            </w:pPr>
            <w:r>
              <w:rPr>
                <w:rFonts w:hint="default" w:ascii="Times New Roman" w:hAnsi="Times New Roman" w:cs="Times New Roman"/>
                <w:color w:val="auto"/>
                <w:sz w:val="24"/>
                <w:lang w:val="en-US" w:eastAsia="zh-CN"/>
              </w:rPr>
              <w:t>本</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lang w:val="en-US" w:eastAsia="zh-CN"/>
              </w:rPr>
              <w:t>原辅料经配比后，根据2026年2月8日《新平县老厂乡集镇西侧滑坡治理项目监测报告》结果可知（详见附件11），砂石土配合比产品质量均</w:t>
            </w:r>
            <w:r>
              <w:rPr>
                <w:rFonts w:hint="default" w:ascii="Times New Roman" w:hAnsi="Times New Roman" w:cs="Times New Roman"/>
                <w:color w:val="auto"/>
                <w:sz w:val="24"/>
                <w:lang w:eastAsia="zh-CN"/>
              </w:rPr>
              <w:t>符合《岩土工程勘察规范》（GB50021-2001）技术要求，</w:t>
            </w:r>
            <w:r>
              <w:rPr>
                <w:rFonts w:hint="default" w:ascii="Times New Roman" w:hAnsi="Times New Roman" w:cs="Times New Roman"/>
                <w:color w:val="auto"/>
                <w:sz w:val="24"/>
                <w:lang w:val="en-US" w:eastAsia="zh-CN"/>
              </w:rPr>
              <w:t>本项目产品</w:t>
            </w:r>
            <w:r>
              <w:rPr>
                <w:rFonts w:hint="default" w:ascii="Times New Roman" w:hAnsi="Times New Roman" w:cs="Times New Roman"/>
                <w:color w:val="auto"/>
                <w:sz w:val="24"/>
                <w:lang w:eastAsia="zh-CN"/>
              </w:rPr>
              <w:t>可用于</w:t>
            </w:r>
            <w:r>
              <w:rPr>
                <w:rFonts w:hint="default" w:ascii="Times New Roman" w:hAnsi="Times New Roman" w:cs="Times New Roman"/>
                <w:color w:val="auto"/>
                <w:sz w:val="24"/>
                <w:lang w:val="en-US" w:eastAsia="zh-CN"/>
              </w:rPr>
              <w:t>《新平县老厂乡集镇西侧滑坡治理项目》工程的填料使用</w:t>
            </w:r>
            <w:r>
              <w:rPr>
                <w:rFonts w:hint="default" w:ascii="Times New Roman" w:hAnsi="Times New Roman" w:cs="Times New Roman"/>
                <w:color w:val="auto"/>
                <w:sz w:val="24"/>
                <w:lang w:eastAsia="zh-CN"/>
              </w:rPr>
              <w:t>。</w:t>
            </w:r>
          </w:p>
          <w:p w14:paraId="11124315">
            <w:pPr>
              <w:spacing w:line="360" w:lineRule="auto"/>
              <w:ind w:firstLine="480" w:firstLineChars="200"/>
              <w:textAlignment w:val="baseline"/>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为确保本项目生产的回填拌合料在使用过程中不对环境造成二次污染，保障周边土壤、地下水及地表水环境安全，使用单位（主要为滑坡治理及综合开发项目实施单位）在施工应用中必须落实以下环保防控措施：</w:t>
            </w:r>
          </w:p>
          <w:p w14:paraId="2693EE73">
            <w:pPr>
              <w:spacing w:line="360" w:lineRule="auto"/>
              <w:ind w:firstLine="480" w:firstLineChars="200"/>
              <w:textAlignment w:val="baseline"/>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w:t>
            </w:r>
            <w:r>
              <w:rPr>
                <w:rFonts w:hint="default" w:ascii="Times New Roman" w:hAnsi="Times New Roman" w:cs="Times New Roman"/>
                <w:color w:val="auto"/>
              </w:rPr>
              <w:t>禁止使用于饮用水水源和其他特殊水体保护区，避开活动断层，泉域保护范围以及岩溶强发育、存在较多落水洞和岩溶漏斗的区域，湿地，江河、湖泊、运河、渠道、最高水位线以下的滩地和岸坡，以及国家和地方规划中的水库等人工蓄水设施的淹没区和保护区。</w:t>
            </w:r>
          </w:p>
          <w:p w14:paraId="1C94DFA1">
            <w:pPr>
              <w:spacing w:line="360" w:lineRule="auto"/>
              <w:ind w:firstLine="480" w:firstLineChars="200"/>
              <w:textAlignment w:val="baseline"/>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②《老厂集镇西侧滑坡治理及综合开发利用项目》使用回填料，回填场地需进行环境影响风险评估，根据评估制定监测计划，定期开展周边地表水、地下水水质、土壤进行监测；</w:t>
            </w:r>
          </w:p>
          <w:p w14:paraId="74DDF475">
            <w:pPr>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③使用单位应建立产品接收、使用台账，详细记录每批次拌合料的来源、数量、使用部位、回填时间等信息，台账保存期限不少于5年</w:t>
            </w:r>
            <w:r>
              <w:rPr>
                <w:rFonts w:hint="default" w:ascii="Times New Roman" w:hAnsi="Times New Roman" w:cs="Times New Roman"/>
                <w:color w:val="auto"/>
                <w:lang w:eastAsia="zh-CN"/>
              </w:rPr>
              <w:t>。</w:t>
            </w:r>
          </w:p>
          <w:p w14:paraId="22204171">
            <w:pPr>
              <w:spacing w:line="360" w:lineRule="auto"/>
              <w:ind w:firstLine="482" w:firstLineChars="200"/>
              <w:textAlignment w:val="baseline"/>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四、主要原辅材料</w:t>
            </w:r>
          </w:p>
          <w:p w14:paraId="68478FF7">
            <w:pPr>
              <w:widowControl/>
              <w:spacing w:line="360" w:lineRule="auto"/>
              <w:ind w:firstLine="480" w:firstLineChars="200"/>
              <w:rPr>
                <w:rFonts w:hint="default" w:ascii="Times New Roman" w:hAnsi="Times New Roman" w:cs="Times New Roman"/>
                <w:color w:val="auto"/>
                <w:sz w:val="24"/>
                <w:lang w:eastAsia="zh-CN" w:bidi="ar"/>
              </w:rPr>
            </w:pPr>
            <w:bookmarkStart w:id="20" w:name="_Toc483056693"/>
            <w:bookmarkStart w:id="21" w:name="_Toc483056315"/>
            <w:bookmarkStart w:id="22" w:name="_Toc483056314"/>
            <w:bookmarkStart w:id="23" w:name="_Toc483056692"/>
            <w:r>
              <w:rPr>
                <w:rFonts w:hint="default" w:ascii="Times New Roman" w:hAnsi="Times New Roman" w:cs="Times New Roman"/>
                <w:color w:val="auto"/>
                <w:sz w:val="24"/>
                <w:lang w:eastAsia="zh-CN"/>
              </w:rPr>
              <w:t>本项目原料主要为</w:t>
            </w:r>
            <w:r>
              <w:rPr>
                <w:rFonts w:hint="default" w:ascii="Times New Roman" w:hAnsi="Times New Roman" w:cs="Times New Roman"/>
                <w:color w:val="auto"/>
                <w:sz w:val="24"/>
                <w:lang w:val="en-US" w:eastAsia="zh-CN"/>
              </w:rPr>
              <w:t>土方</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公分石、尾矿砂</w:t>
            </w:r>
            <w:r>
              <w:rPr>
                <w:rFonts w:hint="default" w:ascii="Times New Roman" w:hAnsi="Times New Roman" w:cs="Times New Roman"/>
                <w:color w:val="auto"/>
                <w:sz w:val="24"/>
                <w:lang w:eastAsia="zh-CN"/>
              </w:rPr>
              <w:t>以及水。</w:t>
            </w:r>
            <w:r>
              <w:rPr>
                <w:rFonts w:hint="default" w:ascii="Times New Roman" w:hAnsi="Times New Roman" w:cs="Times New Roman"/>
                <w:color w:val="auto"/>
                <w:sz w:val="24"/>
                <w:lang w:val="en-US" w:eastAsia="zh-CN"/>
              </w:rPr>
              <w:t>尾矿砂及产品公分石主要为浩盛矿业提供、土方主要来源于新平县老厂乡集镇西侧滑坡治理项目建设产生的和部分外购。</w:t>
            </w:r>
            <w:r>
              <w:rPr>
                <w:rFonts w:hint="default" w:ascii="Times New Roman" w:hAnsi="Times New Roman" w:cs="Times New Roman"/>
                <w:bCs/>
                <w:color w:val="auto"/>
                <w:sz w:val="24"/>
                <w:lang w:eastAsia="zh-CN"/>
              </w:rPr>
              <w:t>项目主要原辅材料用量见表2-</w:t>
            </w: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lang w:eastAsia="zh-CN"/>
              </w:rPr>
              <w:t>。</w:t>
            </w:r>
            <w:bookmarkEnd w:id="20"/>
            <w:bookmarkEnd w:id="21"/>
          </w:p>
          <w:bookmarkEnd w:id="22"/>
          <w:bookmarkEnd w:id="23"/>
          <w:p w14:paraId="5276E53C">
            <w:pPr>
              <w:adjustRightInd w:val="0"/>
              <w:jc w:val="center"/>
              <w:textAlignment w:val="baseline"/>
              <w:rPr>
                <w:rFonts w:hint="default" w:ascii="Times New Roman" w:hAnsi="Times New Roman" w:cs="Times New Roman"/>
                <w:b/>
                <w:color w:val="auto"/>
                <w:kern w:val="24"/>
                <w:sz w:val="21"/>
                <w:szCs w:val="21"/>
                <w:lang w:eastAsia="zh-CN"/>
              </w:rPr>
            </w:pPr>
            <w:r>
              <w:rPr>
                <w:rFonts w:hint="default" w:ascii="Times New Roman" w:hAnsi="Times New Roman" w:cs="Times New Roman"/>
                <w:b/>
                <w:color w:val="auto"/>
                <w:kern w:val="24"/>
                <w:sz w:val="21"/>
                <w:szCs w:val="21"/>
                <w:lang w:eastAsia="zh-CN"/>
              </w:rPr>
              <w:t>表2-</w:t>
            </w:r>
            <w:r>
              <w:rPr>
                <w:rFonts w:hint="default" w:ascii="Times New Roman" w:hAnsi="Times New Roman" w:cs="Times New Roman"/>
                <w:b/>
                <w:color w:val="auto"/>
                <w:kern w:val="24"/>
                <w:sz w:val="21"/>
                <w:szCs w:val="21"/>
                <w:lang w:val="en-US" w:eastAsia="zh-CN"/>
              </w:rPr>
              <w:t>4</w:t>
            </w:r>
            <w:r>
              <w:rPr>
                <w:rFonts w:hint="default" w:ascii="Times New Roman" w:hAnsi="Times New Roman" w:cs="Times New Roman"/>
                <w:b/>
                <w:color w:val="auto"/>
                <w:kern w:val="24"/>
                <w:sz w:val="21"/>
                <w:szCs w:val="21"/>
                <w:lang w:eastAsia="zh-CN"/>
              </w:rPr>
              <w:t xml:space="preserve">  项目主要原辅料用量</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519"/>
              <w:gridCol w:w="524"/>
              <w:gridCol w:w="2658"/>
              <w:gridCol w:w="3763"/>
            </w:tblGrid>
            <w:tr w14:paraId="5876F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 w:hRule="atLeast"/>
                <w:jc w:val="center"/>
              </w:trPr>
              <w:tc>
                <w:tcPr>
                  <w:tcW w:w="355" w:type="pct"/>
                  <w:vAlign w:val="center"/>
                </w:tcPr>
                <w:p w14:paraId="34E89A48">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序号</w:t>
                  </w:r>
                </w:p>
              </w:tc>
              <w:tc>
                <w:tcPr>
                  <w:tcW w:w="649" w:type="pct"/>
                  <w:gridSpan w:val="2"/>
                  <w:vAlign w:val="center"/>
                </w:tcPr>
                <w:p w14:paraId="5ACCBF80">
                  <w:pPr>
                    <w:pStyle w:val="30"/>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lang w:val="en-US" w:eastAsia="zh-CN"/>
                    </w:rPr>
                    <w:t>名称</w:t>
                  </w:r>
                </w:p>
              </w:tc>
              <w:tc>
                <w:tcPr>
                  <w:tcW w:w="1654" w:type="pct"/>
                  <w:vAlign w:val="center"/>
                </w:tcPr>
                <w:p w14:paraId="53F65AF2">
                  <w:pPr>
                    <w:pStyle w:val="30"/>
                    <w:adjustRightInd w:val="0"/>
                    <w:snapToGrid w:val="0"/>
                    <w:jc w:val="center"/>
                    <w:rPr>
                      <w:rFonts w:hint="default" w:ascii="Times New Roman" w:hAnsi="Times New Roman" w:cs="Times New Roman"/>
                      <w:b/>
                      <w:color w:val="auto"/>
                      <w:sz w:val="21"/>
                      <w:lang w:val="en-US" w:eastAsia="zh-CN"/>
                    </w:rPr>
                  </w:pPr>
                  <w:r>
                    <w:rPr>
                      <w:rFonts w:hint="default" w:ascii="Times New Roman" w:hAnsi="Times New Roman" w:cs="Times New Roman"/>
                      <w:b/>
                      <w:color w:val="auto"/>
                      <w:sz w:val="21"/>
                      <w:lang w:eastAsia="zh-CN"/>
                    </w:rPr>
                    <w:t>消耗量</w:t>
                  </w:r>
                </w:p>
              </w:tc>
              <w:tc>
                <w:tcPr>
                  <w:tcW w:w="2340" w:type="pct"/>
                  <w:vAlign w:val="center"/>
                </w:tcPr>
                <w:p w14:paraId="41BBEE1A">
                  <w:pPr>
                    <w:pStyle w:val="30"/>
                    <w:adjustRightInd w:val="0"/>
                    <w:snapToGrid w:val="0"/>
                    <w:jc w:val="center"/>
                    <w:rPr>
                      <w:rFonts w:hint="default" w:ascii="Times New Roman" w:hAnsi="Times New Roman" w:cs="Times New Roman"/>
                      <w:b/>
                      <w:color w:val="auto"/>
                      <w:sz w:val="21"/>
                      <w:lang w:val="en-US" w:eastAsia="zh-CN"/>
                    </w:rPr>
                  </w:pPr>
                  <w:r>
                    <w:rPr>
                      <w:rFonts w:hint="default" w:ascii="Times New Roman" w:hAnsi="Times New Roman" w:cs="Times New Roman"/>
                      <w:b/>
                      <w:color w:val="auto"/>
                      <w:sz w:val="21"/>
                      <w:lang w:eastAsia="zh-CN"/>
                    </w:rPr>
                    <w:t>来源</w:t>
                  </w:r>
                </w:p>
              </w:tc>
            </w:tr>
            <w:tr w14:paraId="0B8D3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 w:hRule="atLeast"/>
                <w:jc w:val="center"/>
              </w:trPr>
              <w:tc>
                <w:tcPr>
                  <w:tcW w:w="355" w:type="pct"/>
                  <w:vAlign w:val="center"/>
                </w:tcPr>
                <w:p w14:paraId="0FD639FC">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color w:val="auto"/>
                      <w:w w:val="99"/>
                      <w:sz w:val="21"/>
                      <w:lang w:eastAsia="zh-CN"/>
                    </w:rPr>
                    <w:t>1</w:t>
                  </w:r>
                </w:p>
              </w:tc>
              <w:tc>
                <w:tcPr>
                  <w:tcW w:w="649" w:type="pct"/>
                  <w:gridSpan w:val="2"/>
                  <w:vAlign w:val="center"/>
                </w:tcPr>
                <w:p w14:paraId="7C127C5B">
                  <w:pPr>
                    <w:pStyle w:val="30"/>
                    <w:adjustRightInd w:val="0"/>
                    <w:snapToGrid w:val="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土方</w:t>
                  </w:r>
                </w:p>
              </w:tc>
              <w:tc>
                <w:tcPr>
                  <w:tcW w:w="1654" w:type="pct"/>
                  <w:vAlign w:val="center"/>
                </w:tcPr>
                <w:p w14:paraId="57BB136C">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10.5万</w:t>
                  </w:r>
                  <w:r>
                    <w:rPr>
                      <w:rFonts w:hint="default" w:ascii="Times New Roman" w:hAnsi="Times New Roman" w:cs="Times New Roman"/>
                      <w:color w:val="auto"/>
                      <w:sz w:val="21"/>
                      <w:lang w:eastAsia="zh-CN"/>
                    </w:rPr>
                    <w:t>m</w:t>
                  </w:r>
                  <w:r>
                    <w:rPr>
                      <w:rFonts w:hint="default" w:ascii="Times New Roman" w:hAnsi="Times New Roman" w:cs="Times New Roman"/>
                      <w:color w:val="auto"/>
                      <w:position w:val="7"/>
                      <w:sz w:val="13"/>
                      <w:lang w:eastAsia="zh-CN"/>
                    </w:rPr>
                    <w:t>3</w:t>
                  </w:r>
                  <w:r>
                    <w:rPr>
                      <w:rFonts w:hint="default" w:ascii="Times New Roman" w:hAnsi="Times New Roman" w:cs="Times New Roman"/>
                      <w:color w:val="auto"/>
                      <w:sz w:val="21"/>
                      <w:lang w:eastAsia="zh-CN"/>
                    </w:rPr>
                    <w:t>/</w:t>
                  </w:r>
                  <w:r>
                    <w:rPr>
                      <w:rFonts w:hint="default" w:ascii="Times New Roman" w:hAnsi="Times New Roman" w:cs="Times New Roman"/>
                      <w:color w:val="auto"/>
                      <w:sz w:val="21"/>
                      <w:lang w:val="en-US" w:eastAsia="zh-CN"/>
                    </w:rPr>
                    <w:t>a</w:t>
                  </w:r>
                </w:p>
              </w:tc>
              <w:tc>
                <w:tcPr>
                  <w:tcW w:w="2340" w:type="pct"/>
                  <w:vAlign w:val="center"/>
                </w:tcPr>
                <w:p w14:paraId="2D840ADF">
                  <w:pPr>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部分为</w:t>
                  </w:r>
                  <w:r>
                    <w:rPr>
                      <w:rFonts w:hint="default" w:ascii="Times New Roman" w:hAnsi="Times New Roman" w:cs="Times New Roman"/>
                      <w:color w:val="auto"/>
                      <w:sz w:val="21"/>
                      <w:lang w:eastAsia="zh-CN"/>
                    </w:rPr>
                    <w:t>新平县老厂乡集镇西侧滑坡治理项目</w:t>
                  </w:r>
                  <w:r>
                    <w:rPr>
                      <w:rFonts w:hint="default" w:ascii="Times New Roman" w:hAnsi="Times New Roman" w:cs="Times New Roman"/>
                      <w:color w:val="auto"/>
                      <w:sz w:val="21"/>
                      <w:lang w:val="en-US" w:eastAsia="zh-CN"/>
                    </w:rPr>
                    <w:t>建设产生的土方、部分外购。</w:t>
                  </w:r>
                </w:p>
              </w:tc>
            </w:tr>
            <w:tr w14:paraId="61732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jc w:val="center"/>
              </w:trPr>
              <w:tc>
                <w:tcPr>
                  <w:tcW w:w="355" w:type="pct"/>
                  <w:vAlign w:val="center"/>
                </w:tcPr>
                <w:p w14:paraId="17E0E5FA">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2</w:t>
                  </w:r>
                </w:p>
              </w:tc>
              <w:tc>
                <w:tcPr>
                  <w:tcW w:w="649" w:type="pct"/>
                  <w:gridSpan w:val="2"/>
                  <w:vAlign w:val="center"/>
                </w:tcPr>
                <w:p w14:paraId="02A55007">
                  <w:pPr>
                    <w:pStyle w:val="30"/>
                    <w:adjustRightInd w:val="0"/>
                    <w:snapToGrid w:val="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公分石</w:t>
                  </w:r>
                </w:p>
              </w:tc>
              <w:tc>
                <w:tcPr>
                  <w:tcW w:w="1654" w:type="pct"/>
                  <w:vAlign w:val="center"/>
                </w:tcPr>
                <w:p w14:paraId="26D2A6C8">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10.5万</w:t>
                  </w:r>
                  <w:r>
                    <w:rPr>
                      <w:rFonts w:hint="default" w:ascii="Times New Roman" w:hAnsi="Times New Roman" w:cs="Times New Roman"/>
                      <w:color w:val="auto"/>
                      <w:sz w:val="21"/>
                      <w:lang w:eastAsia="zh-CN"/>
                    </w:rPr>
                    <w:t>m</w:t>
                  </w:r>
                  <w:r>
                    <w:rPr>
                      <w:rFonts w:hint="default" w:ascii="Times New Roman" w:hAnsi="Times New Roman" w:cs="Times New Roman"/>
                      <w:color w:val="auto"/>
                      <w:position w:val="7"/>
                      <w:sz w:val="13"/>
                      <w:lang w:eastAsia="zh-CN"/>
                    </w:rPr>
                    <w:t>3</w:t>
                  </w:r>
                  <w:r>
                    <w:rPr>
                      <w:rFonts w:hint="default" w:ascii="Times New Roman" w:hAnsi="Times New Roman" w:cs="Times New Roman"/>
                      <w:color w:val="auto"/>
                      <w:sz w:val="21"/>
                      <w:lang w:eastAsia="zh-CN"/>
                    </w:rPr>
                    <w:t>/</w:t>
                  </w:r>
                  <w:r>
                    <w:rPr>
                      <w:rFonts w:hint="default" w:ascii="Times New Roman" w:hAnsi="Times New Roman" w:cs="Times New Roman"/>
                      <w:color w:val="auto"/>
                      <w:sz w:val="21"/>
                      <w:lang w:val="en-US" w:eastAsia="zh-CN"/>
                    </w:rPr>
                    <w:t>a</w:t>
                  </w:r>
                </w:p>
              </w:tc>
              <w:tc>
                <w:tcPr>
                  <w:tcW w:w="2340" w:type="pct"/>
                  <w:vAlign w:val="center"/>
                </w:tcPr>
                <w:p w14:paraId="0B58DBEB">
                  <w:pPr>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浩盛矿业</w:t>
                  </w:r>
                </w:p>
              </w:tc>
            </w:tr>
            <w:tr w14:paraId="00B9A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55" w:type="pct"/>
                  <w:vAlign w:val="center"/>
                </w:tcPr>
                <w:p w14:paraId="5E67FFCE">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3</w:t>
                  </w:r>
                </w:p>
              </w:tc>
              <w:tc>
                <w:tcPr>
                  <w:tcW w:w="649" w:type="pct"/>
                  <w:gridSpan w:val="2"/>
                  <w:vAlign w:val="center"/>
                </w:tcPr>
                <w:p w14:paraId="519462C6">
                  <w:pPr>
                    <w:pStyle w:val="30"/>
                    <w:adjustRightInd w:val="0"/>
                    <w:snapToGrid w:val="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尾矿</w:t>
                  </w:r>
                </w:p>
              </w:tc>
              <w:tc>
                <w:tcPr>
                  <w:tcW w:w="1654" w:type="pct"/>
                  <w:vAlign w:val="center"/>
                </w:tcPr>
                <w:p w14:paraId="0C5CEEED">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20万</w:t>
                  </w:r>
                  <w:r>
                    <w:rPr>
                      <w:rFonts w:hint="default" w:ascii="Times New Roman" w:hAnsi="Times New Roman" w:cs="Times New Roman"/>
                      <w:color w:val="auto"/>
                      <w:sz w:val="21"/>
                      <w:lang w:eastAsia="zh-CN"/>
                    </w:rPr>
                    <w:t>m</w:t>
                  </w:r>
                  <w:r>
                    <w:rPr>
                      <w:rFonts w:hint="default" w:ascii="Times New Roman" w:hAnsi="Times New Roman" w:cs="Times New Roman"/>
                      <w:color w:val="auto"/>
                      <w:position w:val="7"/>
                      <w:sz w:val="13"/>
                      <w:lang w:eastAsia="zh-CN"/>
                    </w:rPr>
                    <w:t>3</w:t>
                  </w:r>
                  <w:r>
                    <w:rPr>
                      <w:rFonts w:hint="default" w:ascii="Times New Roman" w:hAnsi="Times New Roman" w:cs="Times New Roman"/>
                      <w:color w:val="auto"/>
                      <w:sz w:val="21"/>
                      <w:lang w:eastAsia="zh-CN"/>
                    </w:rPr>
                    <w:t>/</w:t>
                  </w:r>
                  <w:r>
                    <w:rPr>
                      <w:rFonts w:hint="default" w:ascii="Times New Roman" w:hAnsi="Times New Roman" w:cs="Times New Roman"/>
                      <w:color w:val="auto"/>
                      <w:sz w:val="21"/>
                      <w:lang w:val="en-US" w:eastAsia="zh-CN"/>
                    </w:rPr>
                    <w:t>a</w:t>
                  </w:r>
                </w:p>
              </w:tc>
              <w:tc>
                <w:tcPr>
                  <w:tcW w:w="2340" w:type="pct"/>
                  <w:vAlign w:val="center"/>
                </w:tcPr>
                <w:p w14:paraId="3AE1C998">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浩盛矿业尾矿库</w:t>
                  </w:r>
                </w:p>
              </w:tc>
            </w:tr>
            <w:tr w14:paraId="23CB7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55" w:type="pct"/>
                  <w:vAlign w:val="center"/>
                </w:tcPr>
                <w:p w14:paraId="2313634D">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5</w:t>
                  </w:r>
                </w:p>
              </w:tc>
              <w:tc>
                <w:tcPr>
                  <w:tcW w:w="323" w:type="pct"/>
                  <w:vMerge w:val="restart"/>
                  <w:vAlign w:val="center"/>
                </w:tcPr>
                <w:p w14:paraId="7E816378">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能源</w:t>
                  </w:r>
                </w:p>
              </w:tc>
              <w:tc>
                <w:tcPr>
                  <w:tcW w:w="326" w:type="pct"/>
                  <w:vAlign w:val="center"/>
                </w:tcPr>
                <w:p w14:paraId="2E2B47CE">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color w:val="auto"/>
                      <w:w w:val="99"/>
                      <w:sz w:val="21"/>
                      <w:lang w:eastAsia="zh-CN"/>
                    </w:rPr>
                    <w:t>水</w:t>
                  </w:r>
                </w:p>
              </w:tc>
              <w:tc>
                <w:tcPr>
                  <w:tcW w:w="1654" w:type="pct"/>
                  <w:vAlign w:val="center"/>
                </w:tcPr>
                <w:p w14:paraId="66A0F144">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48000</w:t>
                  </w:r>
                  <w:r>
                    <w:rPr>
                      <w:rFonts w:hint="default" w:ascii="Times New Roman" w:hAnsi="Times New Roman" w:cs="Times New Roman"/>
                      <w:color w:val="auto"/>
                      <w:sz w:val="21"/>
                      <w:lang w:eastAsia="zh-CN"/>
                    </w:rPr>
                    <w:t>m</w:t>
                  </w:r>
                  <w:r>
                    <w:rPr>
                      <w:rFonts w:hint="default" w:ascii="Times New Roman" w:hAnsi="Times New Roman" w:cs="Times New Roman"/>
                      <w:color w:val="auto"/>
                      <w:position w:val="7"/>
                      <w:sz w:val="13"/>
                      <w:lang w:eastAsia="zh-CN"/>
                    </w:rPr>
                    <w:t>3</w:t>
                  </w:r>
                  <w:r>
                    <w:rPr>
                      <w:rFonts w:hint="default" w:ascii="Times New Roman" w:hAnsi="Times New Roman" w:cs="Times New Roman"/>
                      <w:color w:val="auto"/>
                      <w:sz w:val="21"/>
                      <w:lang w:eastAsia="zh-CN"/>
                    </w:rPr>
                    <w:t>/a</w:t>
                  </w:r>
                </w:p>
              </w:tc>
              <w:tc>
                <w:tcPr>
                  <w:tcW w:w="2340" w:type="pct"/>
                  <w:vAlign w:val="center"/>
                </w:tcPr>
                <w:p w14:paraId="1EB55A96">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老厂河</w:t>
                  </w:r>
                </w:p>
              </w:tc>
            </w:tr>
            <w:tr w14:paraId="11EC6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55" w:type="pct"/>
                  <w:vAlign w:val="center"/>
                </w:tcPr>
                <w:p w14:paraId="63611444">
                  <w:pPr>
                    <w:pStyle w:val="30"/>
                    <w:adjustRightInd w:val="0"/>
                    <w:snapToGrid w:val="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6</w:t>
                  </w:r>
                </w:p>
              </w:tc>
              <w:tc>
                <w:tcPr>
                  <w:tcW w:w="323" w:type="pct"/>
                  <w:vMerge w:val="continue"/>
                  <w:vAlign w:val="center"/>
                </w:tcPr>
                <w:p w14:paraId="39D896C6">
                  <w:pPr>
                    <w:adjustRightInd w:val="0"/>
                    <w:snapToGrid w:val="0"/>
                    <w:rPr>
                      <w:rFonts w:hint="default" w:ascii="Times New Roman" w:hAnsi="Times New Roman" w:cs="Times New Roman"/>
                      <w:color w:val="auto"/>
                      <w:sz w:val="2"/>
                      <w:szCs w:val="2"/>
                      <w:lang w:eastAsia="zh-CN"/>
                    </w:rPr>
                  </w:pPr>
                </w:p>
              </w:tc>
              <w:tc>
                <w:tcPr>
                  <w:tcW w:w="326" w:type="pct"/>
                  <w:vAlign w:val="center"/>
                </w:tcPr>
                <w:p w14:paraId="6BB00329">
                  <w:pPr>
                    <w:pStyle w:val="30"/>
                    <w:adjustRightInd w:val="0"/>
                    <w:snapToGrid w:val="0"/>
                    <w:jc w:val="center"/>
                    <w:rPr>
                      <w:rFonts w:hint="default" w:ascii="Times New Roman" w:hAnsi="Times New Roman" w:cs="Times New Roman"/>
                      <w:color w:val="auto"/>
                      <w:sz w:val="2"/>
                      <w:szCs w:val="2"/>
                      <w:lang w:eastAsia="zh-CN"/>
                    </w:rPr>
                  </w:pPr>
                  <w:r>
                    <w:rPr>
                      <w:rFonts w:hint="default" w:ascii="Times New Roman" w:hAnsi="Times New Roman" w:cs="Times New Roman"/>
                      <w:color w:val="auto"/>
                      <w:w w:val="99"/>
                      <w:sz w:val="21"/>
                      <w:lang w:eastAsia="zh-CN"/>
                    </w:rPr>
                    <w:t>电</w:t>
                  </w:r>
                </w:p>
              </w:tc>
              <w:tc>
                <w:tcPr>
                  <w:tcW w:w="1654" w:type="pct"/>
                  <w:vAlign w:val="center"/>
                </w:tcPr>
                <w:p w14:paraId="477D43F8">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500kw·h</w:t>
                  </w:r>
                </w:p>
              </w:tc>
              <w:tc>
                <w:tcPr>
                  <w:tcW w:w="2340" w:type="pct"/>
                  <w:vAlign w:val="center"/>
                </w:tcPr>
                <w:p w14:paraId="2183B06D">
                  <w:pPr>
                    <w:pStyle w:val="30"/>
                    <w:adjustRightInd w:val="0"/>
                    <w:snapToGrid w:val="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乡镇电网供给</w:t>
                  </w:r>
                </w:p>
              </w:tc>
            </w:tr>
            <w:tr w14:paraId="2B3B7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5"/>
                  <w:vAlign w:val="center"/>
                </w:tcPr>
                <w:p w14:paraId="2524ACBD">
                  <w:pPr>
                    <w:pStyle w:val="30"/>
                    <w:adjustRightInd w:val="0"/>
                    <w:snapToGrid w:val="0"/>
                    <w:jc w:val="left"/>
                    <w:rPr>
                      <w:rFonts w:hint="default" w:ascii="Times New Roman" w:hAnsi="Times New Roman" w:cs="Times New Roman"/>
                      <w:color w:val="auto"/>
                      <w:sz w:val="21"/>
                      <w:lang w:val="en-US" w:eastAsia="zh-CN"/>
                    </w:rPr>
                  </w:pPr>
                  <w:bookmarkStart w:id="24" w:name="_Toc27186"/>
                  <w:bookmarkStart w:id="25" w:name="_Toc483056316"/>
                  <w:bookmarkStart w:id="26" w:name="_Toc483056694"/>
                  <w:r>
                    <w:rPr>
                      <w:rFonts w:hint="default" w:ascii="Times New Roman" w:hAnsi="Times New Roman" w:cs="Times New Roman"/>
                      <w:color w:val="auto"/>
                      <w:sz w:val="21"/>
                      <w:lang w:val="en-US" w:eastAsia="zh-CN"/>
                    </w:rPr>
                    <w:t>注：严格按照《中华人民共和国固体废物污染环境防治法》及“固十条”相关要求，建立完整的台账记录体系，具体记录内容包括：1. 原料台账（尾矿、土方、公分石的来源、数量、运输单位、接收时间、检测结果）；2. 生产台账（生产批次、原料配比、产品产量）；3. 产品去向台账（产品运输单位、运输数量、送达治理工程具体部位、接收确认信息）；4. 监测台账（尾矿及产品的放射性、污染物检测数据，土壤及地下水监测结果）。台账实行全程可追溯管理，专人负责、及时更新，留存期限符合环保监管要求，确保每一批原料、产品的流向清晰可查。</w:t>
                  </w:r>
                </w:p>
              </w:tc>
            </w:tr>
          </w:tbl>
          <w:p w14:paraId="1ABF56BB">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本项目生产的</w:t>
            </w:r>
            <w:r>
              <w:rPr>
                <w:rFonts w:hint="default" w:ascii="Times New Roman" w:hAnsi="Times New Roman" w:cs="Times New Roman"/>
                <w:color w:val="auto"/>
                <w:kern w:val="2"/>
                <w:sz w:val="24"/>
                <w:szCs w:val="24"/>
                <w:lang w:val="en-US" w:eastAsia="zh-CN" w:bidi="ar-SA"/>
              </w:rPr>
              <w:t>拌合料</w:t>
            </w:r>
            <w:r>
              <w:rPr>
                <w:rFonts w:hint="default" w:ascii="Times New Roman" w:hAnsi="Times New Roman" w:eastAsia="宋体" w:cs="Times New Roman"/>
                <w:color w:val="auto"/>
                <w:kern w:val="2"/>
                <w:sz w:val="24"/>
                <w:szCs w:val="24"/>
                <w:lang w:val="en-US" w:eastAsia="zh-CN" w:bidi="ar-SA"/>
              </w:rPr>
              <w:t>专为《老厂集镇西侧滑坡治理及综合开发利用项目》回填配套工程使用，原料采用到浩盛矿业磁选尾矿、产品公分石和老厂集镇西侧滑坡治理及综合开发利用项目建设开采的土石方</w:t>
            </w:r>
            <w:r>
              <w:rPr>
                <w:rFonts w:hint="default" w:ascii="Times New Roman" w:hAnsi="Times New Roman" w:cs="Times New Roman"/>
                <w:color w:val="auto"/>
                <w:kern w:val="2"/>
                <w:sz w:val="24"/>
                <w:szCs w:val="24"/>
                <w:lang w:val="en-US" w:eastAsia="zh-CN" w:bidi="ar-SA"/>
              </w:rPr>
              <w:t>和部分</w:t>
            </w:r>
            <w:r>
              <w:rPr>
                <w:rFonts w:hint="default" w:ascii="Times New Roman" w:hAnsi="Times New Roman" w:eastAsia="宋体" w:cs="Times New Roman"/>
                <w:color w:val="auto"/>
                <w:kern w:val="2"/>
                <w:sz w:val="24"/>
                <w:szCs w:val="24"/>
                <w:lang w:val="en-US" w:eastAsia="zh-CN" w:bidi="ar-SA"/>
              </w:rPr>
              <w:t>外购</w:t>
            </w:r>
            <w:r>
              <w:rPr>
                <w:rFonts w:hint="default" w:ascii="Times New Roman" w:hAnsi="Times New Roman" w:cs="Times New Roman"/>
                <w:color w:val="auto"/>
                <w:kern w:val="2"/>
                <w:sz w:val="24"/>
                <w:szCs w:val="24"/>
                <w:lang w:val="en-US" w:eastAsia="zh-CN" w:bidi="ar-SA"/>
              </w:rPr>
              <w:t>土方</w:t>
            </w:r>
            <w:r>
              <w:rPr>
                <w:rFonts w:hint="default" w:ascii="Times New Roman" w:hAnsi="Times New Roman" w:eastAsia="宋体" w:cs="Times New Roman"/>
                <w:color w:val="auto"/>
                <w:kern w:val="2"/>
                <w:sz w:val="24"/>
                <w:szCs w:val="24"/>
                <w:lang w:val="en-US" w:eastAsia="zh-CN" w:bidi="ar-SA"/>
              </w:rPr>
              <w:t>。</w:t>
            </w:r>
          </w:p>
          <w:p w14:paraId="23A4DF96">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公分石</w:t>
            </w:r>
            <w:r>
              <w:rPr>
                <w:rFonts w:hint="default" w:ascii="Times New Roman" w:hAnsi="Times New Roman" w:cs="Times New Roman"/>
                <w:color w:val="auto"/>
                <w:kern w:val="2"/>
                <w:sz w:val="24"/>
                <w:szCs w:val="24"/>
                <w:lang w:val="en-US" w:eastAsia="zh-CN" w:bidi="ar-SA"/>
              </w:rPr>
              <w:t>、尾矿</w:t>
            </w:r>
            <w:r>
              <w:rPr>
                <w:rFonts w:hint="default" w:ascii="Times New Roman" w:hAnsi="Times New Roman" w:eastAsia="宋体" w:cs="Times New Roman"/>
                <w:color w:val="auto"/>
                <w:kern w:val="2"/>
                <w:sz w:val="24"/>
                <w:szCs w:val="24"/>
                <w:lang w:val="en-US" w:eastAsia="zh-CN" w:bidi="ar-SA"/>
              </w:rPr>
              <w:t>：浩盛矿业生产过程原料矿石来源于玉溪大红山矿业有限公司开采的矿石。根据业主提供资料，2023年9月25日玉溪大红山矿业有限公司委托云南省地质矿劫查开发局中心实验室（自然资源部昆明矿产资源检测中心）对《玉溪大红山矿业有限公司选矿扩能节能技术改造项目》的矿物进行了放射性检验检测，检测结果</w:t>
            </w:r>
            <w:r>
              <w:rPr>
                <w:rFonts w:hint="default" w:ascii="Times New Roman" w:hAnsi="Times New Roman" w:cs="Times New Roman"/>
                <w:color w:val="auto"/>
                <w:kern w:val="2"/>
                <w:sz w:val="24"/>
                <w:szCs w:val="24"/>
                <w:lang w:val="en-US" w:eastAsia="zh-CN" w:bidi="ar-SA"/>
              </w:rPr>
              <w:t>见下表</w:t>
            </w:r>
            <w:r>
              <w:rPr>
                <w:rFonts w:hint="default" w:ascii="Times New Roman" w:hAnsi="Times New Roman" w:eastAsia="宋体" w:cs="Times New Roman"/>
                <w:color w:val="auto"/>
                <w:kern w:val="2"/>
                <w:sz w:val="24"/>
                <w:szCs w:val="24"/>
                <w:lang w:val="en-US" w:eastAsia="zh-CN" w:bidi="ar-SA"/>
              </w:rPr>
              <w:t>。</w:t>
            </w:r>
          </w:p>
          <w:p w14:paraId="4CD5B292">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line="240" w:lineRule="auto"/>
              <w:ind w:firstLine="422"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color w:val="auto"/>
                <w:kern w:val="24"/>
                <w:sz w:val="21"/>
                <w:szCs w:val="21"/>
                <w:lang w:eastAsia="zh-CN"/>
              </w:rPr>
              <w:t>表2-</w:t>
            </w:r>
            <w:r>
              <w:rPr>
                <w:rFonts w:hint="default" w:ascii="Times New Roman" w:hAnsi="Times New Roman" w:cs="Times New Roman"/>
                <w:b/>
                <w:color w:val="auto"/>
                <w:kern w:val="24"/>
                <w:sz w:val="21"/>
                <w:szCs w:val="21"/>
                <w:lang w:val="en-US" w:eastAsia="zh-CN"/>
              </w:rPr>
              <w:t>5</w:t>
            </w:r>
            <w:r>
              <w:rPr>
                <w:rFonts w:hint="default" w:ascii="Times New Roman" w:hAnsi="Times New Roman" w:cs="Times New Roman"/>
                <w:b/>
                <w:color w:val="auto"/>
                <w:kern w:val="24"/>
                <w:sz w:val="21"/>
                <w:szCs w:val="21"/>
                <w:lang w:eastAsia="zh-CN"/>
              </w:rPr>
              <w:t xml:space="preserve">  </w:t>
            </w:r>
            <w:r>
              <w:rPr>
                <w:rFonts w:hint="default" w:ascii="Times New Roman" w:hAnsi="Times New Roman" w:cs="Times New Roman"/>
                <w:b/>
                <w:color w:val="auto"/>
                <w:kern w:val="24"/>
                <w:sz w:val="21"/>
                <w:szCs w:val="21"/>
                <w:lang w:val="en-US" w:eastAsia="zh-CN"/>
              </w:rPr>
              <w:t>矿物放射性检测结果一览表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126"/>
              <w:gridCol w:w="768"/>
              <w:gridCol w:w="1889"/>
              <w:gridCol w:w="1111"/>
              <w:gridCol w:w="976"/>
              <w:gridCol w:w="1060"/>
            </w:tblGrid>
            <w:tr w14:paraId="3588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Align w:val="center"/>
                </w:tcPr>
                <w:p w14:paraId="21C9467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样品名称</w:t>
                  </w:r>
                </w:p>
              </w:tc>
              <w:tc>
                <w:tcPr>
                  <w:tcW w:w="1126" w:type="dxa"/>
                  <w:vAlign w:val="center"/>
                </w:tcPr>
                <w:p w14:paraId="46F5EA3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检测依据</w:t>
                  </w:r>
                </w:p>
              </w:tc>
              <w:tc>
                <w:tcPr>
                  <w:tcW w:w="768" w:type="dxa"/>
                  <w:vAlign w:val="center"/>
                </w:tcPr>
                <w:p w14:paraId="080C5DA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收样日期</w:t>
                  </w:r>
                </w:p>
              </w:tc>
              <w:tc>
                <w:tcPr>
                  <w:tcW w:w="1889" w:type="dxa"/>
                  <w:vAlign w:val="center"/>
                </w:tcPr>
                <w:p w14:paraId="434B969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检测项目</w:t>
                  </w:r>
                </w:p>
              </w:tc>
              <w:tc>
                <w:tcPr>
                  <w:tcW w:w="1111" w:type="dxa"/>
                  <w:vAlign w:val="center"/>
                </w:tcPr>
                <w:p w14:paraId="271E874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检测结果</w:t>
                  </w:r>
                </w:p>
              </w:tc>
              <w:tc>
                <w:tcPr>
                  <w:tcW w:w="976" w:type="dxa"/>
                  <w:vAlign w:val="center"/>
                </w:tcPr>
                <w:p w14:paraId="29513CF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w:t>
                  </w:r>
                </w:p>
                <w:p w14:paraId="745ECEA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限值</w:t>
                  </w:r>
                </w:p>
              </w:tc>
              <w:tc>
                <w:tcPr>
                  <w:tcW w:w="1060" w:type="dxa"/>
                  <w:vAlign w:val="center"/>
                </w:tcPr>
                <w:p w14:paraId="7BEB9C9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达标情况</w:t>
                  </w:r>
                </w:p>
              </w:tc>
            </w:tr>
            <w:tr w14:paraId="7F26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7" w:type="dxa"/>
                  <w:vMerge w:val="restart"/>
                  <w:vAlign w:val="center"/>
                </w:tcPr>
                <w:p w14:paraId="4C79818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二选厂尾矿</w:t>
                  </w:r>
                </w:p>
              </w:tc>
              <w:tc>
                <w:tcPr>
                  <w:tcW w:w="1126" w:type="dxa"/>
                  <w:vMerge w:val="restart"/>
                  <w:vAlign w:val="center"/>
                </w:tcPr>
                <w:p w14:paraId="472C16F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GB 6566-2010《建筑材料放射性核素限量》</w:t>
                  </w:r>
                </w:p>
              </w:tc>
              <w:tc>
                <w:tcPr>
                  <w:tcW w:w="768" w:type="dxa"/>
                  <w:vMerge w:val="restart"/>
                  <w:vAlign w:val="center"/>
                </w:tcPr>
                <w:p w14:paraId="3947588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2023.9.25</w:t>
                  </w:r>
                </w:p>
              </w:tc>
              <w:tc>
                <w:tcPr>
                  <w:tcW w:w="1889" w:type="dxa"/>
                  <w:vAlign w:val="center"/>
                </w:tcPr>
                <w:p w14:paraId="28504C1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内照射指数（I</w:t>
                  </w:r>
                  <w:r>
                    <w:rPr>
                      <w:rFonts w:hint="default" w:ascii="Times New Roman" w:hAnsi="Times New Roman" w:eastAsia="宋体" w:cs="Times New Roman"/>
                      <w:color w:val="auto"/>
                      <w:sz w:val="21"/>
                      <w:szCs w:val="21"/>
                      <w:vertAlign w:val="subscript"/>
                    </w:rPr>
                    <w:t>Ra</w:t>
                  </w:r>
                  <w:r>
                    <w:rPr>
                      <w:rFonts w:hint="default" w:ascii="Times New Roman" w:hAnsi="Times New Roman" w:eastAsia="宋体" w:cs="Times New Roman"/>
                      <w:color w:val="auto"/>
                      <w:sz w:val="21"/>
                      <w:szCs w:val="21"/>
                      <w:vertAlign w:val="baseline"/>
                    </w:rPr>
                    <w:t>）</w:t>
                  </w:r>
                </w:p>
              </w:tc>
              <w:tc>
                <w:tcPr>
                  <w:tcW w:w="1111" w:type="dxa"/>
                  <w:vAlign w:val="center"/>
                </w:tcPr>
                <w:p w14:paraId="2C681DD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0.3</w:t>
                  </w:r>
                </w:p>
              </w:tc>
              <w:tc>
                <w:tcPr>
                  <w:tcW w:w="976" w:type="dxa"/>
                  <w:vAlign w:val="center"/>
                </w:tcPr>
                <w:p w14:paraId="0193E8B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w:t>
                  </w:r>
                </w:p>
              </w:tc>
              <w:tc>
                <w:tcPr>
                  <w:tcW w:w="1060" w:type="dxa"/>
                  <w:vAlign w:val="center"/>
                </w:tcPr>
                <w:p w14:paraId="1D47E85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达标</w:t>
                  </w:r>
                </w:p>
              </w:tc>
            </w:tr>
            <w:tr w14:paraId="7B0D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vAlign w:val="center"/>
                </w:tcPr>
                <w:p w14:paraId="651ADE7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1126" w:type="dxa"/>
                  <w:vMerge w:val="continue"/>
                  <w:vAlign w:val="center"/>
                </w:tcPr>
                <w:p w14:paraId="12F2301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768" w:type="dxa"/>
                  <w:vMerge w:val="continue"/>
                  <w:vAlign w:val="center"/>
                </w:tcPr>
                <w:p w14:paraId="3B87C20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1889" w:type="dxa"/>
                  <w:vAlign w:val="center"/>
                </w:tcPr>
                <w:p w14:paraId="40F0312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外照射指数（I</w:t>
                  </w:r>
                  <w:r>
                    <w:rPr>
                      <w:rFonts w:hint="default" w:ascii="Times New Roman" w:hAnsi="Times New Roman" w:eastAsia="宋体" w:cs="Times New Roman"/>
                      <w:color w:val="auto"/>
                      <w:sz w:val="21"/>
                      <w:szCs w:val="21"/>
                      <w:vertAlign w:val="subscript"/>
                    </w:rPr>
                    <w:t>γ</w:t>
                  </w:r>
                  <w:r>
                    <w:rPr>
                      <w:rFonts w:hint="default" w:ascii="Times New Roman" w:hAnsi="Times New Roman" w:eastAsia="宋体" w:cs="Times New Roman"/>
                      <w:color w:val="auto"/>
                      <w:sz w:val="21"/>
                      <w:szCs w:val="21"/>
                      <w:vertAlign w:val="baseline"/>
                    </w:rPr>
                    <w:t>）</w:t>
                  </w:r>
                </w:p>
              </w:tc>
              <w:tc>
                <w:tcPr>
                  <w:tcW w:w="1111" w:type="dxa"/>
                  <w:vAlign w:val="center"/>
                </w:tcPr>
                <w:p w14:paraId="7CD2A87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0.3</w:t>
                  </w:r>
                </w:p>
              </w:tc>
              <w:tc>
                <w:tcPr>
                  <w:tcW w:w="976" w:type="dxa"/>
                  <w:vAlign w:val="center"/>
                </w:tcPr>
                <w:p w14:paraId="45267D7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w:t>
                  </w:r>
                  <w:r>
                    <w:rPr>
                      <w:rFonts w:hint="default" w:ascii="Times New Roman" w:hAnsi="Times New Roman" w:eastAsia="宋体" w:cs="Times New Roman"/>
                      <w:color w:val="auto"/>
                      <w:sz w:val="21"/>
                      <w:szCs w:val="21"/>
                      <w:vertAlign w:val="baseline"/>
                      <w:lang w:val="en-US" w:eastAsia="zh-CN"/>
                    </w:rPr>
                    <w:t>3</w:t>
                  </w:r>
                </w:p>
              </w:tc>
              <w:tc>
                <w:tcPr>
                  <w:tcW w:w="1060" w:type="dxa"/>
                  <w:vAlign w:val="center"/>
                </w:tcPr>
                <w:p w14:paraId="43DEB0F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达标</w:t>
                  </w:r>
                </w:p>
              </w:tc>
            </w:tr>
            <w:tr w14:paraId="4F40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restart"/>
                  <w:vAlign w:val="center"/>
                </w:tcPr>
                <w:p w14:paraId="4FF6584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三选厂尾矿</w:t>
                  </w:r>
                </w:p>
              </w:tc>
              <w:tc>
                <w:tcPr>
                  <w:tcW w:w="1126" w:type="dxa"/>
                  <w:vMerge w:val="continue"/>
                  <w:vAlign w:val="center"/>
                </w:tcPr>
                <w:p w14:paraId="3BE2262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768" w:type="dxa"/>
                  <w:vMerge w:val="continue"/>
                  <w:vAlign w:val="center"/>
                </w:tcPr>
                <w:p w14:paraId="7FB2DAB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1889" w:type="dxa"/>
                  <w:vAlign w:val="center"/>
                </w:tcPr>
                <w:p w14:paraId="11212BA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内照射指数（I</w:t>
                  </w:r>
                  <w:r>
                    <w:rPr>
                      <w:rFonts w:hint="default" w:ascii="Times New Roman" w:hAnsi="Times New Roman" w:eastAsia="宋体" w:cs="Times New Roman"/>
                      <w:color w:val="auto"/>
                      <w:sz w:val="21"/>
                      <w:szCs w:val="21"/>
                      <w:vertAlign w:val="subscript"/>
                    </w:rPr>
                    <w:t>Ra</w:t>
                  </w:r>
                  <w:r>
                    <w:rPr>
                      <w:rFonts w:hint="default" w:ascii="Times New Roman" w:hAnsi="Times New Roman" w:eastAsia="宋体" w:cs="Times New Roman"/>
                      <w:color w:val="auto"/>
                      <w:sz w:val="21"/>
                      <w:szCs w:val="21"/>
                      <w:vertAlign w:val="baseline"/>
                    </w:rPr>
                    <w:t>）</w:t>
                  </w:r>
                </w:p>
              </w:tc>
              <w:tc>
                <w:tcPr>
                  <w:tcW w:w="1111" w:type="dxa"/>
                  <w:vAlign w:val="center"/>
                </w:tcPr>
                <w:p w14:paraId="4121B5D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0.2</w:t>
                  </w:r>
                </w:p>
              </w:tc>
              <w:tc>
                <w:tcPr>
                  <w:tcW w:w="976" w:type="dxa"/>
                  <w:vAlign w:val="center"/>
                </w:tcPr>
                <w:p w14:paraId="7FC8B96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w:t>
                  </w:r>
                </w:p>
              </w:tc>
              <w:tc>
                <w:tcPr>
                  <w:tcW w:w="1060" w:type="dxa"/>
                  <w:vAlign w:val="center"/>
                </w:tcPr>
                <w:p w14:paraId="1FC0E27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达标</w:t>
                  </w:r>
                </w:p>
              </w:tc>
            </w:tr>
            <w:tr w14:paraId="342C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vAlign w:val="center"/>
                </w:tcPr>
                <w:p w14:paraId="18683BA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1126" w:type="dxa"/>
                  <w:vMerge w:val="continue"/>
                  <w:vAlign w:val="center"/>
                </w:tcPr>
                <w:p w14:paraId="1F79940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768" w:type="dxa"/>
                  <w:vMerge w:val="continue"/>
                  <w:vAlign w:val="center"/>
                </w:tcPr>
                <w:p w14:paraId="19997F7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1889" w:type="dxa"/>
                  <w:vAlign w:val="center"/>
                </w:tcPr>
                <w:p w14:paraId="1002B7C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外照射指数（I</w:t>
                  </w:r>
                  <w:r>
                    <w:rPr>
                      <w:rFonts w:hint="default" w:ascii="Times New Roman" w:hAnsi="Times New Roman" w:eastAsia="宋体" w:cs="Times New Roman"/>
                      <w:color w:val="auto"/>
                      <w:sz w:val="21"/>
                      <w:szCs w:val="21"/>
                      <w:vertAlign w:val="subscript"/>
                    </w:rPr>
                    <w:t>γ</w:t>
                  </w:r>
                  <w:r>
                    <w:rPr>
                      <w:rFonts w:hint="default" w:ascii="Times New Roman" w:hAnsi="Times New Roman" w:eastAsia="宋体" w:cs="Times New Roman"/>
                      <w:color w:val="auto"/>
                      <w:sz w:val="21"/>
                      <w:szCs w:val="21"/>
                      <w:vertAlign w:val="baseline"/>
                    </w:rPr>
                    <w:t>）</w:t>
                  </w:r>
                </w:p>
              </w:tc>
              <w:tc>
                <w:tcPr>
                  <w:tcW w:w="1111" w:type="dxa"/>
                  <w:vAlign w:val="center"/>
                </w:tcPr>
                <w:p w14:paraId="5B8249F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0.2</w:t>
                  </w:r>
                </w:p>
              </w:tc>
              <w:tc>
                <w:tcPr>
                  <w:tcW w:w="976" w:type="dxa"/>
                  <w:vAlign w:val="center"/>
                </w:tcPr>
                <w:p w14:paraId="33E567B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w:t>
                  </w:r>
                  <w:r>
                    <w:rPr>
                      <w:rFonts w:hint="default" w:ascii="Times New Roman" w:hAnsi="Times New Roman" w:eastAsia="宋体" w:cs="Times New Roman"/>
                      <w:color w:val="auto"/>
                      <w:sz w:val="21"/>
                      <w:szCs w:val="21"/>
                      <w:vertAlign w:val="baseline"/>
                      <w:lang w:val="en-US" w:eastAsia="zh-CN"/>
                    </w:rPr>
                    <w:t>3</w:t>
                  </w:r>
                </w:p>
              </w:tc>
              <w:tc>
                <w:tcPr>
                  <w:tcW w:w="1060" w:type="dxa"/>
                  <w:vAlign w:val="center"/>
                </w:tcPr>
                <w:p w14:paraId="6AC1238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达标</w:t>
                  </w:r>
                </w:p>
              </w:tc>
            </w:tr>
          </w:tbl>
          <w:p w14:paraId="4930F452">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检测</w:t>
            </w:r>
            <w:r>
              <w:rPr>
                <w:rFonts w:hint="default" w:ascii="Times New Roman" w:hAnsi="Times New Roman" w:cs="Times New Roman"/>
                <w:color w:val="auto"/>
                <w:kern w:val="2"/>
                <w:sz w:val="24"/>
                <w:szCs w:val="24"/>
                <w:lang w:val="en-US" w:eastAsia="zh-CN" w:bidi="ar-SA"/>
              </w:rPr>
              <w:t>上表监测</w:t>
            </w:r>
            <w:r>
              <w:rPr>
                <w:rFonts w:hint="default" w:ascii="Times New Roman" w:hAnsi="Times New Roman" w:eastAsia="宋体" w:cs="Times New Roman"/>
                <w:color w:val="auto"/>
                <w:kern w:val="2"/>
                <w:sz w:val="24"/>
                <w:szCs w:val="24"/>
                <w:lang w:val="en-US" w:eastAsia="zh-CN" w:bidi="ar-SA"/>
              </w:rPr>
              <w:t>结果表明，该原料已按GB 6566-2010《建筑材料放射性核素限量》（强制性国家标准）完成</w:t>
            </w:r>
            <w:r>
              <w:rPr>
                <w:rFonts w:hint="default" w:ascii="Times New Roman" w:hAnsi="Times New Roman" w:cs="Times New Roman"/>
                <w:color w:val="auto"/>
                <w:kern w:val="2"/>
                <w:sz w:val="24"/>
                <w:szCs w:val="24"/>
                <w:lang w:val="en-US" w:eastAsia="zh-CN" w:bidi="ar-SA"/>
              </w:rPr>
              <w:t>过</w:t>
            </w:r>
            <w:r>
              <w:rPr>
                <w:rFonts w:hint="default" w:ascii="Times New Roman" w:hAnsi="Times New Roman" w:eastAsia="宋体" w:cs="Times New Roman"/>
                <w:color w:val="auto"/>
                <w:kern w:val="2"/>
                <w:sz w:val="24"/>
                <w:szCs w:val="24"/>
                <w:lang w:val="en-US" w:eastAsia="zh-CN" w:bidi="ar-SA"/>
              </w:rPr>
              <w:t>放射性检测，符合该标准中A类建筑材料限值要求（内照射指数I≤1.0、外照射指数I≤1.3），无放射性危害（详见附件</w:t>
            </w:r>
            <w:r>
              <w:rPr>
                <w:rFonts w:hint="default" w:ascii="Times New Roman" w:hAnsi="Times New Roman"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t>）。因此，本项目原料无放射性危害。</w:t>
            </w:r>
          </w:p>
          <w:p w14:paraId="4B2F9453">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尾矿砂：根据2025年8月28日新平浩盛矿业发展有限公司委托云南省有色金属及制品质量监督检验站对公司尾矿库的尾矿浸出液进行了检测，</w:t>
            </w:r>
            <w:r>
              <w:rPr>
                <w:rFonts w:hint="default" w:ascii="Times New Roman" w:hAnsi="Times New Roman" w:cs="Times New Roman"/>
                <w:color w:val="auto"/>
                <w:kern w:val="2"/>
                <w:sz w:val="24"/>
                <w:szCs w:val="24"/>
                <w:lang w:val="en-US" w:eastAsia="zh-CN" w:bidi="ar-SA"/>
              </w:rPr>
              <w:t>监测结果见下表。</w:t>
            </w:r>
          </w:p>
          <w:p w14:paraId="0A436AE5">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line="240" w:lineRule="auto"/>
              <w:ind w:firstLine="422"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color w:val="auto"/>
                <w:kern w:val="24"/>
                <w:sz w:val="21"/>
                <w:szCs w:val="21"/>
                <w:lang w:eastAsia="zh-CN"/>
              </w:rPr>
              <w:t>表2-</w:t>
            </w:r>
            <w:r>
              <w:rPr>
                <w:rFonts w:hint="default" w:ascii="Times New Roman" w:hAnsi="Times New Roman" w:cs="Times New Roman"/>
                <w:b/>
                <w:color w:val="auto"/>
                <w:kern w:val="24"/>
                <w:sz w:val="21"/>
                <w:szCs w:val="21"/>
                <w:lang w:val="en-US" w:eastAsia="zh-CN"/>
              </w:rPr>
              <w:t>6</w:t>
            </w:r>
            <w:r>
              <w:rPr>
                <w:rFonts w:hint="default" w:ascii="Times New Roman" w:hAnsi="Times New Roman" w:cs="Times New Roman"/>
                <w:b/>
                <w:color w:val="auto"/>
                <w:kern w:val="24"/>
                <w:sz w:val="21"/>
                <w:szCs w:val="21"/>
                <w:lang w:eastAsia="zh-CN"/>
              </w:rPr>
              <w:t xml:space="preserve">  </w:t>
            </w:r>
            <w:r>
              <w:rPr>
                <w:rFonts w:hint="default" w:ascii="Times New Roman" w:hAnsi="Times New Roman" w:cs="Times New Roman"/>
                <w:b/>
                <w:color w:val="auto"/>
                <w:kern w:val="24"/>
                <w:sz w:val="21"/>
                <w:szCs w:val="21"/>
                <w:lang w:val="en-US" w:eastAsia="zh-CN"/>
              </w:rPr>
              <w:t>尾矿浸出毒性检测结果一览表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53"/>
              <w:gridCol w:w="2230"/>
              <w:gridCol w:w="1154"/>
              <w:gridCol w:w="1170"/>
              <w:gridCol w:w="1170"/>
              <w:gridCol w:w="1157"/>
            </w:tblGrid>
            <w:tr w14:paraId="54EB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5000" w:type="pct"/>
                  <w:gridSpan w:val="6"/>
                  <w:tcBorders>
                    <w:tl2br w:val="nil"/>
                    <w:tr2bl w:val="nil"/>
                  </w:tcBorders>
                  <w:shd w:val="clear" w:color="auto" w:fill="auto"/>
                  <w:noWrap/>
                  <w:vAlign w:val="center"/>
                </w:tcPr>
                <w:p w14:paraId="1A8F343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尾矿浸出毒性浸出液检测（样品编号：HJ20250828152）</w:t>
                  </w:r>
                </w:p>
              </w:tc>
            </w:tr>
            <w:tr w14:paraId="1001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68AB9E64">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388" w:type="pct"/>
                  <w:tcBorders>
                    <w:tl2br w:val="nil"/>
                    <w:tr2bl w:val="nil"/>
                  </w:tcBorders>
                  <w:shd w:val="clear" w:color="auto" w:fill="auto"/>
                  <w:noWrap/>
                  <w:vAlign w:val="center"/>
                </w:tcPr>
                <w:p w14:paraId="21AD18B1">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检测项目</w:t>
                  </w:r>
                </w:p>
              </w:tc>
              <w:tc>
                <w:tcPr>
                  <w:tcW w:w="718" w:type="pct"/>
                  <w:tcBorders>
                    <w:tl2br w:val="nil"/>
                    <w:tr2bl w:val="nil"/>
                  </w:tcBorders>
                  <w:shd w:val="clear" w:color="auto" w:fill="auto"/>
                  <w:noWrap/>
                  <w:vAlign w:val="center"/>
                </w:tcPr>
                <w:p w14:paraId="25CD8D88">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728" w:type="pct"/>
                  <w:tcBorders>
                    <w:tl2br w:val="nil"/>
                    <w:tr2bl w:val="nil"/>
                  </w:tcBorders>
                  <w:shd w:val="clear" w:color="auto" w:fill="auto"/>
                  <w:noWrap/>
                  <w:vAlign w:val="center"/>
                </w:tcPr>
                <w:p w14:paraId="6AB19D31">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728" w:type="pct"/>
                  <w:tcBorders>
                    <w:tl2br w:val="nil"/>
                    <w:tr2bl w:val="nil"/>
                  </w:tcBorders>
                  <w:shd w:val="clear" w:color="auto" w:fill="auto"/>
                  <w:noWrap/>
                  <w:vAlign w:val="center"/>
                </w:tcPr>
                <w:p w14:paraId="3786E804">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w:t>
                  </w:r>
                </w:p>
              </w:tc>
              <w:tc>
                <w:tcPr>
                  <w:tcW w:w="718" w:type="pct"/>
                  <w:tcBorders>
                    <w:tl2br w:val="nil"/>
                    <w:tr2bl w:val="nil"/>
                  </w:tcBorders>
                  <w:shd w:val="clear" w:color="auto" w:fill="auto"/>
                  <w:noWrap/>
                  <w:vAlign w:val="center"/>
                </w:tcPr>
                <w:p w14:paraId="424418DC">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14:paraId="628B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53378AC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88" w:type="pct"/>
                  <w:tcBorders>
                    <w:tl2br w:val="nil"/>
                    <w:tr2bl w:val="nil"/>
                  </w:tcBorders>
                  <w:shd w:val="clear" w:color="auto" w:fill="auto"/>
                  <w:noWrap/>
                  <w:vAlign w:val="center"/>
                </w:tcPr>
                <w:p w14:paraId="68EF373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砷</w:t>
                  </w:r>
                </w:p>
              </w:tc>
              <w:tc>
                <w:tcPr>
                  <w:tcW w:w="718" w:type="pct"/>
                  <w:tcBorders>
                    <w:tl2br w:val="nil"/>
                    <w:tr2bl w:val="nil"/>
                  </w:tcBorders>
                  <w:shd w:val="clear" w:color="auto" w:fill="auto"/>
                  <w:noWrap/>
                  <w:vAlign w:val="center"/>
                </w:tcPr>
                <w:p w14:paraId="172E957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3B68A65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&lt;0.00010</w:t>
                  </w:r>
                </w:p>
              </w:tc>
              <w:tc>
                <w:tcPr>
                  <w:tcW w:w="728" w:type="pct"/>
                  <w:tcBorders>
                    <w:tl2br w:val="nil"/>
                    <w:tr2bl w:val="nil"/>
                  </w:tcBorders>
                  <w:shd w:val="clear" w:color="auto" w:fill="auto"/>
                  <w:noWrap/>
                  <w:vAlign w:val="center"/>
                </w:tcPr>
                <w:p w14:paraId="0813B3A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718" w:type="pct"/>
                  <w:tcBorders>
                    <w:tl2br w:val="nil"/>
                    <w:tr2bl w:val="nil"/>
                  </w:tcBorders>
                  <w:shd w:val="clear" w:color="auto" w:fill="auto"/>
                  <w:noWrap/>
                  <w:vAlign w:val="center"/>
                </w:tcPr>
                <w:p w14:paraId="4861023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E02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148E778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88" w:type="pct"/>
                  <w:tcBorders>
                    <w:tl2br w:val="nil"/>
                    <w:tr2bl w:val="nil"/>
                  </w:tcBorders>
                  <w:shd w:val="clear" w:color="auto" w:fill="auto"/>
                  <w:noWrap/>
                  <w:vAlign w:val="center"/>
                </w:tcPr>
                <w:p w14:paraId="2827628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w:t>
                  </w:r>
                </w:p>
              </w:tc>
              <w:tc>
                <w:tcPr>
                  <w:tcW w:w="718" w:type="pct"/>
                  <w:tcBorders>
                    <w:tl2br w:val="nil"/>
                    <w:tr2bl w:val="nil"/>
                  </w:tcBorders>
                  <w:shd w:val="clear" w:color="auto" w:fill="auto"/>
                  <w:noWrap/>
                  <w:vAlign w:val="center"/>
                </w:tcPr>
                <w:p w14:paraId="3BF7BEC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4F2BA23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&lt;0.00002</w:t>
                  </w:r>
                </w:p>
              </w:tc>
              <w:tc>
                <w:tcPr>
                  <w:tcW w:w="728" w:type="pct"/>
                  <w:tcBorders>
                    <w:tl2br w:val="nil"/>
                    <w:tr2bl w:val="nil"/>
                  </w:tcBorders>
                  <w:shd w:val="clear" w:color="auto" w:fill="auto"/>
                  <w:noWrap/>
                  <w:vAlign w:val="center"/>
                </w:tcPr>
                <w:p w14:paraId="3525295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w:t>
                  </w:r>
                </w:p>
              </w:tc>
              <w:tc>
                <w:tcPr>
                  <w:tcW w:w="718" w:type="pct"/>
                  <w:tcBorders>
                    <w:tl2br w:val="nil"/>
                    <w:tr2bl w:val="nil"/>
                  </w:tcBorders>
                  <w:shd w:val="clear" w:color="auto" w:fill="auto"/>
                  <w:noWrap/>
                  <w:vAlign w:val="center"/>
                </w:tcPr>
                <w:p w14:paraId="0B80729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A9A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413225D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88" w:type="pct"/>
                  <w:tcBorders>
                    <w:tl2br w:val="nil"/>
                    <w:tr2bl w:val="nil"/>
                  </w:tcBorders>
                  <w:shd w:val="clear" w:color="auto" w:fill="auto"/>
                  <w:noWrap/>
                  <w:vAlign w:val="center"/>
                </w:tcPr>
                <w:p w14:paraId="0844DFB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铊</w:t>
                  </w:r>
                </w:p>
              </w:tc>
              <w:tc>
                <w:tcPr>
                  <w:tcW w:w="718" w:type="pct"/>
                  <w:tcBorders>
                    <w:tl2br w:val="nil"/>
                    <w:tr2bl w:val="nil"/>
                  </w:tcBorders>
                  <w:shd w:val="clear" w:color="auto" w:fill="auto"/>
                  <w:noWrap/>
                  <w:vAlign w:val="center"/>
                </w:tcPr>
                <w:p w14:paraId="25D6906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0D0FDF7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&lt;0.0013</w:t>
                  </w:r>
                </w:p>
              </w:tc>
              <w:tc>
                <w:tcPr>
                  <w:tcW w:w="728" w:type="pct"/>
                  <w:tcBorders>
                    <w:tl2br w:val="nil"/>
                    <w:tr2bl w:val="nil"/>
                  </w:tcBorders>
                  <w:shd w:val="clear" w:color="auto" w:fill="auto"/>
                  <w:noWrap/>
                  <w:vAlign w:val="center"/>
                </w:tcPr>
                <w:p w14:paraId="3422BFE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w:t>
                  </w:r>
                </w:p>
              </w:tc>
              <w:tc>
                <w:tcPr>
                  <w:tcW w:w="718" w:type="pct"/>
                  <w:tcBorders>
                    <w:tl2br w:val="nil"/>
                    <w:tr2bl w:val="nil"/>
                  </w:tcBorders>
                  <w:shd w:val="clear" w:color="auto" w:fill="auto"/>
                  <w:noWrap/>
                  <w:vAlign w:val="center"/>
                </w:tcPr>
                <w:p w14:paraId="4F84725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454E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00BEEB5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88" w:type="pct"/>
                  <w:tcBorders>
                    <w:tl2br w:val="nil"/>
                    <w:tr2bl w:val="nil"/>
                  </w:tcBorders>
                  <w:shd w:val="clear" w:color="auto" w:fill="auto"/>
                  <w:noWrap/>
                  <w:vAlign w:val="center"/>
                </w:tcPr>
                <w:p w14:paraId="3FA33E7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银</w:t>
                  </w:r>
                </w:p>
              </w:tc>
              <w:tc>
                <w:tcPr>
                  <w:tcW w:w="718" w:type="pct"/>
                  <w:tcBorders>
                    <w:tl2br w:val="nil"/>
                    <w:tr2bl w:val="nil"/>
                  </w:tcBorders>
                  <w:shd w:val="clear" w:color="auto" w:fill="auto"/>
                  <w:noWrap/>
                  <w:vAlign w:val="center"/>
                </w:tcPr>
                <w:p w14:paraId="2ABF5DC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23BB933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&lt;0.01</w:t>
                  </w:r>
                </w:p>
              </w:tc>
              <w:tc>
                <w:tcPr>
                  <w:tcW w:w="728" w:type="pct"/>
                  <w:tcBorders>
                    <w:tl2br w:val="nil"/>
                    <w:tr2bl w:val="nil"/>
                  </w:tcBorders>
                  <w:shd w:val="clear" w:color="auto" w:fill="auto"/>
                  <w:noWrap/>
                  <w:vAlign w:val="center"/>
                </w:tcPr>
                <w:p w14:paraId="2F2E773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718" w:type="pct"/>
                  <w:tcBorders>
                    <w:tl2br w:val="nil"/>
                    <w:tr2bl w:val="nil"/>
                  </w:tcBorders>
                  <w:shd w:val="clear" w:color="auto" w:fill="auto"/>
                  <w:noWrap/>
                  <w:vAlign w:val="center"/>
                </w:tcPr>
                <w:p w14:paraId="46D287A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454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64A4646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88" w:type="pct"/>
                  <w:tcBorders>
                    <w:tl2br w:val="nil"/>
                    <w:tr2bl w:val="nil"/>
                  </w:tcBorders>
                  <w:shd w:val="clear" w:color="auto" w:fill="auto"/>
                  <w:noWrap/>
                  <w:vAlign w:val="center"/>
                </w:tcPr>
                <w:p w14:paraId="6F7BAE5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钡</w:t>
                  </w:r>
                </w:p>
              </w:tc>
              <w:tc>
                <w:tcPr>
                  <w:tcW w:w="718" w:type="pct"/>
                  <w:tcBorders>
                    <w:tl2br w:val="nil"/>
                    <w:tr2bl w:val="nil"/>
                  </w:tcBorders>
                  <w:shd w:val="clear" w:color="auto" w:fill="auto"/>
                  <w:noWrap/>
                  <w:vAlign w:val="center"/>
                </w:tcPr>
                <w:p w14:paraId="13EAE96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7B32598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&lt;0.06</w:t>
                  </w:r>
                </w:p>
              </w:tc>
              <w:tc>
                <w:tcPr>
                  <w:tcW w:w="728" w:type="pct"/>
                  <w:tcBorders>
                    <w:tl2br w:val="nil"/>
                    <w:tr2bl w:val="nil"/>
                  </w:tcBorders>
                  <w:shd w:val="clear" w:color="auto" w:fill="auto"/>
                  <w:noWrap/>
                  <w:vAlign w:val="center"/>
                </w:tcPr>
                <w:p w14:paraId="53A6531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718" w:type="pct"/>
                  <w:tcBorders>
                    <w:tl2br w:val="nil"/>
                    <w:tr2bl w:val="nil"/>
                  </w:tcBorders>
                  <w:shd w:val="clear" w:color="auto" w:fill="auto"/>
                  <w:noWrap/>
                  <w:vAlign w:val="center"/>
                </w:tcPr>
                <w:p w14:paraId="5BA5DEC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EE6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1A07608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88" w:type="pct"/>
                  <w:tcBorders>
                    <w:tl2br w:val="nil"/>
                    <w:tr2bl w:val="nil"/>
                  </w:tcBorders>
                  <w:shd w:val="clear" w:color="auto" w:fill="auto"/>
                  <w:noWrap/>
                  <w:vAlign w:val="center"/>
                </w:tcPr>
                <w:p w14:paraId="7B1F3AE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铍</w:t>
                  </w:r>
                </w:p>
              </w:tc>
              <w:tc>
                <w:tcPr>
                  <w:tcW w:w="718" w:type="pct"/>
                  <w:tcBorders>
                    <w:tl2br w:val="nil"/>
                    <w:tr2bl w:val="nil"/>
                  </w:tcBorders>
                  <w:shd w:val="clear" w:color="auto" w:fill="auto"/>
                  <w:noWrap/>
                  <w:vAlign w:val="center"/>
                </w:tcPr>
                <w:p w14:paraId="308E6E7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363DCF5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0.00034</w:t>
                  </w:r>
                </w:p>
              </w:tc>
              <w:tc>
                <w:tcPr>
                  <w:tcW w:w="728" w:type="pct"/>
                  <w:tcBorders>
                    <w:tl2br w:val="nil"/>
                    <w:tr2bl w:val="nil"/>
                  </w:tcBorders>
                  <w:shd w:val="clear" w:color="auto" w:fill="auto"/>
                  <w:noWrap/>
                  <w:vAlign w:val="center"/>
                </w:tcPr>
                <w:p w14:paraId="772EEEE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718" w:type="pct"/>
                  <w:tcBorders>
                    <w:tl2br w:val="nil"/>
                    <w:tr2bl w:val="nil"/>
                  </w:tcBorders>
                  <w:shd w:val="clear" w:color="auto" w:fill="auto"/>
                  <w:noWrap/>
                  <w:vAlign w:val="center"/>
                </w:tcPr>
                <w:p w14:paraId="0CA8718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7ED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718" w:type="pct"/>
                  <w:tcBorders>
                    <w:tl2br w:val="nil"/>
                    <w:tr2bl w:val="nil"/>
                  </w:tcBorders>
                  <w:shd w:val="clear" w:color="auto" w:fill="auto"/>
                  <w:noWrap/>
                  <w:vAlign w:val="center"/>
                </w:tcPr>
                <w:p w14:paraId="0FC0EF0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88" w:type="pct"/>
                  <w:tcBorders>
                    <w:tl2br w:val="nil"/>
                    <w:tr2bl w:val="nil"/>
                  </w:tcBorders>
                  <w:shd w:val="clear" w:color="auto" w:fill="auto"/>
                  <w:noWrap/>
                  <w:vAlign w:val="center"/>
                </w:tcPr>
                <w:p w14:paraId="4FCD8F0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镉</w:t>
                  </w:r>
                </w:p>
              </w:tc>
              <w:tc>
                <w:tcPr>
                  <w:tcW w:w="718" w:type="pct"/>
                  <w:tcBorders>
                    <w:tl2br w:val="nil"/>
                    <w:tr2bl w:val="nil"/>
                  </w:tcBorders>
                  <w:shd w:val="clear" w:color="auto" w:fill="auto"/>
                  <w:noWrap/>
                  <w:vAlign w:val="center"/>
                </w:tcPr>
                <w:p w14:paraId="6B3EE39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2242FD7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&lt;0.01</w:t>
                  </w:r>
                </w:p>
              </w:tc>
              <w:tc>
                <w:tcPr>
                  <w:tcW w:w="728" w:type="pct"/>
                  <w:tcBorders>
                    <w:tl2br w:val="nil"/>
                    <w:tr2bl w:val="nil"/>
                  </w:tcBorders>
                  <w:shd w:val="clear" w:color="auto" w:fill="auto"/>
                  <w:noWrap/>
                  <w:vAlign w:val="center"/>
                </w:tcPr>
                <w:p w14:paraId="3C86E83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18" w:type="pct"/>
                  <w:tcBorders>
                    <w:tl2br w:val="nil"/>
                    <w:tr2bl w:val="nil"/>
                  </w:tcBorders>
                  <w:shd w:val="clear" w:color="auto" w:fill="auto"/>
                  <w:noWrap/>
                  <w:vAlign w:val="center"/>
                </w:tcPr>
                <w:p w14:paraId="06BDCAC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A77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2824079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88" w:type="pct"/>
                  <w:tcBorders>
                    <w:tl2br w:val="nil"/>
                    <w:tr2bl w:val="nil"/>
                  </w:tcBorders>
                  <w:shd w:val="clear" w:color="auto" w:fill="auto"/>
                  <w:noWrap/>
                  <w:vAlign w:val="center"/>
                </w:tcPr>
                <w:p w14:paraId="4AD5A22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铬</w:t>
                  </w:r>
                </w:p>
              </w:tc>
              <w:tc>
                <w:tcPr>
                  <w:tcW w:w="718" w:type="pct"/>
                  <w:tcBorders>
                    <w:tl2br w:val="nil"/>
                    <w:tr2bl w:val="nil"/>
                  </w:tcBorders>
                  <w:shd w:val="clear" w:color="auto" w:fill="auto"/>
                  <w:noWrap/>
                  <w:vAlign w:val="center"/>
                </w:tcPr>
                <w:p w14:paraId="38C6904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03E2D00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&lt;0.02</w:t>
                  </w:r>
                </w:p>
              </w:tc>
              <w:tc>
                <w:tcPr>
                  <w:tcW w:w="728" w:type="pct"/>
                  <w:tcBorders>
                    <w:tl2br w:val="nil"/>
                    <w:tr2bl w:val="nil"/>
                  </w:tcBorders>
                  <w:shd w:val="clear" w:color="auto" w:fill="auto"/>
                  <w:noWrap/>
                  <w:vAlign w:val="center"/>
                </w:tcPr>
                <w:p w14:paraId="25DC55F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18" w:type="pct"/>
                  <w:tcBorders>
                    <w:tl2br w:val="nil"/>
                    <w:tr2bl w:val="nil"/>
                  </w:tcBorders>
                  <w:shd w:val="clear" w:color="auto" w:fill="auto"/>
                  <w:noWrap/>
                  <w:vAlign w:val="center"/>
                </w:tcPr>
                <w:p w14:paraId="7EE4D9B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A37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52AC7D9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388" w:type="pct"/>
                  <w:tcBorders>
                    <w:tl2br w:val="nil"/>
                    <w:tr2bl w:val="nil"/>
                  </w:tcBorders>
                  <w:shd w:val="clear" w:color="auto" w:fill="auto"/>
                  <w:noWrap/>
                  <w:vAlign w:val="center"/>
                </w:tcPr>
                <w:p w14:paraId="0D630F0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w:t>
                  </w:r>
                </w:p>
              </w:tc>
              <w:tc>
                <w:tcPr>
                  <w:tcW w:w="718" w:type="pct"/>
                  <w:tcBorders>
                    <w:tl2br w:val="nil"/>
                    <w:tr2bl w:val="nil"/>
                  </w:tcBorders>
                  <w:shd w:val="clear" w:color="auto" w:fill="auto"/>
                  <w:noWrap/>
                  <w:vAlign w:val="center"/>
                </w:tcPr>
                <w:p w14:paraId="54CAB48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599D5ED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&lt;0.01</w:t>
                  </w:r>
                </w:p>
              </w:tc>
              <w:tc>
                <w:tcPr>
                  <w:tcW w:w="728" w:type="pct"/>
                  <w:tcBorders>
                    <w:tl2br w:val="nil"/>
                    <w:tr2bl w:val="nil"/>
                  </w:tcBorders>
                  <w:shd w:val="clear" w:color="auto" w:fill="auto"/>
                  <w:noWrap/>
                  <w:vAlign w:val="center"/>
                </w:tcPr>
                <w:p w14:paraId="4C2A4A1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718" w:type="pct"/>
                  <w:tcBorders>
                    <w:tl2br w:val="nil"/>
                    <w:tr2bl w:val="nil"/>
                  </w:tcBorders>
                  <w:shd w:val="clear" w:color="auto" w:fill="auto"/>
                  <w:noWrap/>
                  <w:vAlign w:val="center"/>
                </w:tcPr>
                <w:p w14:paraId="449140F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7E2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48EC1EB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388" w:type="pct"/>
                  <w:tcBorders>
                    <w:tl2br w:val="nil"/>
                    <w:tr2bl w:val="nil"/>
                  </w:tcBorders>
                  <w:shd w:val="clear" w:color="auto" w:fill="auto"/>
                  <w:noWrap/>
                  <w:vAlign w:val="center"/>
                </w:tcPr>
                <w:p w14:paraId="0F46188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镍</w:t>
                  </w:r>
                </w:p>
              </w:tc>
              <w:tc>
                <w:tcPr>
                  <w:tcW w:w="718" w:type="pct"/>
                  <w:tcBorders>
                    <w:tl2br w:val="nil"/>
                    <w:tr2bl w:val="nil"/>
                  </w:tcBorders>
                  <w:shd w:val="clear" w:color="auto" w:fill="auto"/>
                  <w:noWrap/>
                  <w:vAlign w:val="center"/>
                </w:tcPr>
                <w:p w14:paraId="71CFAC7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3B58B93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&lt;0.02</w:t>
                  </w:r>
                </w:p>
              </w:tc>
              <w:tc>
                <w:tcPr>
                  <w:tcW w:w="728" w:type="pct"/>
                  <w:tcBorders>
                    <w:tl2br w:val="nil"/>
                    <w:tr2bl w:val="nil"/>
                  </w:tcBorders>
                  <w:shd w:val="clear" w:color="auto" w:fill="auto"/>
                  <w:noWrap/>
                  <w:vAlign w:val="center"/>
                </w:tcPr>
                <w:p w14:paraId="5A4A71C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718" w:type="pct"/>
                  <w:tcBorders>
                    <w:tl2br w:val="nil"/>
                    <w:tr2bl w:val="nil"/>
                  </w:tcBorders>
                  <w:shd w:val="clear" w:color="auto" w:fill="auto"/>
                  <w:noWrap/>
                  <w:vAlign w:val="center"/>
                </w:tcPr>
                <w:p w14:paraId="30E43E6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220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6327D0C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388" w:type="pct"/>
                  <w:tcBorders>
                    <w:tl2br w:val="nil"/>
                    <w:tr2bl w:val="nil"/>
                  </w:tcBorders>
                  <w:shd w:val="clear" w:color="auto" w:fill="auto"/>
                  <w:noWrap/>
                  <w:vAlign w:val="center"/>
                </w:tcPr>
                <w:p w14:paraId="3814D4B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铅</w:t>
                  </w:r>
                </w:p>
              </w:tc>
              <w:tc>
                <w:tcPr>
                  <w:tcW w:w="718" w:type="pct"/>
                  <w:tcBorders>
                    <w:tl2br w:val="nil"/>
                    <w:tr2bl w:val="nil"/>
                  </w:tcBorders>
                  <w:shd w:val="clear" w:color="auto" w:fill="auto"/>
                  <w:noWrap/>
                  <w:vAlign w:val="center"/>
                </w:tcPr>
                <w:p w14:paraId="768A25F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33A8024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&lt;0.02</w:t>
                  </w:r>
                </w:p>
              </w:tc>
              <w:tc>
                <w:tcPr>
                  <w:tcW w:w="728" w:type="pct"/>
                  <w:tcBorders>
                    <w:tl2br w:val="nil"/>
                    <w:tr2bl w:val="nil"/>
                  </w:tcBorders>
                  <w:shd w:val="clear" w:color="auto" w:fill="auto"/>
                  <w:noWrap/>
                  <w:vAlign w:val="center"/>
                </w:tcPr>
                <w:p w14:paraId="4B0CF3D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718" w:type="pct"/>
                  <w:tcBorders>
                    <w:tl2br w:val="nil"/>
                    <w:tr2bl w:val="nil"/>
                  </w:tcBorders>
                  <w:shd w:val="clear" w:color="auto" w:fill="auto"/>
                  <w:noWrap/>
                  <w:vAlign w:val="center"/>
                </w:tcPr>
                <w:p w14:paraId="77C8270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321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4AD4505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12</w:t>
                  </w:r>
                </w:p>
              </w:tc>
              <w:tc>
                <w:tcPr>
                  <w:tcW w:w="1388" w:type="pct"/>
                  <w:tcBorders>
                    <w:tl2br w:val="nil"/>
                    <w:tr2bl w:val="nil"/>
                  </w:tcBorders>
                  <w:shd w:val="clear" w:color="auto" w:fill="auto"/>
                  <w:noWrap/>
                  <w:vAlign w:val="center"/>
                </w:tcPr>
                <w:p w14:paraId="4EFCFD8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锌</w:t>
                  </w:r>
                </w:p>
              </w:tc>
              <w:tc>
                <w:tcPr>
                  <w:tcW w:w="718" w:type="pct"/>
                  <w:tcBorders>
                    <w:tl2br w:val="nil"/>
                    <w:tr2bl w:val="nil"/>
                  </w:tcBorders>
                  <w:shd w:val="clear" w:color="auto" w:fill="auto"/>
                  <w:noWrap/>
                  <w:vAlign w:val="center"/>
                </w:tcPr>
                <w:p w14:paraId="4460AE6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6934C65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&lt;0.01</w:t>
                  </w:r>
                </w:p>
              </w:tc>
              <w:tc>
                <w:tcPr>
                  <w:tcW w:w="728" w:type="pct"/>
                  <w:tcBorders>
                    <w:tl2br w:val="nil"/>
                    <w:tr2bl w:val="nil"/>
                  </w:tcBorders>
                  <w:shd w:val="clear" w:color="auto" w:fill="auto"/>
                  <w:noWrap/>
                  <w:vAlign w:val="center"/>
                </w:tcPr>
                <w:p w14:paraId="40B6E9A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718" w:type="pct"/>
                  <w:tcBorders>
                    <w:tl2br w:val="nil"/>
                    <w:tr2bl w:val="nil"/>
                  </w:tcBorders>
                  <w:shd w:val="clear" w:color="auto" w:fill="auto"/>
                  <w:noWrap/>
                  <w:vAlign w:val="center"/>
                </w:tcPr>
                <w:p w14:paraId="37069BC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E98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3D73CE9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13</w:t>
                  </w:r>
                </w:p>
              </w:tc>
              <w:tc>
                <w:tcPr>
                  <w:tcW w:w="1388" w:type="pct"/>
                  <w:tcBorders>
                    <w:tl2br w:val="nil"/>
                    <w:tr2bl w:val="nil"/>
                  </w:tcBorders>
                  <w:shd w:val="clear" w:color="auto" w:fill="auto"/>
                  <w:noWrap/>
                  <w:vAlign w:val="center"/>
                </w:tcPr>
                <w:p w14:paraId="1FB67561">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六价铬</w:t>
                  </w:r>
                </w:p>
              </w:tc>
              <w:tc>
                <w:tcPr>
                  <w:tcW w:w="718" w:type="pct"/>
                  <w:tcBorders>
                    <w:tl2br w:val="nil"/>
                    <w:tr2bl w:val="nil"/>
                  </w:tcBorders>
                  <w:shd w:val="clear" w:color="auto" w:fill="auto"/>
                  <w:noWrap/>
                  <w:vAlign w:val="center"/>
                </w:tcPr>
                <w:p w14:paraId="018CC6A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06F0CCA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&lt;0.004</w:t>
                  </w:r>
                </w:p>
              </w:tc>
              <w:tc>
                <w:tcPr>
                  <w:tcW w:w="728" w:type="pct"/>
                  <w:tcBorders>
                    <w:tl2br w:val="nil"/>
                    <w:tr2bl w:val="nil"/>
                  </w:tcBorders>
                  <w:shd w:val="clear" w:color="auto" w:fill="auto"/>
                  <w:noWrap/>
                  <w:vAlign w:val="center"/>
                </w:tcPr>
                <w:p w14:paraId="2C4735E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718" w:type="pct"/>
                  <w:tcBorders>
                    <w:tl2br w:val="nil"/>
                    <w:tr2bl w:val="nil"/>
                  </w:tcBorders>
                  <w:shd w:val="clear" w:color="auto" w:fill="auto"/>
                  <w:noWrap/>
                  <w:vAlign w:val="center"/>
                </w:tcPr>
                <w:p w14:paraId="12CE343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0E0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73CC43F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14</w:t>
                  </w:r>
                </w:p>
              </w:tc>
              <w:tc>
                <w:tcPr>
                  <w:tcW w:w="1388" w:type="pct"/>
                  <w:tcBorders>
                    <w:tl2br w:val="nil"/>
                    <w:tr2bl w:val="nil"/>
                  </w:tcBorders>
                  <w:shd w:val="clear" w:color="auto" w:fill="auto"/>
                  <w:noWrap/>
                  <w:vAlign w:val="center"/>
                </w:tcPr>
                <w:p w14:paraId="330CB43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氟化物</w:t>
                  </w:r>
                </w:p>
              </w:tc>
              <w:tc>
                <w:tcPr>
                  <w:tcW w:w="718" w:type="pct"/>
                  <w:tcBorders>
                    <w:tl2br w:val="nil"/>
                    <w:tr2bl w:val="nil"/>
                  </w:tcBorders>
                  <w:shd w:val="clear" w:color="auto" w:fill="auto"/>
                  <w:noWrap/>
                  <w:vAlign w:val="center"/>
                </w:tcPr>
                <w:p w14:paraId="23BCF98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0E44D74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728" w:type="pct"/>
                  <w:tcBorders>
                    <w:tl2br w:val="nil"/>
                    <w:tr2bl w:val="nil"/>
                  </w:tcBorders>
                  <w:shd w:val="clear" w:color="auto" w:fill="auto"/>
                  <w:noWrap/>
                  <w:vAlign w:val="center"/>
                </w:tcPr>
                <w:p w14:paraId="779421A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718" w:type="pct"/>
                  <w:tcBorders>
                    <w:tl2br w:val="nil"/>
                    <w:tr2bl w:val="nil"/>
                  </w:tcBorders>
                  <w:shd w:val="clear" w:color="auto" w:fill="auto"/>
                  <w:noWrap/>
                  <w:vAlign w:val="center"/>
                </w:tcPr>
                <w:p w14:paraId="2119BC9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AE7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5DF79F7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15</w:t>
                  </w:r>
                </w:p>
              </w:tc>
              <w:tc>
                <w:tcPr>
                  <w:tcW w:w="1388" w:type="pct"/>
                  <w:tcBorders>
                    <w:tl2br w:val="nil"/>
                    <w:tr2bl w:val="nil"/>
                  </w:tcBorders>
                  <w:shd w:val="clear" w:color="auto" w:fill="auto"/>
                  <w:noWrap/>
                  <w:vAlign w:val="center"/>
                </w:tcPr>
                <w:p w14:paraId="612B3E11">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氰根离子 (氰化物)</w:t>
                  </w:r>
                </w:p>
              </w:tc>
              <w:tc>
                <w:tcPr>
                  <w:tcW w:w="718" w:type="pct"/>
                  <w:tcBorders>
                    <w:tl2br w:val="nil"/>
                    <w:tr2bl w:val="nil"/>
                  </w:tcBorders>
                  <w:shd w:val="clear" w:color="auto" w:fill="auto"/>
                  <w:noWrap/>
                  <w:vAlign w:val="center"/>
                </w:tcPr>
                <w:p w14:paraId="1257F4D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728" w:type="pct"/>
                  <w:tcBorders>
                    <w:tl2br w:val="nil"/>
                    <w:tr2bl w:val="nil"/>
                  </w:tcBorders>
                  <w:shd w:val="clear" w:color="auto" w:fill="auto"/>
                  <w:noWrap/>
                  <w:vAlign w:val="center"/>
                </w:tcPr>
                <w:p w14:paraId="0906803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&lt;0.0001</w:t>
                  </w:r>
                </w:p>
              </w:tc>
              <w:tc>
                <w:tcPr>
                  <w:tcW w:w="728" w:type="pct"/>
                  <w:tcBorders>
                    <w:tl2br w:val="nil"/>
                    <w:tr2bl w:val="nil"/>
                  </w:tcBorders>
                  <w:shd w:val="clear" w:color="auto" w:fill="auto"/>
                  <w:noWrap/>
                  <w:vAlign w:val="center"/>
                </w:tcPr>
                <w:p w14:paraId="5313AA9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718" w:type="pct"/>
                  <w:tcBorders>
                    <w:tl2br w:val="nil"/>
                    <w:tr2bl w:val="nil"/>
                  </w:tcBorders>
                  <w:shd w:val="clear" w:color="auto" w:fill="auto"/>
                  <w:noWrap/>
                  <w:vAlign w:val="center"/>
                </w:tcPr>
                <w:p w14:paraId="32CC8EF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C98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54C8541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16</w:t>
                  </w:r>
                </w:p>
              </w:tc>
              <w:tc>
                <w:tcPr>
                  <w:tcW w:w="1388" w:type="pct"/>
                  <w:tcBorders>
                    <w:tl2br w:val="nil"/>
                    <w:tr2bl w:val="nil"/>
                  </w:tcBorders>
                  <w:shd w:val="clear" w:color="auto" w:fill="auto"/>
                  <w:noWrap/>
                  <w:vAlign w:val="center"/>
                </w:tcPr>
                <w:p w14:paraId="439D263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烷基汞（甲基汞）</w:t>
                  </w:r>
                </w:p>
              </w:tc>
              <w:tc>
                <w:tcPr>
                  <w:tcW w:w="718" w:type="pct"/>
                  <w:tcBorders>
                    <w:tl2br w:val="nil"/>
                    <w:tr2bl w:val="nil"/>
                  </w:tcBorders>
                  <w:shd w:val="clear" w:color="auto" w:fill="auto"/>
                  <w:noWrap/>
                  <w:vAlign w:val="center"/>
                </w:tcPr>
                <w:p w14:paraId="35D73FA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ng/L</w:t>
                  </w:r>
                </w:p>
              </w:tc>
              <w:tc>
                <w:tcPr>
                  <w:tcW w:w="728" w:type="pct"/>
                  <w:tcBorders>
                    <w:tl2br w:val="nil"/>
                    <w:tr2bl w:val="nil"/>
                  </w:tcBorders>
                  <w:shd w:val="clear" w:color="auto" w:fill="auto"/>
                  <w:noWrap/>
                  <w:vAlign w:val="center"/>
                </w:tcPr>
                <w:p w14:paraId="163357F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&lt;10</w:t>
                  </w:r>
                </w:p>
              </w:tc>
              <w:tc>
                <w:tcPr>
                  <w:tcW w:w="728" w:type="pct"/>
                  <w:tcBorders>
                    <w:tl2br w:val="nil"/>
                    <w:tr2bl w:val="nil"/>
                  </w:tcBorders>
                  <w:shd w:val="clear" w:color="auto" w:fill="auto"/>
                  <w:noWrap/>
                  <w:vAlign w:val="center"/>
                </w:tcPr>
                <w:p w14:paraId="30A07E4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不得检出</w:t>
                  </w:r>
                </w:p>
              </w:tc>
              <w:tc>
                <w:tcPr>
                  <w:tcW w:w="718" w:type="pct"/>
                  <w:tcBorders>
                    <w:tl2br w:val="nil"/>
                    <w:tr2bl w:val="nil"/>
                  </w:tcBorders>
                  <w:shd w:val="clear" w:color="auto" w:fill="auto"/>
                  <w:noWrap/>
                  <w:vAlign w:val="center"/>
                </w:tcPr>
                <w:p w14:paraId="66656D5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E30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718" w:type="pct"/>
                  <w:tcBorders>
                    <w:tl2br w:val="nil"/>
                    <w:tr2bl w:val="nil"/>
                  </w:tcBorders>
                  <w:shd w:val="clear" w:color="auto" w:fill="auto"/>
                  <w:noWrap/>
                  <w:vAlign w:val="center"/>
                </w:tcPr>
                <w:p w14:paraId="6322134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17</w:t>
                  </w:r>
                </w:p>
              </w:tc>
              <w:tc>
                <w:tcPr>
                  <w:tcW w:w="1388" w:type="pct"/>
                  <w:tcBorders>
                    <w:tl2br w:val="nil"/>
                    <w:tr2bl w:val="nil"/>
                  </w:tcBorders>
                  <w:shd w:val="clear" w:color="auto" w:fill="auto"/>
                  <w:noWrap/>
                  <w:vAlign w:val="center"/>
                </w:tcPr>
                <w:p w14:paraId="3DEB1CE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烷基汞（乙基汞）</w:t>
                  </w:r>
                </w:p>
              </w:tc>
              <w:tc>
                <w:tcPr>
                  <w:tcW w:w="718" w:type="pct"/>
                  <w:tcBorders>
                    <w:tl2br w:val="nil"/>
                    <w:tr2bl w:val="nil"/>
                  </w:tcBorders>
                  <w:shd w:val="clear" w:color="auto" w:fill="auto"/>
                  <w:noWrap/>
                  <w:vAlign w:val="center"/>
                </w:tcPr>
                <w:p w14:paraId="1F93E0D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ng/L</w:t>
                  </w:r>
                </w:p>
              </w:tc>
              <w:tc>
                <w:tcPr>
                  <w:tcW w:w="728" w:type="pct"/>
                  <w:tcBorders>
                    <w:tl2br w:val="nil"/>
                    <w:tr2bl w:val="nil"/>
                  </w:tcBorders>
                  <w:shd w:val="clear" w:color="auto" w:fill="auto"/>
                  <w:noWrap/>
                  <w:vAlign w:val="center"/>
                </w:tcPr>
                <w:p w14:paraId="61E82A4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&lt;20</w:t>
                  </w:r>
                </w:p>
              </w:tc>
              <w:tc>
                <w:tcPr>
                  <w:tcW w:w="728" w:type="pct"/>
                  <w:tcBorders>
                    <w:tl2br w:val="nil"/>
                    <w:tr2bl w:val="nil"/>
                  </w:tcBorders>
                  <w:shd w:val="clear" w:color="auto" w:fill="auto"/>
                  <w:noWrap/>
                  <w:vAlign w:val="center"/>
                </w:tcPr>
                <w:p w14:paraId="6E33F2F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不得检出</w:t>
                  </w:r>
                </w:p>
              </w:tc>
              <w:tc>
                <w:tcPr>
                  <w:tcW w:w="718" w:type="pct"/>
                  <w:tcBorders>
                    <w:tl2br w:val="nil"/>
                    <w:tr2bl w:val="nil"/>
                  </w:tcBorders>
                  <w:shd w:val="clear" w:color="auto" w:fill="auto"/>
                  <w:noWrap/>
                  <w:vAlign w:val="center"/>
                </w:tcPr>
                <w:p w14:paraId="203999A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70C04DAB">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根据上表监测结果可知，</w:t>
            </w:r>
            <w:r>
              <w:rPr>
                <w:rFonts w:hint="default" w:ascii="Times New Roman" w:hAnsi="Times New Roman" w:eastAsia="宋体" w:cs="Times New Roman"/>
                <w:color w:val="auto"/>
                <w:kern w:val="2"/>
                <w:sz w:val="24"/>
                <w:szCs w:val="24"/>
                <w:lang w:val="en-US" w:eastAsia="zh-CN" w:bidi="ar-SA"/>
              </w:rPr>
              <w:t>检测结果表示，样品尾矿浸出液中的检测项目（列出项目）的检测结果均未超过《危险废物鉴别标准浸出毒性鉴别》（GB5085.3-2007）浸出毒性鉴别标准浓度限值，样品尾矿浸出液检测结果未体现出浸出毒性危险特性。（详见附件</w:t>
            </w:r>
            <w:r>
              <w:rPr>
                <w:rFonts w:hint="default" w:ascii="Times New Roman" w:hAnsi="Times New Roman" w:cs="Times New Roman"/>
                <w:color w:val="auto"/>
                <w:kern w:val="2"/>
                <w:sz w:val="24"/>
                <w:szCs w:val="24"/>
                <w:lang w:val="en-US" w:eastAsia="zh-CN" w:bidi="ar-SA"/>
              </w:rPr>
              <w:t>13</w:t>
            </w:r>
            <w:r>
              <w:rPr>
                <w:rFonts w:hint="default" w:ascii="Times New Roman" w:hAnsi="Times New Roman" w:eastAsia="宋体" w:cs="Times New Roman"/>
                <w:color w:val="auto"/>
                <w:kern w:val="2"/>
                <w:sz w:val="24"/>
                <w:szCs w:val="24"/>
                <w:lang w:val="en-US" w:eastAsia="zh-CN" w:bidi="ar-SA"/>
              </w:rPr>
              <w:t>）</w:t>
            </w:r>
          </w:p>
          <w:p w14:paraId="1152F63C">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line="240" w:lineRule="auto"/>
              <w:ind w:firstLine="422"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color w:val="auto"/>
                <w:kern w:val="24"/>
                <w:sz w:val="21"/>
                <w:szCs w:val="21"/>
                <w:lang w:eastAsia="zh-CN"/>
              </w:rPr>
              <w:t>表2-</w:t>
            </w:r>
            <w:r>
              <w:rPr>
                <w:rFonts w:hint="default" w:ascii="Times New Roman" w:hAnsi="Times New Roman" w:cs="Times New Roman"/>
                <w:b/>
                <w:color w:val="auto"/>
                <w:kern w:val="24"/>
                <w:sz w:val="21"/>
                <w:szCs w:val="21"/>
                <w:lang w:val="en-US" w:eastAsia="zh-CN"/>
              </w:rPr>
              <w:t>7</w:t>
            </w:r>
            <w:r>
              <w:rPr>
                <w:rFonts w:hint="default" w:ascii="Times New Roman" w:hAnsi="Times New Roman" w:cs="Times New Roman"/>
                <w:b/>
                <w:color w:val="auto"/>
                <w:kern w:val="24"/>
                <w:sz w:val="21"/>
                <w:szCs w:val="21"/>
                <w:lang w:eastAsia="zh-CN"/>
              </w:rPr>
              <w:t xml:space="preserve">  </w:t>
            </w:r>
            <w:r>
              <w:rPr>
                <w:rFonts w:hint="default" w:ascii="Times New Roman" w:hAnsi="Times New Roman" w:cs="Times New Roman"/>
                <w:b/>
                <w:color w:val="auto"/>
                <w:kern w:val="24"/>
                <w:sz w:val="21"/>
                <w:szCs w:val="21"/>
                <w:lang w:val="en-US" w:eastAsia="zh-CN"/>
              </w:rPr>
              <w:t>尾矿腐蚀性浸出液检测结果一览表</w:t>
            </w:r>
          </w:p>
          <w:tbl>
            <w:tblPr>
              <w:tblStyle w:val="20"/>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4"/>
              <w:gridCol w:w="1476"/>
              <w:gridCol w:w="755"/>
              <w:gridCol w:w="755"/>
              <w:gridCol w:w="2736"/>
              <w:gridCol w:w="1561"/>
            </w:tblGrid>
            <w:tr w14:paraId="30BF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811" w:type="dxa"/>
                  <w:tcBorders>
                    <w:tl2br w:val="nil"/>
                    <w:tr2bl w:val="nil"/>
                  </w:tcBorders>
                  <w:shd w:val="clear" w:color="auto" w:fill="auto"/>
                  <w:noWrap/>
                  <w:vAlign w:val="center"/>
                </w:tcPr>
                <w:p w14:paraId="26AC6E26">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353" w:type="dxa"/>
                  <w:tcBorders>
                    <w:tl2br w:val="nil"/>
                    <w:tr2bl w:val="nil"/>
                  </w:tcBorders>
                  <w:shd w:val="clear" w:color="auto" w:fill="auto"/>
                  <w:noWrap/>
                  <w:vAlign w:val="center"/>
                </w:tcPr>
                <w:p w14:paraId="29BB3F6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检测项目</w:t>
                  </w:r>
                </w:p>
              </w:tc>
              <w:tc>
                <w:tcPr>
                  <w:tcW w:w="812" w:type="dxa"/>
                  <w:tcBorders>
                    <w:tl2br w:val="nil"/>
                    <w:tr2bl w:val="nil"/>
                  </w:tcBorders>
                  <w:shd w:val="clear" w:color="auto" w:fill="auto"/>
                  <w:noWrap/>
                  <w:vAlign w:val="center"/>
                </w:tcPr>
                <w:p w14:paraId="536E6F2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812" w:type="dxa"/>
                  <w:tcBorders>
                    <w:tl2br w:val="nil"/>
                    <w:tr2bl w:val="nil"/>
                  </w:tcBorders>
                  <w:shd w:val="clear" w:color="auto" w:fill="auto"/>
                  <w:noWrap/>
                  <w:vAlign w:val="center"/>
                </w:tcPr>
                <w:p w14:paraId="668B830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2492" w:type="dxa"/>
                  <w:tcBorders>
                    <w:tl2br w:val="nil"/>
                    <w:tr2bl w:val="nil"/>
                  </w:tcBorders>
                  <w:shd w:val="clear" w:color="auto" w:fill="auto"/>
                  <w:noWrap/>
                  <w:vAlign w:val="center"/>
                </w:tcPr>
                <w:p w14:paraId="53A7E53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w:t>
                  </w:r>
                </w:p>
              </w:tc>
              <w:tc>
                <w:tcPr>
                  <w:tcW w:w="1430" w:type="dxa"/>
                  <w:tcBorders>
                    <w:tl2br w:val="nil"/>
                    <w:tr2bl w:val="nil"/>
                  </w:tcBorders>
                  <w:shd w:val="clear" w:color="auto" w:fill="auto"/>
                  <w:noWrap/>
                  <w:vAlign w:val="center"/>
                </w:tcPr>
                <w:p w14:paraId="60ED861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14:paraId="7880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18" w:type="dxa"/>
                  <w:tcBorders>
                    <w:tl2br w:val="nil"/>
                    <w:tr2bl w:val="nil"/>
                  </w:tcBorders>
                  <w:shd w:val="clear" w:color="auto" w:fill="auto"/>
                  <w:noWrap/>
                  <w:vAlign w:val="center"/>
                </w:tcPr>
                <w:p w14:paraId="0C51F98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609" w:type="dxa"/>
                  <w:tcBorders>
                    <w:tl2br w:val="nil"/>
                    <w:tr2bl w:val="nil"/>
                  </w:tcBorders>
                  <w:shd w:val="clear" w:color="auto" w:fill="auto"/>
                  <w:noWrap/>
                  <w:vAlign w:val="center"/>
                </w:tcPr>
                <w:p w14:paraId="7FF6FDF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 值（腐蚀性）</w:t>
                  </w:r>
                </w:p>
              </w:tc>
              <w:tc>
                <w:tcPr>
                  <w:tcW w:w="773" w:type="dxa"/>
                  <w:tcBorders>
                    <w:tl2br w:val="nil"/>
                    <w:tr2bl w:val="nil"/>
                  </w:tcBorders>
                  <w:shd w:val="clear" w:color="auto" w:fill="auto"/>
                  <w:noWrap/>
                  <w:vAlign w:val="center"/>
                </w:tcPr>
                <w:p w14:paraId="19E4FC8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无量纲</w:t>
                  </w:r>
                </w:p>
              </w:tc>
              <w:tc>
                <w:tcPr>
                  <w:tcW w:w="719" w:type="dxa"/>
                  <w:tcBorders>
                    <w:tl2br w:val="nil"/>
                    <w:tr2bl w:val="nil"/>
                  </w:tcBorders>
                  <w:shd w:val="clear" w:color="auto" w:fill="auto"/>
                  <w:noWrap/>
                  <w:vAlign w:val="center"/>
                </w:tcPr>
                <w:p w14:paraId="060185A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8.35</w:t>
                  </w:r>
                </w:p>
              </w:tc>
              <w:tc>
                <w:tcPr>
                  <w:tcW w:w="3001" w:type="dxa"/>
                  <w:tcBorders>
                    <w:tl2br w:val="nil"/>
                    <w:tr2bl w:val="nil"/>
                  </w:tcBorders>
                  <w:shd w:val="clear" w:color="auto" w:fill="auto"/>
                  <w:noWrap/>
                  <w:vAlign w:val="center"/>
                </w:tcPr>
                <w:p w14:paraId="43B9FEA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 或 ≤2.0 判定为有腐蚀性</w:t>
                  </w:r>
                </w:p>
              </w:tc>
              <w:tc>
                <w:tcPr>
                  <w:tcW w:w="1702" w:type="dxa"/>
                  <w:tcBorders>
                    <w:tl2br w:val="nil"/>
                    <w:tr2bl w:val="nil"/>
                  </w:tcBorders>
                  <w:shd w:val="clear" w:color="auto" w:fill="auto"/>
                  <w:noWrap/>
                  <w:vAlign w:val="center"/>
                </w:tcPr>
                <w:p w14:paraId="4081DAB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达标（无腐蚀性）</w:t>
                  </w:r>
                </w:p>
              </w:tc>
            </w:tr>
          </w:tbl>
          <w:p w14:paraId="1DA4748A">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根据上表监测结果可知，</w:t>
            </w:r>
            <w:r>
              <w:rPr>
                <w:rFonts w:hint="default" w:ascii="Times New Roman" w:hAnsi="Times New Roman" w:eastAsia="宋体" w:cs="Times New Roman"/>
                <w:color w:val="auto"/>
                <w:kern w:val="2"/>
                <w:sz w:val="24"/>
                <w:szCs w:val="24"/>
                <w:lang w:val="en-US" w:eastAsia="zh-CN" w:bidi="ar-SA"/>
              </w:rPr>
              <w:t>样品尾矿浸出液中的腐蚀性pH值未在《危险废物鉴别标准腐蚀性鉴别》（GB5085.1-2007）标准限值规定的范围内，样品尾矿浸出液检测结果未体现出腐蚀性危险特性</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（详见附件</w:t>
            </w:r>
            <w:r>
              <w:rPr>
                <w:rFonts w:hint="default" w:ascii="Times New Roman" w:hAnsi="Times New Roman" w:cs="Times New Roman"/>
                <w:color w:val="auto"/>
                <w:kern w:val="2"/>
                <w:sz w:val="24"/>
                <w:szCs w:val="24"/>
                <w:lang w:val="en-US" w:eastAsia="zh-CN" w:bidi="ar-SA"/>
              </w:rPr>
              <w:t>13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w:t>
            </w:r>
          </w:p>
          <w:p w14:paraId="3B324852">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line="240" w:lineRule="auto"/>
              <w:ind w:firstLine="422"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color w:val="auto"/>
                <w:kern w:val="24"/>
                <w:sz w:val="21"/>
                <w:szCs w:val="21"/>
                <w:lang w:eastAsia="zh-CN"/>
              </w:rPr>
              <w:t>表2-</w:t>
            </w:r>
            <w:r>
              <w:rPr>
                <w:rFonts w:hint="default" w:ascii="Times New Roman" w:hAnsi="Times New Roman" w:cs="Times New Roman"/>
                <w:b/>
                <w:color w:val="auto"/>
                <w:kern w:val="24"/>
                <w:sz w:val="21"/>
                <w:szCs w:val="21"/>
                <w:lang w:val="en-US" w:eastAsia="zh-CN"/>
              </w:rPr>
              <w:t>8</w:t>
            </w:r>
            <w:r>
              <w:rPr>
                <w:rFonts w:hint="default" w:ascii="Times New Roman" w:hAnsi="Times New Roman" w:cs="Times New Roman"/>
                <w:b/>
                <w:color w:val="auto"/>
                <w:kern w:val="24"/>
                <w:sz w:val="21"/>
                <w:szCs w:val="21"/>
                <w:lang w:eastAsia="zh-CN"/>
              </w:rPr>
              <w:t xml:space="preserve">  </w:t>
            </w:r>
            <w:r>
              <w:rPr>
                <w:rFonts w:hint="default" w:ascii="Times New Roman" w:hAnsi="Times New Roman" w:cs="Times New Roman"/>
                <w:b/>
                <w:color w:val="auto"/>
                <w:kern w:val="24"/>
                <w:sz w:val="21"/>
                <w:szCs w:val="21"/>
                <w:lang w:val="en-US" w:eastAsia="zh-CN"/>
              </w:rPr>
              <w:t>第I类、第II类一般工业固体废物类别鉴别浸出液检测结果一览表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7"/>
              <w:gridCol w:w="1884"/>
              <w:gridCol w:w="701"/>
              <w:gridCol w:w="1099"/>
              <w:gridCol w:w="2895"/>
              <w:gridCol w:w="786"/>
            </w:tblGrid>
            <w:tr w14:paraId="46E4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6"/>
                  <w:tcBorders>
                    <w:tl2br w:val="nil"/>
                    <w:tr2bl w:val="nil"/>
                  </w:tcBorders>
                  <w:shd w:val="clear" w:color="auto" w:fill="auto"/>
                  <w:noWrap/>
                  <w:vAlign w:val="center"/>
                </w:tcPr>
                <w:p w14:paraId="4FEC10B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尾矿（样品编号：HJ20250828152）</w:t>
                  </w:r>
                </w:p>
              </w:tc>
            </w:tr>
            <w:tr w14:paraId="088A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367E02B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172" w:type="pct"/>
                  <w:tcBorders>
                    <w:tl2br w:val="nil"/>
                    <w:tr2bl w:val="nil"/>
                  </w:tcBorders>
                  <w:shd w:val="clear" w:color="auto" w:fill="auto"/>
                  <w:noWrap/>
                  <w:vAlign w:val="center"/>
                </w:tcPr>
                <w:p w14:paraId="3BE4207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检测项目</w:t>
                  </w:r>
                </w:p>
              </w:tc>
              <w:tc>
                <w:tcPr>
                  <w:tcW w:w="436" w:type="pct"/>
                  <w:tcBorders>
                    <w:tl2br w:val="nil"/>
                    <w:tr2bl w:val="nil"/>
                  </w:tcBorders>
                  <w:shd w:val="clear" w:color="auto" w:fill="auto"/>
                  <w:noWrap/>
                  <w:vAlign w:val="center"/>
                </w:tcPr>
                <w:p w14:paraId="6070B43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684" w:type="pct"/>
                  <w:tcBorders>
                    <w:tl2br w:val="nil"/>
                    <w:tr2bl w:val="nil"/>
                  </w:tcBorders>
                  <w:shd w:val="clear" w:color="auto" w:fill="auto"/>
                  <w:noWrap/>
                  <w:vAlign w:val="center"/>
                </w:tcPr>
                <w:p w14:paraId="6FB9A5B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1802" w:type="pct"/>
                  <w:tcBorders>
                    <w:tl2br w:val="nil"/>
                    <w:tr2bl w:val="nil"/>
                  </w:tcBorders>
                  <w:shd w:val="clear" w:color="auto" w:fill="auto"/>
                  <w:noWrap/>
                  <w:vAlign w:val="center"/>
                </w:tcPr>
                <w:p w14:paraId="2FE09E4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w:t>
                  </w:r>
                </w:p>
              </w:tc>
              <w:tc>
                <w:tcPr>
                  <w:tcW w:w="489" w:type="pct"/>
                  <w:tcBorders>
                    <w:tl2br w:val="nil"/>
                    <w:tr2bl w:val="nil"/>
                  </w:tcBorders>
                  <w:shd w:val="clear" w:color="auto" w:fill="auto"/>
                  <w:noWrap/>
                  <w:vAlign w:val="center"/>
                </w:tcPr>
                <w:p w14:paraId="29B8696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14:paraId="6C56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33A9487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72" w:type="pct"/>
                  <w:tcBorders>
                    <w:tl2br w:val="nil"/>
                    <w:tr2bl w:val="nil"/>
                  </w:tcBorders>
                  <w:shd w:val="clear" w:color="auto" w:fill="auto"/>
                  <w:noWrap/>
                  <w:vAlign w:val="center"/>
                </w:tcPr>
                <w:p w14:paraId="4FBDE4E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砷</w:t>
                  </w:r>
                </w:p>
              </w:tc>
              <w:tc>
                <w:tcPr>
                  <w:tcW w:w="436" w:type="pct"/>
                  <w:tcBorders>
                    <w:tl2br w:val="nil"/>
                    <w:tr2bl w:val="nil"/>
                  </w:tcBorders>
                  <w:shd w:val="clear" w:color="auto" w:fill="auto"/>
                  <w:noWrap/>
                  <w:vAlign w:val="center"/>
                </w:tcPr>
                <w:p w14:paraId="7D82D9B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731A392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802" w:type="pct"/>
                  <w:tcBorders>
                    <w:tl2br w:val="nil"/>
                    <w:tr2bl w:val="nil"/>
                  </w:tcBorders>
                  <w:shd w:val="clear" w:color="auto" w:fill="auto"/>
                  <w:noWrap/>
                  <w:vAlign w:val="center"/>
                </w:tcPr>
                <w:p w14:paraId="7CBA805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89" w:type="pct"/>
                  <w:tcBorders>
                    <w:tl2br w:val="nil"/>
                    <w:tr2bl w:val="nil"/>
                  </w:tcBorders>
                  <w:shd w:val="clear" w:color="auto" w:fill="auto"/>
                  <w:noWrap/>
                  <w:vAlign w:val="center"/>
                </w:tcPr>
                <w:p w14:paraId="79B42D01">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489D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5BD8E1F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172" w:type="pct"/>
                  <w:tcBorders>
                    <w:tl2br w:val="nil"/>
                    <w:tr2bl w:val="nil"/>
                  </w:tcBorders>
                  <w:shd w:val="clear" w:color="auto" w:fill="auto"/>
                  <w:noWrap/>
                  <w:vAlign w:val="center"/>
                </w:tcPr>
                <w:p w14:paraId="5183A15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w:t>
                  </w:r>
                </w:p>
              </w:tc>
              <w:tc>
                <w:tcPr>
                  <w:tcW w:w="436" w:type="pct"/>
                  <w:tcBorders>
                    <w:tl2br w:val="nil"/>
                    <w:tr2bl w:val="nil"/>
                  </w:tcBorders>
                  <w:shd w:val="clear" w:color="auto" w:fill="auto"/>
                  <w:noWrap/>
                  <w:vAlign w:val="center"/>
                </w:tcPr>
                <w:p w14:paraId="52AE5FE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72B44271">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&lt;0.00004</w:t>
                  </w:r>
                </w:p>
              </w:tc>
              <w:tc>
                <w:tcPr>
                  <w:tcW w:w="1802" w:type="pct"/>
                  <w:tcBorders>
                    <w:tl2br w:val="nil"/>
                    <w:tr2bl w:val="nil"/>
                  </w:tcBorders>
                  <w:shd w:val="clear" w:color="auto" w:fill="auto"/>
                  <w:noWrap/>
                  <w:vAlign w:val="center"/>
                </w:tcPr>
                <w:p w14:paraId="5BC8CD0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89" w:type="pct"/>
                  <w:tcBorders>
                    <w:tl2br w:val="nil"/>
                    <w:tr2bl w:val="nil"/>
                  </w:tcBorders>
                  <w:shd w:val="clear" w:color="auto" w:fill="auto"/>
                  <w:noWrap/>
                  <w:vAlign w:val="center"/>
                </w:tcPr>
                <w:p w14:paraId="49B5A4D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4E1C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4E4C5F9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172" w:type="pct"/>
                  <w:tcBorders>
                    <w:tl2br w:val="nil"/>
                    <w:tr2bl w:val="nil"/>
                  </w:tcBorders>
                  <w:shd w:val="clear" w:color="auto" w:fill="auto"/>
                  <w:noWrap/>
                  <w:vAlign w:val="center"/>
                </w:tcPr>
                <w:p w14:paraId="68023D0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硒</w:t>
                  </w:r>
                </w:p>
              </w:tc>
              <w:tc>
                <w:tcPr>
                  <w:tcW w:w="436" w:type="pct"/>
                  <w:tcBorders>
                    <w:tl2br w:val="nil"/>
                    <w:tr2bl w:val="nil"/>
                  </w:tcBorders>
                  <w:shd w:val="clear" w:color="auto" w:fill="auto"/>
                  <w:noWrap/>
                  <w:vAlign w:val="center"/>
                </w:tcPr>
                <w:p w14:paraId="63EC7CB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1448F5B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&lt;0.0004</w:t>
                  </w:r>
                </w:p>
              </w:tc>
              <w:tc>
                <w:tcPr>
                  <w:tcW w:w="1802" w:type="pct"/>
                  <w:tcBorders>
                    <w:tl2br w:val="nil"/>
                    <w:tr2bl w:val="nil"/>
                  </w:tcBorders>
                  <w:shd w:val="clear" w:color="auto" w:fill="auto"/>
                  <w:noWrap/>
                  <w:vAlign w:val="center"/>
                </w:tcPr>
                <w:p w14:paraId="09CC85D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w:t>
                  </w:r>
                </w:p>
              </w:tc>
              <w:tc>
                <w:tcPr>
                  <w:tcW w:w="489" w:type="pct"/>
                  <w:tcBorders>
                    <w:tl2br w:val="nil"/>
                    <w:tr2bl w:val="nil"/>
                  </w:tcBorders>
                  <w:shd w:val="clear" w:color="auto" w:fill="auto"/>
                  <w:noWrap/>
                  <w:vAlign w:val="center"/>
                </w:tcPr>
                <w:p w14:paraId="525C294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7FB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4F51FEB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72" w:type="pct"/>
                  <w:tcBorders>
                    <w:tl2br w:val="nil"/>
                    <w:tr2bl w:val="nil"/>
                  </w:tcBorders>
                  <w:shd w:val="clear" w:color="auto" w:fill="auto"/>
                  <w:noWrap/>
                  <w:vAlign w:val="center"/>
                </w:tcPr>
                <w:p w14:paraId="609EFF3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银</w:t>
                  </w:r>
                </w:p>
              </w:tc>
              <w:tc>
                <w:tcPr>
                  <w:tcW w:w="436" w:type="pct"/>
                  <w:tcBorders>
                    <w:tl2br w:val="nil"/>
                    <w:tr2bl w:val="nil"/>
                  </w:tcBorders>
                  <w:shd w:val="clear" w:color="auto" w:fill="auto"/>
                  <w:noWrap/>
                  <w:vAlign w:val="center"/>
                </w:tcPr>
                <w:p w14:paraId="1E55128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65F8B08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&lt;0.02</w:t>
                  </w:r>
                </w:p>
              </w:tc>
              <w:tc>
                <w:tcPr>
                  <w:tcW w:w="1802" w:type="pct"/>
                  <w:tcBorders>
                    <w:tl2br w:val="nil"/>
                    <w:tr2bl w:val="nil"/>
                  </w:tcBorders>
                  <w:shd w:val="clear" w:color="auto" w:fill="auto"/>
                  <w:noWrap/>
                  <w:vAlign w:val="center"/>
                </w:tcPr>
                <w:p w14:paraId="508C0E8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89" w:type="pct"/>
                  <w:tcBorders>
                    <w:tl2br w:val="nil"/>
                    <w:tr2bl w:val="nil"/>
                  </w:tcBorders>
                  <w:shd w:val="clear" w:color="auto" w:fill="auto"/>
                  <w:noWrap/>
                  <w:vAlign w:val="center"/>
                </w:tcPr>
                <w:p w14:paraId="58BF308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064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6142E7A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172" w:type="pct"/>
                  <w:tcBorders>
                    <w:tl2br w:val="nil"/>
                    <w:tr2bl w:val="nil"/>
                  </w:tcBorders>
                  <w:shd w:val="clear" w:color="auto" w:fill="auto"/>
                  <w:noWrap/>
                  <w:vAlign w:val="center"/>
                </w:tcPr>
                <w:p w14:paraId="2AEA6A1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铍</w:t>
                  </w:r>
                </w:p>
              </w:tc>
              <w:tc>
                <w:tcPr>
                  <w:tcW w:w="436" w:type="pct"/>
                  <w:tcBorders>
                    <w:tl2br w:val="nil"/>
                    <w:tr2bl w:val="nil"/>
                  </w:tcBorders>
                  <w:shd w:val="clear" w:color="auto" w:fill="auto"/>
                  <w:noWrap/>
                  <w:vAlign w:val="center"/>
                </w:tcPr>
                <w:p w14:paraId="0FABF69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55ABDF5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&lt;0.00004</w:t>
                  </w:r>
                </w:p>
              </w:tc>
              <w:tc>
                <w:tcPr>
                  <w:tcW w:w="1802" w:type="pct"/>
                  <w:tcBorders>
                    <w:tl2br w:val="nil"/>
                    <w:tr2bl w:val="nil"/>
                  </w:tcBorders>
                  <w:shd w:val="clear" w:color="auto" w:fill="auto"/>
                  <w:noWrap/>
                  <w:vAlign w:val="center"/>
                </w:tcPr>
                <w:p w14:paraId="69F39C8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489" w:type="pct"/>
                  <w:tcBorders>
                    <w:tl2br w:val="nil"/>
                    <w:tr2bl w:val="nil"/>
                  </w:tcBorders>
                  <w:shd w:val="clear" w:color="auto" w:fill="auto"/>
                  <w:noWrap/>
                  <w:vAlign w:val="center"/>
                </w:tcPr>
                <w:p w14:paraId="32F12CA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F9B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0881DEE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172" w:type="pct"/>
                  <w:tcBorders>
                    <w:tl2br w:val="nil"/>
                    <w:tr2bl w:val="nil"/>
                  </w:tcBorders>
                  <w:shd w:val="clear" w:color="auto" w:fill="auto"/>
                  <w:noWrap/>
                  <w:vAlign w:val="center"/>
                </w:tcPr>
                <w:p w14:paraId="4E62396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镉</w:t>
                  </w:r>
                </w:p>
              </w:tc>
              <w:tc>
                <w:tcPr>
                  <w:tcW w:w="436" w:type="pct"/>
                  <w:tcBorders>
                    <w:tl2br w:val="nil"/>
                    <w:tr2bl w:val="nil"/>
                  </w:tcBorders>
                  <w:shd w:val="clear" w:color="auto" w:fill="auto"/>
                  <w:noWrap/>
                  <w:vAlign w:val="center"/>
                </w:tcPr>
                <w:p w14:paraId="31D2BB21">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5AFFFB0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&lt;0.005</w:t>
                  </w:r>
                </w:p>
              </w:tc>
              <w:tc>
                <w:tcPr>
                  <w:tcW w:w="1802" w:type="pct"/>
                  <w:tcBorders>
                    <w:tl2br w:val="nil"/>
                    <w:tr2bl w:val="nil"/>
                  </w:tcBorders>
                  <w:shd w:val="clear" w:color="auto" w:fill="auto"/>
                  <w:noWrap/>
                  <w:vAlign w:val="center"/>
                </w:tcPr>
                <w:p w14:paraId="767DE7A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w:t>
                  </w:r>
                </w:p>
              </w:tc>
              <w:tc>
                <w:tcPr>
                  <w:tcW w:w="489" w:type="pct"/>
                  <w:tcBorders>
                    <w:tl2br w:val="nil"/>
                    <w:tr2bl w:val="nil"/>
                  </w:tcBorders>
                  <w:shd w:val="clear" w:color="auto" w:fill="auto"/>
                  <w:noWrap/>
                  <w:vAlign w:val="center"/>
                </w:tcPr>
                <w:p w14:paraId="5299BE4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F78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2B4D866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172" w:type="pct"/>
                  <w:tcBorders>
                    <w:tl2br w:val="nil"/>
                    <w:tr2bl w:val="nil"/>
                  </w:tcBorders>
                  <w:shd w:val="clear" w:color="auto" w:fill="auto"/>
                  <w:noWrap/>
                  <w:vAlign w:val="center"/>
                </w:tcPr>
                <w:p w14:paraId="7B2293F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铬</w:t>
                  </w:r>
                </w:p>
              </w:tc>
              <w:tc>
                <w:tcPr>
                  <w:tcW w:w="436" w:type="pct"/>
                  <w:tcBorders>
                    <w:tl2br w:val="nil"/>
                    <w:tr2bl w:val="nil"/>
                  </w:tcBorders>
                  <w:shd w:val="clear" w:color="auto" w:fill="auto"/>
                  <w:noWrap/>
                  <w:vAlign w:val="center"/>
                </w:tcPr>
                <w:p w14:paraId="2CD7575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33A319D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&lt;0.03</w:t>
                  </w:r>
                </w:p>
              </w:tc>
              <w:tc>
                <w:tcPr>
                  <w:tcW w:w="1802" w:type="pct"/>
                  <w:tcBorders>
                    <w:tl2br w:val="nil"/>
                    <w:tr2bl w:val="nil"/>
                  </w:tcBorders>
                  <w:shd w:val="clear" w:color="auto" w:fill="auto"/>
                  <w:noWrap/>
                  <w:vAlign w:val="center"/>
                </w:tcPr>
                <w:p w14:paraId="335C891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89" w:type="pct"/>
                  <w:tcBorders>
                    <w:tl2br w:val="nil"/>
                    <w:tr2bl w:val="nil"/>
                  </w:tcBorders>
                  <w:shd w:val="clear" w:color="auto" w:fill="auto"/>
                  <w:noWrap/>
                  <w:vAlign w:val="center"/>
                </w:tcPr>
                <w:p w14:paraId="021B72C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478D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0F84989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172" w:type="pct"/>
                  <w:tcBorders>
                    <w:tl2br w:val="nil"/>
                    <w:tr2bl w:val="nil"/>
                  </w:tcBorders>
                  <w:shd w:val="clear" w:color="auto" w:fill="auto"/>
                  <w:noWrap/>
                  <w:vAlign w:val="center"/>
                </w:tcPr>
                <w:p w14:paraId="4030DAA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w:t>
                  </w:r>
                </w:p>
              </w:tc>
              <w:tc>
                <w:tcPr>
                  <w:tcW w:w="436" w:type="pct"/>
                  <w:tcBorders>
                    <w:tl2br w:val="nil"/>
                    <w:tr2bl w:val="nil"/>
                  </w:tcBorders>
                  <w:shd w:val="clear" w:color="auto" w:fill="auto"/>
                  <w:noWrap/>
                  <w:vAlign w:val="center"/>
                </w:tcPr>
                <w:p w14:paraId="5E70250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726EFDF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&lt;0.006</w:t>
                  </w:r>
                </w:p>
              </w:tc>
              <w:tc>
                <w:tcPr>
                  <w:tcW w:w="1802" w:type="pct"/>
                  <w:tcBorders>
                    <w:tl2br w:val="nil"/>
                    <w:tr2bl w:val="nil"/>
                  </w:tcBorders>
                  <w:shd w:val="clear" w:color="auto" w:fill="auto"/>
                  <w:noWrap/>
                  <w:vAlign w:val="center"/>
                </w:tcPr>
                <w:p w14:paraId="1896B76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89" w:type="pct"/>
                  <w:tcBorders>
                    <w:tl2br w:val="nil"/>
                    <w:tr2bl w:val="nil"/>
                  </w:tcBorders>
                  <w:shd w:val="clear" w:color="auto" w:fill="auto"/>
                  <w:noWrap/>
                  <w:vAlign w:val="center"/>
                </w:tcPr>
                <w:p w14:paraId="5CEB096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04C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1098B80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172" w:type="pct"/>
                  <w:tcBorders>
                    <w:tl2br w:val="nil"/>
                    <w:tr2bl w:val="nil"/>
                  </w:tcBorders>
                  <w:shd w:val="clear" w:color="auto" w:fill="auto"/>
                  <w:noWrap/>
                  <w:vAlign w:val="center"/>
                </w:tcPr>
                <w:p w14:paraId="4327D52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镍</w:t>
                  </w:r>
                </w:p>
              </w:tc>
              <w:tc>
                <w:tcPr>
                  <w:tcW w:w="436" w:type="pct"/>
                  <w:tcBorders>
                    <w:tl2br w:val="nil"/>
                    <w:tr2bl w:val="nil"/>
                  </w:tcBorders>
                  <w:shd w:val="clear" w:color="auto" w:fill="auto"/>
                  <w:noWrap/>
                  <w:vAlign w:val="center"/>
                </w:tcPr>
                <w:p w14:paraId="65F4263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05660B9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&lt;0.02</w:t>
                  </w:r>
                </w:p>
              </w:tc>
              <w:tc>
                <w:tcPr>
                  <w:tcW w:w="1802" w:type="pct"/>
                  <w:tcBorders>
                    <w:tl2br w:val="nil"/>
                    <w:tr2bl w:val="nil"/>
                  </w:tcBorders>
                  <w:shd w:val="clear" w:color="auto" w:fill="auto"/>
                  <w:noWrap/>
                  <w:vAlign w:val="center"/>
                </w:tcPr>
                <w:p w14:paraId="72C8584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9" w:type="pct"/>
                  <w:tcBorders>
                    <w:tl2br w:val="nil"/>
                    <w:tr2bl w:val="nil"/>
                  </w:tcBorders>
                  <w:shd w:val="clear" w:color="auto" w:fill="auto"/>
                  <w:noWrap/>
                  <w:vAlign w:val="center"/>
                </w:tcPr>
                <w:p w14:paraId="5D7C8FB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E9A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56225BC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72" w:type="pct"/>
                  <w:tcBorders>
                    <w:tl2br w:val="nil"/>
                    <w:tr2bl w:val="nil"/>
                  </w:tcBorders>
                  <w:shd w:val="clear" w:color="auto" w:fill="auto"/>
                  <w:noWrap/>
                  <w:vAlign w:val="center"/>
                </w:tcPr>
                <w:p w14:paraId="709ED93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铅</w:t>
                  </w:r>
                </w:p>
              </w:tc>
              <w:tc>
                <w:tcPr>
                  <w:tcW w:w="436" w:type="pct"/>
                  <w:tcBorders>
                    <w:tl2br w:val="nil"/>
                    <w:tr2bl w:val="nil"/>
                  </w:tcBorders>
                  <w:shd w:val="clear" w:color="auto" w:fill="auto"/>
                  <w:noWrap/>
                  <w:vAlign w:val="center"/>
                </w:tcPr>
                <w:p w14:paraId="40EA7BA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459B99C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&lt;0.07</w:t>
                  </w:r>
                </w:p>
              </w:tc>
              <w:tc>
                <w:tcPr>
                  <w:tcW w:w="1802" w:type="pct"/>
                  <w:tcBorders>
                    <w:tl2br w:val="nil"/>
                    <w:tr2bl w:val="nil"/>
                  </w:tcBorders>
                  <w:shd w:val="clear" w:color="auto" w:fill="auto"/>
                  <w:noWrap/>
                  <w:vAlign w:val="center"/>
                </w:tcPr>
                <w:p w14:paraId="3DFDEFE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9" w:type="pct"/>
                  <w:tcBorders>
                    <w:tl2br w:val="nil"/>
                    <w:tr2bl w:val="nil"/>
                  </w:tcBorders>
                  <w:shd w:val="clear" w:color="auto" w:fill="auto"/>
                  <w:noWrap/>
                  <w:vAlign w:val="center"/>
                </w:tcPr>
                <w:p w14:paraId="657D092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490F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7D5B140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172" w:type="pct"/>
                  <w:tcBorders>
                    <w:tl2br w:val="nil"/>
                    <w:tr2bl w:val="nil"/>
                  </w:tcBorders>
                  <w:shd w:val="clear" w:color="auto" w:fill="auto"/>
                  <w:noWrap/>
                  <w:vAlign w:val="center"/>
                </w:tcPr>
                <w:p w14:paraId="7842B35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锌</w:t>
                  </w:r>
                </w:p>
              </w:tc>
              <w:tc>
                <w:tcPr>
                  <w:tcW w:w="436" w:type="pct"/>
                  <w:tcBorders>
                    <w:tl2br w:val="nil"/>
                    <w:tr2bl w:val="nil"/>
                  </w:tcBorders>
                  <w:shd w:val="clear" w:color="auto" w:fill="auto"/>
                  <w:noWrap/>
                  <w:vAlign w:val="center"/>
                </w:tcPr>
                <w:p w14:paraId="111D5F2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1F26D07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802" w:type="pct"/>
                  <w:tcBorders>
                    <w:tl2br w:val="nil"/>
                    <w:tr2bl w:val="nil"/>
                  </w:tcBorders>
                  <w:shd w:val="clear" w:color="auto" w:fill="auto"/>
                  <w:noWrap/>
                  <w:vAlign w:val="center"/>
                </w:tcPr>
                <w:p w14:paraId="6AE3BE4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89" w:type="pct"/>
                  <w:tcBorders>
                    <w:tl2br w:val="nil"/>
                    <w:tr2bl w:val="nil"/>
                  </w:tcBorders>
                  <w:shd w:val="clear" w:color="auto" w:fill="auto"/>
                  <w:noWrap/>
                  <w:vAlign w:val="center"/>
                </w:tcPr>
                <w:p w14:paraId="683EF51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321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3F46323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172" w:type="pct"/>
                  <w:tcBorders>
                    <w:tl2br w:val="nil"/>
                    <w:tr2bl w:val="nil"/>
                  </w:tcBorders>
                  <w:shd w:val="clear" w:color="auto" w:fill="auto"/>
                  <w:noWrap/>
                  <w:vAlign w:val="center"/>
                </w:tcPr>
                <w:p w14:paraId="5DF49B7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锰</w:t>
                  </w:r>
                </w:p>
              </w:tc>
              <w:tc>
                <w:tcPr>
                  <w:tcW w:w="436" w:type="pct"/>
                  <w:tcBorders>
                    <w:tl2br w:val="nil"/>
                    <w:tr2bl w:val="nil"/>
                  </w:tcBorders>
                  <w:shd w:val="clear" w:color="auto" w:fill="auto"/>
                  <w:noWrap/>
                  <w:vAlign w:val="center"/>
                </w:tcPr>
                <w:p w14:paraId="3A4F30A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200D2A4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&lt;0.004</w:t>
                  </w:r>
                </w:p>
              </w:tc>
              <w:tc>
                <w:tcPr>
                  <w:tcW w:w="1802" w:type="pct"/>
                  <w:tcBorders>
                    <w:tl2br w:val="nil"/>
                    <w:tr2bl w:val="nil"/>
                  </w:tcBorders>
                  <w:shd w:val="clear" w:color="auto" w:fill="auto"/>
                  <w:noWrap/>
                  <w:vAlign w:val="center"/>
                </w:tcPr>
                <w:p w14:paraId="7BFF998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89" w:type="pct"/>
                  <w:tcBorders>
                    <w:tl2br w:val="nil"/>
                    <w:tr2bl w:val="nil"/>
                  </w:tcBorders>
                  <w:shd w:val="clear" w:color="auto" w:fill="auto"/>
                  <w:noWrap/>
                  <w:vAlign w:val="center"/>
                </w:tcPr>
                <w:p w14:paraId="59B2DCD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D25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081D0CB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172" w:type="pct"/>
                  <w:tcBorders>
                    <w:tl2br w:val="nil"/>
                    <w:tr2bl w:val="nil"/>
                  </w:tcBorders>
                  <w:shd w:val="clear" w:color="auto" w:fill="auto"/>
                  <w:noWrap/>
                  <w:vAlign w:val="center"/>
                </w:tcPr>
                <w:p w14:paraId="039B93E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六价铬</w:t>
                  </w:r>
                </w:p>
              </w:tc>
              <w:tc>
                <w:tcPr>
                  <w:tcW w:w="436" w:type="pct"/>
                  <w:tcBorders>
                    <w:tl2br w:val="nil"/>
                    <w:tr2bl w:val="nil"/>
                  </w:tcBorders>
                  <w:shd w:val="clear" w:color="auto" w:fill="auto"/>
                  <w:noWrap/>
                  <w:vAlign w:val="center"/>
                </w:tcPr>
                <w:p w14:paraId="0F5C2A2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4FFD09F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&lt;0.004</w:t>
                  </w:r>
                </w:p>
              </w:tc>
              <w:tc>
                <w:tcPr>
                  <w:tcW w:w="1802" w:type="pct"/>
                  <w:tcBorders>
                    <w:tl2br w:val="nil"/>
                    <w:tr2bl w:val="nil"/>
                  </w:tcBorders>
                  <w:shd w:val="clear" w:color="auto" w:fill="auto"/>
                  <w:noWrap/>
                  <w:vAlign w:val="center"/>
                </w:tcPr>
                <w:p w14:paraId="0CE511A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89" w:type="pct"/>
                  <w:tcBorders>
                    <w:tl2br w:val="nil"/>
                    <w:tr2bl w:val="nil"/>
                  </w:tcBorders>
                  <w:shd w:val="clear" w:color="auto" w:fill="auto"/>
                  <w:noWrap/>
                  <w:vAlign w:val="center"/>
                </w:tcPr>
                <w:p w14:paraId="144F9AE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BD1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1055C78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172" w:type="pct"/>
                  <w:tcBorders>
                    <w:tl2br w:val="nil"/>
                    <w:tr2bl w:val="nil"/>
                  </w:tcBorders>
                  <w:shd w:val="clear" w:color="auto" w:fill="auto"/>
                  <w:noWrap/>
                  <w:vAlign w:val="center"/>
                </w:tcPr>
                <w:p w14:paraId="14DF4C3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氟化物</w:t>
                  </w:r>
                </w:p>
              </w:tc>
              <w:tc>
                <w:tcPr>
                  <w:tcW w:w="436" w:type="pct"/>
                  <w:tcBorders>
                    <w:tl2br w:val="nil"/>
                    <w:tr2bl w:val="nil"/>
                  </w:tcBorders>
                  <w:shd w:val="clear" w:color="auto" w:fill="auto"/>
                  <w:noWrap/>
                  <w:vAlign w:val="center"/>
                </w:tcPr>
                <w:p w14:paraId="1FB54C7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32C1304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1802" w:type="pct"/>
                  <w:tcBorders>
                    <w:tl2br w:val="nil"/>
                    <w:tr2bl w:val="nil"/>
                  </w:tcBorders>
                  <w:shd w:val="clear" w:color="auto" w:fill="auto"/>
                  <w:noWrap/>
                  <w:vAlign w:val="center"/>
                </w:tcPr>
                <w:p w14:paraId="7E4C8FC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9" w:type="pct"/>
                  <w:tcBorders>
                    <w:tl2br w:val="nil"/>
                    <w:tr2bl w:val="nil"/>
                  </w:tcBorders>
                  <w:shd w:val="clear" w:color="auto" w:fill="auto"/>
                  <w:noWrap/>
                  <w:vAlign w:val="center"/>
                </w:tcPr>
                <w:p w14:paraId="0EA0ED8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6FE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0EDA229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172" w:type="pct"/>
                  <w:tcBorders>
                    <w:tl2br w:val="nil"/>
                    <w:tr2bl w:val="nil"/>
                  </w:tcBorders>
                  <w:shd w:val="clear" w:color="auto" w:fill="auto"/>
                  <w:noWrap/>
                  <w:vAlign w:val="center"/>
                </w:tcPr>
                <w:p w14:paraId="6C13F77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氰化物</w:t>
                  </w:r>
                </w:p>
              </w:tc>
              <w:tc>
                <w:tcPr>
                  <w:tcW w:w="436" w:type="pct"/>
                  <w:tcBorders>
                    <w:tl2br w:val="nil"/>
                    <w:tr2bl w:val="nil"/>
                  </w:tcBorders>
                  <w:shd w:val="clear" w:color="auto" w:fill="auto"/>
                  <w:noWrap/>
                  <w:vAlign w:val="center"/>
                </w:tcPr>
                <w:p w14:paraId="747D930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509F4838">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&lt;0.004</w:t>
                  </w:r>
                </w:p>
              </w:tc>
              <w:tc>
                <w:tcPr>
                  <w:tcW w:w="1802" w:type="pct"/>
                  <w:tcBorders>
                    <w:tl2br w:val="nil"/>
                    <w:tr2bl w:val="nil"/>
                  </w:tcBorders>
                  <w:shd w:val="clear" w:color="auto" w:fill="auto"/>
                  <w:noWrap/>
                  <w:vAlign w:val="center"/>
                </w:tcPr>
                <w:p w14:paraId="1751B89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89" w:type="pct"/>
                  <w:tcBorders>
                    <w:tl2br w:val="nil"/>
                    <w:tr2bl w:val="nil"/>
                  </w:tcBorders>
                  <w:shd w:val="clear" w:color="auto" w:fill="auto"/>
                  <w:noWrap/>
                  <w:vAlign w:val="center"/>
                </w:tcPr>
                <w:p w14:paraId="0DA0857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7A3B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186589E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172" w:type="pct"/>
                  <w:tcBorders>
                    <w:tl2br w:val="nil"/>
                    <w:tr2bl w:val="nil"/>
                  </w:tcBorders>
                  <w:shd w:val="clear" w:color="auto" w:fill="auto"/>
                  <w:noWrap/>
                  <w:vAlign w:val="center"/>
                </w:tcPr>
                <w:p w14:paraId="70DB4A1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 值</w:t>
                  </w:r>
                </w:p>
              </w:tc>
              <w:tc>
                <w:tcPr>
                  <w:tcW w:w="436" w:type="pct"/>
                  <w:tcBorders>
                    <w:tl2br w:val="nil"/>
                    <w:tr2bl w:val="nil"/>
                  </w:tcBorders>
                  <w:shd w:val="clear" w:color="auto" w:fill="auto"/>
                  <w:noWrap/>
                  <w:vAlign w:val="center"/>
                </w:tcPr>
                <w:p w14:paraId="0DEC771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无量纲</w:t>
                  </w:r>
                </w:p>
              </w:tc>
              <w:tc>
                <w:tcPr>
                  <w:tcW w:w="684" w:type="pct"/>
                  <w:tcBorders>
                    <w:tl2br w:val="nil"/>
                    <w:tr2bl w:val="nil"/>
                  </w:tcBorders>
                  <w:shd w:val="clear" w:color="auto" w:fill="auto"/>
                  <w:noWrap/>
                  <w:vAlign w:val="center"/>
                </w:tcPr>
                <w:p w14:paraId="745171D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8.35</w:t>
                  </w:r>
                </w:p>
              </w:tc>
              <w:tc>
                <w:tcPr>
                  <w:tcW w:w="1802" w:type="pct"/>
                  <w:tcBorders>
                    <w:tl2br w:val="nil"/>
                    <w:tr2bl w:val="nil"/>
                  </w:tcBorders>
                  <w:shd w:val="clear" w:color="auto" w:fill="auto"/>
                  <w:noWrap/>
                  <w:vAlign w:val="center"/>
                </w:tcPr>
                <w:p w14:paraId="7CF5198A">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89" w:type="pct"/>
                  <w:tcBorders>
                    <w:tl2br w:val="nil"/>
                    <w:tr2bl w:val="nil"/>
                  </w:tcBorders>
                  <w:shd w:val="clear" w:color="auto" w:fill="auto"/>
                  <w:noWrap/>
                  <w:vAlign w:val="center"/>
                </w:tcPr>
                <w:p w14:paraId="062F0A8D">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5FE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5651E77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172" w:type="pct"/>
                  <w:tcBorders>
                    <w:tl2br w:val="nil"/>
                    <w:tr2bl w:val="nil"/>
                  </w:tcBorders>
                  <w:shd w:val="clear" w:color="auto" w:fill="auto"/>
                  <w:noWrap/>
                  <w:vAlign w:val="center"/>
                </w:tcPr>
                <w:p w14:paraId="487FFAF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硫化物</w:t>
                  </w:r>
                </w:p>
              </w:tc>
              <w:tc>
                <w:tcPr>
                  <w:tcW w:w="436" w:type="pct"/>
                  <w:tcBorders>
                    <w:tl2br w:val="nil"/>
                    <w:tr2bl w:val="nil"/>
                  </w:tcBorders>
                  <w:shd w:val="clear" w:color="auto" w:fill="auto"/>
                  <w:noWrap/>
                  <w:vAlign w:val="center"/>
                </w:tcPr>
                <w:p w14:paraId="6793BD1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4A850FB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&lt;0.005</w:t>
                  </w:r>
                </w:p>
              </w:tc>
              <w:tc>
                <w:tcPr>
                  <w:tcW w:w="1802" w:type="pct"/>
                  <w:tcBorders>
                    <w:tl2br w:val="nil"/>
                    <w:tr2bl w:val="nil"/>
                  </w:tcBorders>
                  <w:shd w:val="clear" w:color="auto" w:fill="auto"/>
                  <w:noWrap/>
                  <w:vAlign w:val="center"/>
                </w:tcPr>
                <w:p w14:paraId="48420FF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9" w:type="pct"/>
                  <w:tcBorders>
                    <w:tl2br w:val="nil"/>
                    <w:tr2bl w:val="nil"/>
                  </w:tcBorders>
                  <w:shd w:val="clear" w:color="auto" w:fill="auto"/>
                  <w:noWrap/>
                  <w:vAlign w:val="center"/>
                </w:tcPr>
                <w:p w14:paraId="3B32BD5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06A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4902C77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172" w:type="pct"/>
                  <w:tcBorders>
                    <w:tl2br w:val="nil"/>
                    <w:tr2bl w:val="nil"/>
                  </w:tcBorders>
                  <w:shd w:val="clear" w:color="auto" w:fill="auto"/>
                  <w:noWrap/>
                  <w:vAlign w:val="center"/>
                </w:tcPr>
                <w:p w14:paraId="734EB9D1">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磷酸盐 (以 P 计)</w:t>
                  </w:r>
                </w:p>
              </w:tc>
              <w:tc>
                <w:tcPr>
                  <w:tcW w:w="436" w:type="pct"/>
                  <w:tcBorders>
                    <w:tl2br w:val="nil"/>
                    <w:tr2bl w:val="nil"/>
                  </w:tcBorders>
                  <w:shd w:val="clear" w:color="auto" w:fill="auto"/>
                  <w:noWrap/>
                  <w:vAlign w:val="center"/>
                </w:tcPr>
                <w:p w14:paraId="6A3198E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5914233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&lt;0.002</w:t>
                  </w:r>
                </w:p>
              </w:tc>
              <w:tc>
                <w:tcPr>
                  <w:tcW w:w="1802" w:type="pct"/>
                  <w:tcBorders>
                    <w:tl2br w:val="nil"/>
                    <w:tr2bl w:val="nil"/>
                  </w:tcBorders>
                  <w:shd w:val="clear" w:color="auto" w:fill="auto"/>
                  <w:noWrap/>
                  <w:vAlign w:val="center"/>
                </w:tcPr>
                <w:p w14:paraId="5323BB3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89" w:type="pct"/>
                  <w:tcBorders>
                    <w:tl2br w:val="nil"/>
                    <w:tr2bl w:val="nil"/>
                  </w:tcBorders>
                  <w:shd w:val="clear" w:color="auto" w:fill="auto"/>
                  <w:noWrap/>
                  <w:vAlign w:val="center"/>
                </w:tcPr>
                <w:p w14:paraId="5DCA876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7A9A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2A806CD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172" w:type="pct"/>
                  <w:tcBorders>
                    <w:tl2br w:val="nil"/>
                    <w:tr2bl w:val="nil"/>
                  </w:tcBorders>
                  <w:shd w:val="clear" w:color="auto" w:fill="auto"/>
                  <w:noWrap/>
                  <w:vAlign w:val="center"/>
                </w:tcPr>
                <w:p w14:paraId="51C99F8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铊</w:t>
                  </w:r>
                </w:p>
              </w:tc>
              <w:tc>
                <w:tcPr>
                  <w:tcW w:w="436" w:type="pct"/>
                  <w:tcBorders>
                    <w:tl2br w:val="nil"/>
                    <w:tr2bl w:val="nil"/>
                  </w:tcBorders>
                  <w:shd w:val="clear" w:color="auto" w:fill="auto"/>
                  <w:noWrap/>
                  <w:vAlign w:val="center"/>
                </w:tcPr>
                <w:p w14:paraId="6217520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684" w:type="pct"/>
                  <w:tcBorders>
                    <w:tl2br w:val="nil"/>
                    <w:tr2bl w:val="nil"/>
                  </w:tcBorders>
                  <w:shd w:val="clear" w:color="auto" w:fill="auto"/>
                  <w:noWrap/>
                  <w:vAlign w:val="center"/>
                </w:tcPr>
                <w:p w14:paraId="388AE62B">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&lt;0.00002</w:t>
                  </w:r>
                </w:p>
              </w:tc>
              <w:tc>
                <w:tcPr>
                  <w:tcW w:w="1802" w:type="pct"/>
                  <w:tcBorders>
                    <w:tl2br w:val="nil"/>
                    <w:tr2bl w:val="nil"/>
                  </w:tcBorders>
                  <w:shd w:val="clear" w:color="auto" w:fill="auto"/>
                  <w:noWrap/>
                  <w:vAlign w:val="center"/>
                </w:tcPr>
                <w:p w14:paraId="439CA50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无明确限值，远低于毒性标准</w:t>
                  </w:r>
                </w:p>
              </w:tc>
              <w:tc>
                <w:tcPr>
                  <w:tcW w:w="489" w:type="pct"/>
                  <w:tcBorders>
                    <w:tl2br w:val="nil"/>
                    <w:tr2bl w:val="nil"/>
                  </w:tcBorders>
                  <w:shd w:val="clear" w:color="auto" w:fill="auto"/>
                  <w:noWrap/>
                  <w:vAlign w:val="center"/>
                </w:tcPr>
                <w:p w14:paraId="6C6FF9B7">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BF8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1F0E2C1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72" w:type="pct"/>
                  <w:tcBorders>
                    <w:tl2br w:val="nil"/>
                    <w:tr2bl w:val="nil"/>
                  </w:tcBorders>
                  <w:shd w:val="clear" w:color="auto" w:fill="auto"/>
                  <w:noWrap/>
                  <w:vAlign w:val="center"/>
                </w:tcPr>
                <w:p w14:paraId="7149935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烷基汞（甲基汞）</w:t>
                  </w:r>
                </w:p>
              </w:tc>
              <w:tc>
                <w:tcPr>
                  <w:tcW w:w="436" w:type="pct"/>
                  <w:tcBorders>
                    <w:tl2br w:val="nil"/>
                    <w:tr2bl w:val="nil"/>
                  </w:tcBorders>
                  <w:shd w:val="clear" w:color="auto" w:fill="auto"/>
                  <w:noWrap/>
                  <w:vAlign w:val="center"/>
                </w:tcPr>
                <w:p w14:paraId="56CA3AD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ng/L</w:t>
                  </w:r>
                </w:p>
              </w:tc>
              <w:tc>
                <w:tcPr>
                  <w:tcW w:w="684" w:type="pct"/>
                  <w:tcBorders>
                    <w:tl2br w:val="nil"/>
                    <w:tr2bl w:val="nil"/>
                  </w:tcBorders>
                  <w:shd w:val="clear" w:color="auto" w:fill="auto"/>
                  <w:noWrap/>
                  <w:vAlign w:val="center"/>
                </w:tcPr>
                <w:p w14:paraId="519E147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&lt;10</w:t>
                  </w:r>
                </w:p>
              </w:tc>
              <w:tc>
                <w:tcPr>
                  <w:tcW w:w="1802" w:type="pct"/>
                  <w:tcBorders>
                    <w:tl2br w:val="nil"/>
                    <w:tr2bl w:val="nil"/>
                  </w:tcBorders>
                  <w:shd w:val="clear" w:color="auto" w:fill="auto"/>
                  <w:noWrap/>
                  <w:vAlign w:val="center"/>
                </w:tcPr>
                <w:p w14:paraId="693CC9B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不得检出</w:t>
                  </w:r>
                </w:p>
              </w:tc>
              <w:tc>
                <w:tcPr>
                  <w:tcW w:w="489" w:type="pct"/>
                  <w:tcBorders>
                    <w:tl2br w:val="nil"/>
                    <w:tr2bl w:val="nil"/>
                  </w:tcBorders>
                  <w:shd w:val="clear" w:color="auto" w:fill="auto"/>
                  <w:noWrap/>
                  <w:vAlign w:val="center"/>
                </w:tcPr>
                <w:p w14:paraId="40A7386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4779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15" w:type="pct"/>
                  <w:tcBorders>
                    <w:tl2br w:val="nil"/>
                    <w:tr2bl w:val="nil"/>
                  </w:tcBorders>
                  <w:shd w:val="clear" w:color="auto" w:fill="auto"/>
                  <w:noWrap/>
                  <w:vAlign w:val="center"/>
                </w:tcPr>
                <w:p w14:paraId="2E5CB9A0">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172" w:type="pct"/>
                  <w:tcBorders>
                    <w:tl2br w:val="nil"/>
                    <w:tr2bl w:val="nil"/>
                  </w:tcBorders>
                  <w:shd w:val="clear" w:color="auto" w:fill="auto"/>
                  <w:noWrap/>
                  <w:vAlign w:val="center"/>
                </w:tcPr>
                <w:p w14:paraId="10566BAC">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烷基汞（乙基汞）</w:t>
                  </w:r>
                </w:p>
              </w:tc>
              <w:tc>
                <w:tcPr>
                  <w:tcW w:w="436" w:type="pct"/>
                  <w:tcBorders>
                    <w:tl2br w:val="nil"/>
                    <w:tr2bl w:val="nil"/>
                  </w:tcBorders>
                  <w:shd w:val="clear" w:color="auto" w:fill="auto"/>
                  <w:noWrap/>
                  <w:vAlign w:val="center"/>
                </w:tcPr>
                <w:p w14:paraId="121E260F">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ng/L</w:t>
                  </w:r>
                </w:p>
              </w:tc>
              <w:tc>
                <w:tcPr>
                  <w:tcW w:w="684" w:type="pct"/>
                  <w:tcBorders>
                    <w:tl2br w:val="nil"/>
                    <w:tr2bl w:val="nil"/>
                  </w:tcBorders>
                  <w:shd w:val="clear" w:color="auto" w:fill="auto"/>
                  <w:noWrap/>
                  <w:vAlign w:val="center"/>
                </w:tcPr>
                <w:p w14:paraId="5534E1D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&lt;20</w:t>
                  </w:r>
                </w:p>
              </w:tc>
              <w:tc>
                <w:tcPr>
                  <w:tcW w:w="1802" w:type="pct"/>
                  <w:tcBorders>
                    <w:tl2br w:val="nil"/>
                    <w:tr2bl w:val="nil"/>
                  </w:tcBorders>
                  <w:shd w:val="clear" w:color="auto" w:fill="auto"/>
                  <w:noWrap/>
                  <w:vAlign w:val="center"/>
                </w:tcPr>
                <w:p w14:paraId="3D1B0D0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不得检出</w:t>
                  </w:r>
                </w:p>
              </w:tc>
              <w:tc>
                <w:tcPr>
                  <w:tcW w:w="489" w:type="pct"/>
                  <w:tcBorders>
                    <w:tl2br w:val="nil"/>
                    <w:tr2bl w:val="nil"/>
                  </w:tcBorders>
                  <w:shd w:val="clear" w:color="auto" w:fill="auto"/>
                  <w:noWrap/>
                  <w:vAlign w:val="center"/>
                </w:tcPr>
                <w:p w14:paraId="685523BE">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4CE1630E">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kern w:val="2"/>
                <w:sz w:val="24"/>
                <w:szCs w:val="24"/>
                <w:lang w:val="en-US" w:eastAsia="zh-CN" w:bidi="ar-SA"/>
              </w:rPr>
              <w:t>根据上表结果结果可知，</w:t>
            </w:r>
            <w:r>
              <w:rPr>
                <w:rFonts w:hint="default" w:ascii="Times New Roman" w:hAnsi="Times New Roman" w:eastAsia="宋体" w:cs="Times New Roman"/>
                <w:color w:val="auto"/>
                <w:kern w:val="2"/>
                <w:sz w:val="24"/>
                <w:szCs w:val="24"/>
                <w:lang w:val="en-US" w:eastAsia="zh-CN" w:bidi="ar-SA"/>
              </w:rPr>
              <w:t>样品尾矿浸出液中的检测项目（列出项目）的检测结果均未超过《污水综合排放标准》（GB8978-1996）最高允许排放浓度限值，样品尾矿浸出液检测结果符合第I类一般工业固体废物的判别要求。（详见附件</w:t>
            </w:r>
            <w:r>
              <w:rPr>
                <w:rFonts w:hint="default" w:ascii="Times New Roman" w:hAnsi="Times New Roman" w:cs="Times New Roman"/>
                <w:color w:val="auto"/>
                <w:kern w:val="2"/>
                <w:sz w:val="24"/>
                <w:szCs w:val="24"/>
                <w:lang w:val="en-US" w:eastAsia="zh-CN" w:bidi="ar-SA"/>
              </w:rPr>
              <w:t>13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b w:val="0"/>
                <w:bCs/>
                <w:color w:val="auto"/>
                <w:kern w:val="24"/>
                <w:sz w:val="24"/>
                <w:szCs w:val="24"/>
                <w:lang w:eastAsia="zh-CN"/>
              </w:rPr>
              <w:t>。</w:t>
            </w:r>
          </w:p>
          <w:p w14:paraId="149805AE">
            <w:pPr>
              <w:pStyle w:val="30"/>
              <w:spacing w:line="360" w:lineRule="auto"/>
              <w:ind w:left="587"/>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五、物料平衡</w:t>
            </w:r>
          </w:p>
          <w:p w14:paraId="57300F9C">
            <w:pPr>
              <w:pStyle w:val="30"/>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项目运营期物料平衡详见表</w:t>
            </w:r>
            <w:r>
              <w:rPr>
                <w:rFonts w:hint="default" w:ascii="Times New Roman" w:hAnsi="Times New Roman" w:eastAsia="Times New Roman" w:cs="Times New Roman"/>
                <w:color w:val="auto"/>
                <w:sz w:val="24"/>
                <w:lang w:eastAsia="zh-CN"/>
              </w:rPr>
              <w:t>2-</w:t>
            </w:r>
            <w:r>
              <w:rPr>
                <w:rFonts w:hint="default" w:ascii="Times New Roman" w:hAnsi="Times New Roman" w:eastAsia="Times New Roman" w:cs="Times New Roman"/>
                <w:color w:val="auto"/>
                <w:sz w:val="24"/>
                <w:lang w:val="en-US" w:eastAsia="zh-CN"/>
              </w:rPr>
              <w:t>5</w:t>
            </w:r>
            <w:r>
              <w:rPr>
                <w:rFonts w:hint="default" w:ascii="Times New Roman" w:hAnsi="Times New Roman" w:cs="Times New Roman"/>
                <w:color w:val="auto"/>
                <w:sz w:val="24"/>
                <w:lang w:eastAsia="zh-CN"/>
              </w:rPr>
              <w:t>。</w:t>
            </w:r>
          </w:p>
          <w:p w14:paraId="31D7C3D2">
            <w:pPr>
              <w:adjustRightInd w:val="0"/>
              <w:snapToGrid w:val="0"/>
              <w:spacing w:before="120" w:beforeLines="50"/>
              <w:jc w:val="center"/>
              <w:rPr>
                <w:rFonts w:hint="default" w:ascii="Times New Roman" w:hAnsi="Times New Roman" w:cs="Times New Roman"/>
                <w:b/>
                <w:color w:val="auto"/>
                <w:sz w:val="21"/>
              </w:rPr>
            </w:pPr>
            <w:r>
              <w:rPr>
                <w:rFonts w:hint="default" w:ascii="Times New Roman" w:hAnsi="Times New Roman" w:cs="Times New Roman"/>
                <w:b/>
                <w:color w:val="auto"/>
                <w:sz w:val="21"/>
              </w:rPr>
              <w:t>表</w:t>
            </w:r>
            <w:r>
              <w:rPr>
                <w:rFonts w:hint="default" w:ascii="Times New Roman" w:hAnsi="Times New Roman" w:cs="Times New Roman"/>
                <w:b/>
                <w:color w:val="auto"/>
                <w:spacing w:val="-52"/>
                <w:sz w:val="21"/>
              </w:rPr>
              <w:t xml:space="preserve"> </w:t>
            </w:r>
            <w:r>
              <w:rPr>
                <w:rFonts w:hint="default" w:ascii="Times New Roman" w:hAnsi="Times New Roman" w:eastAsia="Times New Roman" w:cs="Times New Roman"/>
                <w:b/>
                <w:color w:val="auto"/>
                <w:sz w:val="21"/>
              </w:rPr>
              <w:t>2-</w:t>
            </w:r>
            <w:r>
              <w:rPr>
                <w:rFonts w:hint="default" w:ascii="Times New Roman" w:hAnsi="Times New Roman" w:cs="Times New Roman"/>
                <w:b/>
                <w:color w:val="auto"/>
                <w:sz w:val="21"/>
                <w:lang w:val="en-US" w:eastAsia="zh-CN"/>
              </w:rPr>
              <w:t>5</w:t>
            </w:r>
            <w:r>
              <w:rPr>
                <w:rFonts w:hint="default" w:ascii="Times New Roman" w:hAnsi="Times New Roman" w:eastAsia="Times New Roman" w:cs="Times New Roman"/>
                <w:b/>
                <w:color w:val="auto"/>
                <w:sz w:val="21"/>
              </w:rPr>
              <w:tab/>
            </w:r>
            <w:r>
              <w:rPr>
                <w:rFonts w:hint="default" w:ascii="Times New Roman" w:hAnsi="Times New Roman" w:cs="Times New Roman"/>
                <w:b/>
                <w:color w:val="auto"/>
                <w:sz w:val="21"/>
              </w:rPr>
              <w:t>物料平衡一览表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659"/>
              <w:gridCol w:w="3133"/>
              <w:gridCol w:w="2205"/>
            </w:tblGrid>
            <w:tr w14:paraId="51EF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vAlign w:val="center"/>
                </w:tcPr>
                <w:p w14:paraId="099AD370">
                  <w:pPr>
                    <w:pStyle w:val="30"/>
                    <w:adjustRightInd w:val="0"/>
                    <w:snapToGrid w:val="0"/>
                    <w:jc w:val="center"/>
                    <w:rPr>
                      <w:rFonts w:hint="default" w:ascii="Times New Roman" w:hAnsi="Times New Roman" w:cs="Times New Roman"/>
                      <w:b/>
                      <w:bCs/>
                      <w:color w:val="auto"/>
                      <w:sz w:val="21"/>
                      <w:lang w:val="en-US" w:eastAsia="zh-CN"/>
                    </w:rPr>
                  </w:pPr>
                  <w:r>
                    <w:rPr>
                      <w:rFonts w:hint="default" w:ascii="Times New Roman" w:hAnsi="Times New Roman" w:cs="Times New Roman"/>
                      <w:b/>
                      <w:bCs/>
                      <w:color w:val="auto"/>
                      <w:sz w:val="21"/>
                      <w:lang w:val="en-US" w:eastAsia="zh-CN"/>
                    </w:rPr>
                    <w:t>回填拌合料</w:t>
                  </w:r>
                </w:p>
              </w:tc>
            </w:tr>
            <w:tr w14:paraId="0DC7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9" w:type="pct"/>
                  <w:gridSpan w:val="2"/>
                  <w:vAlign w:val="center"/>
                </w:tcPr>
                <w:p w14:paraId="0C0C1651">
                  <w:pPr>
                    <w:adjustRightInd w:val="0"/>
                    <w:snapToGrid w:val="0"/>
                    <w:jc w:val="center"/>
                    <w:rPr>
                      <w:rFonts w:hint="default" w:ascii="Times New Roman" w:hAnsi="Times New Roman" w:cs="Times New Roman"/>
                      <w:b/>
                      <w:color w:val="auto"/>
                      <w:sz w:val="21"/>
                      <w:lang w:val="en-US" w:eastAsia="zh-CN"/>
                    </w:rPr>
                  </w:pPr>
                  <w:r>
                    <w:rPr>
                      <w:rFonts w:hint="default" w:ascii="Times New Roman" w:hAnsi="Times New Roman" w:cs="Times New Roman"/>
                      <w:b/>
                      <w:color w:val="auto"/>
                      <w:sz w:val="21"/>
                      <w:lang w:eastAsia="zh-CN"/>
                    </w:rPr>
                    <w:t>输入</w:t>
                  </w:r>
                </w:p>
              </w:tc>
              <w:tc>
                <w:tcPr>
                  <w:tcW w:w="3320" w:type="pct"/>
                  <w:gridSpan w:val="2"/>
                  <w:vAlign w:val="center"/>
                </w:tcPr>
                <w:p w14:paraId="1BD4551F">
                  <w:pPr>
                    <w:adjustRightInd w:val="0"/>
                    <w:snapToGrid w:val="0"/>
                    <w:jc w:val="center"/>
                    <w:rPr>
                      <w:rFonts w:hint="default" w:ascii="Times New Roman" w:hAnsi="Times New Roman" w:cs="Times New Roman"/>
                      <w:b/>
                      <w:bCs/>
                      <w:color w:val="auto"/>
                      <w:sz w:val="21"/>
                      <w:lang w:val="en-US" w:eastAsia="zh-CN"/>
                    </w:rPr>
                  </w:pPr>
                  <w:r>
                    <w:rPr>
                      <w:rFonts w:hint="default" w:ascii="Times New Roman" w:hAnsi="Times New Roman" w:cs="Times New Roman"/>
                      <w:b/>
                      <w:color w:val="auto"/>
                      <w:sz w:val="21"/>
                      <w:lang w:eastAsia="zh-CN"/>
                    </w:rPr>
                    <w:t>输出</w:t>
                  </w:r>
                </w:p>
              </w:tc>
            </w:tr>
            <w:tr w14:paraId="186F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4B4BDA82">
                  <w:pPr>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名称</w:t>
                  </w:r>
                </w:p>
              </w:tc>
              <w:tc>
                <w:tcPr>
                  <w:tcW w:w="1032" w:type="pct"/>
                  <w:vAlign w:val="center"/>
                </w:tcPr>
                <w:p w14:paraId="474D6FDE">
                  <w:pPr>
                    <w:adjustRightInd w:val="0"/>
                    <w:snapToGrid w:val="0"/>
                    <w:jc w:val="center"/>
                    <w:rPr>
                      <w:rFonts w:hint="default" w:ascii="Times New Roman" w:hAnsi="Times New Roman" w:cs="Times New Roman"/>
                      <w:b/>
                      <w:color w:val="auto"/>
                      <w:sz w:val="21"/>
                      <w:lang w:val="en-US" w:eastAsia="zh-CN"/>
                    </w:rPr>
                  </w:pPr>
                  <w:r>
                    <w:rPr>
                      <w:rFonts w:hint="default" w:ascii="Times New Roman" w:hAnsi="Times New Roman" w:cs="Times New Roman"/>
                      <w:b/>
                      <w:color w:val="auto"/>
                      <w:sz w:val="21"/>
                      <w:lang w:eastAsia="zh-CN"/>
                    </w:rPr>
                    <w:t>输入量（t/a）</w:t>
                  </w:r>
                </w:p>
              </w:tc>
              <w:tc>
                <w:tcPr>
                  <w:tcW w:w="1949" w:type="pct"/>
                  <w:vAlign w:val="center"/>
                </w:tcPr>
                <w:p w14:paraId="1EC0210A">
                  <w:pPr>
                    <w:adjustRightInd w:val="0"/>
                    <w:snapToGrid w:val="0"/>
                    <w:jc w:val="center"/>
                    <w:rPr>
                      <w:rFonts w:hint="default" w:ascii="Times New Roman" w:hAnsi="Times New Roman" w:cs="Times New Roman"/>
                      <w:b/>
                      <w:bCs/>
                      <w:color w:val="auto"/>
                      <w:sz w:val="21"/>
                      <w:lang w:eastAsia="zh-CN"/>
                    </w:rPr>
                  </w:pPr>
                  <w:r>
                    <w:rPr>
                      <w:rFonts w:hint="default" w:ascii="Times New Roman" w:hAnsi="Times New Roman" w:cs="Times New Roman"/>
                      <w:b/>
                      <w:color w:val="auto"/>
                      <w:sz w:val="21"/>
                      <w:lang w:eastAsia="zh-CN"/>
                    </w:rPr>
                    <w:t>名称</w:t>
                  </w:r>
                </w:p>
              </w:tc>
              <w:tc>
                <w:tcPr>
                  <w:tcW w:w="1371" w:type="pct"/>
                  <w:vAlign w:val="center"/>
                </w:tcPr>
                <w:p w14:paraId="5FC5ACF1">
                  <w:pPr>
                    <w:adjustRightInd w:val="0"/>
                    <w:snapToGrid w:val="0"/>
                    <w:jc w:val="center"/>
                    <w:rPr>
                      <w:rFonts w:hint="default" w:ascii="Times New Roman" w:hAnsi="Times New Roman" w:cs="Times New Roman"/>
                      <w:b/>
                      <w:bCs/>
                      <w:color w:val="auto"/>
                      <w:sz w:val="21"/>
                      <w:lang w:val="en-US" w:eastAsia="zh-CN"/>
                    </w:rPr>
                  </w:pPr>
                  <w:r>
                    <w:rPr>
                      <w:rFonts w:hint="default" w:ascii="Times New Roman" w:hAnsi="Times New Roman" w:cs="Times New Roman"/>
                      <w:b/>
                      <w:color w:val="auto"/>
                      <w:sz w:val="21"/>
                      <w:lang w:eastAsia="zh-CN"/>
                    </w:rPr>
                    <w:t>输</w:t>
                  </w:r>
                  <w:r>
                    <w:rPr>
                      <w:rFonts w:hint="default" w:ascii="Times New Roman" w:hAnsi="Times New Roman" w:cs="Times New Roman"/>
                      <w:b/>
                      <w:color w:val="auto"/>
                      <w:sz w:val="21"/>
                      <w:lang w:val="en-US" w:eastAsia="zh-CN"/>
                    </w:rPr>
                    <w:t>出</w:t>
                  </w:r>
                  <w:r>
                    <w:rPr>
                      <w:rFonts w:hint="default" w:ascii="Times New Roman" w:hAnsi="Times New Roman" w:cs="Times New Roman"/>
                      <w:b/>
                      <w:color w:val="auto"/>
                      <w:sz w:val="21"/>
                      <w:lang w:eastAsia="zh-CN"/>
                    </w:rPr>
                    <w:t>量（t/a）</w:t>
                  </w:r>
                </w:p>
              </w:tc>
            </w:tr>
            <w:tr w14:paraId="7040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Merge w:val="restart"/>
                  <w:vAlign w:val="center"/>
                </w:tcPr>
                <w:p w14:paraId="70726168">
                  <w:pPr>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color w:val="auto"/>
                      <w:sz w:val="21"/>
                      <w:lang w:val="en-US" w:eastAsia="zh-CN"/>
                    </w:rPr>
                    <w:t>土方、公分石、尾矿</w:t>
                  </w:r>
                </w:p>
              </w:tc>
              <w:tc>
                <w:tcPr>
                  <w:tcW w:w="1032" w:type="pct"/>
                  <w:vMerge w:val="restart"/>
                  <w:vAlign w:val="center"/>
                </w:tcPr>
                <w:p w14:paraId="0EBD407C">
                  <w:pPr>
                    <w:adjustRightInd w:val="0"/>
                    <w:snapToGrid w:val="0"/>
                    <w:jc w:val="center"/>
                    <w:rPr>
                      <w:rFonts w:hint="default" w:ascii="Times New Roman" w:hAnsi="Times New Roman" w:cs="Times New Roman"/>
                      <w:b/>
                      <w:color w:val="auto"/>
                      <w:sz w:val="21"/>
                      <w:lang w:val="en-US" w:eastAsia="zh-CN"/>
                    </w:rPr>
                  </w:pPr>
                  <w:r>
                    <w:rPr>
                      <w:rFonts w:hint="default" w:ascii="Times New Roman" w:hAnsi="Times New Roman" w:cs="Times New Roman"/>
                      <w:b/>
                      <w:color w:val="auto"/>
                      <w:sz w:val="21"/>
                      <w:lang w:val="en-US" w:eastAsia="zh-CN"/>
                    </w:rPr>
                    <w:t>41万</w:t>
                  </w:r>
                  <w:r>
                    <w:rPr>
                      <w:rFonts w:hint="default" w:ascii="Times New Roman" w:hAnsi="Times New Roman" w:cs="Times New Roman"/>
                      <w:b/>
                      <w:bCs/>
                      <w:color w:val="auto"/>
                      <w:sz w:val="21"/>
                      <w:lang w:eastAsia="zh-CN"/>
                    </w:rPr>
                    <w:t>m</w:t>
                  </w:r>
                  <w:r>
                    <w:rPr>
                      <w:rFonts w:hint="default" w:ascii="Times New Roman" w:hAnsi="Times New Roman" w:cs="Times New Roman"/>
                      <w:b/>
                      <w:bCs/>
                      <w:color w:val="auto"/>
                      <w:position w:val="7"/>
                      <w:sz w:val="13"/>
                      <w:lang w:eastAsia="zh-CN"/>
                    </w:rPr>
                    <w:t>3</w:t>
                  </w:r>
                  <w:r>
                    <w:rPr>
                      <w:rFonts w:hint="default" w:ascii="Times New Roman" w:hAnsi="Times New Roman" w:cs="Times New Roman"/>
                      <w:b/>
                      <w:bCs/>
                      <w:color w:val="auto"/>
                      <w:sz w:val="21"/>
                      <w:lang w:eastAsia="zh-CN"/>
                    </w:rPr>
                    <w:t>/</w:t>
                  </w:r>
                  <w:r>
                    <w:rPr>
                      <w:rFonts w:hint="default" w:ascii="Times New Roman" w:hAnsi="Times New Roman" w:cs="Times New Roman"/>
                      <w:b/>
                      <w:bCs/>
                      <w:color w:val="auto"/>
                      <w:sz w:val="21"/>
                      <w:lang w:val="en-US" w:eastAsia="zh-CN"/>
                    </w:rPr>
                    <w:t>a</w:t>
                  </w:r>
                  <w:r>
                    <w:rPr>
                      <w:rFonts w:hint="default" w:ascii="Times New Roman" w:hAnsi="Times New Roman" w:cs="Times New Roman"/>
                      <w:b/>
                      <w:color w:val="auto"/>
                      <w:sz w:val="21"/>
                      <w:lang w:val="en-US" w:eastAsia="zh-CN"/>
                    </w:rPr>
                    <w:t>（650000</w:t>
                  </w:r>
                  <w:r>
                    <w:rPr>
                      <w:rFonts w:hint="default" w:ascii="Times New Roman" w:hAnsi="Times New Roman" w:cs="Times New Roman"/>
                      <w:color w:val="auto"/>
                      <w:lang w:val="en-US" w:eastAsia="zh-CN"/>
                    </w:rPr>
                    <w:t>t/a</w:t>
                  </w:r>
                  <w:r>
                    <w:rPr>
                      <w:rFonts w:hint="default" w:ascii="Times New Roman" w:hAnsi="Times New Roman" w:cs="Times New Roman"/>
                      <w:b/>
                      <w:color w:val="auto"/>
                      <w:sz w:val="21"/>
                      <w:lang w:val="en-US" w:eastAsia="zh-CN"/>
                    </w:rPr>
                    <w:t>）</w:t>
                  </w:r>
                </w:p>
              </w:tc>
              <w:tc>
                <w:tcPr>
                  <w:tcW w:w="1949" w:type="pct"/>
                  <w:vAlign w:val="center"/>
                </w:tcPr>
                <w:p w14:paraId="4BEC3302">
                  <w:pPr>
                    <w:pStyle w:val="30"/>
                    <w:adjustRightInd w:val="0"/>
                    <w:snapToGrid w:val="0"/>
                    <w:jc w:val="center"/>
                    <w:rPr>
                      <w:rFonts w:hint="default" w:ascii="Times New Roman" w:hAnsi="Times New Roman" w:cs="Times New Roman"/>
                      <w:b w:val="0"/>
                      <w:bCs w:val="0"/>
                      <w:color w:val="auto"/>
                      <w:sz w:val="21"/>
                      <w:lang w:val="en-US" w:eastAsia="zh-CN"/>
                    </w:rPr>
                  </w:pPr>
                  <w:r>
                    <w:rPr>
                      <w:rFonts w:hint="default" w:ascii="Times New Roman" w:hAnsi="Times New Roman" w:cs="Times New Roman"/>
                      <w:b w:val="0"/>
                      <w:bCs w:val="0"/>
                      <w:color w:val="auto"/>
                      <w:sz w:val="21"/>
                      <w:lang w:val="en-US" w:eastAsia="zh-CN"/>
                    </w:rPr>
                    <w:t>回填拌合料</w:t>
                  </w:r>
                </w:p>
              </w:tc>
              <w:tc>
                <w:tcPr>
                  <w:tcW w:w="1371" w:type="pct"/>
                  <w:shd w:val="clear" w:color="auto" w:fill="auto"/>
                  <w:vAlign w:val="center"/>
                </w:tcPr>
                <w:p w14:paraId="7B299773">
                  <w:pPr>
                    <w:pStyle w:val="30"/>
                    <w:adjustRightInd w:val="0"/>
                    <w:snapToGrid w:val="0"/>
                    <w:jc w:val="center"/>
                    <w:rPr>
                      <w:rFonts w:hint="default" w:ascii="Times New Roman" w:hAnsi="Times New Roman" w:eastAsia="宋体" w:cs="Times New Roman"/>
                      <w:b/>
                      <w:color w:val="auto"/>
                      <w:sz w:val="21"/>
                      <w:szCs w:val="22"/>
                      <w:lang w:val="en-US" w:eastAsia="zh-CN" w:bidi="ar-SA"/>
                    </w:rPr>
                  </w:pPr>
                  <w:r>
                    <w:rPr>
                      <w:rFonts w:hint="default" w:ascii="Times New Roman" w:hAnsi="Times New Roman" w:cs="Times New Roman"/>
                      <w:color w:val="auto"/>
                      <w:sz w:val="21"/>
                      <w:lang w:val="en-US" w:eastAsia="zh-CN"/>
                    </w:rPr>
                    <w:t>40万</w:t>
                  </w:r>
                  <w:r>
                    <w:rPr>
                      <w:rFonts w:hint="default" w:ascii="Times New Roman" w:hAnsi="Times New Roman" w:cs="Times New Roman"/>
                      <w:color w:val="auto"/>
                      <w:sz w:val="21"/>
                      <w:lang w:eastAsia="zh-CN"/>
                    </w:rPr>
                    <w:t>m</w:t>
                  </w:r>
                  <w:r>
                    <w:rPr>
                      <w:rFonts w:hint="default" w:ascii="Times New Roman" w:hAnsi="Times New Roman" w:cs="Times New Roman"/>
                      <w:color w:val="auto"/>
                      <w:position w:val="7"/>
                      <w:sz w:val="13"/>
                      <w:lang w:eastAsia="zh-CN"/>
                    </w:rPr>
                    <w:t>3</w:t>
                  </w:r>
                  <w:r>
                    <w:rPr>
                      <w:rFonts w:hint="default" w:ascii="Times New Roman" w:hAnsi="Times New Roman" w:cs="Times New Roman"/>
                      <w:color w:val="auto"/>
                      <w:sz w:val="21"/>
                      <w:lang w:eastAsia="zh-CN"/>
                    </w:rPr>
                    <w:t>/</w:t>
                  </w:r>
                  <w:r>
                    <w:rPr>
                      <w:rFonts w:hint="default" w:ascii="Times New Roman" w:hAnsi="Times New Roman" w:cs="Times New Roman"/>
                      <w:color w:val="auto"/>
                      <w:sz w:val="21"/>
                      <w:lang w:val="en-US" w:eastAsia="zh-CN"/>
                    </w:rPr>
                    <w:t>a（</w:t>
                  </w:r>
                  <w:r>
                    <w:rPr>
                      <w:rFonts w:hint="default" w:ascii="Times New Roman" w:hAnsi="Times New Roman" w:cs="Times New Roman"/>
                      <w:color w:val="auto"/>
                      <w:lang w:val="en-US" w:eastAsia="zh-CN"/>
                    </w:rPr>
                    <w:t>645000t/a</w:t>
                  </w:r>
                  <w:r>
                    <w:rPr>
                      <w:rFonts w:hint="default" w:ascii="Times New Roman" w:hAnsi="Times New Roman" w:cs="Times New Roman"/>
                      <w:color w:val="auto"/>
                      <w:sz w:val="21"/>
                      <w:lang w:val="en-US" w:eastAsia="zh-CN"/>
                    </w:rPr>
                    <w:t>）</w:t>
                  </w:r>
                </w:p>
              </w:tc>
            </w:tr>
            <w:tr w14:paraId="17D1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Merge w:val="continue"/>
                  <w:vAlign w:val="center"/>
                </w:tcPr>
                <w:p w14:paraId="48591241">
                  <w:pPr>
                    <w:adjustRightInd w:val="0"/>
                    <w:snapToGrid w:val="0"/>
                    <w:jc w:val="center"/>
                    <w:rPr>
                      <w:rFonts w:hint="default" w:ascii="Times New Roman" w:hAnsi="Times New Roman" w:cs="Times New Roman"/>
                      <w:b/>
                      <w:color w:val="auto"/>
                      <w:sz w:val="21"/>
                      <w:lang w:eastAsia="zh-CN"/>
                    </w:rPr>
                  </w:pPr>
                </w:p>
              </w:tc>
              <w:tc>
                <w:tcPr>
                  <w:tcW w:w="1032" w:type="pct"/>
                  <w:vMerge w:val="continue"/>
                  <w:vAlign w:val="center"/>
                </w:tcPr>
                <w:p w14:paraId="7CC2BE53">
                  <w:pPr>
                    <w:adjustRightInd w:val="0"/>
                    <w:snapToGrid w:val="0"/>
                    <w:jc w:val="center"/>
                    <w:rPr>
                      <w:rFonts w:hint="default" w:ascii="Times New Roman" w:hAnsi="Times New Roman" w:cs="Times New Roman"/>
                      <w:b/>
                      <w:color w:val="auto"/>
                      <w:sz w:val="21"/>
                      <w:lang w:val="en-US" w:eastAsia="zh-CN"/>
                    </w:rPr>
                  </w:pPr>
                </w:p>
              </w:tc>
              <w:tc>
                <w:tcPr>
                  <w:tcW w:w="1949" w:type="pct"/>
                  <w:vAlign w:val="center"/>
                </w:tcPr>
                <w:p w14:paraId="20241D0D">
                  <w:pPr>
                    <w:pStyle w:val="30"/>
                    <w:adjustRightInd w:val="0"/>
                    <w:snapToGrid w:val="0"/>
                    <w:jc w:val="center"/>
                    <w:rPr>
                      <w:rFonts w:hint="default" w:ascii="Times New Roman" w:hAnsi="Times New Roman" w:cs="Times New Roman"/>
                      <w:b w:val="0"/>
                      <w:bCs w:val="0"/>
                      <w:color w:val="auto"/>
                      <w:sz w:val="21"/>
                      <w:lang w:eastAsia="zh-CN"/>
                    </w:rPr>
                  </w:pPr>
                  <w:r>
                    <w:rPr>
                      <w:rFonts w:hint="default" w:ascii="Times New Roman" w:hAnsi="Times New Roman" w:cs="Times New Roman"/>
                      <w:color w:val="auto"/>
                      <w:sz w:val="21"/>
                      <w:szCs w:val="21"/>
                      <w:lang w:val="en-US" w:eastAsia="zh-CN"/>
                    </w:rPr>
                    <w:t>沉淀池沉渣</w:t>
                  </w:r>
                </w:p>
              </w:tc>
              <w:tc>
                <w:tcPr>
                  <w:tcW w:w="1371" w:type="pct"/>
                  <w:vAlign w:val="center"/>
                </w:tcPr>
                <w:p w14:paraId="778BB0EF">
                  <w:pPr>
                    <w:pStyle w:val="30"/>
                    <w:adjustRightInd w:val="0"/>
                    <w:snapToGrid w:val="0"/>
                    <w:jc w:val="center"/>
                    <w:rPr>
                      <w:rFonts w:hint="default" w:ascii="Times New Roman" w:hAnsi="Times New Roman" w:cs="Times New Roman"/>
                      <w:b w:val="0"/>
                      <w:bCs w:val="0"/>
                      <w:color w:val="auto"/>
                      <w:sz w:val="21"/>
                      <w:lang w:val="en-US" w:eastAsia="zh-CN"/>
                    </w:rPr>
                  </w:pPr>
                  <w:r>
                    <w:rPr>
                      <w:rFonts w:hint="default" w:ascii="Times New Roman" w:hAnsi="Times New Roman" w:cs="Times New Roman"/>
                      <w:color w:val="auto"/>
                      <w:sz w:val="21"/>
                      <w:szCs w:val="21"/>
                      <w:lang w:val="en-US" w:eastAsia="zh-CN"/>
                    </w:rPr>
                    <w:t>500</w:t>
                  </w:r>
                </w:p>
              </w:tc>
            </w:tr>
            <w:tr w14:paraId="3AD0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Merge w:val="continue"/>
                  <w:vAlign w:val="center"/>
                </w:tcPr>
                <w:p w14:paraId="75EF108F">
                  <w:pPr>
                    <w:adjustRightInd w:val="0"/>
                    <w:snapToGrid w:val="0"/>
                    <w:jc w:val="center"/>
                    <w:rPr>
                      <w:rFonts w:hint="default" w:ascii="Times New Roman" w:hAnsi="Times New Roman" w:cs="Times New Roman"/>
                      <w:b/>
                      <w:color w:val="auto"/>
                      <w:sz w:val="21"/>
                      <w:lang w:eastAsia="zh-CN"/>
                    </w:rPr>
                  </w:pPr>
                </w:p>
              </w:tc>
              <w:tc>
                <w:tcPr>
                  <w:tcW w:w="1032" w:type="pct"/>
                  <w:vMerge w:val="continue"/>
                  <w:vAlign w:val="center"/>
                </w:tcPr>
                <w:p w14:paraId="5B52C630">
                  <w:pPr>
                    <w:adjustRightInd w:val="0"/>
                    <w:snapToGrid w:val="0"/>
                    <w:jc w:val="center"/>
                    <w:rPr>
                      <w:rFonts w:hint="default" w:ascii="Times New Roman" w:hAnsi="Times New Roman" w:cs="Times New Roman"/>
                      <w:b/>
                      <w:color w:val="auto"/>
                      <w:sz w:val="21"/>
                      <w:lang w:val="en-US" w:eastAsia="zh-CN"/>
                    </w:rPr>
                  </w:pPr>
                </w:p>
              </w:tc>
              <w:tc>
                <w:tcPr>
                  <w:tcW w:w="1949" w:type="pct"/>
                  <w:vAlign w:val="center"/>
                </w:tcPr>
                <w:p w14:paraId="63557AF2">
                  <w:pPr>
                    <w:pStyle w:val="30"/>
                    <w:adjustRightInd w:val="0"/>
                    <w:snapToGrid w:val="0"/>
                    <w:jc w:val="center"/>
                    <w:rPr>
                      <w:rFonts w:hint="default" w:ascii="Times New Roman" w:hAnsi="Times New Roman" w:cs="Times New Roman"/>
                      <w:b w:val="0"/>
                      <w:bCs w:val="0"/>
                      <w:color w:val="auto"/>
                      <w:sz w:val="21"/>
                      <w:lang w:eastAsia="zh-CN"/>
                    </w:rPr>
                  </w:pPr>
                  <w:r>
                    <w:rPr>
                      <w:rFonts w:hint="default" w:ascii="Times New Roman" w:hAnsi="Times New Roman" w:cs="Times New Roman"/>
                      <w:color w:val="auto"/>
                      <w:sz w:val="21"/>
                      <w:szCs w:val="21"/>
                      <w:lang w:val="en-US" w:eastAsia="zh-CN"/>
                    </w:rPr>
                    <w:t>不合格产品</w:t>
                  </w:r>
                </w:p>
              </w:tc>
              <w:tc>
                <w:tcPr>
                  <w:tcW w:w="1371" w:type="pct"/>
                  <w:vAlign w:val="center"/>
                </w:tcPr>
                <w:p w14:paraId="0E64A788">
                  <w:pPr>
                    <w:pStyle w:val="30"/>
                    <w:adjustRightInd w:val="0"/>
                    <w:snapToGrid w:val="0"/>
                    <w:jc w:val="center"/>
                    <w:rPr>
                      <w:rFonts w:hint="default" w:ascii="Times New Roman" w:hAnsi="Times New Roman" w:cs="Times New Roman"/>
                      <w:b w:val="0"/>
                      <w:bCs w:val="0"/>
                      <w:color w:val="auto"/>
                      <w:sz w:val="21"/>
                      <w:lang w:val="en-US" w:eastAsia="zh-CN"/>
                    </w:rPr>
                  </w:pPr>
                  <w:r>
                    <w:rPr>
                      <w:rFonts w:hint="default" w:ascii="Times New Roman" w:hAnsi="Times New Roman" w:cs="Times New Roman"/>
                      <w:color w:val="auto"/>
                      <w:sz w:val="21"/>
                      <w:szCs w:val="21"/>
                      <w:lang w:val="en-US" w:eastAsia="zh-CN"/>
                    </w:rPr>
                    <w:t>4494.4893</w:t>
                  </w:r>
                </w:p>
              </w:tc>
            </w:tr>
            <w:tr w14:paraId="628D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Merge w:val="continue"/>
                  <w:vAlign w:val="center"/>
                </w:tcPr>
                <w:p w14:paraId="750403C7">
                  <w:pPr>
                    <w:adjustRightInd w:val="0"/>
                    <w:snapToGrid w:val="0"/>
                    <w:jc w:val="center"/>
                    <w:rPr>
                      <w:rFonts w:hint="default" w:ascii="Times New Roman" w:hAnsi="Times New Roman" w:cs="Times New Roman"/>
                      <w:b/>
                      <w:color w:val="auto"/>
                      <w:sz w:val="21"/>
                      <w:lang w:eastAsia="zh-CN"/>
                    </w:rPr>
                  </w:pPr>
                </w:p>
              </w:tc>
              <w:tc>
                <w:tcPr>
                  <w:tcW w:w="1032" w:type="pct"/>
                  <w:vMerge w:val="continue"/>
                  <w:vAlign w:val="center"/>
                </w:tcPr>
                <w:p w14:paraId="6D75632C">
                  <w:pPr>
                    <w:adjustRightInd w:val="0"/>
                    <w:snapToGrid w:val="0"/>
                    <w:jc w:val="center"/>
                    <w:rPr>
                      <w:rFonts w:hint="default" w:ascii="Times New Roman" w:hAnsi="Times New Roman" w:cs="Times New Roman"/>
                      <w:b/>
                      <w:color w:val="auto"/>
                      <w:sz w:val="21"/>
                      <w:lang w:val="en-US" w:eastAsia="zh-CN"/>
                    </w:rPr>
                  </w:pPr>
                </w:p>
              </w:tc>
              <w:tc>
                <w:tcPr>
                  <w:tcW w:w="1949" w:type="pct"/>
                  <w:vAlign w:val="center"/>
                </w:tcPr>
                <w:p w14:paraId="2E5A9111">
                  <w:pPr>
                    <w:pStyle w:val="30"/>
                    <w:adjustRightInd w:val="0"/>
                    <w:snapToGrid w:val="0"/>
                    <w:jc w:val="center"/>
                    <w:rPr>
                      <w:rFonts w:hint="default" w:ascii="Times New Roman" w:hAnsi="Times New Roman" w:cs="Times New Roman"/>
                      <w:b w:val="0"/>
                      <w:bCs w:val="0"/>
                      <w:color w:val="auto"/>
                      <w:sz w:val="21"/>
                      <w:lang w:eastAsia="zh-CN"/>
                    </w:rPr>
                  </w:pPr>
                  <w:r>
                    <w:rPr>
                      <w:rFonts w:hint="default" w:ascii="Times New Roman" w:hAnsi="Times New Roman" w:cs="Times New Roman"/>
                      <w:color w:val="auto"/>
                      <w:sz w:val="21"/>
                      <w:lang w:val="en-US" w:eastAsia="zh-CN"/>
                    </w:rPr>
                    <w:t>其他</w:t>
                  </w:r>
                  <w:r>
                    <w:rPr>
                      <w:rFonts w:hint="default" w:ascii="Times New Roman" w:hAnsi="Times New Roman" w:cs="Times New Roman"/>
                      <w:color w:val="auto"/>
                      <w:sz w:val="21"/>
                      <w:lang w:eastAsia="zh-CN"/>
                    </w:rPr>
                    <w:t>无组织粉尘</w:t>
                  </w:r>
                </w:p>
              </w:tc>
              <w:tc>
                <w:tcPr>
                  <w:tcW w:w="1371" w:type="pct"/>
                  <w:vAlign w:val="center"/>
                </w:tcPr>
                <w:p w14:paraId="4F02CA56">
                  <w:pPr>
                    <w:pStyle w:val="30"/>
                    <w:adjustRightInd w:val="0"/>
                    <w:snapToGrid w:val="0"/>
                    <w:jc w:val="center"/>
                    <w:rPr>
                      <w:rFonts w:hint="default" w:ascii="Times New Roman" w:hAnsi="Times New Roman" w:cs="Times New Roman"/>
                      <w:b w:val="0"/>
                      <w:bCs w:val="0"/>
                      <w:color w:val="auto"/>
                      <w:sz w:val="21"/>
                      <w:lang w:val="en-US" w:eastAsia="zh-CN"/>
                    </w:rPr>
                  </w:pPr>
                  <w:r>
                    <w:rPr>
                      <w:rFonts w:hint="default" w:ascii="Times New Roman" w:hAnsi="Times New Roman" w:cs="Times New Roman"/>
                      <w:color w:val="auto"/>
                      <w:sz w:val="21"/>
                      <w:lang w:val="en-US" w:eastAsia="zh-CN"/>
                    </w:rPr>
                    <w:t>5.5107</w:t>
                  </w:r>
                </w:p>
              </w:tc>
            </w:tr>
            <w:tr w14:paraId="7201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4945F204">
                  <w:pPr>
                    <w:adjustRightInd w:val="0"/>
                    <w:snapToGrid w:val="0"/>
                    <w:jc w:val="center"/>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合计</w:t>
                  </w:r>
                </w:p>
              </w:tc>
              <w:tc>
                <w:tcPr>
                  <w:tcW w:w="1032" w:type="pct"/>
                  <w:vAlign w:val="center"/>
                </w:tcPr>
                <w:p w14:paraId="7AB7CCAF">
                  <w:pPr>
                    <w:adjustRightInd w:val="0"/>
                    <w:snapToGrid w:val="0"/>
                    <w:jc w:val="center"/>
                    <w:rPr>
                      <w:rFonts w:hint="default" w:ascii="Times New Roman" w:hAnsi="Times New Roman" w:cs="Times New Roman"/>
                      <w:b/>
                      <w:color w:val="auto"/>
                      <w:sz w:val="21"/>
                      <w:lang w:val="en-US" w:eastAsia="zh-CN"/>
                    </w:rPr>
                  </w:pPr>
                  <w:r>
                    <w:rPr>
                      <w:rFonts w:hint="default" w:ascii="Times New Roman" w:hAnsi="Times New Roman" w:cs="Times New Roman"/>
                      <w:b/>
                      <w:color w:val="auto"/>
                      <w:sz w:val="21"/>
                      <w:lang w:val="en-US" w:eastAsia="zh-CN"/>
                    </w:rPr>
                    <w:t>650000</w:t>
                  </w:r>
                </w:p>
              </w:tc>
              <w:tc>
                <w:tcPr>
                  <w:tcW w:w="1949" w:type="pct"/>
                  <w:vAlign w:val="center"/>
                </w:tcPr>
                <w:p w14:paraId="63697537">
                  <w:pPr>
                    <w:pStyle w:val="30"/>
                    <w:adjustRightInd w:val="0"/>
                    <w:snapToGrid w:val="0"/>
                    <w:jc w:val="center"/>
                    <w:rPr>
                      <w:rFonts w:hint="default" w:ascii="Times New Roman" w:hAnsi="Times New Roman" w:cs="Times New Roman"/>
                      <w:b w:val="0"/>
                      <w:bCs w:val="0"/>
                      <w:color w:val="auto"/>
                      <w:sz w:val="21"/>
                      <w:lang w:eastAsia="zh-CN"/>
                    </w:rPr>
                  </w:pPr>
                  <w:r>
                    <w:rPr>
                      <w:rFonts w:hint="default" w:ascii="Times New Roman" w:hAnsi="Times New Roman" w:cs="Times New Roman"/>
                      <w:b/>
                      <w:bCs/>
                      <w:color w:val="auto"/>
                      <w:sz w:val="21"/>
                      <w:lang w:eastAsia="zh-CN"/>
                    </w:rPr>
                    <w:t>合计</w:t>
                  </w:r>
                </w:p>
              </w:tc>
              <w:tc>
                <w:tcPr>
                  <w:tcW w:w="1371" w:type="pct"/>
                  <w:vAlign w:val="center"/>
                </w:tcPr>
                <w:p w14:paraId="3F1FCFF1">
                  <w:pPr>
                    <w:pStyle w:val="30"/>
                    <w:adjustRightInd w:val="0"/>
                    <w:snapToGrid w:val="0"/>
                    <w:jc w:val="center"/>
                    <w:rPr>
                      <w:rFonts w:hint="default" w:ascii="Times New Roman" w:hAnsi="Times New Roman" w:cs="Times New Roman"/>
                      <w:b w:val="0"/>
                      <w:bCs w:val="0"/>
                      <w:color w:val="auto"/>
                      <w:sz w:val="21"/>
                      <w:lang w:val="en-US" w:eastAsia="zh-CN"/>
                    </w:rPr>
                  </w:pPr>
                  <w:r>
                    <w:rPr>
                      <w:rFonts w:hint="default" w:ascii="Times New Roman" w:hAnsi="Times New Roman" w:cs="Times New Roman"/>
                      <w:b/>
                      <w:bCs/>
                      <w:color w:val="auto"/>
                      <w:sz w:val="21"/>
                      <w:lang w:val="en-US" w:eastAsia="zh-CN"/>
                    </w:rPr>
                    <w:t>650000</w:t>
                  </w:r>
                </w:p>
              </w:tc>
            </w:tr>
          </w:tbl>
          <w:p w14:paraId="29226E72">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六、项目主要生产设备</w:t>
            </w:r>
            <w:bookmarkEnd w:id="24"/>
            <w:bookmarkEnd w:id="25"/>
            <w:bookmarkEnd w:id="26"/>
          </w:p>
          <w:p w14:paraId="3E4A8F3E">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项目主要生产设备见表2-</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lang w:eastAsia="zh-CN"/>
              </w:rPr>
              <w:t>。</w:t>
            </w:r>
          </w:p>
          <w:p w14:paraId="07B6798E">
            <w:pPr>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表2-</w:t>
            </w:r>
            <w:r>
              <w:rPr>
                <w:rFonts w:hint="default" w:ascii="Times New Roman" w:hAnsi="Times New Roman" w:cs="Times New Roman"/>
                <w:b/>
                <w:color w:val="auto"/>
                <w:sz w:val="21"/>
                <w:szCs w:val="21"/>
                <w:lang w:val="en-US" w:eastAsia="zh-CN"/>
              </w:rPr>
              <w:t>6</w:t>
            </w:r>
            <w:r>
              <w:rPr>
                <w:rFonts w:hint="default" w:ascii="Times New Roman" w:hAnsi="Times New Roman" w:cs="Times New Roman"/>
                <w:b/>
                <w:color w:val="auto"/>
                <w:sz w:val="21"/>
                <w:szCs w:val="21"/>
                <w:lang w:eastAsia="zh-CN"/>
              </w:rPr>
              <w:t xml:space="preserve">  项目主要工艺设备设施表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494"/>
              <w:gridCol w:w="3193"/>
              <w:gridCol w:w="765"/>
              <w:gridCol w:w="823"/>
            </w:tblGrid>
            <w:tr w14:paraId="4042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vAlign w:val="center"/>
                </w:tcPr>
                <w:p w14:paraId="676F360F">
                  <w:pPr>
                    <w:widowControl/>
                    <w:autoSpaceDE/>
                    <w:autoSpaceDN/>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552" w:type="pct"/>
                  <w:vAlign w:val="center"/>
                </w:tcPr>
                <w:p w14:paraId="6999A860">
                  <w:pPr>
                    <w:autoSpaceDE/>
                    <w:autoSpaceDN/>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设备名称</w:t>
                  </w:r>
                </w:p>
              </w:tc>
              <w:tc>
                <w:tcPr>
                  <w:tcW w:w="1987" w:type="pct"/>
                  <w:vAlign w:val="center"/>
                </w:tcPr>
                <w:p w14:paraId="27A08C51">
                  <w:pPr>
                    <w:autoSpaceDE/>
                    <w:autoSpaceDN/>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型号</w:t>
                  </w:r>
                </w:p>
              </w:tc>
              <w:tc>
                <w:tcPr>
                  <w:tcW w:w="476" w:type="pct"/>
                  <w:vAlign w:val="center"/>
                </w:tcPr>
                <w:p w14:paraId="26655A25">
                  <w:pPr>
                    <w:widowControl/>
                    <w:autoSpaceDE/>
                    <w:autoSpaceDN/>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510" w:type="pct"/>
                  <w:vAlign w:val="center"/>
                </w:tcPr>
                <w:p w14:paraId="282848A8">
                  <w:pPr>
                    <w:widowControl/>
                    <w:autoSpaceDE/>
                    <w:autoSpaceDN/>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数量</w:t>
                  </w:r>
                </w:p>
              </w:tc>
            </w:tr>
            <w:tr w14:paraId="4780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000" w:type="pct"/>
                  <w:gridSpan w:val="5"/>
                  <w:vAlign w:val="center"/>
                </w:tcPr>
                <w:p w14:paraId="61030F62">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搅拌站设备</w:t>
                  </w:r>
                </w:p>
              </w:tc>
            </w:tr>
            <w:tr w14:paraId="003F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vAlign w:val="center"/>
                </w:tcPr>
                <w:p w14:paraId="2D35FD2C">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552" w:type="pct"/>
                  <w:vAlign w:val="top"/>
                </w:tcPr>
                <w:p w14:paraId="29BF7F84">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免基础型水稳站</w:t>
                  </w:r>
                </w:p>
              </w:tc>
              <w:tc>
                <w:tcPr>
                  <w:tcW w:w="1987" w:type="pct"/>
                  <w:vAlign w:val="center"/>
                </w:tcPr>
                <w:p w14:paraId="3C0EDB4C">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WCB400</w:t>
                  </w:r>
                </w:p>
              </w:tc>
              <w:tc>
                <w:tcPr>
                  <w:tcW w:w="476" w:type="pct"/>
                  <w:vAlign w:val="center"/>
                </w:tcPr>
                <w:p w14:paraId="3134CFD4">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510" w:type="pct"/>
                  <w:vAlign w:val="center"/>
                </w:tcPr>
                <w:p w14:paraId="4072C51A">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14:paraId="470B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vAlign w:val="center"/>
                </w:tcPr>
                <w:p w14:paraId="66A410C8">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552" w:type="pct"/>
                  <w:vAlign w:val="top"/>
                </w:tcPr>
                <w:p w14:paraId="52DF5A39">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免基础型水稳站</w:t>
                  </w:r>
                </w:p>
              </w:tc>
              <w:tc>
                <w:tcPr>
                  <w:tcW w:w="1987" w:type="pct"/>
                  <w:vAlign w:val="center"/>
                </w:tcPr>
                <w:p w14:paraId="472AA9E6">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WCB600</w:t>
                  </w:r>
                </w:p>
              </w:tc>
              <w:tc>
                <w:tcPr>
                  <w:tcW w:w="476" w:type="pct"/>
                  <w:vAlign w:val="center"/>
                </w:tcPr>
                <w:p w14:paraId="77F2F229">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510" w:type="pct"/>
                  <w:vAlign w:val="center"/>
                </w:tcPr>
                <w:p w14:paraId="46284BB6">
                  <w:pPr>
                    <w:widowControl/>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14:paraId="1CCB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000" w:type="pct"/>
                  <w:gridSpan w:val="5"/>
                  <w:vAlign w:val="center"/>
                </w:tcPr>
                <w:p w14:paraId="586D34E9">
                  <w:pPr>
                    <w:widowControl/>
                    <w:autoSpaceDE/>
                    <w:autoSpaceDN/>
                    <w:adjustRightInd w:val="0"/>
                    <w:snapToGrid w:val="0"/>
                    <w:jc w:val="center"/>
                    <w:rPr>
                      <w:rFonts w:hint="default" w:ascii="Times New Roman" w:hAnsi="Times New Roman" w:cs="Times New Roman"/>
                      <w:color w:val="auto"/>
                      <w:sz w:val="21"/>
                      <w:szCs w:val="21"/>
                      <w:lang w:val="en-US" w:eastAsia="zh-CN"/>
                    </w:rPr>
                  </w:pPr>
                  <w:bookmarkStart w:id="27" w:name="_Toc483056696"/>
                  <w:bookmarkStart w:id="28" w:name="_Toc14913"/>
                  <w:bookmarkStart w:id="29" w:name="_Toc483056318"/>
                  <w:r>
                    <w:rPr>
                      <w:rFonts w:hint="default" w:ascii="Times New Roman" w:hAnsi="Times New Roman" w:cs="Times New Roman"/>
                      <w:color w:val="auto"/>
                      <w:sz w:val="21"/>
                      <w:szCs w:val="21"/>
                      <w:lang w:val="en-US" w:eastAsia="zh-CN"/>
                    </w:rPr>
                    <w:t>储运设备</w:t>
                  </w:r>
                </w:p>
              </w:tc>
            </w:tr>
            <w:tr w14:paraId="41E6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vAlign w:val="center"/>
                </w:tcPr>
                <w:p w14:paraId="39AFA2CD">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552" w:type="pct"/>
                  <w:vAlign w:val="center"/>
                </w:tcPr>
                <w:p w14:paraId="145458BA">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皮带输送</w:t>
                  </w:r>
                </w:p>
              </w:tc>
              <w:tc>
                <w:tcPr>
                  <w:tcW w:w="1987" w:type="pct"/>
                  <w:vAlign w:val="center"/>
                </w:tcPr>
                <w:p w14:paraId="5AA26DE0">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76" w:type="pct"/>
                  <w:vAlign w:val="center"/>
                </w:tcPr>
                <w:p w14:paraId="15A353B2">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条</w:t>
                  </w:r>
                </w:p>
              </w:tc>
              <w:tc>
                <w:tcPr>
                  <w:tcW w:w="510" w:type="pct"/>
                  <w:vAlign w:val="center"/>
                </w:tcPr>
                <w:p w14:paraId="4BC61D10">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r>
            <w:tr w14:paraId="497D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vAlign w:val="center"/>
                </w:tcPr>
                <w:p w14:paraId="7DAC201D">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552" w:type="pct"/>
                  <w:vAlign w:val="center"/>
                </w:tcPr>
                <w:p w14:paraId="573B89BF">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装载机</w:t>
                  </w:r>
                </w:p>
              </w:tc>
              <w:tc>
                <w:tcPr>
                  <w:tcW w:w="1987" w:type="pct"/>
                  <w:vAlign w:val="center"/>
                </w:tcPr>
                <w:p w14:paraId="171E4421">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76" w:type="pct"/>
                  <w:vAlign w:val="center"/>
                </w:tcPr>
                <w:p w14:paraId="581642E2">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10" w:type="pct"/>
                  <w:vAlign w:val="center"/>
                </w:tcPr>
                <w:p w14:paraId="3F3A91B3">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r>
            <w:tr w14:paraId="7B3F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vAlign w:val="center"/>
                </w:tcPr>
                <w:p w14:paraId="5C0E5064">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552" w:type="pct"/>
                  <w:vAlign w:val="center"/>
                </w:tcPr>
                <w:p w14:paraId="4A0B6D6E">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混凝土罐车</w:t>
                  </w:r>
                </w:p>
              </w:tc>
              <w:tc>
                <w:tcPr>
                  <w:tcW w:w="1987" w:type="pct"/>
                  <w:vAlign w:val="center"/>
                </w:tcPr>
                <w:p w14:paraId="1D5B4CDA">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76" w:type="pct"/>
                  <w:vAlign w:val="center"/>
                </w:tcPr>
                <w:p w14:paraId="72ED0A91">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辆</w:t>
                  </w:r>
                </w:p>
              </w:tc>
              <w:tc>
                <w:tcPr>
                  <w:tcW w:w="510" w:type="pct"/>
                  <w:vAlign w:val="center"/>
                </w:tcPr>
                <w:p w14:paraId="46312D54">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r>
            <w:tr w14:paraId="64F3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blHeader/>
                <w:jc w:val="center"/>
              </w:trPr>
              <w:tc>
                <w:tcPr>
                  <w:tcW w:w="5000" w:type="pct"/>
                  <w:gridSpan w:val="5"/>
                  <w:vAlign w:val="center"/>
                </w:tcPr>
                <w:p w14:paraId="76C1885E">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w:t>
                  </w:r>
                </w:p>
              </w:tc>
            </w:tr>
            <w:tr w14:paraId="46BB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blHeader/>
                <w:jc w:val="center"/>
              </w:trPr>
              <w:tc>
                <w:tcPr>
                  <w:tcW w:w="473" w:type="pct"/>
                  <w:vAlign w:val="center"/>
                </w:tcPr>
                <w:p w14:paraId="10C93539">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552" w:type="pct"/>
                  <w:vAlign w:val="center"/>
                </w:tcPr>
                <w:p w14:paraId="2EFF97B3">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雾炮机</w:t>
                  </w:r>
                </w:p>
              </w:tc>
              <w:tc>
                <w:tcPr>
                  <w:tcW w:w="1987" w:type="pct"/>
                  <w:vAlign w:val="center"/>
                </w:tcPr>
                <w:p w14:paraId="28143654">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76" w:type="pct"/>
                  <w:vAlign w:val="center"/>
                </w:tcPr>
                <w:p w14:paraId="41DEF59B">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510" w:type="pct"/>
                  <w:vAlign w:val="center"/>
                </w:tcPr>
                <w:p w14:paraId="2A6E5422">
                  <w:pPr>
                    <w:widowControl/>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bl>
          <w:p w14:paraId="2636E4C0">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六、项目定员及工作制</w:t>
            </w:r>
            <w:bookmarkEnd w:id="27"/>
            <w:bookmarkEnd w:id="28"/>
            <w:bookmarkEnd w:id="29"/>
            <w:r>
              <w:rPr>
                <w:rFonts w:hint="default" w:ascii="Times New Roman" w:hAnsi="Times New Roman" w:cs="Times New Roman"/>
                <w:b/>
                <w:color w:val="auto"/>
                <w:sz w:val="24"/>
                <w:lang w:eastAsia="zh-CN"/>
              </w:rPr>
              <w:t>度</w:t>
            </w:r>
          </w:p>
          <w:p w14:paraId="5475BD41">
            <w:pPr>
              <w:spacing w:line="360" w:lineRule="auto"/>
              <w:ind w:firstLine="480" w:firstLineChars="200"/>
              <w:rPr>
                <w:rFonts w:hint="default" w:ascii="Times New Roman" w:hAnsi="Times New Roman" w:cs="Times New Roman"/>
                <w:color w:val="auto"/>
                <w:sz w:val="24"/>
                <w:lang w:val="en-US" w:eastAsia="zh-CN"/>
              </w:rPr>
            </w:pPr>
            <w:bookmarkStart w:id="30" w:name="_Toc483056697"/>
            <w:bookmarkStart w:id="31" w:name="_Toc483056319"/>
            <w:bookmarkStart w:id="32" w:name="_Toc30069"/>
            <w:r>
              <w:rPr>
                <w:rFonts w:hint="default" w:ascii="Times New Roman" w:hAnsi="Times New Roman" w:cs="Times New Roman"/>
                <w:color w:val="auto"/>
                <w:sz w:val="24"/>
                <w:lang w:eastAsia="zh-CN"/>
              </w:rPr>
              <w:t>本项目劳动定员</w:t>
            </w:r>
            <w:r>
              <w:rPr>
                <w:rFonts w:hint="default" w:ascii="Times New Roman" w:hAnsi="Times New Roman" w:cs="Times New Roman"/>
                <w:color w:val="auto"/>
                <w:sz w:val="24"/>
                <w:lang w:val="en-US" w:eastAsia="zh-CN"/>
              </w:rPr>
              <w:t>30</w:t>
            </w:r>
            <w:r>
              <w:rPr>
                <w:rFonts w:hint="default" w:ascii="Times New Roman" w:hAnsi="Times New Roman" w:cs="Times New Roman"/>
                <w:color w:val="auto"/>
                <w:sz w:val="24"/>
                <w:lang w:eastAsia="zh-CN"/>
              </w:rPr>
              <w:t>人，均</w:t>
            </w:r>
            <w:r>
              <w:rPr>
                <w:rFonts w:hint="default" w:ascii="Times New Roman" w:hAnsi="Times New Roman" w:cs="Times New Roman"/>
                <w:color w:val="auto"/>
                <w:sz w:val="24"/>
                <w:lang w:val="en-US" w:eastAsia="zh-CN"/>
              </w:rPr>
              <w:t>不</w:t>
            </w:r>
            <w:r>
              <w:rPr>
                <w:rFonts w:hint="default" w:ascii="Times New Roman" w:hAnsi="Times New Roman" w:cs="Times New Roman"/>
                <w:color w:val="auto"/>
                <w:sz w:val="24"/>
                <w:lang w:eastAsia="zh-CN"/>
              </w:rPr>
              <w:t>在项目区内食宿，实行一班制，每天工作8小时，年平均工作约300天。</w:t>
            </w:r>
            <w:bookmarkEnd w:id="30"/>
            <w:bookmarkEnd w:id="31"/>
            <w:bookmarkEnd w:id="32"/>
            <w:r>
              <w:rPr>
                <w:rFonts w:hint="default" w:ascii="Times New Roman" w:hAnsi="Times New Roman" w:cs="Times New Roman"/>
                <w:color w:val="auto"/>
                <w:sz w:val="24"/>
                <w:lang w:val="en-US" w:eastAsia="zh-CN"/>
              </w:rPr>
              <w:t>本项目所有员工不在厂内食宿，公司员工宿舍与生活区均租用老厂乡镇的住房，厂内不设置生活区和食堂。</w:t>
            </w:r>
          </w:p>
          <w:p w14:paraId="735A26E2">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七、施工组织计划</w:t>
            </w:r>
          </w:p>
          <w:p w14:paraId="76F4A279">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施工进度：</w:t>
            </w:r>
            <w:r>
              <w:rPr>
                <w:rFonts w:hint="default" w:ascii="Times New Roman" w:hAnsi="Times New Roman" w:cs="Times New Roman"/>
                <w:color w:val="auto"/>
                <w:sz w:val="24"/>
                <w:lang w:val="en-US" w:eastAsia="zh-CN"/>
              </w:rPr>
              <w:t>四个月</w:t>
            </w:r>
            <w:r>
              <w:rPr>
                <w:rFonts w:hint="default" w:ascii="Times New Roman" w:hAnsi="Times New Roman" w:cs="Times New Roman"/>
                <w:color w:val="auto"/>
                <w:sz w:val="24"/>
                <w:lang w:eastAsia="zh-CN"/>
              </w:rPr>
              <w:t>。</w:t>
            </w:r>
          </w:p>
          <w:p w14:paraId="288C1F02">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施工人数：</w:t>
            </w:r>
            <w:r>
              <w:rPr>
                <w:rFonts w:hint="default" w:ascii="Times New Roman" w:hAnsi="Times New Roman" w:cs="Times New Roman"/>
                <w:color w:val="auto"/>
                <w:sz w:val="24"/>
                <w:lang w:val="en-US" w:eastAsia="zh-CN"/>
              </w:rPr>
              <w:t>30</w:t>
            </w:r>
            <w:r>
              <w:rPr>
                <w:rFonts w:hint="default" w:ascii="Times New Roman" w:hAnsi="Times New Roman" w:cs="Times New Roman"/>
                <w:color w:val="auto"/>
                <w:sz w:val="24"/>
                <w:lang w:eastAsia="zh-CN"/>
              </w:rPr>
              <w:t>人。</w:t>
            </w:r>
          </w:p>
          <w:p w14:paraId="1ACE07C5">
            <w:pPr>
              <w:spacing w:line="360" w:lineRule="auto"/>
              <w:ind w:firstLine="482" w:firstLineChars="200"/>
              <w:rPr>
                <w:rFonts w:hint="default" w:ascii="Times New Roman" w:hAnsi="Times New Roman" w:cs="Times New Roman"/>
                <w:b/>
                <w:color w:val="auto"/>
                <w:kern w:val="2"/>
                <w:sz w:val="24"/>
                <w:szCs w:val="24"/>
                <w:lang w:eastAsia="zh-CN"/>
              </w:rPr>
            </w:pPr>
            <w:r>
              <w:rPr>
                <w:rFonts w:hint="default" w:ascii="Times New Roman" w:hAnsi="Times New Roman" w:cs="Times New Roman"/>
                <w:b/>
                <w:color w:val="auto"/>
                <w:kern w:val="2"/>
                <w:sz w:val="24"/>
                <w:szCs w:val="24"/>
                <w:lang w:eastAsia="zh-CN"/>
              </w:rPr>
              <w:t>八、项目用水情况及水量平衡</w:t>
            </w:r>
          </w:p>
          <w:p w14:paraId="0BC153B6">
            <w:pPr>
              <w:spacing w:line="360" w:lineRule="auto"/>
              <w:ind w:firstLine="480" w:firstLineChars="200"/>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val="en-US" w:eastAsia="zh-CN"/>
              </w:rPr>
              <w:t>本项目员工均不在厂区内食宿。</w:t>
            </w:r>
            <w:r>
              <w:rPr>
                <w:rFonts w:hint="default" w:ascii="Times New Roman" w:hAnsi="Times New Roman" w:cs="Times New Roman"/>
                <w:color w:val="auto"/>
                <w:kern w:val="2"/>
                <w:sz w:val="24"/>
                <w:szCs w:val="24"/>
                <w:lang w:eastAsia="zh-CN"/>
              </w:rPr>
              <w:t>本项目生产过程中用水环节主</w:t>
            </w:r>
            <w:r>
              <w:rPr>
                <w:rFonts w:hint="default" w:ascii="Times New Roman" w:hAnsi="Times New Roman" w:eastAsia="宋体" w:cs="Times New Roman"/>
                <w:color w:val="auto"/>
                <w:kern w:val="2"/>
                <w:sz w:val="24"/>
                <w:szCs w:val="24"/>
                <w:lang w:eastAsia="zh-CN"/>
              </w:rPr>
              <w:t>要为道路、场地抑尘用水、喷淋用水、拌合用水、</w:t>
            </w:r>
            <w:r>
              <w:rPr>
                <w:rFonts w:hint="default" w:ascii="Times New Roman" w:hAnsi="Times New Roman" w:cs="Times New Roman"/>
                <w:color w:val="auto"/>
                <w:kern w:val="2"/>
                <w:sz w:val="24"/>
                <w:szCs w:val="24"/>
                <w:lang w:eastAsia="zh-CN"/>
              </w:rPr>
              <w:t>搅拌机清洗用水、运输车冲洗用水</w:t>
            </w:r>
            <w:r>
              <w:rPr>
                <w:rFonts w:hint="default" w:ascii="Times New Roman" w:hAnsi="Times New Roman" w:cs="Times New Roman"/>
                <w:color w:val="auto"/>
                <w:kern w:val="2"/>
                <w:sz w:val="24"/>
                <w:szCs w:val="24"/>
                <w:lang w:val="en-US" w:eastAsia="zh-CN"/>
              </w:rPr>
              <w:t>和员工日常生活用水</w:t>
            </w:r>
            <w:r>
              <w:rPr>
                <w:rFonts w:hint="default" w:ascii="Times New Roman" w:hAnsi="Times New Roman" w:cs="Times New Roman"/>
                <w:color w:val="auto"/>
                <w:kern w:val="2"/>
                <w:sz w:val="24"/>
                <w:szCs w:val="24"/>
                <w:lang w:eastAsia="zh-CN"/>
              </w:rPr>
              <w:t>。</w:t>
            </w:r>
          </w:p>
          <w:p w14:paraId="0F921E23">
            <w:pPr>
              <w:spacing w:line="360" w:lineRule="auto"/>
              <w:ind w:firstLine="482"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val="en-US" w:eastAsia="zh-CN"/>
              </w:rPr>
              <w:t>1、给水</w:t>
            </w:r>
          </w:p>
          <w:p w14:paraId="79470384">
            <w:pPr>
              <w:spacing w:line="360" w:lineRule="auto"/>
              <w:ind w:firstLine="482" w:firstLineChars="200"/>
              <w:rPr>
                <w:rFonts w:hint="default" w:ascii="Times New Roman" w:hAnsi="Times New Roman" w:cs="Times New Roman"/>
                <w:b/>
                <w:bCs/>
                <w:color w:val="auto"/>
                <w:kern w:val="2"/>
                <w:sz w:val="24"/>
                <w:szCs w:val="24"/>
                <w:lang w:eastAsia="zh-CN"/>
              </w:rPr>
            </w:pP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1</w:t>
            </w:r>
            <w:r>
              <w:rPr>
                <w:rFonts w:hint="default" w:ascii="Times New Roman" w:hAnsi="Times New Roman" w:cs="Times New Roman"/>
                <w:b/>
                <w:bCs/>
                <w:color w:val="auto"/>
                <w:kern w:val="2"/>
                <w:sz w:val="24"/>
                <w:szCs w:val="24"/>
                <w:lang w:eastAsia="zh-CN"/>
              </w:rPr>
              <w:t>）道路、场地抑尘用水</w:t>
            </w:r>
          </w:p>
          <w:p w14:paraId="0D8FAB2E">
            <w:pPr>
              <w:spacing w:line="360" w:lineRule="auto"/>
              <w:ind w:firstLine="480" w:firstLineChars="200"/>
              <w:jc w:val="both"/>
              <w:rPr>
                <w:rFonts w:hint="default" w:ascii="Times New Roman" w:hAnsi="Times New Roman" w:cs="Times New Roman"/>
                <w:color w:val="auto"/>
                <w:sz w:val="24"/>
                <w:lang w:eastAsia="zh-CN"/>
              </w:rPr>
            </w:pPr>
            <w:bookmarkStart w:id="33" w:name="OLE_LINK1"/>
            <w:r>
              <w:rPr>
                <w:rFonts w:hint="default" w:ascii="Times New Roman" w:hAnsi="Times New Roman" w:eastAsia="宋体" w:cs="Times New Roman"/>
                <w:color w:val="auto"/>
                <w:sz w:val="24"/>
                <w:szCs w:val="22"/>
                <w:lang w:val="en-US" w:eastAsia="zh-CN"/>
              </w:rPr>
              <w:t>本项目场内外道路面积500m</w:t>
            </w:r>
            <w:r>
              <w:rPr>
                <w:rFonts w:hint="default" w:ascii="Times New Roman" w:hAnsi="Times New Roman" w:eastAsia="宋体" w:cs="Times New Roman"/>
                <w:color w:val="auto"/>
                <w:sz w:val="24"/>
                <w:szCs w:val="22"/>
                <w:vertAlign w:val="superscript"/>
                <w:lang w:val="en-US" w:eastAsia="zh-CN"/>
              </w:rPr>
              <w:t>2</w:t>
            </w:r>
            <w:r>
              <w:rPr>
                <w:rFonts w:hint="default" w:ascii="Times New Roman" w:hAnsi="Times New Roman" w:eastAsia="宋体" w:cs="Times New Roman"/>
                <w:color w:val="auto"/>
                <w:sz w:val="24"/>
                <w:szCs w:val="22"/>
                <w:lang w:val="en-US" w:eastAsia="zh-CN"/>
              </w:rPr>
              <w:t>，总洒水面积约500m</w:t>
            </w:r>
            <w:r>
              <w:rPr>
                <w:rFonts w:hint="default" w:ascii="Times New Roman" w:hAnsi="Times New Roman" w:eastAsia="宋体" w:cs="Times New Roman"/>
                <w:color w:val="auto"/>
                <w:sz w:val="24"/>
                <w:szCs w:val="22"/>
                <w:vertAlign w:val="superscript"/>
                <w:lang w:val="en-US" w:eastAsia="zh-CN"/>
              </w:rPr>
              <w:t>2</w:t>
            </w:r>
            <w:r>
              <w:rPr>
                <w:rFonts w:hint="default" w:ascii="Times New Roman" w:hAnsi="Times New Roman" w:eastAsia="宋体" w:cs="Times New Roman"/>
                <w:color w:val="auto"/>
                <w:sz w:val="24"/>
                <w:szCs w:val="22"/>
                <w:lang w:val="en-US" w:eastAsia="zh-CN"/>
              </w:rPr>
              <w:t>。根据《云南省地方用水定额标准》（DB53/T168—2019），道路浇洒定额为2L/（m</w:t>
            </w:r>
            <w:r>
              <w:rPr>
                <w:rFonts w:hint="default" w:ascii="Times New Roman" w:hAnsi="Times New Roman" w:eastAsia="宋体" w:cs="Times New Roman"/>
                <w:color w:val="auto"/>
                <w:sz w:val="24"/>
                <w:szCs w:val="22"/>
                <w:vertAlign w:val="superscript"/>
                <w:lang w:val="en-US" w:eastAsia="zh-CN"/>
              </w:rPr>
              <w:t>2</w:t>
            </w:r>
            <w:r>
              <w:rPr>
                <w:rFonts w:hint="default" w:ascii="Times New Roman" w:hAnsi="Times New Roman" w:eastAsia="宋体" w:cs="Times New Roman"/>
                <w:color w:val="auto"/>
                <w:sz w:val="24"/>
                <w:szCs w:val="22"/>
                <w:lang w:val="en-US" w:eastAsia="zh-CN"/>
              </w:rPr>
              <w:t>·d），本项目实行年工作300天的工作制度，晴天工作时间按200d计，雨天工作时间按100d计。晴天道路雾化降尘1次，重点起尘区域多洒水，则晴天道路雾化用水约1m</w:t>
            </w:r>
            <w:r>
              <w:rPr>
                <w:rFonts w:hint="default" w:ascii="Times New Roman" w:hAnsi="Times New Roman" w:eastAsia="宋体" w:cs="Times New Roman"/>
                <w:color w:val="auto"/>
                <w:sz w:val="24"/>
                <w:szCs w:val="22"/>
                <w:vertAlign w:val="superscript"/>
                <w:lang w:val="en-US" w:eastAsia="zh-CN"/>
              </w:rPr>
              <w:t>3</w:t>
            </w:r>
            <w:r>
              <w:rPr>
                <w:rFonts w:hint="default" w:ascii="Times New Roman" w:hAnsi="Times New Roman" w:eastAsia="宋体" w:cs="Times New Roman"/>
                <w:color w:val="auto"/>
                <w:sz w:val="24"/>
                <w:szCs w:val="22"/>
                <w:lang w:val="en-US" w:eastAsia="zh-CN"/>
              </w:rPr>
              <w:t>/d，年用水量约200m</w:t>
            </w:r>
            <w:r>
              <w:rPr>
                <w:rFonts w:hint="default" w:ascii="Times New Roman" w:hAnsi="Times New Roman" w:eastAsia="宋体" w:cs="Times New Roman"/>
                <w:color w:val="auto"/>
                <w:sz w:val="24"/>
                <w:szCs w:val="22"/>
                <w:vertAlign w:val="superscript"/>
                <w:lang w:val="en-US" w:eastAsia="zh-CN"/>
              </w:rPr>
              <w:t>3</w:t>
            </w:r>
            <w:r>
              <w:rPr>
                <w:rFonts w:hint="default" w:ascii="Times New Roman" w:hAnsi="Times New Roman" w:eastAsia="宋体" w:cs="Times New Roman"/>
                <w:color w:val="auto"/>
                <w:sz w:val="24"/>
                <w:szCs w:val="22"/>
                <w:lang w:val="en-US" w:eastAsia="zh-CN"/>
              </w:rPr>
              <w:t>/a，雨天不洒水，晴天优先采用回用水进行洒水降尘。此过程用水全部自然蒸发，无废水产生。</w:t>
            </w:r>
          </w:p>
          <w:p w14:paraId="77C4F4F6">
            <w:pPr>
              <w:spacing w:line="360" w:lineRule="auto"/>
              <w:ind w:firstLine="482"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1</w:t>
            </w: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sz w:val="24"/>
                <w:lang w:val="en-US" w:eastAsia="zh-CN"/>
              </w:rPr>
              <w:t>生产用水</w:t>
            </w:r>
          </w:p>
          <w:p w14:paraId="7AB29846">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①</w:t>
            </w:r>
            <w:r>
              <w:rPr>
                <w:rFonts w:hint="default" w:ascii="Times New Roman" w:hAnsi="Times New Roman" w:cs="Times New Roman"/>
                <w:color w:val="auto"/>
                <w:sz w:val="24"/>
                <w:lang w:val="en-US" w:eastAsia="zh-CN"/>
              </w:rPr>
              <w:t>喷雾降尘用水</w:t>
            </w:r>
          </w:p>
          <w:p w14:paraId="2B9C9598">
            <w:pPr>
              <w:pStyle w:val="29"/>
              <w:adjustRightInd w:val="0"/>
              <w:snapToGrid w:val="0"/>
              <w:spacing w:line="360" w:lineRule="auto"/>
              <w:ind w:firstLine="482"/>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项目运营期喷雾降尘用水主要在生产工段、</w:t>
            </w:r>
            <w:r>
              <w:rPr>
                <w:rFonts w:hint="default" w:ascii="Times New Roman" w:hAnsi="Times New Roman" w:cs="Times New Roman"/>
                <w:bCs/>
                <w:color w:val="auto"/>
                <w:sz w:val="24"/>
                <w:lang w:val="en-US" w:eastAsia="zh-CN"/>
              </w:rPr>
              <w:t>卸料过程</w:t>
            </w:r>
            <w:r>
              <w:rPr>
                <w:rFonts w:hint="default" w:ascii="Times New Roman" w:hAnsi="Times New Roman" w:cs="Times New Roman"/>
                <w:bCs/>
                <w:color w:val="auto"/>
                <w:sz w:val="24"/>
                <w:lang w:eastAsia="zh-CN"/>
              </w:rPr>
              <w:t>及</w:t>
            </w:r>
            <w:r>
              <w:rPr>
                <w:rFonts w:hint="default" w:ascii="Times New Roman" w:hAnsi="Times New Roman" w:cs="Times New Roman"/>
                <w:bCs/>
                <w:color w:val="auto"/>
                <w:sz w:val="24"/>
                <w:lang w:val="en-US" w:eastAsia="zh-CN"/>
              </w:rPr>
              <w:t>原料</w:t>
            </w:r>
            <w:r>
              <w:rPr>
                <w:rFonts w:hint="default" w:ascii="Times New Roman" w:hAnsi="Times New Roman" w:cs="Times New Roman"/>
                <w:bCs/>
                <w:color w:val="auto"/>
                <w:sz w:val="24"/>
                <w:lang w:eastAsia="zh-CN"/>
              </w:rPr>
              <w:t>堆场进行喷雾降尘措施。</w:t>
            </w:r>
          </w:p>
          <w:p w14:paraId="623806F6">
            <w:pPr>
              <w:pStyle w:val="29"/>
              <w:adjustRightInd w:val="0"/>
              <w:snapToGrid w:val="0"/>
              <w:spacing w:line="360" w:lineRule="auto"/>
              <w:ind w:firstLine="482"/>
              <w:jc w:val="both"/>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rPr>
              <w:t>⒈项目在</w:t>
            </w:r>
            <w:r>
              <w:rPr>
                <w:rFonts w:hint="default" w:ascii="Times New Roman" w:hAnsi="Times New Roman" w:cs="Times New Roman"/>
                <w:bCs/>
                <w:color w:val="auto"/>
                <w:sz w:val="24"/>
                <w:lang w:eastAsia="zh-CN"/>
              </w:rPr>
              <w:t>场地</w:t>
            </w:r>
            <w:r>
              <w:rPr>
                <w:rFonts w:hint="default" w:ascii="Times New Roman" w:hAnsi="Times New Roman" w:cs="Times New Roman"/>
                <w:bCs/>
                <w:color w:val="auto"/>
                <w:sz w:val="24"/>
                <w:lang w:val="en-US" w:eastAsia="zh-CN"/>
              </w:rPr>
              <w:t>卸料过程</w:t>
            </w:r>
            <w:r>
              <w:rPr>
                <w:rFonts w:hint="default" w:ascii="Times New Roman" w:hAnsi="Times New Roman" w:cs="Times New Roman"/>
                <w:bCs/>
                <w:color w:val="auto"/>
                <w:sz w:val="24"/>
              </w:rPr>
              <w:t>进行间歇喷</w:t>
            </w:r>
            <w:r>
              <w:rPr>
                <w:rFonts w:hint="default" w:ascii="Times New Roman" w:hAnsi="Times New Roman" w:cs="Times New Roman"/>
                <w:bCs/>
                <w:color w:val="auto"/>
                <w:sz w:val="24"/>
                <w:lang w:val="en-US" w:eastAsia="zh-CN"/>
              </w:rPr>
              <w:t>淋</w:t>
            </w:r>
            <w:r>
              <w:rPr>
                <w:rFonts w:hint="default" w:ascii="Times New Roman" w:hAnsi="Times New Roman" w:cs="Times New Roman"/>
                <w:bCs/>
                <w:color w:val="auto"/>
                <w:sz w:val="24"/>
              </w:rPr>
              <w:t>降尘，</w:t>
            </w:r>
            <w:r>
              <w:rPr>
                <w:rFonts w:hint="default" w:ascii="Times New Roman" w:hAnsi="Times New Roman" w:cs="Times New Roman"/>
                <w:bCs/>
                <w:color w:val="auto"/>
                <w:sz w:val="24"/>
                <w:lang w:val="en-US" w:eastAsia="zh-CN"/>
              </w:rPr>
              <w:t>根据业主经验可得知</w:t>
            </w:r>
            <w:r>
              <w:rPr>
                <w:rFonts w:hint="default" w:ascii="Times New Roman" w:hAnsi="Times New Roman" w:cs="Times New Roman"/>
                <w:bCs/>
                <w:color w:val="auto"/>
                <w:sz w:val="24"/>
              </w:rPr>
              <w:t>，喷水量</w:t>
            </w:r>
            <w:r>
              <w:rPr>
                <w:rFonts w:hint="default" w:ascii="Times New Roman" w:hAnsi="Times New Roman" w:cs="Times New Roman"/>
                <w:bCs/>
                <w:color w:val="auto"/>
                <w:sz w:val="24"/>
                <w:lang w:val="en-US" w:eastAsia="zh-CN"/>
              </w:rPr>
              <w:t>约</w:t>
            </w:r>
            <w:r>
              <w:rPr>
                <w:rFonts w:hint="default" w:ascii="Times New Roman" w:hAnsi="Times New Roman" w:cs="Times New Roman"/>
                <w:bCs/>
                <w:color w:val="auto"/>
                <w:sz w:val="24"/>
              </w:rPr>
              <w:t>为</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400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。（喷雾降尘天数按非雨天</w:t>
            </w:r>
            <w:r>
              <w:rPr>
                <w:rFonts w:hint="default" w:ascii="Times New Roman" w:hAnsi="Times New Roman" w:cs="Times New Roman"/>
                <w:bCs/>
                <w:color w:val="auto"/>
                <w:sz w:val="24"/>
                <w:lang w:val="en-US" w:eastAsia="zh-CN"/>
              </w:rPr>
              <w:t>200d计）；</w:t>
            </w:r>
          </w:p>
          <w:p w14:paraId="53359BFD">
            <w:pPr>
              <w:pStyle w:val="29"/>
              <w:adjustRightInd w:val="0"/>
              <w:snapToGrid w:val="0"/>
              <w:spacing w:line="360" w:lineRule="auto"/>
              <w:ind w:firstLine="482"/>
              <w:jc w:val="both"/>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lang w:val="en-US" w:eastAsia="zh-CN"/>
              </w:rPr>
              <w:t>⒉项目生产工段喷雾降尘用水定额根据同类企业按0.1m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/次计，</w:t>
            </w:r>
            <w:r>
              <w:rPr>
                <w:rFonts w:hint="default" w:ascii="Times New Roman" w:hAnsi="Times New Roman" w:cs="Times New Roman"/>
                <w:bCs/>
                <w:color w:val="auto"/>
                <w:sz w:val="24"/>
              </w:rPr>
              <w:t>本项目实行年工作300天的工作制度，</w:t>
            </w:r>
            <w:r>
              <w:rPr>
                <w:rFonts w:hint="default" w:ascii="Times New Roman" w:hAnsi="Times New Roman" w:cs="Times New Roman"/>
                <w:bCs/>
                <w:color w:val="auto"/>
                <w:sz w:val="24"/>
                <w:lang w:eastAsia="zh-CN"/>
              </w:rPr>
              <w:t>每天工作</w:t>
            </w:r>
            <w:r>
              <w:rPr>
                <w:rFonts w:hint="default" w:ascii="Times New Roman" w:hAnsi="Times New Roman" w:cs="Times New Roman"/>
                <w:bCs/>
                <w:color w:val="auto"/>
                <w:sz w:val="24"/>
                <w:lang w:val="en-US" w:eastAsia="zh-CN"/>
              </w:rPr>
              <w:t>8小时，</w:t>
            </w:r>
            <w:r>
              <w:rPr>
                <w:rFonts w:hint="default" w:ascii="Times New Roman" w:hAnsi="Times New Roman" w:cs="Times New Roman"/>
                <w:bCs/>
                <w:color w:val="auto"/>
                <w:sz w:val="24"/>
              </w:rPr>
              <w:t>晴天工作时间按200d计，雨天工作时间按100d计。</w:t>
            </w:r>
          </w:p>
          <w:p w14:paraId="7397FF65">
            <w:pPr>
              <w:pStyle w:val="29"/>
              <w:adjustRightInd w:val="0"/>
              <w:snapToGrid w:val="0"/>
              <w:spacing w:line="360" w:lineRule="auto"/>
              <w:ind w:firstLine="482"/>
              <w:jc w:val="both"/>
              <w:rPr>
                <w:rFonts w:hint="default" w:ascii="Times New Roman" w:hAnsi="Times New Roman" w:cs="Times New Roman"/>
                <w:bCs/>
                <w:color w:val="auto"/>
                <w:sz w:val="24"/>
              </w:rPr>
            </w:pPr>
            <w:r>
              <w:rPr>
                <w:rFonts w:hint="default" w:ascii="Times New Roman" w:hAnsi="Times New Roman" w:cs="Times New Roman"/>
                <w:bCs/>
                <w:color w:val="auto"/>
                <w:sz w:val="24"/>
              </w:rPr>
              <w:t>⒊本项目在</w:t>
            </w:r>
            <w:r>
              <w:rPr>
                <w:rFonts w:hint="default" w:ascii="Times New Roman" w:hAnsi="Times New Roman" w:cs="Times New Roman"/>
                <w:bCs/>
                <w:color w:val="auto"/>
                <w:sz w:val="24"/>
                <w:lang w:val="en-US" w:eastAsia="zh-CN"/>
              </w:rPr>
              <w:t>原料</w:t>
            </w:r>
            <w:r>
              <w:rPr>
                <w:rFonts w:hint="default" w:ascii="Times New Roman" w:hAnsi="Times New Roman" w:cs="Times New Roman"/>
                <w:bCs/>
                <w:color w:val="auto"/>
                <w:sz w:val="24"/>
                <w:lang w:eastAsia="zh-CN"/>
              </w:rPr>
              <w:t>堆场</w:t>
            </w:r>
            <w:r>
              <w:rPr>
                <w:rFonts w:hint="default" w:ascii="Times New Roman" w:hAnsi="Times New Roman" w:cs="Times New Roman"/>
                <w:bCs/>
                <w:color w:val="auto"/>
                <w:sz w:val="24"/>
              </w:rPr>
              <w:t>设置</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台雾炮机对堆放过程产生的无组织扬尘进行喷雾降尘；雾炮机每天喷雾4小时，雾炮机流量按8L/min，则雾炮机用水量为</w:t>
            </w:r>
            <w:r>
              <w:rPr>
                <w:rFonts w:hint="default" w:ascii="Times New Roman" w:hAnsi="Times New Roman" w:cs="Times New Roman"/>
                <w:bCs/>
                <w:color w:val="auto"/>
                <w:sz w:val="24"/>
                <w:lang w:val="en-US" w:eastAsia="zh-CN"/>
              </w:rPr>
              <w:t>3.84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768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（雾炮降尘天数按非雨天</w:t>
            </w:r>
            <w:r>
              <w:rPr>
                <w:rFonts w:hint="default" w:ascii="Times New Roman" w:hAnsi="Times New Roman" w:cs="Times New Roman"/>
                <w:bCs/>
                <w:color w:val="auto"/>
                <w:sz w:val="24"/>
                <w:lang w:val="en-US" w:eastAsia="zh-CN"/>
              </w:rPr>
              <w:t>200d计）</w:t>
            </w:r>
            <w:r>
              <w:rPr>
                <w:rFonts w:hint="default" w:ascii="Times New Roman" w:hAnsi="Times New Roman" w:cs="Times New Roman"/>
                <w:bCs/>
                <w:color w:val="auto"/>
                <w:sz w:val="24"/>
              </w:rPr>
              <w:t>，此部分用水部分随原料或成品带走，部分蒸发消耗。</w:t>
            </w:r>
          </w:p>
          <w:p w14:paraId="6C793C83">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bCs/>
                <w:color w:val="auto"/>
                <w:sz w:val="24"/>
                <w:lang w:val="en-US" w:eastAsia="zh-CN"/>
              </w:rPr>
              <w:t>因此，本项目运营期喷雾降尘用水总量为10.64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2128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此部分用水</w:t>
            </w:r>
            <w:r>
              <w:rPr>
                <w:rFonts w:hint="default" w:ascii="Times New Roman" w:hAnsi="Times New Roman" w:cs="Times New Roman"/>
                <w:bCs/>
                <w:color w:val="auto"/>
                <w:sz w:val="24"/>
                <w:lang w:val="en-US" w:eastAsia="zh-CN"/>
              </w:rPr>
              <w:t>全</w:t>
            </w:r>
            <w:r>
              <w:rPr>
                <w:rFonts w:hint="default" w:ascii="Times New Roman" w:hAnsi="Times New Roman" w:cs="Times New Roman"/>
                <w:bCs/>
                <w:color w:val="auto"/>
                <w:sz w:val="24"/>
              </w:rPr>
              <w:t>部分蒸发消耗</w:t>
            </w:r>
            <w:r>
              <w:rPr>
                <w:rFonts w:hint="default" w:ascii="Times New Roman" w:hAnsi="Times New Roman" w:cs="Times New Roman"/>
                <w:bCs/>
                <w:color w:val="auto"/>
                <w:sz w:val="24"/>
                <w:lang w:eastAsia="zh-CN"/>
              </w:rPr>
              <w:t>，不外排</w:t>
            </w:r>
            <w:r>
              <w:rPr>
                <w:rFonts w:hint="default" w:ascii="Times New Roman" w:hAnsi="Times New Roman" w:cs="Times New Roman"/>
                <w:bCs/>
                <w:color w:val="auto"/>
                <w:sz w:val="24"/>
              </w:rPr>
              <w:t>。</w:t>
            </w:r>
          </w:p>
          <w:p w14:paraId="01C3FBC1">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②</w:t>
            </w:r>
            <w:r>
              <w:rPr>
                <w:rFonts w:hint="default" w:ascii="Times New Roman" w:hAnsi="Times New Roman" w:cs="Times New Roman"/>
                <w:color w:val="auto"/>
                <w:sz w:val="24"/>
                <w:lang w:val="en-US" w:eastAsia="zh-CN"/>
              </w:rPr>
              <w:t>拌合用水</w:t>
            </w:r>
          </w:p>
          <w:p w14:paraId="0C8C5AC2">
            <w:pPr>
              <w:spacing w:line="360" w:lineRule="auto"/>
              <w:ind w:firstLine="480" w:firstLineChars="200"/>
              <w:jc w:val="both"/>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原料混合搅拌需要用水，本项目年生产40万立方米（约</w:t>
            </w:r>
            <w:r>
              <w:rPr>
                <w:rFonts w:hint="default" w:ascii="Times New Roman" w:hAnsi="Times New Roman" w:cs="Times New Roman"/>
                <w:bCs/>
                <w:color w:val="auto"/>
                <w:sz w:val="24"/>
                <w:lang w:val="en-US" w:eastAsia="zh-CN"/>
              </w:rPr>
              <w:t>64.5</w:t>
            </w:r>
            <w:r>
              <w:rPr>
                <w:rFonts w:hint="default" w:ascii="Times New Roman" w:hAnsi="Times New Roman" w:eastAsia="宋体" w:cs="Times New Roman"/>
                <w:bCs/>
                <w:color w:val="auto"/>
                <w:sz w:val="24"/>
                <w:lang w:val="en-US" w:eastAsia="zh-CN"/>
              </w:rPr>
              <w:t>万t</w:t>
            </w:r>
            <w:r>
              <w:rPr>
                <w:rFonts w:hint="default" w:ascii="Times New Roman" w:hAnsi="Times New Roman" w:cs="Times New Roman"/>
                <w:bCs/>
                <w:color w:val="auto"/>
                <w:sz w:val="24"/>
                <w:lang w:val="en-US" w:eastAsia="zh-CN"/>
              </w:rPr>
              <w:t>/a</w:t>
            </w:r>
            <w:r>
              <w:rPr>
                <w:rFonts w:hint="default" w:ascii="Times New Roman" w:hAnsi="Times New Roman" w:eastAsia="宋体" w:cs="Times New Roman"/>
                <w:bCs/>
                <w:color w:val="auto"/>
                <w:sz w:val="24"/>
                <w:lang w:val="en-US" w:eastAsia="zh-CN"/>
              </w:rPr>
              <w:t>）</w:t>
            </w:r>
            <w:r>
              <w:rPr>
                <w:rFonts w:hint="default" w:ascii="Times New Roman" w:hAnsi="Times New Roman" w:cs="Times New Roman"/>
                <w:bCs/>
                <w:color w:val="auto"/>
                <w:sz w:val="24"/>
                <w:lang w:val="en-US" w:eastAsia="zh-CN"/>
              </w:rPr>
              <w:t>拌合料</w:t>
            </w:r>
            <w:r>
              <w:rPr>
                <w:rFonts w:hint="default" w:ascii="Times New Roman" w:hAnsi="Times New Roman" w:eastAsia="宋体" w:cs="Times New Roman"/>
                <w:bCs/>
                <w:color w:val="auto"/>
                <w:sz w:val="24"/>
                <w:lang w:val="en-US" w:eastAsia="zh-CN"/>
              </w:rPr>
              <w:t>，根据业主提供资料和同类型企业生产经验可知，生产1m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拌合料</w:t>
            </w:r>
            <w:r>
              <w:rPr>
                <w:rFonts w:hint="default" w:ascii="Times New Roman" w:hAnsi="Times New Roman" w:eastAsia="宋体" w:cs="Times New Roman"/>
                <w:bCs/>
                <w:color w:val="auto"/>
                <w:sz w:val="24"/>
                <w:lang w:val="en-US" w:eastAsia="zh-CN"/>
              </w:rPr>
              <w:t>所需用水量为0.12m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则原料混合搅拌用水量为160t/d，48000t/a，此过程不产生废水，损耗量按5%计，则蒸发损耗量为8t/d，2400t/a。其余全部进入产品中。则过程新鲜补充水用水量为160t/d，48000t/a。原料混合搅拌用水全部进入产品，不外排，故不产生废水。</w:t>
            </w:r>
          </w:p>
          <w:p w14:paraId="06A2F1C3">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③搅拌机清洗用水</w:t>
            </w:r>
          </w:p>
          <w:p w14:paraId="58900860">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搅拌机在暂时停止生产时必须清洗干净，搅拌机每天清洗一次，搅拌机冲洗用水以2.0t/台·天计，本项目设置</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lang w:eastAsia="zh-CN"/>
              </w:rPr>
              <w:t>台搅拌机，则项目搅拌机冲洗用水量为</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lang w:eastAsia="zh-CN"/>
              </w:rPr>
              <w:t>t/d，</w:t>
            </w:r>
            <w:r>
              <w:rPr>
                <w:rFonts w:hint="default" w:ascii="Times New Roman" w:hAnsi="Times New Roman" w:cs="Times New Roman"/>
                <w:color w:val="auto"/>
                <w:sz w:val="24"/>
                <w:lang w:val="en-US" w:eastAsia="zh-CN"/>
              </w:rPr>
              <w:t>3600</w:t>
            </w:r>
            <w:r>
              <w:rPr>
                <w:rFonts w:hint="default" w:ascii="Times New Roman" w:hAnsi="Times New Roman" w:cs="Times New Roman"/>
                <w:color w:val="auto"/>
                <w:sz w:val="24"/>
                <w:lang w:eastAsia="zh-CN"/>
              </w:rPr>
              <w:t>t/a。</w:t>
            </w:r>
          </w:p>
          <w:p w14:paraId="795B2235">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④</w:t>
            </w:r>
            <w:r>
              <w:rPr>
                <w:rFonts w:hint="default" w:ascii="Times New Roman" w:hAnsi="Times New Roman" w:cs="Times New Roman"/>
                <w:color w:val="auto"/>
                <w:sz w:val="24"/>
                <w:lang w:val="en-US" w:eastAsia="zh-CN"/>
              </w:rPr>
              <w:t>运输车辆冲洗用水</w:t>
            </w:r>
          </w:p>
          <w:p w14:paraId="13F6326B">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车辆冲洗水量为0.4m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/辆·次，根据产能计算每天清洗车辆约</w:t>
            </w:r>
            <w:r>
              <w:rPr>
                <w:rFonts w:hint="default"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lang w:eastAsia="zh-CN"/>
              </w:rPr>
              <w:t>辆，则运输车辆冲洗用水量为</w:t>
            </w:r>
            <w:r>
              <w:rPr>
                <w:rFonts w:hint="default" w:ascii="Times New Roman" w:hAnsi="Times New Roman" w:eastAsia="宋体" w:cs="Times New Roman"/>
                <w:color w:val="auto"/>
                <w:sz w:val="24"/>
                <w:lang w:val="en-US" w:eastAsia="zh-CN"/>
              </w:rPr>
              <w:t>7.2</w:t>
            </w:r>
            <w:r>
              <w:rPr>
                <w:rFonts w:hint="default" w:ascii="Times New Roman" w:hAnsi="Times New Roman" w:eastAsia="宋体" w:cs="Times New Roman"/>
                <w:color w:val="auto"/>
                <w:sz w:val="24"/>
                <w:lang w:eastAsia="zh-CN"/>
              </w:rPr>
              <w:t>t/d，</w:t>
            </w:r>
            <w:r>
              <w:rPr>
                <w:rFonts w:hint="default" w:ascii="Times New Roman" w:hAnsi="Times New Roman" w:eastAsia="宋体" w:cs="Times New Roman"/>
                <w:color w:val="auto"/>
                <w:sz w:val="24"/>
                <w:lang w:val="en-US" w:eastAsia="zh-CN"/>
              </w:rPr>
              <w:t>2160</w:t>
            </w:r>
            <w:r>
              <w:rPr>
                <w:rFonts w:hint="default" w:ascii="Times New Roman" w:hAnsi="Times New Roman" w:eastAsia="宋体" w:cs="Times New Roman"/>
                <w:color w:val="auto"/>
                <w:sz w:val="24"/>
                <w:lang w:eastAsia="zh-CN"/>
              </w:rPr>
              <w:t>/a。</w:t>
            </w:r>
          </w:p>
          <w:bookmarkEnd w:id="33"/>
          <w:p w14:paraId="79F85F0F">
            <w:pPr>
              <w:spacing w:line="360" w:lineRule="auto"/>
              <w:ind w:firstLine="482"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2</w:t>
            </w: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生活用水</w:t>
            </w:r>
          </w:p>
          <w:p w14:paraId="6CE6FB97">
            <w:pPr>
              <w:spacing w:line="360" w:lineRule="auto"/>
              <w:ind w:firstLine="480" w:firstLineChars="200"/>
              <w:rPr>
                <w:rFonts w:hint="default" w:ascii="Times New Roman" w:hAnsi="Times New Roman" w:cs="Times New Roman"/>
                <w:b w:val="0"/>
                <w:bCs w:val="0"/>
                <w:color w:val="auto"/>
                <w:kern w:val="2"/>
                <w:sz w:val="24"/>
                <w:szCs w:val="24"/>
                <w:lang w:eastAsia="zh-CN"/>
              </w:rPr>
            </w:pPr>
            <w:r>
              <w:rPr>
                <w:rFonts w:hint="default" w:ascii="Times New Roman" w:hAnsi="Times New Roman" w:cs="Times New Roman"/>
                <w:b w:val="0"/>
                <w:bCs w:val="0"/>
                <w:color w:val="auto"/>
                <w:kern w:val="2"/>
                <w:sz w:val="24"/>
                <w:szCs w:val="24"/>
                <w:lang w:eastAsia="zh-CN"/>
              </w:rPr>
              <w:t>本项目</w:t>
            </w:r>
            <w:r>
              <w:rPr>
                <w:rFonts w:hint="default" w:ascii="Times New Roman" w:hAnsi="Times New Roman" w:cs="Times New Roman"/>
                <w:b w:val="0"/>
                <w:bCs w:val="0"/>
                <w:color w:val="auto"/>
                <w:kern w:val="2"/>
                <w:sz w:val="24"/>
                <w:szCs w:val="24"/>
                <w:lang w:val="en-US" w:eastAsia="zh-CN"/>
              </w:rPr>
              <w:t>劳动定员</w:t>
            </w:r>
            <w:r>
              <w:rPr>
                <w:rFonts w:hint="default" w:ascii="Times New Roman" w:hAnsi="Times New Roman" w:cs="Times New Roman"/>
                <w:b w:val="0"/>
                <w:bCs w:val="0"/>
                <w:color w:val="auto"/>
                <w:kern w:val="2"/>
                <w:sz w:val="24"/>
                <w:szCs w:val="24"/>
                <w:lang w:eastAsia="zh-CN"/>
              </w:rPr>
              <w:t>有</w:t>
            </w:r>
            <w:r>
              <w:rPr>
                <w:rFonts w:hint="default" w:ascii="Times New Roman" w:hAnsi="Times New Roman" w:cs="Times New Roman"/>
                <w:b w:val="0"/>
                <w:bCs w:val="0"/>
                <w:color w:val="auto"/>
                <w:kern w:val="2"/>
                <w:sz w:val="24"/>
                <w:szCs w:val="24"/>
                <w:lang w:val="en-US" w:eastAsia="zh-CN"/>
              </w:rPr>
              <w:t>30</w:t>
            </w:r>
            <w:r>
              <w:rPr>
                <w:rFonts w:hint="default" w:ascii="Times New Roman" w:hAnsi="Times New Roman" w:cs="Times New Roman"/>
                <w:b w:val="0"/>
                <w:bCs w:val="0"/>
                <w:color w:val="auto"/>
                <w:kern w:val="2"/>
                <w:sz w:val="24"/>
                <w:szCs w:val="24"/>
                <w:lang w:eastAsia="zh-CN"/>
              </w:rPr>
              <w:t>人，年工作</w:t>
            </w:r>
            <w:r>
              <w:rPr>
                <w:rFonts w:hint="default" w:ascii="Times New Roman" w:hAnsi="Times New Roman" w:cs="Times New Roman"/>
                <w:b w:val="0"/>
                <w:bCs w:val="0"/>
                <w:color w:val="auto"/>
                <w:kern w:val="2"/>
                <w:sz w:val="24"/>
                <w:szCs w:val="24"/>
                <w:lang w:val="en-US" w:eastAsia="zh-CN"/>
              </w:rPr>
              <w:t>300</w:t>
            </w:r>
            <w:r>
              <w:rPr>
                <w:rFonts w:hint="default" w:ascii="Times New Roman" w:hAnsi="Times New Roman" w:cs="Times New Roman"/>
                <w:b w:val="0"/>
                <w:bCs w:val="0"/>
                <w:color w:val="auto"/>
                <w:kern w:val="2"/>
                <w:sz w:val="24"/>
                <w:szCs w:val="24"/>
                <w:lang w:eastAsia="zh-CN"/>
              </w:rPr>
              <w:t>天，</w:t>
            </w:r>
            <w:r>
              <w:rPr>
                <w:rFonts w:hint="default" w:ascii="Times New Roman" w:hAnsi="Times New Roman" w:cs="Times New Roman"/>
                <w:b w:val="0"/>
                <w:bCs w:val="0"/>
                <w:color w:val="auto"/>
                <w:kern w:val="2"/>
                <w:sz w:val="24"/>
                <w:szCs w:val="24"/>
                <w:lang w:val="en-US" w:eastAsia="zh-CN"/>
              </w:rPr>
              <w:t>均</w:t>
            </w:r>
            <w:r>
              <w:rPr>
                <w:rFonts w:hint="default" w:ascii="Times New Roman" w:hAnsi="Times New Roman" w:cs="Times New Roman"/>
                <w:b w:val="0"/>
                <w:bCs w:val="0"/>
                <w:color w:val="auto"/>
                <w:kern w:val="2"/>
                <w:sz w:val="24"/>
                <w:szCs w:val="24"/>
                <w:lang w:eastAsia="zh-CN"/>
              </w:rPr>
              <w:t>不在厂区</w:t>
            </w:r>
            <w:r>
              <w:rPr>
                <w:rFonts w:hint="default" w:ascii="Times New Roman" w:hAnsi="Times New Roman" w:cs="Times New Roman"/>
                <w:b w:val="0"/>
                <w:bCs w:val="0"/>
                <w:color w:val="auto"/>
                <w:kern w:val="2"/>
                <w:sz w:val="24"/>
                <w:szCs w:val="24"/>
                <w:lang w:val="en-US" w:eastAsia="zh-CN"/>
              </w:rPr>
              <w:t>内食宿</w:t>
            </w:r>
            <w:r>
              <w:rPr>
                <w:rFonts w:hint="default" w:ascii="Times New Roman" w:hAnsi="Times New Roman" w:cs="Times New Roman"/>
                <w:b w:val="0"/>
                <w:bCs w:val="0"/>
                <w:color w:val="auto"/>
                <w:kern w:val="2"/>
                <w:sz w:val="24"/>
                <w:szCs w:val="24"/>
                <w:lang w:eastAsia="zh-CN"/>
              </w:rPr>
              <w:t>。员工办公生活用水参照《云南省用水定额标准》（DB53/T/168-2019），按30L/人.d计算，用水量约</w:t>
            </w:r>
            <w:r>
              <w:rPr>
                <w:rFonts w:hint="default" w:ascii="Times New Roman" w:hAnsi="Times New Roman" w:cs="Times New Roman"/>
                <w:b w:val="0"/>
                <w:bCs w:val="0"/>
                <w:color w:val="auto"/>
                <w:kern w:val="2"/>
                <w:sz w:val="24"/>
                <w:szCs w:val="24"/>
                <w:lang w:val="en-US" w:eastAsia="zh-CN"/>
              </w:rPr>
              <w:t>0.9</w:t>
            </w:r>
            <w:r>
              <w:rPr>
                <w:rFonts w:hint="default" w:ascii="Times New Roman" w:hAnsi="Times New Roman" w:cs="Times New Roman"/>
                <w:b w:val="0"/>
                <w:bCs w:val="0"/>
                <w:color w:val="auto"/>
                <w:kern w:val="2"/>
                <w:sz w:val="24"/>
                <w:szCs w:val="24"/>
                <w:lang w:eastAsia="zh-CN"/>
              </w:rPr>
              <w:t>t/d，</w:t>
            </w:r>
            <w:r>
              <w:rPr>
                <w:rFonts w:hint="default" w:ascii="Times New Roman" w:hAnsi="Times New Roman" w:cs="Times New Roman"/>
                <w:b w:val="0"/>
                <w:bCs w:val="0"/>
                <w:color w:val="auto"/>
                <w:kern w:val="2"/>
                <w:sz w:val="24"/>
                <w:szCs w:val="24"/>
                <w:lang w:val="en-US" w:eastAsia="zh-CN"/>
              </w:rPr>
              <w:t>270</w:t>
            </w:r>
            <w:r>
              <w:rPr>
                <w:rFonts w:hint="default" w:ascii="Times New Roman" w:hAnsi="Times New Roman" w:cs="Times New Roman"/>
                <w:b w:val="0"/>
                <w:bCs w:val="0"/>
                <w:color w:val="auto"/>
                <w:kern w:val="2"/>
                <w:sz w:val="24"/>
                <w:szCs w:val="24"/>
                <w:lang w:eastAsia="zh-CN"/>
              </w:rPr>
              <w:t>t/a。排放系数按80%计，则</w:t>
            </w:r>
            <w:r>
              <w:rPr>
                <w:rFonts w:hint="default" w:ascii="Times New Roman" w:hAnsi="Times New Roman" w:cs="Times New Roman"/>
                <w:b w:val="0"/>
                <w:bCs w:val="0"/>
                <w:color w:val="auto"/>
                <w:kern w:val="2"/>
                <w:sz w:val="24"/>
                <w:szCs w:val="24"/>
                <w:lang w:val="en-US" w:eastAsia="zh-CN"/>
              </w:rPr>
              <w:t>日常员工</w:t>
            </w:r>
            <w:r>
              <w:rPr>
                <w:rFonts w:hint="default" w:ascii="Times New Roman" w:hAnsi="Times New Roman" w:cs="Times New Roman"/>
                <w:b w:val="0"/>
                <w:bCs w:val="0"/>
                <w:color w:val="auto"/>
                <w:kern w:val="2"/>
                <w:sz w:val="24"/>
                <w:szCs w:val="24"/>
                <w:lang w:eastAsia="zh-CN"/>
              </w:rPr>
              <w:t>办公</w:t>
            </w:r>
            <w:r>
              <w:rPr>
                <w:rFonts w:hint="default" w:ascii="Times New Roman" w:hAnsi="Times New Roman" w:cs="Times New Roman"/>
                <w:b w:val="0"/>
                <w:bCs w:val="0"/>
                <w:color w:val="auto"/>
                <w:kern w:val="2"/>
                <w:sz w:val="24"/>
                <w:szCs w:val="24"/>
                <w:lang w:val="en-US" w:eastAsia="zh-CN"/>
              </w:rPr>
              <w:t>生活废水</w:t>
            </w:r>
            <w:r>
              <w:rPr>
                <w:rFonts w:hint="default" w:ascii="Times New Roman" w:hAnsi="Times New Roman" w:cs="Times New Roman"/>
                <w:b w:val="0"/>
                <w:bCs w:val="0"/>
                <w:color w:val="auto"/>
                <w:kern w:val="2"/>
                <w:sz w:val="24"/>
                <w:szCs w:val="24"/>
                <w:lang w:eastAsia="zh-CN"/>
              </w:rPr>
              <w:t>产生量为</w:t>
            </w:r>
            <w:r>
              <w:rPr>
                <w:rFonts w:hint="default" w:ascii="Times New Roman" w:hAnsi="Times New Roman" w:cs="Times New Roman"/>
                <w:b w:val="0"/>
                <w:bCs w:val="0"/>
                <w:color w:val="auto"/>
                <w:kern w:val="2"/>
                <w:sz w:val="24"/>
                <w:szCs w:val="24"/>
                <w:lang w:val="en-US" w:eastAsia="zh-CN"/>
              </w:rPr>
              <w:t>0.72</w:t>
            </w:r>
            <w:r>
              <w:rPr>
                <w:rFonts w:hint="default" w:ascii="Times New Roman" w:hAnsi="Times New Roman" w:cs="Times New Roman"/>
                <w:b w:val="0"/>
                <w:bCs w:val="0"/>
                <w:color w:val="auto"/>
                <w:kern w:val="2"/>
                <w:sz w:val="24"/>
                <w:szCs w:val="24"/>
                <w:lang w:eastAsia="zh-CN"/>
              </w:rPr>
              <w:t>t/d，</w:t>
            </w:r>
            <w:r>
              <w:rPr>
                <w:rFonts w:hint="default" w:ascii="Times New Roman" w:hAnsi="Times New Roman" w:cs="Times New Roman"/>
                <w:b w:val="0"/>
                <w:bCs w:val="0"/>
                <w:color w:val="auto"/>
                <w:kern w:val="2"/>
                <w:sz w:val="24"/>
                <w:szCs w:val="24"/>
                <w:lang w:val="en-US" w:eastAsia="zh-CN"/>
              </w:rPr>
              <w:t>216</w:t>
            </w:r>
            <w:r>
              <w:rPr>
                <w:rFonts w:hint="default" w:ascii="Times New Roman" w:hAnsi="Times New Roman" w:cs="Times New Roman"/>
                <w:b w:val="0"/>
                <w:bCs w:val="0"/>
                <w:color w:val="auto"/>
                <w:kern w:val="2"/>
                <w:sz w:val="24"/>
                <w:szCs w:val="24"/>
                <w:lang w:eastAsia="zh-CN"/>
              </w:rPr>
              <w:t>t/a。</w:t>
            </w:r>
            <w:r>
              <w:rPr>
                <w:rFonts w:hint="default" w:ascii="Times New Roman" w:hAnsi="Times New Roman" w:cs="Times New Roman"/>
                <w:b w:val="0"/>
                <w:bCs w:val="0"/>
                <w:color w:val="auto"/>
                <w:kern w:val="2"/>
                <w:sz w:val="24"/>
                <w:szCs w:val="24"/>
                <w:lang w:val="en-US" w:eastAsia="zh-CN"/>
              </w:rPr>
              <w:t>生活污水</w:t>
            </w:r>
            <w:r>
              <w:rPr>
                <w:rFonts w:hint="default" w:ascii="Times New Roman" w:hAnsi="Times New Roman" w:cs="Times New Roman"/>
                <w:b w:val="0"/>
                <w:bCs w:val="0"/>
                <w:color w:val="auto"/>
                <w:kern w:val="2"/>
                <w:sz w:val="24"/>
                <w:szCs w:val="24"/>
                <w:lang w:eastAsia="zh-CN"/>
              </w:rPr>
              <w:t>主要污染物为CODcr、BOD</w:t>
            </w:r>
            <w:r>
              <w:rPr>
                <w:rFonts w:hint="default" w:ascii="Times New Roman" w:hAnsi="Times New Roman" w:cs="Times New Roman"/>
                <w:b w:val="0"/>
                <w:bCs w:val="0"/>
                <w:color w:val="auto"/>
                <w:kern w:val="2"/>
                <w:sz w:val="24"/>
                <w:szCs w:val="24"/>
                <w:vertAlign w:val="subscript"/>
                <w:lang w:eastAsia="zh-CN"/>
              </w:rPr>
              <w:t>5</w:t>
            </w:r>
            <w:r>
              <w:rPr>
                <w:rFonts w:hint="default" w:ascii="Times New Roman" w:hAnsi="Times New Roman" w:cs="Times New Roman"/>
                <w:b w:val="0"/>
                <w:bCs w:val="0"/>
                <w:color w:val="auto"/>
                <w:kern w:val="2"/>
                <w:sz w:val="24"/>
                <w:szCs w:val="24"/>
                <w:lang w:eastAsia="zh-CN"/>
              </w:rPr>
              <w:t>、SS、NH</w:t>
            </w:r>
            <w:r>
              <w:rPr>
                <w:rFonts w:hint="default" w:ascii="Times New Roman" w:hAnsi="Times New Roman" w:cs="Times New Roman"/>
                <w:b w:val="0"/>
                <w:bCs w:val="0"/>
                <w:color w:val="auto"/>
                <w:kern w:val="2"/>
                <w:sz w:val="24"/>
                <w:szCs w:val="24"/>
                <w:vertAlign w:val="subscript"/>
                <w:lang w:eastAsia="zh-CN"/>
              </w:rPr>
              <w:t>3</w:t>
            </w:r>
            <w:r>
              <w:rPr>
                <w:rFonts w:hint="default" w:ascii="Times New Roman" w:hAnsi="Times New Roman" w:cs="Times New Roman"/>
                <w:b w:val="0"/>
                <w:bCs w:val="0"/>
                <w:color w:val="auto"/>
                <w:kern w:val="2"/>
                <w:sz w:val="24"/>
                <w:szCs w:val="24"/>
                <w:lang w:eastAsia="zh-CN"/>
              </w:rPr>
              <w:t>-N等。</w:t>
            </w:r>
          </w:p>
          <w:p w14:paraId="553217BD">
            <w:pPr>
              <w:spacing w:line="360" w:lineRule="auto"/>
              <w:ind w:firstLine="482"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eastAsia="zh-CN"/>
              </w:rPr>
              <w:t>2、</w:t>
            </w:r>
            <w:r>
              <w:rPr>
                <w:rFonts w:hint="default" w:ascii="Times New Roman" w:hAnsi="Times New Roman" w:cs="Times New Roman"/>
                <w:b/>
                <w:bCs/>
                <w:color w:val="auto"/>
                <w:kern w:val="2"/>
                <w:sz w:val="24"/>
                <w:szCs w:val="24"/>
                <w:lang w:val="en-US" w:eastAsia="zh-CN"/>
              </w:rPr>
              <w:t>排水</w:t>
            </w:r>
          </w:p>
          <w:p w14:paraId="12164DEC">
            <w:pPr>
              <w:spacing w:line="360" w:lineRule="auto"/>
              <w:ind w:firstLine="482" w:firstLineChars="200"/>
              <w:jc w:val="both"/>
              <w:rPr>
                <w:rFonts w:hint="default" w:ascii="Times New Roman" w:hAnsi="Times New Roman" w:cs="Times New Roman"/>
                <w:bCs/>
                <w:color w:val="auto"/>
                <w:kern w:val="2"/>
                <w:sz w:val="24"/>
                <w:szCs w:val="24"/>
                <w:lang w:val="en-US" w:eastAsia="zh-CN"/>
              </w:rPr>
            </w:pPr>
            <w:r>
              <w:rPr>
                <w:rFonts w:hint="default" w:ascii="Times New Roman" w:hAnsi="Times New Roman" w:cs="Times New Roman"/>
                <w:b/>
                <w:bCs w:val="0"/>
                <w:color w:val="auto"/>
                <w:kern w:val="2"/>
                <w:sz w:val="24"/>
                <w:szCs w:val="24"/>
                <w:lang w:val="en-US" w:eastAsia="zh-CN"/>
              </w:rPr>
              <w:t>（1）</w:t>
            </w:r>
            <w:r>
              <w:rPr>
                <w:rFonts w:hint="default" w:ascii="Times New Roman" w:hAnsi="Times New Roman" w:cs="Times New Roman"/>
                <w:b/>
                <w:bCs/>
                <w:color w:val="auto"/>
                <w:kern w:val="2"/>
                <w:sz w:val="24"/>
                <w:szCs w:val="24"/>
                <w:lang w:eastAsia="zh-CN"/>
              </w:rPr>
              <w:t>道路、场地抑尘</w:t>
            </w:r>
            <w:r>
              <w:rPr>
                <w:rFonts w:hint="default" w:ascii="Times New Roman" w:hAnsi="Times New Roman" w:cs="Times New Roman"/>
                <w:b/>
                <w:bCs/>
                <w:color w:val="auto"/>
                <w:kern w:val="2"/>
                <w:sz w:val="24"/>
                <w:szCs w:val="24"/>
                <w:lang w:val="en-US" w:eastAsia="zh-CN"/>
              </w:rPr>
              <w:t>废水</w:t>
            </w:r>
          </w:p>
          <w:p w14:paraId="5CB49E58">
            <w:pPr>
              <w:pStyle w:val="10"/>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道路、场地抑尘用水</w:t>
            </w:r>
            <w:r>
              <w:rPr>
                <w:rFonts w:hint="default" w:ascii="Times New Roman" w:hAnsi="Times New Roman" w:eastAsia="宋体" w:cs="Times New Roman"/>
                <w:color w:val="auto"/>
                <w:sz w:val="24"/>
                <w:szCs w:val="22"/>
                <w:lang w:val="en-US" w:eastAsia="zh-CN"/>
              </w:rPr>
              <w:t>此过程用水全部自然蒸发，无废水产生。</w:t>
            </w:r>
          </w:p>
          <w:p w14:paraId="5B825C6C">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cs="Times New Roman"/>
                <w:b/>
                <w:bCs w:val="0"/>
                <w:color w:val="auto"/>
                <w:kern w:val="2"/>
                <w:sz w:val="24"/>
                <w:szCs w:val="24"/>
                <w:lang w:val="en-US" w:eastAsia="zh-CN"/>
              </w:rPr>
            </w:pPr>
            <w:r>
              <w:rPr>
                <w:rFonts w:hint="default" w:ascii="Times New Roman" w:hAnsi="Times New Roman" w:cs="Times New Roman"/>
                <w:b/>
                <w:bCs w:val="0"/>
                <w:color w:val="auto"/>
                <w:kern w:val="2"/>
                <w:sz w:val="24"/>
                <w:szCs w:val="24"/>
                <w:lang w:eastAsia="zh-CN"/>
              </w:rPr>
              <w:t>（</w:t>
            </w:r>
            <w:r>
              <w:rPr>
                <w:rFonts w:hint="default" w:ascii="Times New Roman" w:hAnsi="Times New Roman" w:cs="Times New Roman"/>
                <w:b/>
                <w:bCs w:val="0"/>
                <w:color w:val="auto"/>
                <w:kern w:val="2"/>
                <w:sz w:val="24"/>
                <w:szCs w:val="24"/>
                <w:lang w:val="en-US" w:eastAsia="zh-CN"/>
              </w:rPr>
              <w:t>2</w:t>
            </w:r>
            <w:r>
              <w:rPr>
                <w:rFonts w:hint="default" w:ascii="Times New Roman" w:hAnsi="Times New Roman" w:cs="Times New Roman"/>
                <w:b/>
                <w:bCs w:val="0"/>
                <w:color w:val="auto"/>
                <w:kern w:val="2"/>
                <w:sz w:val="24"/>
                <w:szCs w:val="24"/>
                <w:lang w:eastAsia="zh-CN"/>
              </w:rPr>
              <w:t>）</w:t>
            </w:r>
            <w:r>
              <w:rPr>
                <w:rFonts w:hint="default" w:ascii="Times New Roman" w:hAnsi="Times New Roman" w:cs="Times New Roman"/>
                <w:b/>
                <w:bCs w:val="0"/>
                <w:color w:val="auto"/>
                <w:kern w:val="2"/>
                <w:sz w:val="24"/>
                <w:szCs w:val="24"/>
                <w:lang w:val="en-US" w:eastAsia="zh-CN"/>
              </w:rPr>
              <w:t>生产废水</w:t>
            </w:r>
          </w:p>
          <w:p w14:paraId="6D677253">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①</w:t>
            </w:r>
            <w:r>
              <w:rPr>
                <w:rFonts w:hint="default" w:ascii="Times New Roman" w:hAnsi="Times New Roman" w:cs="Times New Roman"/>
                <w:color w:val="auto"/>
                <w:sz w:val="24"/>
                <w:lang w:val="en-US" w:eastAsia="zh-CN"/>
              </w:rPr>
              <w:t>喷雾降尘废水</w:t>
            </w:r>
          </w:p>
          <w:p w14:paraId="07742B73">
            <w:pPr>
              <w:spacing w:line="360" w:lineRule="auto"/>
              <w:ind w:firstLine="480" w:firstLineChars="200"/>
              <w:jc w:val="both"/>
              <w:rPr>
                <w:rFonts w:hint="default" w:ascii="Times New Roman" w:hAnsi="Times New Roman" w:cs="Times New Roman"/>
                <w:bCs/>
                <w:color w:val="auto"/>
                <w:kern w:val="2"/>
                <w:sz w:val="24"/>
                <w:szCs w:val="24"/>
                <w:lang w:eastAsia="zh-CN"/>
              </w:rPr>
            </w:pPr>
            <w:r>
              <w:rPr>
                <w:rFonts w:hint="default" w:ascii="Times New Roman" w:hAnsi="Times New Roman" w:cs="Times New Roman"/>
                <w:bCs/>
                <w:color w:val="auto"/>
                <w:sz w:val="24"/>
                <w:lang w:eastAsia="zh-CN"/>
              </w:rPr>
              <w:t>项目运营期喷雾降尘用水主要在生产工段、</w:t>
            </w:r>
            <w:r>
              <w:rPr>
                <w:rFonts w:hint="default" w:ascii="Times New Roman" w:hAnsi="Times New Roman" w:cs="Times New Roman"/>
                <w:bCs/>
                <w:color w:val="auto"/>
                <w:sz w:val="24"/>
                <w:lang w:val="en-US" w:eastAsia="zh-CN"/>
              </w:rPr>
              <w:t>卸料过程</w:t>
            </w:r>
            <w:r>
              <w:rPr>
                <w:rFonts w:hint="default" w:ascii="Times New Roman" w:hAnsi="Times New Roman" w:cs="Times New Roman"/>
                <w:bCs/>
                <w:color w:val="auto"/>
                <w:sz w:val="24"/>
                <w:lang w:eastAsia="zh-CN"/>
              </w:rPr>
              <w:t>及</w:t>
            </w:r>
            <w:r>
              <w:rPr>
                <w:rFonts w:hint="default" w:ascii="Times New Roman" w:hAnsi="Times New Roman" w:cs="Times New Roman"/>
                <w:bCs/>
                <w:color w:val="auto"/>
                <w:sz w:val="24"/>
                <w:lang w:val="en-US" w:eastAsia="zh-CN"/>
              </w:rPr>
              <w:t>原料</w:t>
            </w:r>
            <w:r>
              <w:rPr>
                <w:rFonts w:hint="default" w:ascii="Times New Roman" w:hAnsi="Times New Roman" w:cs="Times New Roman"/>
                <w:bCs/>
                <w:color w:val="auto"/>
                <w:sz w:val="24"/>
                <w:lang w:eastAsia="zh-CN"/>
              </w:rPr>
              <w:t>堆场进行喷雾降尘措施，</w:t>
            </w:r>
            <w:r>
              <w:rPr>
                <w:rFonts w:hint="default" w:ascii="Times New Roman" w:hAnsi="Times New Roman" w:cs="Times New Roman"/>
                <w:bCs/>
                <w:color w:val="auto"/>
                <w:sz w:val="24"/>
              </w:rPr>
              <w:t>此部分用水</w:t>
            </w:r>
            <w:r>
              <w:rPr>
                <w:rFonts w:hint="default" w:ascii="Times New Roman" w:hAnsi="Times New Roman" w:cs="Times New Roman"/>
                <w:bCs/>
                <w:color w:val="auto"/>
                <w:sz w:val="24"/>
                <w:lang w:val="en-US" w:eastAsia="zh-CN"/>
              </w:rPr>
              <w:t>全</w:t>
            </w:r>
            <w:r>
              <w:rPr>
                <w:rFonts w:hint="default" w:ascii="Times New Roman" w:hAnsi="Times New Roman" w:cs="Times New Roman"/>
                <w:bCs/>
                <w:color w:val="auto"/>
                <w:sz w:val="24"/>
              </w:rPr>
              <w:t>部分蒸发消耗</w:t>
            </w:r>
            <w:r>
              <w:rPr>
                <w:rFonts w:hint="default" w:ascii="Times New Roman" w:hAnsi="Times New Roman" w:cs="Times New Roman"/>
                <w:bCs/>
                <w:color w:val="auto"/>
                <w:sz w:val="24"/>
                <w:lang w:eastAsia="zh-CN"/>
              </w:rPr>
              <w:t>，不外排</w:t>
            </w:r>
            <w:r>
              <w:rPr>
                <w:rFonts w:hint="default" w:ascii="Times New Roman" w:hAnsi="Times New Roman" w:cs="Times New Roman"/>
                <w:bCs/>
                <w:color w:val="auto"/>
                <w:sz w:val="24"/>
              </w:rPr>
              <w:t>。</w:t>
            </w:r>
          </w:p>
          <w:p w14:paraId="0AF5549C">
            <w:pPr>
              <w:spacing w:line="360" w:lineRule="auto"/>
              <w:ind w:firstLine="480" w:firstLineChars="200"/>
              <w:jc w:val="both"/>
              <w:rPr>
                <w:rFonts w:hint="default" w:ascii="Times New Roman" w:hAnsi="Times New Roman" w:cs="Times New Roman"/>
                <w:bCs/>
                <w:color w:val="auto"/>
                <w:kern w:val="2"/>
                <w:sz w:val="24"/>
                <w:szCs w:val="24"/>
                <w:lang w:val="en-US" w:eastAsia="zh-CN"/>
              </w:rPr>
            </w:pPr>
            <w:r>
              <w:rPr>
                <w:rFonts w:hint="default" w:ascii="Times New Roman" w:hAnsi="Times New Roman" w:cs="Times New Roman"/>
                <w:bCs/>
                <w:color w:val="auto"/>
                <w:kern w:val="2"/>
                <w:sz w:val="24"/>
                <w:szCs w:val="24"/>
                <w:lang w:eastAsia="zh-CN"/>
              </w:rPr>
              <w:t>②</w:t>
            </w:r>
            <w:r>
              <w:rPr>
                <w:rFonts w:hint="default" w:ascii="Times New Roman" w:hAnsi="Times New Roman" w:cs="Times New Roman"/>
                <w:color w:val="auto"/>
                <w:sz w:val="24"/>
                <w:lang w:val="en-US" w:eastAsia="zh-CN"/>
              </w:rPr>
              <w:t>拌合废水</w:t>
            </w:r>
          </w:p>
          <w:p w14:paraId="3EE3456C">
            <w:pPr>
              <w:pStyle w:val="10"/>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Cs/>
                <w:color w:val="auto"/>
                <w:kern w:val="0"/>
                <w:sz w:val="24"/>
                <w:szCs w:val="22"/>
                <w:lang w:val="en-US" w:eastAsia="zh-CN" w:bidi="ar-SA"/>
              </w:rPr>
            </w:pPr>
            <w:r>
              <w:rPr>
                <w:rFonts w:hint="default" w:ascii="Times New Roman" w:hAnsi="Times New Roman" w:eastAsia="宋体" w:cs="Times New Roman"/>
                <w:bCs/>
                <w:color w:val="auto"/>
                <w:sz w:val="24"/>
                <w:lang w:val="en-US" w:eastAsia="zh-CN"/>
              </w:rPr>
              <w:t>原料</w:t>
            </w:r>
            <w:r>
              <w:rPr>
                <w:rFonts w:hint="default" w:ascii="Times New Roman" w:hAnsi="Times New Roman" w:eastAsia="宋体" w:cs="Times New Roman"/>
                <w:bCs/>
                <w:color w:val="auto"/>
                <w:kern w:val="0"/>
                <w:sz w:val="24"/>
                <w:szCs w:val="22"/>
                <w:lang w:val="en-US" w:eastAsia="zh-CN" w:bidi="ar-SA"/>
              </w:rPr>
              <w:t>混合搅拌用水全部进入产品，不外排，故不产生废水。</w:t>
            </w:r>
          </w:p>
          <w:p w14:paraId="779CB0BE">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kern w:val="0"/>
                <w:sz w:val="24"/>
                <w:szCs w:val="22"/>
                <w:lang w:val="en-US" w:eastAsia="zh-CN" w:bidi="ar-SA"/>
              </w:rPr>
            </w:pPr>
            <w:r>
              <w:rPr>
                <w:rFonts w:hint="default" w:ascii="Times New Roman" w:hAnsi="Times New Roman" w:eastAsia="宋体" w:cs="Times New Roman"/>
                <w:bCs/>
                <w:color w:val="auto"/>
                <w:kern w:val="0"/>
                <w:sz w:val="24"/>
                <w:szCs w:val="22"/>
                <w:lang w:val="en-US" w:eastAsia="zh-CN" w:bidi="ar-SA"/>
              </w:rPr>
              <w:t>③搅拌机清洗废水、</w:t>
            </w:r>
            <w:r>
              <w:rPr>
                <w:rFonts w:hint="default" w:ascii="Times New Roman" w:hAnsi="Times New Roman" w:cs="Times New Roman"/>
                <w:color w:val="auto"/>
                <w:sz w:val="24"/>
                <w:lang w:val="en-US" w:eastAsia="zh-CN"/>
              </w:rPr>
              <w:t>运输车辆冲洗废水</w:t>
            </w:r>
          </w:p>
          <w:p w14:paraId="710B4586">
            <w:pPr>
              <w:pStyle w:val="10"/>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Cs/>
                <w:color w:val="auto"/>
                <w:kern w:val="0"/>
                <w:sz w:val="24"/>
                <w:szCs w:val="22"/>
                <w:lang w:val="en-US" w:eastAsia="zh-CN" w:bidi="ar-SA"/>
              </w:rPr>
            </w:pPr>
            <w:r>
              <w:rPr>
                <w:rFonts w:hint="default" w:ascii="Times New Roman" w:hAnsi="Times New Roman" w:eastAsia="宋体" w:cs="Times New Roman"/>
                <w:bCs/>
                <w:color w:val="auto"/>
                <w:kern w:val="0"/>
                <w:sz w:val="24"/>
                <w:szCs w:val="22"/>
                <w:lang w:val="en-US" w:eastAsia="zh-CN" w:bidi="ar-SA"/>
              </w:rPr>
              <w:t>搅拌机冲洗废水产生量按用水量的80%计，则搅拌机冲洗废水量为9.6t/d，2880t/a；运输车辆冲洗废水产生量按用水量的90%计，则运输车辆冲洗废水量为6.48t/d，1944t/a，搅拌机冲洗废水和运输车辆冲洗废水经三级沉淀池处理后循环使用，不外排。则进入三级沉淀池水量为16.08t/d，4824t/a。</w:t>
            </w:r>
          </w:p>
          <w:p w14:paraId="423D9570">
            <w:pPr>
              <w:spacing w:line="360" w:lineRule="auto"/>
              <w:ind w:firstLine="482"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3</w:t>
            </w: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生活污水</w:t>
            </w:r>
          </w:p>
          <w:p w14:paraId="7239801D">
            <w:pPr>
              <w:spacing w:line="360" w:lineRule="auto"/>
              <w:ind w:firstLine="480"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val="0"/>
                <w:bCs w:val="0"/>
                <w:color w:val="auto"/>
                <w:kern w:val="2"/>
                <w:sz w:val="24"/>
                <w:szCs w:val="24"/>
                <w:lang w:eastAsia="zh-CN"/>
              </w:rPr>
              <w:t>本项目</w:t>
            </w:r>
            <w:r>
              <w:rPr>
                <w:rFonts w:hint="default" w:ascii="Times New Roman" w:hAnsi="Times New Roman" w:cs="Times New Roman"/>
                <w:b w:val="0"/>
                <w:bCs w:val="0"/>
                <w:color w:val="auto"/>
                <w:kern w:val="2"/>
                <w:sz w:val="24"/>
                <w:szCs w:val="24"/>
                <w:lang w:val="en-US" w:eastAsia="zh-CN"/>
              </w:rPr>
              <w:t>劳动定员</w:t>
            </w:r>
            <w:r>
              <w:rPr>
                <w:rFonts w:hint="default" w:ascii="Times New Roman" w:hAnsi="Times New Roman" w:cs="Times New Roman"/>
                <w:b w:val="0"/>
                <w:bCs w:val="0"/>
                <w:color w:val="auto"/>
                <w:kern w:val="2"/>
                <w:sz w:val="24"/>
                <w:szCs w:val="24"/>
                <w:lang w:eastAsia="zh-CN"/>
              </w:rPr>
              <w:t>有</w:t>
            </w:r>
            <w:r>
              <w:rPr>
                <w:rFonts w:hint="default" w:ascii="Times New Roman" w:hAnsi="Times New Roman" w:cs="Times New Roman"/>
                <w:b w:val="0"/>
                <w:bCs w:val="0"/>
                <w:color w:val="auto"/>
                <w:kern w:val="2"/>
                <w:sz w:val="24"/>
                <w:szCs w:val="24"/>
                <w:lang w:val="en-US" w:eastAsia="zh-CN"/>
              </w:rPr>
              <w:t>30</w:t>
            </w:r>
            <w:r>
              <w:rPr>
                <w:rFonts w:hint="default" w:ascii="Times New Roman" w:hAnsi="Times New Roman" w:cs="Times New Roman"/>
                <w:b w:val="0"/>
                <w:bCs w:val="0"/>
                <w:color w:val="auto"/>
                <w:kern w:val="2"/>
                <w:sz w:val="24"/>
                <w:szCs w:val="24"/>
                <w:lang w:eastAsia="zh-CN"/>
              </w:rPr>
              <w:t>人，年工作</w:t>
            </w:r>
            <w:r>
              <w:rPr>
                <w:rFonts w:hint="default" w:ascii="Times New Roman" w:hAnsi="Times New Roman" w:cs="Times New Roman"/>
                <w:b w:val="0"/>
                <w:bCs w:val="0"/>
                <w:color w:val="auto"/>
                <w:kern w:val="2"/>
                <w:sz w:val="24"/>
                <w:szCs w:val="24"/>
                <w:lang w:val="en-US" w:eastAsia="zh-CN"/>
              </w:rPr>
              <w:t>300</w:t>
            </w:r>
            <w:r>
              <w:rPr>
                <w:rFonts w:hint="default" w:ascii="Times New Roman" w:hAnsi="Times New Roman" w:cs="Times New Roman"/>
                <w:b w:val="0"/>
                <w:bCs w:val="0"/>
                <w:color w:val="auto"/>
                <w:kern w:val="2"/>
                <w:sz w:val="24"/>
                <w:szCs w:val="24"/>
                <w:lang w:eastAsia="zh-CN"/>
              </w:rPr>
              <w:t>天，</w:t>
            </w:r>
            <w:r>
              <w:rPr>
                <w:rFonts w:hint="default" w:ascii="Times New Roman" w:hAnsi="Times New Roman" w:cs="Times New Roman"/>
                <w:b w:val="0"/>
                <w:bCs w:val="0"/>
                <w:color w:val="auto"/>
                <w:kern w:val="2"/>
                <w:sz w:val="24"/>
                <w:szCs w:val="24"/>
                <w:lang w:val="en-US" w:eastAsia="zh-CN"/>
              </w:rPr>
              <w:t>均</w:t>
            </w:r>
            <w:r>
              <w:rPr>
                <w:rFonts w:hint="default" w:ascii="Times New Roman" w:hAnsi="Times New Roman" w:cs="Times New Roman"/>
                <w:b w:val="0"/>
                <w:bCs w:val="0"/>
                <w:color w:val="auto"/>
                <w:kern w:val="2"/>
                <w:sz w:val="24"/>
                <w:szCs w:val="24"/>
                <w:lang w:eastAsia="zh-CN"/>
              </w:rPr>
              <w:t>不在厂区</w:t>
            </w:r>
            <w:r>
              <w:rPr>
                <w:rFonts w:hint="default" w:ascii="Times New Roman" w:hAnsi="Times New Roman" w:cs="Times New Roman"/>
                <w:b w:val="0"/>
                <w:bCs w:val="0"/>
                <w:color w:val="auto"/>
                <w:kern w:val="2"/>
                <w:sz w:val="24"/>
                <w:szCs w:val="24"/>
                <w:lang w:val="en-US" w:eastAsia="zh-CN"/>
              </w:rPr>
              <w:t>内食宿</w:t>
            </w:r>
            <w:r>
              <w:rPr>
                <w:rFonts w:hint="default" w:ascii="Times New Roman" w:hAnsi="Times New Roman" w:cs="Times New Roman"/>
                <w:b w:val="0"/>
                <w:bCs w:val="0"/>
                <w:color w:val="auto"/>
                <w:kern w:val="2"/>
                <w:sz w:val="24"/>
                <w:szCs w:val="24"/>
                <w:lang w:eastAsia="zh-CN"/>
              </w:rPr>
              <w:t>。员工</w:t>
            </w:r>
            <w:r>
              <w:rPr>
                <w:rFonts w:hint="default" w:ascii="Times New Roman" w:hAnsi="Times New Roman" w:cs="Times New Roman"/>
                <w:b w:val="0"/>
                <w:bCs w:val="0"/>
                <w:color w:val="auto"/>
                <w:kern w:val="2"/>
                <w:sz w:val="24"/>
                <w:szCs w:val="24"/>
                <w:lang w:val="en-US" w:eastAsia="zh-CN"/>
              </w:rPr>
              <w:t>日常</w:t>
            </w:r>
            <w:r>
              <w:rPr>
                <w:rFonts w:hint="default" w:ascii="Times New Roman" w:hAnsi="Times New Roman" w:cs="Times New Roman"/>
                <w:b w:val="0"/>
                <w:bCs w:val="0"/>
                <w:color w:val="auto"/>
                <w:kern w:val="2"/>
                <w:sz w:val="24"/>
                <w:szCs w:val="24"/>
                <w:lang w:eastAsia="zh-CN"/>
              </w:rPr>
              <w:t>办公生活用水用水量约</w:t>
            </w:r>
            <w:r>
              <w:rPr>
                <w:rFonts w:hint="default" w:ascii="Times New Roman" w:hAnsi="Times New Roman" w:cs="Times New Roman"/>
                <w:b w:val="0"/>
                <w:bCs w:val="0"/>
                <w:color w:val="auto"/>
                <w:kern w:val="2"/>
                <w:sz w:val="24"/>
                <w:szCs w:val="24"/>
                <w:lang w:val="en-US" w:eastAsia="zh-CN"/>
              </w:rPr>
              <w:t>0.9</w:t>
            </w:r>
            <w:r>
              <w:rPr>
                <w:rFonts w:hint="default" w:ascii="Times New Roman" w:hAnsi="Times New Roman" w:cs="Times New Roman"/>
                <w:b w:val="0"/>
                <w:bCs w:val="0"/>
                <w:color w:val="auto"/>
                <w:kern w:val="2"/>
                <w:sz w:val="24"/>
                <w:szCs w:val="24"/>
                <w:lang w:eastAsia="zh-CN"/>
              </w:rPr>
              <w:t>t/d，</w:t>
            </w:r>
            <w:r>
              <w:rPr>
                <w:rFonts w:hint="default" w:ascii="Times New Roman" w:hAnsi="Times New Roman" w:cs="Times New Roman"/>
                <w:b w:val="0"/>
                <w:bCs w:val="0"/>
                <w:color w:val="auto"/>
                <w:kern w:val="2"/>
                <w:sz w:val="24"/>
                <w:szCs w:val="24"/>
                <w:lang w:val="en-US" w:eastAsia="zh-CN"/>
              </w:rPr>
              <w:t>270</w:t>
            </w:r>
            <w:r>
              <w:rPr>
                <w:rFonts w:hint="default" w:ascii="Times New Roman" w:hAnsi="Times New Roman" w:cs="Times New Roman"/>
                <w:b w:val="0"/>
                <w:bCs w:val="0"/>
                <w:color w:val="auto"/>
                <w:kern w:val="2"/>
                <w:sz w:val="24"/>
                <w:szCs w:val="24"/>
                <w:lang w:eastAsia="zh-CN"/>
              </w:rPr>
              <w:t>t/a。排放系数按80%计，则</w:t>
            </w:r>
            <w:r>
              <w:rPr>
                <w:rFonts w:hint="default" w:ascii="Times New Roman" w:hAnsi="Times New Roman" w:cs="Times New Roman"/>
                <w:b w:val="0"/>
                <w:bCs w:val="0"/>
                <w:color w:val="auto"/>
                <w:kern w:val="2"/>
                <w:sz w:val="24"/>
                <w:szCs w:val="24"/>
                <w:lang w:val="en-US" w:eastAsia="zh-CN"/>
              </w:rPr>
              <w:t>日常员工</w:t>
            </w:r>
            <w:r>
              <w:rPr>
                <w:rFonts w:hint="default" w:ascii="Times New Roman" w:hAnsi="Times New Roman" w:cs="Times New Roman"/>
                <w:b w:val="0"/>
                <w:bCs w:val="0"/>
                <w:color w:val="auto"/>
                <w:kern w:val="2"/>
                <w:sz w:val="24"/>
                <w:szCs w:val="24"/>
                <w:lang w:eastAsia="zh-CN"/>
              </w:rPr>
              <w:t>办公</w:t>
            </w:r>
            <w:r>
              <w:rPr>
                <w:rFonts w:hint="default" w:ascii="Times New Roman" w:hAnsi="Times New Roman" w:cs="Times New Roman"/>
                <w:b w:val="0"/>
                <w:bCs w:val="0"/>
                <w:color w:val="auto"/>
                <w:kern w:val="2"/>
                <w:sz w:val="24"/>
                <w:szCs w:val="24"/>
                <w:lang w:val="en-US" w:eastAsia="zh-CN"/>
              </w:rPr>
              <w:t>生活废水</w:t>
            </w:r>
            <w:r>
              <w:rPr>
                <w:rFonts w:hint="default" w:ascii="Times New Roman" w:hAnsi="Times New Roman" w:cs="Times New Roman"/>
                <w:b w:val="0"/>
                <w:bCs w:val="0"/>
                <w:color w:val="auto"/>
                <w:kern w:val="2"/>
                <w:sz w:val="24"/>
                <w:szCs w:val="24"/>
                <w:lang w:eastAsia="zh-CN"/>
              </w:rPr>
              <w:t>产生量为</w:t>
            </w:r>
            <w:r>
              <w:rPr>
                <w:rFonts w:hint="default" w:ascii="Times New Roman" w:hAnsi="Times New Roman" w:cs="Times New Roman"/>
                <w:b w:val="0"/>
                <w:bCs w:val="0"/>
                <w:color w:val="auto"/>
                <w:kern w:val="2"/>
                <w:sz w:val="24"/>
                <w:szCs w:val="24"/>
                <w:lang w:val="en-US" w:eastAsia="zh-CN"/>
              </w:rPr>
              <w:t>0.72</w:t>
            </w:r>
            <w:r>
              <w:rPr>
                <w:rFonts w:hint="default" w:ascii="Times New Roman" w:hAnsi="Times New Roman" w:cs="Times New Roman"/>
                <w:b w:val="0"/>
                <w:bCs w:val="0"/>
                <w:color w:val="auto"/>
                <w:kern w:val="2"/>
                <w:sz w:val="24"/>
                <w:szCs w:val="24"/>
                <w:lang w:eastAsia="zh-CN"/>
              </w:rPr>
              <w:t>t/d，</w:t>
            </w:r>
            <w:r>
              <w:rPr>
                <w:rFonts w:hint="default" w:ascii="Times New Roman" w:hAnsi="Times New Roman" w:cs="Times New Roman"/>
                <w:b w:val="0"/>
                <w:bCs w:val="0"/>
                <w:color w:val="auto"/>
                <w:kern w:val="2"/>
                <w:sz w:val="24"/>
                <w:szCs w:val="24"/>
                <w:lang w:val="en-US" w:eastAsia="zh-CN"/>
              </w:rPr>
              <w:t>216</w:t>
            </w:r>
            <w:r>
              <w:rPr>
                <w:rFonts w:hint="default" w:ascii="Times New Roman" w:hAnsi="Times New Roman" w:cs="Times New Roman"/>
                <w:b w:val="0"/>
                <w:bCs w:val="0"/>
                <w:color w:val="auto"/>
                <w:kern w:val="2"/>
                <w:sz w:val="24"/>
                <w:szCs w:val="24"/>
                <w:lang w:eastAsia="zh-CN"/>
              </w:rPr>
              <w:t>t/a。</w:t>
            </w:r>
            <w:r>
              <w:rPr>
                <w:rFonts w:hint="default" w:ascii="Times New Roman" w:hAnsi="Times New Roman" w:cs="Times New Roman"/>
                <w:b w:val="0"/>
                <w:bCs w:val="0"/>
                <w:color w:val="auto"/>
                <w:kern w:val="2"/>
                <w:sz w:val="24"/>
                <w:szCs w:val="24"/>
                <w:lang w:val="en-US" w:eastAsia="zh-CN"/>
              </w:rPr>
              <w:t>本项目产生的生活污水经化粪池</w:t>
            </w:r>
            <w:r>
              <w:rPr>
                <w:rFonts w:hint="default" w:ascii="Times New Roman" w:hAnsi="Times New Roman" w:cs="Times New Roman"/>
                <w:bCs/>
                <w:color w:val="auto"/>
                <w:kern w:val="2"/>
                <w:sz w:val="24"/>
                <w:szCs w:val="24"/>
                <w:lang w:eastAsia="zh-CN"/>
              </w:rPr>
              <w:t>（容积3m</w:t>
            </w:r>
            <w:r>
              <w:rPr>
                <w:rFonts w:hint="default" w:ascii="Times New Roman" w:hAnsi="Times New Roman" w:cs="Times New Roman"/>
                <w:bCs/>
                <w:color w:val="auto"/>
                <w:kern w:val="2"/>
                <w:sz w:val="24"/>
                <w:szCs w:val="24"/>
                <w:vertAlign w:val="superscript"/>
                <w:lang w:eastAsia="zh-CN"/>
              </w:rPr>
              <w:t>3</w:t>
            </w:r>
            <w:r>
              <w:rPr>
                <w:rFonts w:hint="default" w:ascii="Times New Roman" w:hAnsi="Times New Roman" w:cs="Times New Roman"/>
                <w:bCs/>
                <w:color w:val="auto"/>
                <w:kern w:val="2"/>
                <w:sz w:val="24"/>
                <w:szCs w:val="24"/>
                <w:lang w:eastAsia="zh-CN"/>
              </w:rPr>
              <w:t>）</w:t>
            </w:r>
            <w:r>
              <w:rPr>
                <w:rFonts w:hint="default" w:ascii="Times New Roman" w:hAnsi="Times New Roman" w:cs="Times New Roman"/>
                <w:b w:val="0"/>
                <w:bCs w:val="0"/>
                <w:color w:val="auto"/>
                <w:kern w:val="2"/>
                <w:sz w:val="24"/>
                <w:szCs w:val="24"/>
                <w:lang w:val="en-US" w:eastAsia="zh-CN"/>
              </w:rPr>
              <w:t>预处理后进1个规模为2m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/d的一体化污水处理站处理达《城市污水再生利用 城市杂用水水质》（GB/T 18920-2020）中城市绿化、道路清扫、消防、建筑施工标准后回用于项目区洒水降尘。在污水处理站后方设置1个容积5m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的中水收集池，用于雨天收集污水处理站处理后的中水，待晴天回用。</w:t>
            </w:r>
          </w:p>
          <w:p w14:paraId="5762CAF3">
            <w:pPr>
              <w:spacing w:line="360" w:lineRule="auto"/>
              <w:ind w:firstLine="482" w:firstLineChars="200"/>
              <w:rPr>
                <w:rFonts w:hint="default" w:ascii="Times New Roman" w:hAnsi="Times New Roman" w:cs="Times New Roman"/>
                <w:b/>
                <w:bCs/>
                <w:color w:val="auto"/>
                <w:kern w:val="2"/>
                <w:sz w:val="24"/>
                <w:szCs w:val="24"/>
                <w:lang w:eastAsia="zh-CN"/>
              </w:rPr>
            </w:pPr>
            <w:r>
              <w:rPr>
                <w:rFonts w:hint="default" w:ascii="Times New Roman" w:hAnsi="Times New Roman" w:cs="Times New Roman"/>
                <w:b/>
                <w:bCs/>
                <w:color w:val="auto"/>
                <w:kern w:val="2"/>
                <w:sz w:val="24"/>
                <w:szCs w:val="24"/>
                <w:lang w:eastAsia="zh-CN"/>
              </w:rPr>
              <w:t>3、初期雨水</w:t>
            </w:r>
          </w:p>
          <w:p w14:paraId="4B46C094">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项目总占地面积为</w:t>
            </w:r>
            <w:r>
              <w:rPr>
                <w:rFonts w:hint="default" w:ascii="Times New Roman" w:hAnsi="Times New Roman" w:cs="Times New Roman"/>
                <w:color w:val="auto"/>
                <w:kern w:val="2"/>
                <w:sz w:val="24"/>
                <w:szCs w:val="24"/>
                <w:lang w:val="en-US" w:eastAsia="zh-CN"/>
              </w:rPr>
              <w:t>4662</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，初期雨水经雨水沟收集至初期雨水收集池中，用于项目区洒水降尘，不外排。收集15min的雨水视为初期雨水，厂区总汇水面积约为</w:t>
            </w:r>
            <w:r>
              <w:rPr>
                <w:rFonts w:hint="default" w:ascii="Times New Roman" w:hAnsi="Times New Roman" w:cs="Times New Roman"/>
                <w:color w:val="auto"/>
                <w:kern w:val="2"/>
                <w:sz w:val="24"/>
                <w:szCs w:val="24"/>
                <w:lang w:val="en-US" w:eastAsia="zh-CN"/>
              </w:rPr>
              <w:t>4662</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。初期雨水收集沉淀池容积按照该地区暴雨公式计算。</w:t>
            </w:r>
          </w:p>
          <w:p w14:paraId="2C59C2A5">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玉溪市暴雨强度计算公式：</w:t>
            </w:r>
          </w:p>
          <w:p w14:paraId="267B61B4">
            <w:pPr>
              <w:spacing w:line="360" w:lineRule="auto"/>
              <w:ind w:firstLine="480" w:firstLineChars="200"/>
              <w:jc w:val="both"/>
              <w:rPr>
                <w:rFonts w:hint="default" w:ascii="Times New Roman" w:hAnsi="Times New Roman" w:cs="Times New Roman"/>
                <w:color w:val="auto"/>
                <w:kern w:val="2"/>
                <w:sz w:val="24"/>
                <w:szCs w:val="24"/>
                <w:lang w:eastAsia="zh-CN"/>
              </w:rPr>
            </w:pPr>
            <m:oMathPara>
              <m:oMath>
                <m:r>
                  <m:rPr>
                    <m:nor/>
                    <m:sty m:val="p"/>
                  </m:rPr>
                  <w:rPr>
                    <w:rFonts w:hint="default" w:ascii="Times New Roman" w:hAnsi="Times New Roman" w:cs="Times New Roman"/>
                    <w:b w:val="0"/>
                    <w:i w:val="0"/>
                    <w:color w:val="auto"/>
                    <w:kern w:val="2"/>
                    <w:sz w:val="24"/>
                    <w:szCs w:val="24"/>
                    <w:lang w:eastAsia="zh-CN"/>
                  </w:rPr>
                  <m:t>q=</m:t>
                </m:r>
                <m:f>
                  <m:fPr>
                    <m:ctrlPr>
                      <w:rPr>
                        <w:rFonts w:hint="default" w:ascii="Cambria Math" w:hAnsi="Cambria Math" w:cs="Times New Roman"/>
                        <w:color w:val="auto"/>
                        <w:kern w:val="2"/>
                        <w:sz w:val="24"/>
                        <w:szCs w:val="24"/>
                        <w:lang w:eastAsia="zh-CN"/>
                      </w:rPr>
                    </m:ctrlPr>
                  </m:fPr>
                  <m:num>
                    <m:r>
                      <m:rPr>
                        <m:nor/>
                        <m:sty m:val="p"/>
                      </m:rPr>
                      <w:rPr>
                        <w:rFonts w:hint="default" w:ascii="Times New Roman" w:hAnsi="Times New Roman" w:cs="Times New Roman"/>
                        <w:b w:val="0"/>
                        <w:i w:val="0"/>
                        <w:color w:val="auto"/>
                        <w:kern w:val="2"/>
                        <w:sz w:val="24"/>
                        <w:szCs w:val="24"/>
                        <w:lang w:eastAsia="zh-CN"/>
                      </w:rPr>
                      <m:t>2870.58×(1+0.633lgP)</m:t>
                    </m:r>
                    <m:ctrlPr>
                      <w:rPr>
                        <w:rFonts w:hint="default" w:ascii="Cambria Math" w:hAnsi="Cambria Math" w:cs="Times New Roman"/>
                        <w:color w:val="auto"/>
                        <w:kern w:val="2"/>
                        <w:sz w:val="24"/>
                        <w:szCs w:val="24"/>
                        <w:lang w:eastAsia="zh-CN"/>
                      </w:rPr>
                    </m:ctrlPr>
                  </m:num>
                  <m:den>
                    <m:sSup>
                      <m:sSupPr>
                        <m:ctrlPr>
                          <w:rPr>
                            <w:rFonts w:hint="default" w:ascii="Cambria Math" w:hAnsi="Cambria Math" w:cs="Times New Roman"/>
                            <w:color w:val="auto"/>
                            <w:kern w:val="2"/>
                            <w:sz w:val="24"/>
                            <w:szCs w:val="24"/>
                            <w:lang w:eastAsia="zh-CN"/>
                          </w:rPr>
                        </m:ctrlPr>
                      </m:sSupPr>
                      <m:e>
                        <m:r>
                          <m:rPr>
                            <m:nor/>
                            <m:sty m:val="p"/>
                          </m:rPr>
                          <w:rPr>
                            <w:rFonts w:hint="default" w:ascii="Times New Roman" w:hAnsi="Times New Roman" w:cs="Times New Roman"/>
                            <w:b w:val="0"/>
                            <w:i w:val="0"/>
                            <w:color w:val="auto"/>
                            <w:kern w:val="2"/>
                            <w:sz w:val="24"/>
                            <w:szCs w:val="24"/>
                            <w:lang w:eastAsia="zh-CN"/>
                          </w:rPr>
                          <m:t>(t+14.742)</m:t>
                        </m:r>
                        <m:ctrlPr>
                          <w:rPr>
                            <w:rFonts w:hint="default" w:ascii="Cambria Math" w:hAnsi="Cambria Math" w:cs="Times New Roman"/>
                            <w:color w:val="auto"/>
                            <w:kern w:val="2"/>
                            <w:sz w:val="24"/>
                            <w:szCs w:val="24"/>
                            <w:lang w:eastAsia="zh-CN"/>
                          </w:rPr>
                        </m:ctrlPr>
                      </m:e>
                      <m:sup>
                        <m:r>
                          <m:rPr>
                            <m:nor/>
                            <m:sty m:val="p"/>
                          </m:rPr>
                          <w:rPr>
                            <w:rFonts w:hint="default" w:ascii="Times New Roman" w:hAnsi="Times New Roman" w:cs="Times New Roman"/>
                            <w:b w:val="0"/>
                            <w:i w:val="0"/>
                            <w:color w:val="auto"/>
                            <w:kern w:val="2"/>
                            <w:sz w:val="24"/>
                            <w:szCs w:val="24"/>
                            <w:lang w:eastAsia="zh-CN"/>
                          </w:rPr>
                          <m:t>0.818</m:t>
                        </m:r>
                        <m:ctrlPr>
                          <w:rPr>
                            <w:rFonts w:hint="default" w:ascii="Cambria Math" w:hAnsi="Cambria Math" w:cs="Times New Roman"/>
                            <w:color w:val="auto"/>
                            <w:kern w:val="2"/>
                            <w:sz w:val="24"/>
                            <w:szCs w:val="24"/>
                            <w:lang w:eastAsia="zh-CN"/>
                          </w:rPr>
                        </m:ctrlPr>
                      </m:sup>
                    </m:sSup>
                    <m:ctrlPr>
                      <w:rPr>
                        <w:rFonts w:hint="default" w:ascii="Cambria Math" w:hAnsi="Cambria Math" w:cs="Times New Roman"/>
                        <w:color w:val="auto"/>
                        <w:kern w:val="2"/>
                        <w:sz w:val="24"/>
                        <w:szCs w:val="24"/>
                        <w:lang w:eastAsia="zh-CN"/>
                      </w:rPr>
                    </m:ctrlPr>
                  </m:den>
                </m:f>
              </m:oMath>
            </m:oMathPara>
          </w:p>
          <w:p w14:paraId="2F78034C">
            <w:pPr>
              <w:spacing w:line="360" w:lineRule="auto"/>
              <w:ind w:firstLine="2160" w:firstLineChars="9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式中：P—设计降雨重现期1a；</w:t>
            </w:r>
          </w:p>
          <w:p w14:paraId="605735C7">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t—降雨历时（取15min）；</w:t>
            </w:r>
          </w:p>
          <w:p w14:paraId="2100C5D8">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得到q=178.96L/s•hm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w:t>
            </w:r>
          </w:p>
          <w:p w14:paraId="2FAB4900">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雨水汇水量计算公式：</w:t>
            </w:r>
          </w:p>
          <w:p w14:paraId="197917E2">
            <w:pPr>
              <w:spacing w:line="360" w:lineRule="auto"/>
              <w:ind w:firstLine="2640" w:firstLineChars="11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Q=ψ×q×F</w:t>
            </w:r>
          </w:p>
          <w:p w14:paraId="5B12A1FC">
            <w:pPr>
              <w:spacing w:line="360" w:lineRule="auto"/>
              <w:ind w:firstLine="2160" w:firstLineChars="9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式中：Q—雨水流量，L/s；</w:t>
            </w:r>
          </w:p>
          <w:p w14:paraId="396A0BE0">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ψ—径流系数，</w:t>
            </w:r>
            <w:r>
              <w:rPr>
                <w:rFonts w:hint="default" w:ascii="Times New Roman" w:hAnsi="Times New Roman" w:cs="Times New Roman"/>
                <w:color w:val="auto"/>
                <w:kern w:val="2"/>
                <w:sz w:val="24"/>
                <w:szCs w:val="24"/>
                <w:lang w:val="en-US" w:eastAsia="zh-CN"/>
              </w:rPr>
              <w:t>0.55</w:t>
            </w:r>
            <w:r>
              <w:rPr>
                <w:rFonts w:hint="default"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lang w:val="en-US" w:eastAsia="zh-CN"/>
              </w:rPr>
              <w:t>0.65</w:t>
            </w:r>
            <w:r>
              <w:rPr>
                <w:rFonts w:hint="default" w:ascii="Times New Roman" w:hAnsi="Times New Roman" w:cs="Times New Roman"/>
                <w:color w:val="auto"/>
                <w:kern w:val="2"/>
                <w:sz w:val="24"/>
                <w:szCs w:val="24"/>
                <w:lang w:eastAsia="zh-CN"/>
              </w:rPr>
              <w:t>，取</w:t>
            </w:r>
            <w:r>
              <w:rPr>
                <w:rFonts w:hint="default" w:ascii="Times New Roman" w:hAnsi="Times New Roman" w:cs="Times New Roman"/>
                <w:color w:val="auto"/>
                <w:kern w:val="2"/>
                <w:sz w:val="24"/>
                <w:szCs w:val="24"/>
                <w:lang w:val="en-US" w:eastAsia="zh-CN"/>
              </w:rPr>
              <w:t>0.65</w:t>
            </w:r>
            <w:r>
              <w:rPr>
                <w:rFonts w:hint="default" w:ascii="Times New Roman" w:hAnsi="Times New Roman" w:cs="Times New Roman"/>
                <w:color w:val="auto"/>
                <w:kern w:val="2"/>
                <w:sz w:val="24"/>
                <w:szCs w:val="24"/>
                <w:lang w:eastAsia="zh-CN"/>
              </w:rPr>
              <w:t>；</w:t>
            </w:r>
          </w:p>
          <w:p w14:paraId="36558DCE">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q—设计暴雨强度，178.96L/s.hm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w:t>
            </w:r>
          </w:p>
          <w:p w14:paraId="43C3700F">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F—汇水面积（hm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），本项目汇水面积约</w:t>
            </w:r>
            <w:r>
              <w:rPr>
                <w:rFonts w:hint="default" w:ascii="Times New Roman" w:hAnsi="Times New Roman" w:cs="Times New Roman"/>
                <w:color w:val="auto"/>
                <w:kern w:val="2"/>
                <w:sz w:val="24"/>
                <w:szCs w:val="24"/>
                <w:lang w:val="en-US" w:eastAsia="zh-CN"/>
              </w:rPr>
              <w:t>0.4662</w:t>
            </w:r>
            <w:r>
              <w:rPr>
                <w:rFonts w:hint="default" w:ascii="Times New Roman" w:hAnsi="Times New Roman" w:cs="Times New Roman"/>
                <w:color w:val="auto"/>
                <w:kern w:val="2"/>
                <w:sz w:val="24"/>
                <w:szCs w:val="24"/>
                <w:lang w:eastAsia="zh-CN"/>
              </w:rPr>
              <w:t>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w:t>
            </w:r>
          </w:p>
          <w:p w14:paraId="6CFCC618">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按照上述公式计在设计重现期1年的条件下，建设项目区的暴雨强度为178.96L/秒•hm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，雨水流量为</w:t>
            </w:r>
            <w:r>
              <w:rPr>
                <w:rFonts w:hint="default" w:ascii="Times New Roman" w:hAnsi="Times New Roman" w:cs="Times New Roman"/>
                <w:color w:val="auto"/>
                <w:kern w:val="2"/>
                <w:sz w:val="24"/>
                <w:szCs w:val="24"/>
                <w:lang w:val="en-US" w:eastAsia="zh-CN"/>
              </w:rPr>
              <w:t>54.23</w:t>
            </w:r>
            <w:r>
              <w:rPr>
                <w:rFonts w:hint="default" w:ascii="Times New Roman" w:hAnsi="Times New Roman" w:cs="Times New Roman"/>
                <w:color w:val="auto"/>
                <w:kern w:val="2"/>
                <w:sz w:val="24"/>
                <w:szCs w:val="24"/>
                <w:lang w:eastAsia="zh-CN"/>
              </w:rPr>
              <w:t>L/s，即</w:t>
            </w:r>
            <w:r>
              <w:rPr>
                <w:rFonts w:hint="default" w:ascii="Times New Roman" w:hAnsi="Times New Roman" w:cs="Times New Roman"/>
                <w:color w:val="auto"/>
                <w:kern w:val="2"/>
                <w:sz w:val="24"/>
                <w:szCs w:val="24"/>
                <w:lang w:val="en-US" w:eastAsia="zh-CN"/>
              </w:rPr>
              <w:t>195.23</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3</w:t>
            </w:r>
            <w:r>
              <w:rPr>
                <w:rFonts w:hint="default" w:ascii="Times New Roman" w:hAnsi="Times New Roman" w:cs="Times New Roman"/>
                <w:color w:val="auto"/>
                <w:kern w:val="2"/>
                <w:sz w:val="24"/>
                <w:szCs w:val="24"/>
                <w:lang w:eastAsia="zh-CN"/>
              </w:rPr>
              <w:t>/h。本次评价考虑对暴雨条件下前15min的雨水进行收集，则暴雨情况下需收集的雨水量为</w:t>
            </w:r>
            <w:r>
              <w:rPr>
                <w:rFonts w:hint="default" w:ascii="Times New Roman" w:hAnsi="Times New Roman" w:cs="Times New Roman"/>
                <w:color w:val="auto"/>
                <w:kern w:val="2"/>
                <w:sz w:val="24"/>
                <w:szCs w:val="24"/>
                <w:lang w:val="en-US" w:eastAsia="zh-CN"/>
              </w:rPr>
              <w:t>48.81</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3</w:t>
            </w:r>
            <w:r>
              <w:rPr>
                <w:rFonts w:hint="default" w:ascii="Times New Roman" w:hAnsi="Times New Roman" w:cs="Times New Roman"/>
                <w:color w:val="auto"/>
                <w:kern w:val="2"/>
                <w:sz w:val="24"/>
                <w:szCs w:val="24"/>
                <w:lang w:eastAsia="zh-CN"/>
              </w:rPr>
              <w:t>。本次评价考虑1.1的安全系数及不满容存储，环评要求新建一个容积不小于</w:t>
            </w:r>
            <w:r>
              <w:rPr>
                <w:rFonts w:hint="default" w:ascii="Times New Roman" w:hAnsi="Times New Roman" w:cs="Times New Roman"/>
                <w:color w:val="auto"/>
                <w:kern w:val="2"/>
                <w:sz w:val="24"/>
                <w:szCs w:val="24"/>
                <w:lang w:val="en-US" w:eastAsia="zh-CN"/>
              </w:rPr>
              <w:t>54</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3</w:t>
            </w:r>
            <w:r>
              <w:rPr>
                <w:rFonts w:hint="default" w:ascii="Times New Roman" w:hAnsi="Times New Roman" w:cs="Times New Roman"/>
                <w:color w:val="auto"/>
                <w:kern w:val="2"/>
                <w:sz w:val="24"/>
                <w:szCs w:val="24"/>
                <w:lang w:eastAsia="zh-CN"/>
              </w:rPr>
              <w:t>的初期雨水收集池。初期雨水主要污染物为SS，厂区设置排水沟，初期雨水收集进入初期雨水收集池，沉淀后回用于生产或厂区洒水降尘，不外排。</w:t>
            </w:r>
          </w:p>
          <w:p w14:paraId="493B9A71">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kern w:val="2"/>
                <w:sz w:val="24"/>
                <w:szCs w:val="24"/>
                <w:lang w:eastAsia="zh-CN"/>
              </w:rPr>
              <w:t>本次环评提出在项目区西南侧地</w:t>
            </w:r>
            <w:r>
              <w:rPr>
                <w:rFonts w:hint="default" w:ascii="Times New Roman" w:hAnsi="Times New Roman" w:cs="Times New Roman"/>
                <w:color w:val="auto"/>
                <w:sz w:val="24"/>
                <w:lang w:eastAsia="zh-CN"/>
              </w:rPr>
              <w:t>势较低处设置一个容积不小于</w:t>
            </w:r>
            <w:r>
              <w:rPr>
                <w:rFonts w:hint="default" w:ascii="Times New Roman" w:hAnsi="Times New Roman" w:cs="Times New Roman"/>
                <w:color w:val="auto"/>
                <w:sz w:val="24"/>
                <w:lang w:val="en-US" w:eastAsia="zh-CN"/>
              </w:rPr>
              <w:t>54</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的初期雨水收集池对初期雨水进行沉淀处理后，回用于生产</w:t>
            </w:r>
            <w:r>
              <w:rPr>
                <w:rFonts w:hint="default" w:ascii="Times New Roman" w:hAnsi="Times New Roman" w:cs="Times New Roman"/>
                <w:color w:val="auto"/>
                <w:kern w:val="2"/>
                <w:sz w:val="24"/>
                <w:szCs w:val="24"/>
                <w:lang w:eastAsia="zh-CN"/>
              </w:rPr>
              <w:t>或厂区洒水降尘</w:t>
            </w:r>
            <w:r>
              <w:rPr>
                <w:rFonts w:hint="default" w:ascii="Times New Roman" w:hAnsi="Times New Roman" w:cs="Times New Roman"/>
                <w:color w:val="auto"/>
                <w:sz w:val="24"/>
                <w:lang w:eastAsia="zh-CN"/>
              </w:rPr>
              <w:t>，项目用水情况表见下表2-7。</w:t>
            </w:r>
          </w:p>
          <w:p w14:paraId="21ACA866">
            <w:pPr>
              <w:pStyle w:val="31"/>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表2-7  项目用水量及废水产生量情况一览表</w:t>
            </w:r>
          </w:p>
          <w:tbl>
            <w:tblPr>
              <w:tblStyle w:val="2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721"/>
              <w:gridCol w:w="785"/>
              <w:gridCol w:w="689"/>
              <w:gridCol w:w="740"/>
              <w:gridCol w:w="689"/>
              <w:gridCol w:w="689"/>
              <w:gridCol w:w="819"/>
              <w:gridCol w:w="1943"/>
            </w:tblGrid>
            <w:tr w14:paraId="2CBC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restart"/>
                  <w:vAlign w:val="center"/>
                </w:tcPr>
                <w:p w14:paraId="47AA2F76">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用水</w:t>
                  </w:r>
                </w:p>
                <w:p w14:paraId="0AADE3CE">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节点</w:t>
                  </w:r>
                </w:p>
              </w:tc>
              <w:tc>
                <w:tcPr>
                  <w:tcW w:w="938" w:type="pct"/>
                  <w:gridSpan w:val="2"/>
                  <w:vAlign w:val="center"/>
                </w:tcPr>
                <w:p w14:paraId="0EAD0A73">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用水量</w:t>
                  </w:r>
                </w:p>
              </w:tc>
              <w:tc>
                <w:tcPr>
                  <w:tcW w:w="890" w:type="pct"/>
                  <w:gridSpan w:val="2"/>
                  <w:vAlign w:val="center"/>
                </w:tcPr>
                <w:p w14:paraId="0EEF0BAD">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损耗量</w:t>
                  </w:r>
                </w:p>
              </w:tc>
              <w:tc>
                <w:tcPr>
                  <w:tcW w:w="858" w:type="pct"/>
                  <w:gridSpan w:val="2"/>
                  <w:vAlign w:val="center"/>
                </w:tcPr>
                <w:p w14:paraId="77CFACE4">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废水产生量</w:t>
                  </w:r>
                </w:p>
              </w:tc>
              <w:tc>
                <w:tcPr>
                  <w:tcW w:w="510" w:type="pct"/>
                  <w:vAlign w:val="center"/>
                </w:tcPr>
                <w:p w14:paraId="64BCBA4E">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排放量</w:t>
                  </w:r>
                </w:p>
              </w:tc>
              <w:tc>
                <w:tcPr>
                  <w:tcW w:w="1209" w:type="pct"/>
                  <w:vMerge w:val="restart"/>
                  <w:vAlign w:val="center"/>
                </w:tcPr>
                <w:p w14:paraId="7396569C">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b/>
                      <w:bCs/>
                      <w:color w:val="auto"/>
                      <w:kern w:val="2"/>
                      <w:sz w:val="21"/>
                      <w:szCs w:val="52"/>
                      <w:lang w:eastAsia="zh-CN"/>
                    </w:rPr>
                    <w:t>处置情况</w:t>
                  </w:r>
                </w:p>
              </w:tc>
            </w:tr>
            <w:tr w14:paraId="4E96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vAlign w:val="center"/>
                </w:tcPr>
                <w:p w14:paraId="37C70ABC">
                  <w:pPr>
                    <w:jc w:val="center"/>
                    <w:rPr>
                      <w:rFonts w:hint="default" w:ascii="Times New Roman" w:hAnsi="Times New Roman" w:cs="Times New Roman"/>
                      <w:b/>
                      <w:bCs/>
                      <w:color w:val="auto"/>
                      <w:kern w:val="2"/>
                      <w:sz w:val="21"/>
                      <w:szCs w:val="52"/>
                      <w:lang w:eastAsia="zh-CN"/>
                    </w:rPr>
                  </w:pPr>
                </w:p>
              </w:tc>
              <w:tc>
                <w:tcPr>
                  <w:tcW w:w="449" w:type="pct"/>
                  <w:vAlign w:val="center"/>
                </w:tcPr>
                <w:p w14:paraId="4A17ABBC">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m</w:t>
                  </w:r>
                  <w:r>
                    <w:rPr>
                      <w:rFonts w:hint="default" w:ascii="Times New Roman" w:hAnsi="Times New Roman" w:cs="Times New Roman"/>
                      <w:b/>
                      <w:bCs/>
                      <w:color w:val="auto"/>
                      <w:kern w:val="2"/>
                      <w:sz w:val="21"/>
                      <w:szCs w:val="52"/>
                      <w:vertAlign w:val="superscript"/>
                      <w:lang w:eastAsia="zh-CN"/>
                    </w:rPr>
                    <w:t>3</w:t>
                  </w:r>
                  <w:r>
                    <w:rPr>
                      <w:rFonts w:hint="default" w:ascii="Times New Roman" w:hAnsi="Times New Roman" w:cs="Times New Roman"/>
                      <w:b/>
                      <w:bCs/>
                      <w:color w:val="auto"/>
                      <w:kern w:val="2"/>
                      <w:sz w:val="21"/>
                      <w:szCs w:val="52"/>
                      <w:lang w:eastAsia="zh-CN"/>
                    </w:rPr>
                    <w:t>/d</w:t>
                  </w:r>
                </w:p>
              </w:tc>
              <w:tc>
                <w:tcPr>
                  <w:tcW w:w="489" w:type="pct"/>
                  <w:vAlign w:val="center"/>
                </w:tcPr>
                <w:p w14:paraId="1C928AC4">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m</w:t>
                  </w:r>
                  <w:r>
                    <w:rPr>
                      <w:rFonts w:hint="default" w:ascii="Times New Roman" w:hAnsi="Times New Roman" w:cs="Times New Roman"/>
                      <w:b/>
                      <w:bCs/>
                      <w:color w:val="auto"/>
                      <w:kern w:val="2"/>
                      <w:sz w:val="21"/>
                      <w:szCs w:val="52"/>
                      <w:vertAlign w:val="superscript"/>
                      <w:lang w:eastAsia="zh-CN"/>
                    </w:rPr>
                    <w:t>3</w:t>
                  </w:r>
                  <w:r>
                    <w:rPr>
                      <w:rFonts w:hint="default" w:ascii="Times New Roman" w:hAnsi="Times New Roman" w:cs="Times New Roman"/>
                      <w:b/>
                      <w:bCs/>
                      <w:color w:val="auto"/>
                      <w:kern w:val="2"/>
                      <w:sz w:val="21"/>
                      <w:szCs w:val="52"/>
                      <w:lang w:eastAsia="zh-CN"/>
                    </w:rPr>
                    <w:t>/a</w:t>
                  </w:r>
                </w:p>
              </w:tc>
              <w:tc>
                <w:tcPr>
                  <w:tcW w:w="429" w:type="pct"/>
                  <w:vAlign w:val="center"/>
                </w:tcPr>
                <w:p w14:paraId="6D0F1FF8">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m</w:t>
                  </w:r>
                  <w:r>
                    <w:rPr>
                      <w:rFonts w:hint="default" w:ascii="Times New Roman" w:hAnsi="Times New Roman" w:cs="Times New Roman"/>
                      <w:b/>
                      <w:bCs/>
                      <w:color w:val="auto"/>
                      <w:kern w:val="2"/>
                      <w:sz w:val="21"/>
                      <w:szCs w:val="52"/>
                      <w:vertAlign w:val="superscript"/>
                      <w:lang w:eastAsia="zh-CN"/>
                    </w:rPr>
                    <w:t>3</w:t>
                  </w:r>
                  <w:r>
                    <w:rPr>
                      <w:rFonts w:hint="default" w:ascii="Times New Roman" w:hAnsi="Times New Roman" w:cs="Times New Roman"/>
                      <w:b/>
                      <w:bCs/>
                      <w:color w:val="auto"/>
                      <w:kern w:val="2"/>
                      <w:sz w:val="21"/>
                      <w:szCs w:val="52"/>
                      <w:lang w:eastAsia="zh-CN"/>
                    </w:rPr>
                    <w:t>/d</w:t>
                  </w:r>
                </w:p>
              </w:tc>
              <w:tc>
                <w:tcPr>
                  <w:tcW w:w="461" w:type="pct"/>
                  <w:vAlign w:val="center"/>
                </w:tcPr>
                <w:p w14:paraId="5E07E8C1">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m</w:t>
                  </w:r>
                  <w:r>
                    <w:rPr>
                      <w:rFonts w:hint="default" w:ascii="Times New Roman" w:hAnsi="Times New Roman" w:cs="Times New Roman"/>
                      <w:b/>
                      <w:bCs/>
                      <w:color w:val="auto"/>
                      <w:kern w:val="2"/>
                      <w:sz w:val="21"/>
                      <w:szCs w:val="52"/>
                      <w:vertAlign w:val="superscript"/>
                      <w:lang w:eastAsia="zh-CN"/>
                    </w:rPr>
                    <w:t>3</w:t>
                  </w:r>
                  <w:r>
                    <w:rPr>
                      <w:rFonts w:hint="default" w:ascii="Times New Roman" w:hAnsi="Times New Roman" w:cs="Times New Roman"/>
                      <w:b/>
                      <w:bCs/>
                      <w:color w:val="auto"/>
                      <w:kern w:val="2"/>
                      <w:sz w:val="21"/>
                      <w:szCs w:val="52"/>
                      <w:lang w:eastAsia="zh-CN"/>
                    </w:rPr>
                    <w:t>/a</w:t>
                  </w:r>
                </w:p>
              </w:tc>
              <w:tc>
                <w:tcPr>
                  <w:tcW w:w="429" w:type="pct"/>
                  <w:vAlign w:val="center"/>
                </w:tcPr>
                <w:p w14:paraId="247FE398">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m</w:t>
                  </w:r>
                  <w:r>
                    <w:rPr>
                      <w:rFonts w:hint="default" w:ascii="Times New Roman" w:hAnsi="Times New Roman" w:cs="Times New Roman"/>
                      <w:b/>
                      <w:bCs/>
                      <w:color w:val="auto"/>
                      <w:kern w:val="2"/>
                      <w:sz w:val="21"/>
                      <w:szCs w:val="52"/>
                      <w:vertAlign w:val="superscript"/>
                      <w:lang w:eastAsia="zh-CN"/>
                    </w:rPr>
                    <w:t>3</w:t>
                  </w:r>
                  <w:r>
                    <w:rPr>
                      <w:rFonts w:hint="default" w:ascii="Times New Roman" w:hAnsi="Times New Roman" w:cs="Times New Roman"/>
                      <w:b/>
                      <w:bCs/>
                      <w:color w:val="auto"/>
                      <w:kern w:val="2"/>
                      <w:sz w:val="21"/>
                      <w:szCs w:val="52"/>
                      <w:lang w:eastAsia="zh-CN"/>
                    </w:rPr>
                    <w:t>/d</w:t>
                  </w:r>
                </w:p>
              </w:tc>
              <w:tc>
                <w:tcPr>
                  <w:tcW w:w="429" w:type="pct"/>
                  <w:vAlign w:val="center"/>
                </w:tcPr>
                <w:p w14:paraId="074701A5">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m</w:t>
                  </w:r>
                  <w:r>
                    <w:rPr>
                      <w:rFonts w:hint="default" w:ascii="Times New Roman" w:hAnsi="Times New Roman" w:cs="Times New Roman"/>
                      <w:b/>
                      <w:bCs/>
                      <w:color w:val="auto"/>
                      <w:kern w:val="2"/>
                      <w:sz w:val="21"/>
                      <w:szCs w:val="52"/>
                      <w:vertAlign w:val="superscript"/>
                      <w:lang w:eastAsia="zh-CN"/>
                    </w:rPr>
                    <w:t>3</w:t>
                  </w:r>
                  <w:r>
                    <w:rPr>
                      <w:rFonts w:hint="default" w:ascii="Times New Roman" w:hAnsi="Times New Roman" w:cs="Times New Roman"/>
                      <w:b/>
                      <w:bCs/>
                      <w:color w:val="auto"/>
                      <w:kern w:val="2"/>
                      <w:sz w:val="21"/>
                      <w:szCs w:val="52"/>
                      <w:lang w:eastAsia="zh-CN"/>
                    </w:rPr>
                    <w:t>/a</w:t>
                  </w:r>
                </w:p>
              </w:tc>
              <w:tc>
                <w:tcPr>
                  <w:tcW w:w="510" w:type="pct"/>
                  <w:vAlign w:val="center"/>
                </w:tcPr>
                <w:p w14:paraId="1AD4ABAB">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b/>
                      <w:bCs/>
                      <w:color w:val="auto"/>
                      <w:kern w:val="2"/>
                      <w:sz w:val="21"/>
                      <w:szCs w:val="52"/>
                      <w:lang w:eastAsia="zh-CN"/>
                    </w:rPr>
                    <w:t>m</w:t>
                  </w:r>
                  <w:r>
                    <w:rPr>
                      <w:rFonts w:hint="default" w:ascii="Times New Roman" w:hAnsi="Times New Roman" w:cs="Times New Roman"/>
                      <w:b/>
                      <w:bCs/>
                      <w:color w:val="auto"/>
                      <w:kern w:val="2"/>
                      <w:sz w:val="21"/>
                      <w:szCs w:val="52"/>
                      <w:vertAlign w:val="superscript"/>
                      <w:lang w:eastAsia="zh-CN"/>
                    </w:rPr>
                    <w:t>3</w:t>
                  </w:r>
                  <w:r>
                    <w:rPr>
                      <w:rFonts w:hint="default" w:ascii="Times New Roman" w:hAnsi="Times New Roman" w:cs="Times New Roman"/>
                      <w:b/>
                      <w:bCs/>
                      <w:color w:val="auto"/>
                      <w:kern w:val="2"/>
                      <w:sz w:val="21"/>
                      <w:szCs w:val="52"/>
                      <w:lang w:eastAsia="zh-CN"/>
                    </w:rPr>
                    <w:t>/a</w:t>
                  </w:r>
                </w:p>
              </w:tc>
              <w:tc>
                <w:tcPr>
                  <w:tcW w:w="1209" w:type="pct"/>
                  <w:vMerge w:val="continue"/>
                  <w:vAlign w:val="center"/>
                </w:tcPr>
                <w:p w14:paraId="2554CB25">
                  <w:pPr>
                    <w:jc w:val="center"/>
                    <w:rPr>
                      <w:rFonts w:hint="default" w:ascii="Times New Roman" w:hAnsi="Times New Roman" w:cs="Times New Roman"/>
                      <w:color w:val="auto"/>
                      <w:kern w:val="2"/>
                      <w:sz w:val="21"/>
                      <w:szCs w:val="52"/>
                      <w:lang w:eastAsia="zh-CN"/>
                    </w:rPr>
                  </w:pPr>
                </w:p>
              </w:tc>
            </w:tr>
            <w:tr w14:paraId="36A0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pct"/>
                  <w:vAlign w:val="center"/>
                </w:tcPr>
                <w:p w14:paraId="556F45EF">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val="en-US" w:eastAsia="zh-CN"/>
                    </w:rPr>
                    <w:t>道路、场地抑尘</w:t>
                  </w:r>
                </w:p>
                <w:p w14:paraId="0CFF04F4">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用水</w:t>
                  </w:r>
                </w:p>
              </w:tc>
              <w:tc>
                <w:tcPr>
                  <w:tcW w:w="449" w:type="pct"/>
                  <w:vAlign w:val="center"/>
                </w:tcPr>
                <w:p w14:paraId="7374FA37">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val="en-US" w:eastAsia="zh-CN"/>
                    </w:rPr>
                    <w:t>1</w:t>
                  </w:r>
                </w:p>
              </w:tc>
              <w:tc>
                <w:tcPr>
                  <w:tcW w:w="489" w:type="pct"/>
                  <w:vAlign w:val="center"/>
                </w:tcPr>
                <w:p w14:paraId="560AC0B6">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200</w:t>
                  </w:r>
                </w:p>
              </w:tc>
              <w:tc>
                <w:tcPr>
                  <w:tcW w:w="429" w:type="pct"/>
                  <w:vAlign w:val="center"/>
                </w:tcPr>
                <w:p w14:paraId="4D222D1A">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val="en-US" w:eastAsia="zh-CN"/>
                    </w:rPr>
                    <w:t>1</w:t>
                  </w:r>
                </w:p>
              </w:tc>
              <w:tc>
                <w:tcPr>
                  <w:tcW w:w="461" w:type="pct"/>
                  <w:vAlign w:val="center"/>
                </w:tcPr>
                <w:p w14:paraId="5637DAA3">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200</w:t>
                  </w:r>
                </w:p>
              </w:tc>
              <w:tc>
                <w:tcPr>
                  <w:tcW w:w="429" w:type="pct"/>
                  <w:vAlign w:val="center"/>
                </w:tcPr>
                <w:p w14:paraId="208540F4">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w:t>
                  </w:r>
                </w:p>
              </w:tc>
              <w:tc>
                <w:tcPr>
                  <w:tcW w:w="429" w:type="pct"/>
                  <w:vAlign w:val="center"/>
                </w:tcPr>
                <w:p w14:paraId="55DDDA29">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w:t>
                  </w:r>
                </w:p>
              </w:tc>
              <w:tc>
                <w:tcPr>
                  <w:tcW w:w="510" w:type="pct"/>
                  <w:vAlign w:val="center"/>
                </w:tcPr>
                <w:p w14:paraId="3785D8D7">
                  <w:pPr>
                    <w:jc w:val="center"/>
                    <w:rPr>
                      <w:rFonts w:hint="default" w:ascii="Times New Roman" w:hAnsi="Times New Roman" w:cs="Times New Roman"/>
                      <w:color w:val="auto"/>
                      <w:sz w:val="21"/>
                      <w:szCs w:val="52"/>
                      <w:lang w:eastAsia="zh-CN"/>
                    </w:rPr>
                  </w:pPr>
                  <w:r>
                    <w:rPr>
                      <w:rFonts w:hint="default" w:ascii="Times New Roman" w:hAnsi="Times New Roman" w:cs="Times New Roman"/>
                      <w:color w:val="auto"/>
                      <w:sz w:val="21"/>
                      <w:szCs w:val="52"/>
                      <w:lang w:eastAsia="zh-CN"/>
                    </w:rPr>
                    <w:t>0</w:t>
                  </w:r>
                </w:p>
              </w:tc>
              <w:tc>
                <w:tcPr>
                  <w:tcW w:w="1209" w:type="pct"/>
                  <w:vAlign w:val="center"/>
                </w:tcPr>
                <w:p w14:paraId="32533E26">
                  <w:pPr>
                    <w:jc w:val="center"/>
                    <w:rPr>
                      <w:rFonts w:hint="default" w:ascii="Times New Roman" w:hAnsi="Times New Roman" w:cs="Times New Roman"/>
                      <w:color w:val="auto"/>
                      <w:sz w:val="21"/>
                      <w:szCs w:val="52"/>
                      <w:lang w:eastAsia="zh-CN"/>
                    </w:rPr>
                  </w:pPr>
                  <w:r>
                    <w:rPr>
                      <w:rFonts w:hint="default" w:ascii="Times New Roman" w:hAnsi="Times New Roman" w:cs="Times New Roman"/>
                      <w:color w:val="auto"/>
                    </w:rPr>
                    <w:t>道路、场地抑尘用水此过程用水全部自然蒸发，无废水产生。</w:t>
                  </w:r>
                </w:p>
              </w:tc>
            </w:tr>
            <w:tr w14:paraId="44F9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14:paraId="475D24EE">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喷雾降尘用水</w:t>
                  </w:r>
                </w:p>
              </w:tc>
              <w:tc>
                <w:tcPr>
                  <w:tcW w:w="449" w:type="pct"/>
                  <w:vAlign w:val="center"/>
                </w:tcPr>
                <w:p w14:paraId="147D1082">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10.64</w:t>
                  </w:r>
                </w:p>
              </w:tc>
              <w:tc>
                <w:tcPr>
                  <w:tcW w:w="489" w:type="pct"/>
                  <w:vAlign w:val="center"/>
                </w:tcPr>
                <w:p w14:paraId="3B0707A8">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2128</w:t>
                  </w:r>
                </w:p>
              </w:tc>
              <w:tc>
                <w:tcPr>
                  <w:tcW w:w="429" w:type="pct"/>
                  <w:vAlign w:val="center"/>
                </w:tcPr>
                <w:p w14:paraId="6F8DCAF2">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10.64</w:t>
                  </w:r>
                </w:p>
              </w:tc>
              <w:tc>
                <w:tcPr>
                  <w:tcW w:w="461" w:type="pct"/>
                  <w:vAlign w:val="center"/>
                </w:tcPr>
                <w:p w14:paraId="5D024011">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2128</w:t>
                  </w:r>
                </w:p>
              </w:tc>
              <w:tc>
                <w:tcPr>
                  <w:tcW w:w="429" w:type="pct"/>
                  <w:vAlign w:val="center"/>
                </w:tcPr>
                <w:p w14:paraId="2C72FB4B">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w:t>
                  </w:r>
                </w:p>
              </w:tc>
              <w:tc>
                <w:tcPr>
                  <w:tcW w:w="429" w:type="pct"/>
                  <w:vAlign w:val="center"/>
                </w:tcPr>
                <w:p w14:paraId="05676038">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w:t>
                  </w:r>
                </w:p>
              </w:tc>
              <w:tc>
                <w:tcPr>
                  <w:tcW w:w="510" w:type="pct"/>
                  <w:vAlign w:val="center"/>
                </w:tcPr>
                <w:p w14:paraId="5D3AC931">
                  <w:pPr>
                    <w:jc w:val="center"/>
                    <w:rPr>
                      <w:rFonts w:hint="default" w:ascii="Times New Roman" w:hAnsi="Times New Roman"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0</w:t>
                  </w:r>
                </w:p>
              </w:tc>
              <w:tc>
                <w:tcPr>
                  <w:tcW w:w="1209" w:type="pct"/>
                  <w:vAlign w:val="center"/>
                </w:tcPr>
                <w:p w14:paraId="799B651C">
                  <w:pPr>
                    <w:jc w:val="center"/>
                    <w:rPr>
                      <w:rFonts w:hint="default" w:ascii="Times New Roman" w:hAnsi="Times New Roman" w:cs="Times New Roman"/>
                      <w:color w:val="auto"/>
                      <w:sz w:val="21"/>
                      <w:szCs w:val="52"/>
                      <w:lang w:eastAsia="zh-CN"/>
                    </w:rPr>
                  </w:pPr>
                  <w:r>
                    <w:rPr>
                      <w:rFonts w:hint="default" w:ascii="Times New Roman" w:hAnsi="Times New Roman" w:cs="Times New Roman"/>
                      <w:color w:val="auto"/>
                    </w:rPr>
                    <w:t>此部分用水全部分蒸发消耗，不外排。</w:t>
                  </w:r>
                </w:p>
              </w:tc>
            </w:tr>
            <w:tr w14:paraId="18C0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14:paraId="6C9E618B">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拌合</w:t>
                  </w:r>
                </w:p>
                <w:p w14:paraId="5DB11C1B">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用水</w:t>
                  </w:r>
                </w:p>
              </w:tc>
              <w:tc>
                <w:tcPr>
                  <w:tcW w:w="449" w:type="pct"/>
                  <w:vAlign w:val="center"/>
                </w:tcPr>
                <w:p w14:paraId="6D388065">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160</w:t>
                  </w:r>
                </w:p>
              </w:tc>
              <w:tc>
                <w:tcPr>
                  <w:tcW w:w="489" w:type="pct"/>
                  <w:vAlign w:val="center"/>
                </w:tcPr>
                <w:p w14:paraId="64286396">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48000</w:t>
                  </w:r>
                </w:p>
              </w:tc>
              <w:tc>
                <w:tcPr>
                  <w:tcW w:w="429" w:type="pct"/>
                  <w:vAlign w:val="center"/>
                </w:tcPr>
                <w:p w14:paraId="36F2952E">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160</w:t>
                  </w:r>
                </w:p>
              </w:tc>
              <w:tc>
                <w:tcPr>
                  <w:tcW w:w="461" w:type="pct"/>
                  <w:vAlign w:val="center"/>
                </w:tcPr>
                <w:p w14:paraId="485D9B2E">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48000</w:t>
                  </w:r>
                </w:p>
              </w:tc>
              <w:tc>
                <w:tcPr>
                  <w:tcW w:w="429" w:type="pct"/>
                  <w:vAlign w:val="center"/>
                </w:tcPr>
                <w:p w14:paraId="5D03CE65">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w:t>
                  </w:r>
                </w:p>
              </w:tc>
              <w:tc>
                <w:tcPr>
                  <w:tcW w:w="429" w:type="pct"/>
                  <w:vAlign w:val="center"/>
                </w:tcPr>
                <w:p w14:paraId="122222EE">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w:t>
                  </w:r>
                </w:p>
              </w:tc>
              <w:tc>
                <w:tcPr>
                  <w:tcW w:w="510" w:type="pct"/>
                  <w:vAlign w:val="center"/>
                </w:tcPr>
                <w:p w14:paraId="7FA87390">
                  <w:pPr>
                    <w:jc w:val="center"/>
                    <w:rPr>
                      <w:rFonts w:hint="default" w:ascii="Times New Roman" w:hAnsi="Times New Roman"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0</w:t>
                  </w:r>
                </w:p>
              </w:tc>
              <w:tc>
                <w:tcPr>
                  <w:tcW w:w="1209" w:type="pct"/>
                  <w:vAlign w:val="center"/>
                </w:tcPr>
                <w:p w14:paraId="7A72C562">
                  <w:pPr>
                    <w:jc w:val="center"/>
                    <w:rPr>
                      <w:rFonts w:hint="default" w:ascii="Times New Roman" w:hAnsi="Times New Roman" w:cs="Times New Roman"/>
                      <w:bCs/>
                      <w:color w:val="auto"/>
                      <w:kern w:val="2"/>
                      <w:sz w:val="21"/>
                      <w:szCs w:val="21"/>
                      <w:lang w:eastAsia="zh-CN"/>
                    </w:rPr>
                  </w:pPr>
                  <w:r>
                    <w:rPr>
                      <w:rFonts w:hint="default" w:ascii="Times New Roman" w:hAnsi="Times New Roman" w:cs="Times New Roman"/>
                      <w:bCs/>
                      <w:color w:val="auto"/>
                      <w:kern w:val="2"/>
                      <w:sz w:val="21"/>
                      <w:szCs w:val="21"/>
                      <w:lang w:eastAsia="zh-CN"/>
                    </w:rPr>
                    <w:t>原料混合搅拌用水全部进入产品，不外排，故不产生废水。</w:t>
                  </w:r>
                </w:p>
              </w:tc>
            </w:tr>
            <w:tr w14:paraId="7A72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14:paraId="7736F7AB">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搅拌机清洗用水</w:t>
                  </w:r>
                </w:p>
              </w:tc>
              <w:tc>
                <w:tcPr>
                  <w:tcW w:w="449" w:type="pct"/>
                  <w:vAlign w:val="center"/>
                </w:tcPr>
                <w:p w14:paraId="79775864">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12</w:t>
                  </w:r>
                </w:p>
              </w:tc>
              <w:tc>
                <w:tcPr>
                  <w:tcW w:w="489" w:type="pct"/>
                  <w:vAlign w:val="center"/>
                </w:tcPr>
                <w:p w14:paraId="74AE9D7B">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3600</w:t>
                  </w:r>
                </w:p>
              </w:tc>
              <w:tc>
                <w:tcPr>
                  <w:tcW w:w="429" w:type="pct"/>
                  <w:vAlign w:val="center"/>
                </w:tcPr>
                <w:p w14:paraId="27DA487B">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2.4</w:t>
                  </w:r>
                </w:p>
              </w:tc>
              <w:tc>
                <w:tcPr>
                  <w:tcW w:w="461" w:type="pct"/>
                  <w:vAlign w:val="center"/>
                </w:tcPr>
                <w:p w14:paraId="6B4F5004">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720</w:t>
                  </w:r>
                </w:p>
              </w:tc>
              <w:tc>
                <w:tcPr>
                  <w:tcW w:w="429" w:type="pct"/>
                  <w:vAlign w:val="center"/>
                </w:tcPr>
                <w:p w14:paraId="2D28E89E">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9.6</w:t>
                  </w:r>
                </w:p>
              </w:tc>
              <w:tc>
                <w:tcPr>
                  <w:tcW w:w="429" w:type="pct"/>
                  <w:vAlign w:val="center"/>
                </w:tcPr>
                <w:p w14:paraId="1697694E">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2880</w:t>
                  </w:r>
                </w:p>
              </w:tc>
              <w:tc>
                <w:tcPr>
                  <w:tcW w:w="510" w:type="pct"/>
                  <w:vAlign w:val="center"/>
                </w:tcPr>
                <w:p w14:paraId="2DBA8059">
                  <w:pPr>
                    <w:jc w:val="center"/>
                    <w:rPr>
                      <w:rFonts w:hint="default" w:ascii="Times New Roman" w:hAnsi="Times New Roman"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0</w:t>
                  </w:r>
                </w:p>
              </w:tc>
              <w:tc>
                <w:tcPr>
                  <w:tcW w:w="1209" w:type="pct"/>
                  <w:vMerge w:val="restart"/>
                  <w:vAlign w:val="center"/>
                </w:tcPr>
                <w:p w14:paraId="01D6A467">
                  <w:pPr>
                    <w:jc w:val="center"/>
                    <w:rPr>
                      <w:rFonts w:hint="default" w:ascii="Times New Roman" w:hAnsi="Times New Roman" w:cs="Times New Roman"/>
                      <w:bCs/>
                      <w:color w:val="auto"/>
                      <w:kern w:val="2"/>
                      <w:sz w:val="21"/>
                      <w:szCs w:val="21"/>
                      <w:lang w:eastAsia="zh-CN"/>
                    </w:rPr>
                  </w:pPr>
                  <w:r>
                    <w:rPr>
                      <w:rFonts w:hint="default" w:ascii="Times New Roman" w:hAnsi="Times New Roman" w:cs="Times New Roman"/>
                      <w:bCs/>
                      <w:color w:val="auto"/>
                      <w:kern w:val="2"/>
                      <w:sz w:val="21"/>
                      <w:szCs w:val="21"/>
                      <w:lang w:eastAsia="zh-CN"/>
                    </w:rPr>
                    <w:t>搅拌机冲洗废水和运输车辆冲洗废水经三级沉淀池处理后循环使用，不外排。</w:t>
                  </w:r>
                </w:p>
              </w:tc>
            </w:tr>
            <w:tr w14:paraId="69D2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92" w:type="pct"/>
                  <w:vAlign w:val="center"/>
                </w:tcPr>
                <w:p w14:paraId="393F1C88">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运输车辆冲洗用水</w:t>
                  </w:r>
                </w:p>
              </w:tc>
              <w:tc>
                <w:tcPr>
                  <w:tcW w:w="449" w:type="pct"/>
                  <w:vAlign w:val="center"/>
                </w:tcPr>
                <w:p w14:paraId="446F9A32">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7.2</w:t>
                  </w:r>
                </w:p>
              </w:tc>
              <w:tc>
                <w:tcPr>
                  <w:tcW w:w="489" w:type="pct"/>
                  <w:vAlign w:val="center"/>
                </w:tcPr>
                <w:p w14:paraId="5AEF6F35">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2160</w:t>
                  </w:r>
                </w:p>
              </w:tc>
              <w:tc>
                <w:tcPr>
                  <w:tcW w:w="429" w:type="pct"/>
                  <w:vAlign w:val="center"/>
                </w:tcPr>
                <w:p w14:paraId="4662278D">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0.72</w:t>
                  </w:r>
                </w:p>
              </w:tc>
              <w:tc>
                <w:tcPr>
                  <w:tcW w:w="461" w:type="pct"/>
                  <w:vAlign w:val="center"/>
                </w:tcPr>
                <w:p w14:paraId="7F069DC3">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216</w:t>
                  </w:r>
                </w:p>
              </w:tc>
              <w:tc>
                <w:tcPr>
                  <w:tcW w:w="429" w:type="pct"/>
                  <w:vAlign w:val="center"/>
                </w:tcPr>
                <w:p w14:paraId="057B5843">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6.48</w:t>
                  </w:r>
                </w:p>
              </w:tc>
              <w:tc>
                <w:tcPr>
                  <w:tcW w:w="429" w:type="pct"/>
                  <w:vAlign w:val="center"/>
                </w:tcPr>
                <w:p w14:paraId="6FE12703">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1944</w:t>
                  </w:r>
                </w:p>
              </w:tc>
              <w:tc>
                <w:tcPr>
                  <w:tcW w:w="510" w:type="pct"/>
                  <w:vAlign w:val="center"/>
                </w:tcPr>
                <w:p w14:paraId="4106C766">
                  <w:pPr>
                    <w:jc w:val="center"/>
                    <w:rPr>
                      <w:rFonts w:hint="default" w:ascii="Times New Roman" w:hAnsi="Times New Roman"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0</w:t>
                  </w:r>
                </w:p>
              </w:tc>
              <w:tc>
                <w:tcPr>
                  <w:tcW w:w="1209" w:type="pct"/>
                  <w:vMerge w:val="continue"/>
                  <w:vAlign w:val="center"/>
                </w:tcPr>
                <w:p w14:paraId="39E20A4C">
                  <w:pPr>
                    <w:jc w:val="center"/>
                    <w:rPr>
                      <w:rFonts w:hint="default" w:ascii="Times New Roman" w:hAnsi="Times New Roman" w:cs="Times New Roman"/>
                      <w:bCs/>
                      <w:color w:val="auto"/>
                      <w:kern w:val="2"/>
                      <w:sz w:val="21"/>
                      <w:szCs w:val="21"/>
                      <w:lang w:eastAsia="zh-CN"/>
                    </w:rPr>
                  </w:pPr>
                </w:p>
              </w:tc>
            </w:tr>
            <w:tr w14:paraId="2ABD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14:paraId="7BAC4FDA">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生活污水</w:t>
                  </w:r>
                </w:p>
              </w:tc>
              <w:tc>
                <w:tcPr>
                  <w:tcW w:w="449" w:type="pct"/>
                  <w:vAlign w:val="center"/>
                </w:tcPr>
                <w:p w14:paraId="44712E5A">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0.9</w:t>
                  </w:r>
                </w:p>
              </w:tc>
              <w:tc>
                <w:tcPr>
                  <w:tcW w:w="489" w:type="pct"/>
                  <w:vAlign w:val="center"/>
                </w:tcPr>
                <w:p w14:paraId="505C9773">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270</w:t>
                  </w:r>
                </w:p>
              </w:tc>
              <w:tc>
                <w:tcPr>
                  <w:tcW w:w="429" w:type="pct"/>
                  <w:vAlign w:val="center"/>
                </w:tcPr>
                <w:p w14:paraId="1C1FF313">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0.18</w:t>
                  </w:r>
                </w:p>
              </w:tc>
              <w:tc>
                <w:tcPr>
                  <w:tcW w:w="461" w:type="pct"/>
                  <w:vAlign w:val="center"/>
                </w:tcPr>
                <w:p w14:paraId="5DE07F62">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54</w:t>
                  </w:r>
                </w:p>
              </w:tc>
              <w:tc>
                <w:tcPr>
                  <w:tcW w:w="429" w:type="pct"/>
                  <w:vAlign w:val="center"/>
                </w:tcPr>
                <w:p w14:paraId="5E20052C">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0.72</w:t>
                  </w:r>
                </w:p>
              </w:tc>
              <w:tc>
                <w:tcPr>
                  <w:tcW w:w="429" w:type="pct"/>
                  <w:vAlign w:val="center"/>
                </w:tcPr>
                <w:p w14:paraId="40647F2C">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216</w:t>
                  </w:r>
                </w:p>
              </w:tc>
              <w:tc>
                <w:tcPr>
                  <w:tcW w:w="510" w:type="pct"/>
                  <w:vAlign w:val="center"/>
                </w:tcPr>
                <w:p w14:paraId="48E98923">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0</w:t>
                  </w:r>
                </w:p>
              </w:tc>
              <w:tc>
                <w:tcPr>
                  <w:tcW w:w="1209" w:type="pct"/>
                  <w:vAlign w:val="center"/>
                </w:tcPr>
                <w:p w14:paraId="36E49F33">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本项目产生的生活污水经化粪池（容积3m</w:t>
                  </w:r>
                  <w:r>
                    <w:rPr>
                      <w:rFonts w:hint="default" w:ascii="Times New Roman" w:hAnsi="Times New Roman" w:cs="Times New Roman"/>
                      <w:color w:val="auto"/>
                      <w:kern w:val="2"/>
                      <w:sz w:val="21"/>
                      <w:szCs w:val="52"/>
                      <w:vertAlign w:val="superscript"/>
                      <w:lang w:eastAsia="zh-CN"/>
                    </w:rPr>
                    <w:t>3</w:t>
                  </w:r>
                  <w:r>
                    <w:rPr>
                      <w:rFonts w:hint="default" w:ascii="Times New Roman" w:hAnsi="Times New Roman" w:cs="Times New Roman"/>
                      <w:color w:val="auto"/>
                      <w:kern w:val="2"/>
                      <w:sz w:val="21"/>
                      <w:szCs w:val="52"/>
                      <w:lang w:eastAsia="zh-CN"/>
                    </w:rPr>
                    <w:t>）预处理后进1个规模为2m</w:t>
                  </w:r>
                  <w:r>
                    <w:rPr>
                      <w:rFonts w:hint="default" w:ascii="Times New Roman" w:hAnsi="Times New Roman" w:cs="Times New Roman"/>
                      <w:color w:val="auto"/>
                      <w:kern w:val="2"/>
                      <w:sz w:val="21"/>
                      <w:szCs w:val="52"/>
                      <w:vertAlign w:val="superscript"/>
                      <w:lang w:eastAsia="zh-CN"/>
                    </w:rPr>
                    <w:t>3</w:t>
                  </w:r>
                  <w:r>
                    <w:rPr>
                      <w:rFonts w:hint="default" w:ascii="Times New Roman" w:hAnsi="Times New Roman" w:cs="Times New Roman"/>
                      <w:color w:val="auto"/>
                      <w:kern w:val="2"/>
                      <w:sz w:val="21"/>
                      <w:szCs w:val="52"/>
                      <w:lang w:eastAsia="zh-CN"/>
                    </w:rPr>
                    <w:t>/d的一体化污水处理站处理达《城市污水再生利用 城市杂用水水质》（GB/T 18920-2020）中城市绿化、道路清扫、消防、建筑施工标准后回用于项目区洒水降尘。在污水处理站后方设置1个容积5m</w:t>
                  </w:r>
                  <w:r>
                    <w:rPr>
                      <w:rFonts w:hint="default" w:ascii="Times New Roman" w:hAnsi="Times New Roman" w:cs="Times New Roman"/>
                      <w:color w:val="auto"/>
                      <w:kern w:val="2"/>
                      <w:sz w:val="21"/>
                      <w:szCs w:val="52"/>
                      <w:vertAlign w:val="superscript"/>
                      <w:lang w:eastAsia="zh-CN"/>
                    </w:rPr>
                    <w:t>3</w:t>
                  </w:r>
                  <w:r>
                    <w:rPr>
                      <w:rFonts w:hint="default" w:ascii="Times New Roman" w:hAnsi="Times New Roman" w:cs="Times New Roman"/>
                      <w:color w:val="auto"/>
                      <w:kern w:val="2"/>
                      <w:sz w:val="21"/>
                      <w:szCs w:val="52"/>
                      <w:lang w:eastAsia="zh-CN"/>
                    </w:rPr>
                    <w:t>的中水收集池，用于雨天收集污水处理站处理后的中水，待晴天回用。</w:t>
                  </w:r>
                </w:p>
              </w:tc>
            </w:tr>
            <w:tr w14:paraId="309E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14:paraId="0599DC71">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初期</w:t>
                  </w:r>
                </w:p>
                <w:p w14:paraId="5FE3EA07">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雨水</w:t>
                  </w:r>
                </w:p>
              </w:tc>
              <w:tc>
                <w:tcPr>
                  <w:tcW w:w="449" w:type="pct"/>
                  <w:vAlign w:val="center"/>
                </w:tcPr>
                <w:p w14:paraId="6D4E213D">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0</w:t>
                  </w:r>
                </w:p>
              </w:tc>
              <w:tc>
                <w:tcPr>
                  <w:tcW w:w="489" w:type="pct"/>
                  <w:vAlign w:val="center"/>
                </w:tcPr>
                <w:p w14:paraId="0FF597F5">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0</w:t>
                  </w:r>
                </w:p>
              </w:tc>
              <w:tc>
                <w:tcPr>
                  <w:tcW w:w="429" w:type="pct"/>
                  <w:vAlign w:val="center"/>
                </w:tcPr>
                <w:p w14:paraId="604711E4">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0</w:t>
                  </w:r>
                </w:p>
              </w:tc>
              <w:tc>
                <w:tcPr>
                  <w:tcW w:w="461" w:type="pct"/>
                  <w:vAlign w:val="center"/>
                </w:tcPr>
                <w:p w14:paraId="68839923">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0</w:t>
                  </w:r>
                </w:p>
              </w:tc>
              <w:tc>
                <w:tcPr>
                  <w:tcW w:w="429" w:type="pct"/>
                  <w:vAlign w:val="center"/>
                </w:tcPr>
                <w:p w14:paraId="5ED74713">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48.81</w:t>
                  </w:r>
                </w:p>
              </w:tc>
              <w:tc>
                <w:tcPr>
                  <w:tcW w:w="429" w:type="pct"/>
                  <w:vAlign w:val="center"/>
                </w:tcPr>
                <w:p w14:paraId="462B2A4E">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48.81</w:t>
                  </w:r>
                </w:p>
              </w:tc>
              <w:tc>
                <w:tcPr>
                  <w:tcW w:w="510" w:type="pct"/>
                  <w:vAlign w:val="center"/>
                </w:tcPr>
                <w:p w14:paraId="76B6567C">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0</w:t>
                  </w:r>
                </w:p>
              </w:tc>
              <w:tc>
                <w:tcPr>
                  <w:tcW w:w="1209" w:type="pct"/>
                  <w:vAlign w:val="center"/>
                </w:tcPr>
                <w:p w14:paraId="29462C0B">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eastAsia="zh-CN"/>
                    </w:rPr>
                    <w:t>设置一个容积不小于</w:t>
                  </w:r>
                  <w:r>
                    <w:rPr>
                      <w:rFonts w:hint="default" w:ascii="Times New Roman" w:hAnsi="Times New Roman" w:cs="Times New Roman"/>
                      <w:color w:val="auto"/>
                      <w:kern w:val="2"/>
                      <w:sz w:val="21"/>
                      <w:szCs w:val="52"/>
                      <w:lang w:val="en-US" w:eastAsia="zh-CN"/>
                    </w:rPr>
                    <w:t>54</w:t>
                  </w:r>
                  <w:r>
                    <w:rPr>
                      <w:rFonts w:hint="default" w:ascii="Times New Roman" w:hAnsi="Times New Roman" w:cs="Times New Roman"/>
                      <w:color w:val="auto"/>
                      <w:kern w:val="2"/>
                      <w:sz w:val="21"/>
                      <w:szCs w:val="52"/>
                      <w:lang w:eastAsia="zh-CN"/>
                    </w:rPr>
                    <w:t>m</w:t>
                  </w:r>
                  <w:r>
                    <w:rPr>
                      <w:rFonts w:hint="default" w:ascii="Times New Roman" w:hAnsi="Times New Roman" w:cs="Times New Roman"/>
                      <w:color w:val="auto"/>
                      <w:kern w:val="2"/>
                      <w:sz w:val="21"/>
                      <w:szCs w:val="52"/>
                      <w:vertAlign w:val="superscript"/>
                      <w:lang w:eastAsia="zh-CN"/>
                    </w:rPr>
                    <w:t>3</w:t>
                  </w:r>
                  <w:r>
                    <w:rPr>
                      <w:rFonts w:hint="default" w:ascii="Times New Roman" w:hAnsi="Times New Roman" w:cs="Times New Roman"/>
                      <w:color w:val="auto"/>
                      <w:kern w:val="2"/>
                      <w:sz w:val="21"/>
                      <w:szCs w:val="52"/>
                      <w:lang w:eastAsia="zh-CN"/>
                    </w:rPr>
                    <w:t>的初期雨水收集池对初期雨水进行沉淀处理后，回用于生产。</w:t>
                  </w:r>
                </w:p>
              </w:tc>
            </w:tr>
            <w:tr w14:paraId="7210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14:paraId="18700E44">
                  <w:pPr>
                    <w:jc w:val="center"/>
                    <w:rPr>
                      <w:rFonts w:hint="default" w:ascii="Times New Roman" w:hAnsi="Times New Roman" w:cs="Times New Roman"/>
                      <w:b/>
                      <w:bCs/>
                      <w:color w:val="auto"/>
                      <w:kern w:val="2"/>
                      <w:sz w:val="21"/>
                      <w:szCs w:val="52"/>
                      <w:highlight w:val="yellow"/>
                      <w:lang w:eastAsia="zh-CN"/>
                    </w:rPr>
                  </w:pPr>
                  <w:r>
                    <w:rPr>
                      <w:rFonts w:hint="default" w:ascii="Times New Roman" w:hAnsi="Times New Roman" w:cs="Times New Roman"/>
                      <w:b/>
                      <w:bCs/>
                      <w:color w:val="auto"/>
                      <w:kern w:val="2"/>
                      <w:sz w:val="21"/>
                      <w:szCs w:val="52"/>
                      <w:lang w:eastAsia="zh-CN"/>
                    </w:rPr>
                    <w:t>合计</w:t>
                  </w:r>
                </w:p>
              </w:tc>
              <w:tc>
                <w:tcPr>
                  <w:tcW w:w="449" w:type="pct"/>
                </w:tcPr>
                <w:p w14:paraId="534A2BDE">
                  <w:pPr>
                    <w:jc w:val="center"/>
                    <w:rPr>
                      <w:rFonts w:hint="default" w:ascii="Times New Roman" w:hAnsi="Times New Roman" w:cs="Times New Roman"/>
                      <w:b/>
                      <w:bCs/>
                      <w:color w:val="auto"/>
                      <w:kern w:val="2"/>
                      <w:sz w:val="21"/>
                      <w:szCs w:val="52"/>
                      <w:lang w:val="en-US" w:eastAsia="zh-CN"/>
                    </w:rPr>
                  </w:pPr>
                  <w:r>
                    <w:rPr>
                      <w:rFonts w:hint="default" w:ascii="Times New Roman" w:hAnsi="Times New Roman" w:cs="Times New Roman"/>
                      <w:b/>
                      <w:bCs/>
                      <w:color w:val="auto"/>
                      <w:kern w:val="2"/>
                      <w:sz w:val="21"/>
                      <w:szCs w:val="52"/>
                      <w:lang w:val="en-US" w:eastAsia="zh-CN"/>
                    </w:rPr>
                    <w:t>191.74</w:t>
                  </w:r>
                </w:p>
              </w:tc>
              <w:tc>
                <w:tcPr>
                  <w:tcW w:w="489" w:type="pct"/>
                </w:tcPr>
                <w:p w14:paraId="01AE516A">
                  <w:pPr>
                    <w:jc w:val="center"/>
                    <w:rPr>
                      <w:rFonts w:hint="default" w:ascii="Times New Roman" w:hAnsi="Times New Roman" w:cs="Times New Roman"/>
                      <w:b/>
                      <w:bCs/>
                      <w:color w:val="auto"/>
                      <w:kern w:val="2"/>
                      <w:sz w:val="21"/>
                      <w:szCs w:val="52"/>
                      <w:lang w:val="en-US" w:eastAsia="zh-CN"/>
                    </w:rPr>
                  </w:pPr>
                  <w:r>
                    <w:rPr>
                      <w:rFonts w:hint="default" w:ascii="Times New Roman" w:hAnsi="Times New Roman" w:cs="Times New Roman"/>
                      <w:b/>
                      <w:bCs/>
                      <w:color w:val="auto"/>
                      <w:kern w:val="2"/>
                      <w:sz w:val="21"/>
                      <w:szCs w:val="52"/>
                      <w:lang w:val="en-US" w:eastAsia="zh-CN"/>
                    </w:rPr>
                    <w:t>56358</w:t>
                  </w:r>
                </w:p>
              </w:tc>
              <w:tc>
                <w:tcPr>
                  <w:tcW w:w="429" w:type="pct"/>
                </w:tcPr>
                <w:p w14:paraId="6AEDABFD">
                  <w:pPr>
                    <w:jc w:val="center"/>
                    <w:rPr>
                      <w:rFonts w:hint="default" w:ascii="Times New Roman" w:hAnsi="Times New Roman" w:cs="Times New Roman"/>
                      <w:b/>
                      <w:bCs/>
                      <w:color w:val="auto"/>
                      <w:kern w:val="2"/>
                      <w:sz w:val="21"/>
                      <w:szCs w:val="52"/>
                      <w:lang w:val="en-US" w:eastAsia="zh-CN"/>
                    </w:rPr>
                  </w:pPr>
                  <w:r>
                    <w:rPr>
                      <w:rFonts w:hint="default" w:ascii="Times New Roman" w:hAnsi="Times New Roman" w:cs="Times New Roman"/>
                      <w:b/>
                      <w:bCs/>
                      <w:color w:val="auto"/>
                      <w:kern w:val="2"/>
                      <w:sz w:val="21"/>
                      <w:szCs w:val="52"/>
                      <w:lang w:val="en-US" w:eastAsia="zh-CN"/>
                    </w:rPr>
                    <w:t>174.94</w:t>
                  </w:r>
                </w:p>
              </w:tc>
              <w:tc>
                <w:tcPr>
                  <w:tcW w:w="461" w:type="pct"/>
                </w:tcPr>
                <w:p w14:paraId="7E548C34">
                  <w:pPr>
                    <w:jc w:val="center"/>
                    <w:rPr>
                      <w:rFonts w:hint="default" w:ascii="Times New Roman" w:hAnsi="Times New Roman" w:cs="Times New Roman"/>
                      <w:b/>
                      <w:bCs/>
                      <w:color w:val="auto"/>
                      <w:kern w:val="2"/>
                      <w:sz w:val="21"/>
                      <w:szCs w:val="52"/>
                      <w:lang w:val="en-US" w:eastAsia="zh-CN"/>
                    </w:rPr>
                  </w:pPr>
                  <w:r>
                    <w:rPr>
                      <w:rFonts w:hint="default" w:ascii="Times New Roman" w:hAnsi="Times New Roman" w:cs="Times New Roman"/>
                      <w:b/>
                      <w:bCs/>
                      <w:color w:val="auto"/>
                      <w:kern w:val="2"/>
                      <w:sz w:val="21"/>
                      <w:szCs w:val="52"/>
                      <w:lang w:val="en-US" w:eastAsia="zh-CN"/>
                    </w:rPr>
                    <w:t>51318</w:t>
                  </w:r>
                </w:p>
              </w:tc>
              <w:tc>
                <w:tcPr>
                  <w:tcW w:w="429" w:type="pct"/>
                </w:tcPr>
                <w:p w14:paraId="65EA15FD">
                  <w:pPr>
                    <w:jc w:val="center"/>
                    <w:rPr>
                      <w:rFonts w:hint="default" w:ascii="Times New Roman" w:hAnsi="Times New Roman" w:cs="Times New Roman"/>
                      <w:b/>
                      <w:bCs/>
                      <w:color w:val="auto"/>
                      <w:kern w:val="2"/>
                      <w:sz w:val="21"/>
                      <w:szCs w:val="52"/>
                      <w:lang w:val="en-US" w:eastAsia="zh-CN"/>
                    </w:rPr>
                  </w:pPr>
                  <w:r>
                    <w:rPr>
                      <w:rFonts w:hint="default" w:ascii="Times New Roman" w:hAnsi="Times New Roman" w:cs="Times New Roman"/>
                      <w:b/>
                      <w:bCs/>
                      <w:color w:val="auto"/>
                      <w:kern w:val="2"/>
                      <w:sz w:val="21"/>
                      <w:szCs w:val="52"/>
                      <w:lang w:val="en-US" w:eastAsia="zh-CN"/>
                    </w:rPr>
                    <w:t>65.61</w:t>
                  </w:r>
                </w:p>
              </w:tc>
              <w:tc>
                <w:tcPr>
                  <w:tcW w:w="429" w:type="pct"/>
                </w:tcPr>
                <w:p w14:paraId="5C50FF21">
                  <w:pPr>
                    <w:jc w:val="center"/>
                    <w:rPr>
                      <w:rFonts w:hint="default" w:ascii="Times New Roman" w:hAnsi="Times New Roman" w:cs="Times New Roman"/>
                      <w:b/>
                      <w:bCs/>
                      <w:color w:val="auto"/>
                      <w:kern w:val="2"/>
                      <w:sz w:val="21"/>
                      <w:szCs w:val="52"/>
                      <w:lang w:val="en-US" w:eastAsia="zh-CN"/>
                    </w:rPr>
                  </w:pPr>
                  <w:r>
                    <w:rPr>
                      <w:rFonts w:hint="default" w:ascii="Times New Roman" w:hAnsi="Times New Roman" w:cs="Times New Roman"/>
                      <w:b/>
                      <w:bCs/>
                      <w:color w:val="auto"/>
                      <w:kern w:val="2"/>
                      <w:sz w:val="21"/>
                      <w:szCs w:val="52"/>
                      <w:lang w:val="en-US" w:eastAsia="zh-CN"/>
                    </w:rPr>
                    <w:t>5088.81</w:t>
                  </w:r>
                </w:p>
              </w:tc>
              <w:tc>
                <w:tcPr>
                  <w:tcW w:w="510" w:type="pct"/>
                  <w:vAlign w:val="center"/>
                </w:tcPr>
                <w:p w14:paraId="30C00C72">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0</w:t>
                  </w:r>
                </w:p>
              </w:tc>
              <w:tc>
                <w:tcPr>
                  <w:tcW w:w="1209" w:type="pct"/>
                  <w:vAlign w:val="center"/>
                </w:tcPr>
                <w:p w14:paraId="6080FC01">
                  <w:pPr>
                    <w:jc w:val="center"/>
                    <w:rPr>
                      <w:rFonts w:hint="default" w:ascii="Times New Roman" w:hAnsi="Times New Roman" w:cs="Times New Roman"/>
                      <w:b/>
                      <w:bCs/>
                      <w:color w:val="auto"/>
                      <w:kern w:val="2"/>
                      <w:sz w:val="21"/>
                      <w:szCs w:val="52"/>
                      <w:lang w:eastAsia="zh-CN"/>
                    </w:rPr>
                  </w:pPr>
                  <w:r>
                    <w:rPr>
                      <w:rFonts w:hint="default" w:ascii="Times New Roman" w:hAnsi="Times New Roman" w:cs="Times New Roman"/>
                      <w:b/>
                      <w:bCs/>
                      <w:color w:val="auto"/>
                      <w:kern w:val="2"/>
                      <w:sz w:val="21"/>
                      <w:szCs w:val="52"/>
                      <w:lang w:eastAsia="zh-CN"/>
                    </w:rPr>
                    <w:t>/</w:t>
                  </w:r>
                </w:p>
              </w:tc>
            </w:tr>
          </w:tbl>
          <w:p w14:paraId="7D0C2D67">
            <w:pPr>
              <w:spacing w:line="360" w:lineRule="auto"/>
              <w:ind w:firstLine="482"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b/>
                <w:color w:val="auto"/>
                <w:sz w:val="24"/>
                <w:lang w:eastAsia="zh-CN"/>
              </w:rPr>
              <w:t>项目晴天水平衡图如下：</w:t>
            </w:r>
          </w:p>
          <w:tbl>
            <w:tblPr>
              <w:tblStyle w:val="2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7"/>
            </w:tblGrid>
            <w:tr w14:paraId="530E7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7" w:hRule="atLeast"/>
              </w:trPr>
              <w:tc>
                <w:tcPr>
                  <w:tcW w:w="8037" w:type="dxa"/>
                  <w:tcBorders>
                    <w:tl2br w:val="nil"/>
                    <w:tr2bl w:val="nil"/>
                  </w:tcBorders>
                  <w:vAlign w:val="top"/>
                </w:tcPr>
                <w:p w14:paraId="1DC6EF2B">
                  <w:pPr>
                    <w:pStyle w:val="31"/>
                    <w:spacing w:after="120" w:afterLines="50"/>
                    <w:ind w:firstLine="422"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图2-</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 xml:space="preserve">   本项目晴天水平衡图</w:t>
                  </w:r>
                  <w:r>
                    <w:rPr>
                      <w:rFonts w:hint="default" w:ascii="Times New Roman" w:hAnsi="Times New Roman" w:cs="Times New Roman"/>
                      <w:color w:val="auto"/>
                    </w:rPr>
                    <w:pict>
                      <v:shape id="_x0000_s1026" o:spid="_x0000_s1026" o:spt="75" type="#_x0000_t75" style="position:absolute;left:0pt;margin-left:-5.4pt;margin-top:-1pt;height:199.5pt;width:400.75pt;mso-wrap-distance-bottom:0pt;mso-wrap-distance-left:9pt;mso-wrap-distance-right:9pt;mso-wrap-distance-top:0pt;z-index:251661312;mso-width-relative:page;mso-height-relative:page;" o:ole="t" filled="f" o:preferrelative="t" stroked="f" coordsize="21600,21600">
                        <v:path/>
                        <v:fill on="f" focussize="0,0"/>
                        <v:stroke on="f"/>
                        <v:imagedata r:id="rId9" o:title=""/>
                        <o:lock v:ext="edit" aspectratio="t"/>
                        <w10:wrap type="square"/>
                      </v:shape>
                      <o:OLEObject Type="Embed" ProgID="Visio.Drawing.11" ShapeID="_x0000_s1026" DrawAspect="Content" ObjectID="_1468075725" r:id="rId8">
                        <o:LockedField>false</o:LockedField>
                      </o:OLEObject>
                    </w:pict>
                  </w:r>
                </w:p>
              </w:tc>
            </w:tr>
          </w:tbl>
          <w:p w14:paraId="1665CCFC">
            <w:pPr>
              <w:pStyle w:val="29"/>
              <w:adjustRightInd w:val="0"/>
              <w:snapToGrid w:val="0"/>
              <w:ind w:firstLine="482"/>
              <w:rPr>
                <w:rFonts w:hint="default" w:ascii="Times New Roman" w:hAnsi="Times New Roman" w:cs="Times New Roman"/>
                <w:b/>
                <w:color w:val="auto"/>
              </w:rPr>
            </w:pPr>
            <w:r>
              <w:rPr>
                <w:rFonts w:hint="default" w:ascii="Times New Roman" w:hAnsi="Times New Roman" w:cs="Times New Roman"/>
                <w:b/>
                <w:color w:val="auto"/>
              </w:rPr>
              <w:t>项目雨天水平衡图如下：</w:t>
            </w:r>
          </w:p>
          <w:tbl>
            <w:tblPr>
              <w:tblStyle w:val="2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42"/>
            </w:tblGrid>
            <w:tr w14:paraId="057A5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42" w:type="dxa"/>
                  <w:tcBorders>
                    <w:tl2br w:val="nil"/>
                    <w:tr2bl w:val="nil"/>
                  </w:tcBorders>
                  <w:vAlign w:val="top"/>
                </w:tcPr>
                <w:p w14:paraId="2A381185">
                  <w:pPr>
                    <w:pStyle w:val="18"/>
                    <w:widowControl w:val="0"/>
                    <w:autoSpaceDE/>
                    <w:autoSpaceDN/>
                    <w:spacing w:before="0" w:beforeAutospacing="0" w:after="120" w:afterLines="50" w:afterAutospacing="0" w:line="240" w:lineRule="auto"/>
                    <w:jc w:val="center"/>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图2-</w:t>
                  </w:r>
                  <w:r>
                    <w:rPr>
                      <w:rFonts w:hint="default" w:ascii="Times New Roman" w:hAnsi="Times New Roman" w:cs="Times New Roman"/>
                      <w:b/>
                      <w:bCs/>
                      <w:color w:val="auto"/>
                      <w:sz w:val="21"/>
                      <w:szCs w:val="21"/>
                      <w:lang w:val="en-US" w:eastAsia="zh-CN"/>
                    </w:rPr>
                    <w:t xml:space="preserve">2  </w:t>
                  </w:r>
                  <w:r>
                    <w:rPr>
                      <w:rFonts w:hint="default" w:ascii="Times New Roman" w:hAnsi="Times New Roman" w:cs="Times New Roman"/>
                      <w:b/>
                      <w:bCs/>
                      <w:color w:val="auto"/>
                      <w:sz w:val="21"/>
                      <w:szCs w:val="21"/>
                    </w:rPr>
                    <w:t xml:space="preserve"> 项目雨天水平衡图  单位：m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d</w:t>
                  </w:r>
                  <w:r>
                    <w:rPr>
                      <w:rFonts w:hint="default" w:ascii="Times New Roman" w:hAnsi="Times New Roman" w:cs="Times New Roman"/>
                      <w:color w:val="auto"/>
                    </w:rPr>
                    <w:pict>
                      <v:shape id="_x0000_s1029" o:spid="_x0000_s1029" o:spt="75" type="#_x0000_t75" style="position:absolute;left:0pt;margin-left:6.6pt;margin-top:-310.2pt;height:240.45pt;width:403pt;mso-wrap-distance-bottom:0pt;mso-wrap-distance-left:9pt;mso-wrap-distance-right:9pt;mso-wrap-distance-top:0pt;z-index:251665408;mso-width-relative:page;mso-height-relative:page;" o:ole="t" filled="f" o:preferrelative="t" stroked="f" coordsize="21600,21600">
                        <v:path/>
                        <v:fill on="f" focussize="0,0"/>
                        <v:stroke on="f"/>
                        <v:imagedata r:id="rId11" o:title=""/>
                        <o:lock v:ext="edit" aspectratio="t"/>
                        <w10:wrap type="square"/>
                      </v:shape>
                      <o:OLEObject Type="Embed" ProgID="Visio.Drawing.11" ShapeID="_x0000_s1029" DrawAspect="Content" ObjectID="_1468075726" r:id="rId10">
                        <o:LockedField>false</o:LockedField>
                      </o:OLEObject>
                    </w:pict>
                  </w:r>
                </w:p>
              </w:tc>
            </w:tr>
          </w:tbl>
          <w:p w14:paraId="5A9DC037">
            <w:pPr>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九、平面布置</w:t>
            </w:r>
          </w:p>
          <w:p w14:paraId="7C637A59">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本项目总平面布置以“符合设计规范、保障安全生产、工艺流程合理、节约工程建设投资、方便检修和考虑发展、注重环境质量”为原则。总平面布置符合《建设项目环境保护设计规定》的规定，主体设备符合国家及行业相关的防火、安全、卫生、交通运输和环保设计规范、规定和规程的要求。</w:t>
            </w:r>
          </w:p>
          <w:p w14:paraId="5FB40C8F">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总</w:t>
            </w:r>
            <w:r>
              <w:rPr>
                <w:rFonts w:hint="default" w:ascii="Times New Roman" w:hAnsi="Times New Roman" w:cs="Times New Roman"/>
                <w:color w:val="auto"/>
              </w:rPr>
              <w:t>占地面积为</w:t>
            </w:r>
            <w:r>
              <w:rPr>
                <w:rFonts w:hint="default" w:ascii="Times New Roman" w:hAnsi="Times New Roman" w:cs="Times New Roman"/>
                <w:color w:val="auto"/>
                <w:lang w:val="en-US" w:eastAsia="zh-CN"/>
              </w:rPr>
              <w:t>4662</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。项目占地区域呈现不规则多边形，项目区内主要分布有办公区、</w:t>
            </w:r>
            <w:r>
              <w:rPr>
                <w:rFonts w:hint="default" w:ascii="Times New Roman" w:hAnsi="Times New Roman" w:cs="Times New Roman"/>
                <w:color w:val="auto"/>
                <w:lang w:val="en-US" w:eastAsia="zh-CN"/>
              </w:rPr>
              <w:t>值班室</w:t>
            </w:r>
            <w:r>
              <w:rPr>
                <w:rFonts w:hint="default" w:ascii="Times New Roman" w:hAnsi="Times New Roman" w:cs="Times New Roman"/>
                <w:color w:val="auto"/>
              </w:rPr>
              <w:t>、原料堆放区和生产车间。其中办公区位于项目</w:t>
            </w:r>
            <w:r>
              <w:rPr>
                <w:rFonts w:hint="default" w:ascii="Times New Roman" w:hAnsi="Times New Roman" w:cs="Times New Roman"/>
                <w:color w:val="auto"/>
                <w:lang w:val="en-US" w:eastAsia="zh-CN"/>
              </w:rPr>
              <w:t>南</w:t>
            </w:r>
            <w:r>
              <w:rPr>
                <w:rFonts w:hint="default" w:ascii="Times New Roman" w:hAnsi="Times New Roman" w:cs="Times New Roman"/>
                <w:color w:val="auto"/>
              </w:rPr>
              <w:t>侧，办公区</w:t>
            </w:r>
            <w:r>
              <w:rPr>
                <w:rFonts w:hint="default" w:ascii="Times New Roman" w:hAnsi="Times New Roman" w:cs="Times New Roman"/>
                <w:color w:val="auto"/>
                <w:lang w:val="en-US" w:eastAsia="zh-CN"/>
              </w:rPr>
              <w:t>东侧往北</w:t>
            </w:r>
            <w:r>
              <w:rPr>
                <w:rFonts w:hint="default" w:ascii="Times New Roman" w:hAnsi="Times New Roman" w:cs="Times New Roman"/>
                <w:color w:val="auto"/>
              </w:rPr>
              <w:t>，依次为</w:t>
            </w:r>
            <w:r>
              <w:rPr>
                <w:rFonts w:hint="default" w:ascii="Times New Roman" w:hAnsi="Times New Roman" w:cs="Times New Roman"/>
                <w:color w:val="auto"/>
                <w:lang w:val="en-US" w:eastAsia="zh-CN"/>
              </w:rPr>
              <w:t>生产区</w:t>
            </w:r>
            <w:r>
              <w:rPr>
                <w:rFonts w:hint="default" w:ascii="Times New Roman" w:hAnsi="Times New Roman" w:cs="Times New Roman"/>
                <w:color w:val="auto"/>
              </w:rPr>
              <w:t>→</w:t>
            </w:r>
            <w:r>
              <w:rPr>
                <w:rFonts w:hint="default" w:ascii="Times New Roman" w:hAnsi="Times New Roman" w:cs="Times New Roman"/>
                <w:color w:val="auto"/>
                <w:lang w:val="en-US" w:eastAsia="zh-CN"/>
              </w:rPr>
              <w:t>雨水收集池</w:t>
            </w:r>
            <w:r>
              <w:rPr>
                <w:rFonts w:hint="default" w:ascii="Times New Roman" w:hAnsi="Times New Roman" w:cs="Times New Roman"/>
                <w:color w:val="auto"/>
              </w:rPr>
              <w:t>。</w:t>
            </w:r>
            <w:r>
              <w:rPr>
                <w:rFonts w:hint="default" w:ascii="Times New Roman" w:hAnsi="Times New Roman" w:cs="Times New Roman"/>
                <w:color w:val="auto"/>
                <w:lang w:val="en-US" w:eastAsia="zh-CN"/>
              </w:rPr>
              <w:t>办公区西侧往北，依次为生产区</w:t>
            </w:r>
            <w:r>
              <w:rPr>
                <w:rFonts w:hint="default" w:ascii="Times New Roman" w:hAnsi="Times New Roman" w:cs="Times New Roman"/>
                <w:color w:val="auto"/>
              </w:rPr>
              <w:t>→</w:t>
            </w:r>
            <w:r>
              <w:rPr>
                <w:rFonts w:hint="default" w:ascii="Times New Roman" w:hAnsi="Times New Roman" w:cs="Times New Roman"/>
                <w:color w:val="auto"/>
                <w:lang w:val="en-US" w:eastAsia="zh-CN"/>
              </w:rPr>
              <w:t>原料堆场</w:t>
            </w:r>
            <w:r>
              <w:rPr>
                <w:rFonts w:hint="default" w:ascii="Times New Roman" w:hAnsi="Times New Roman" w:cs="Times New Roman"/>
                <w:color w:val="auto"/>
              </w:rPr>
              <w:t>→</w:t>
            </w:r>
            <w:r>
              <w:rPr>
                <w:rFonts w:hint="default" w:ascii="Times New Roman" w:hAnsi="Times New Roman" w:cs="Times New Roman"/>
                <w:color w:val="auto"/>
                <w:lang w:val="en-US" w:eastAsia="zh-CN"/>
              </w:rPr>
              <w:t>洗车台</w:t>
            </w:r>
            <w:r>
              <w:rPr>
                <w:rFonts w:hint="default" w:ascii="Times New Roman" w:hAnsi="Times New Roman" w:cs="Times New Roman"/>
                <w:color w:val="auto"/>
              </w:rPr>
              <w:t>→</w:t>
            </w:r>
            <w:r>
              <w:rPr>
                <w:rFonts w:hint="default" w:ascii="Times New Roman" w:hAnsi="Times New Roman" w:cs="Times New Roman"/>
                <w:color w:val="auto"/>
                <w:lang w:val="en-US" w:eastAsia="zh-CN"/>
              </w:rPr>
              <w:t>沉淀池。</w:t>
            </w:r>
            <w:r>
              <w:rPr>
                <w:rFonts w:hint="default" w:ascii="Times New Roman" w:hAnsi="Times New Roman" w:cs="Times New Roman"/>
                <w:color w:val="auto"/>
              </w:rPr>
              <w:t>生产</w:t>
            </w:r>
            <w:r>
              <w:rPr>
                <w:rFonts w:hint="default" w:ascii="Times New Roman" w:hAnsi="Times New Roman" w:cs="Times New Roman"/>
                <w:color w:val="auto"/>
                <w:lang w:val="en-US" w:eastAsia="zh-CN"/>
              </w:rPr>
              <w:t>过程洒水降尘</w:t>
            </w:r>
            <w:r>
              <w:rPr>
                <w:rFonts w:hint="default" w:ascii="Times New Roman" w:hAnsi="Times New Roman" w:cs="Times New Roman"/>
                <w:color w:val="auto"/>
              </w:rPr>
              <w:t>，对项目区周边环境敏感点影响较小，项目区周边有</w:t>
            </w:r>
            <w:r>
              <w:rPr>
                <w:rFonts w:hint="default" w:ascii="Times New Roman" w:hAnsi="Times New Roman" w:cs="Times New Roman"/>
                <w:color w:val="auto"/>
                <w:lang w:val="en-US" w:eastAsia="zh-CN"/>
              </w:rPr>
              <w:t>乡道</w:t>
            </w:r>
            <w:r>
              <w:rPr>
                <w:rFonts w:hint="default" w:ascii="Times New Roman" w:hAnsi="Times New Roman" w:cs="Times New Roman"/>
                <w:color w:val="auto"/>
              </w:rPr>
              <w:t>，方便原料、成品的运输。在项目区</w:t>
            </w:r>
            <w:r>
              <w:rPr>
                <w:rFonts w:hint="default" w:ascii="Times New Roman" w:hAnsi="Times New Roman" w:cs="Times New Roman"/>
                <w:color w:val="auto"/>
                <w:lang w:val="en-US" w:eastAsia="zh-CN"/>
              </w:rPr>
              <w:t>北</w:t>
            </w:r>
            <w:r>
              <w:rPr>
                <w:rFonts w:hint="default" w:ascii="Times New Roman" w:hAnsi="Times New Roman" w:cs="Times New Roman"/>
                <w:color w:val="auto"/>
              </w:rPr>
              <w:t>侧地势较低处设置1个容积为</w:t>
            </w:r>
            <w:r>
              <w:rPr>
                <w:rFonts w:hint="default" w:ascii="Times New Roman" w:hAnsi="Times New Roman" w:cs="Times New Roman"/>
                <w:color w:val="auto"/>
                <w:lang w:val="en-US" w:eastAsia="zh-CN"/>
              </w:rPr>
              <w:t>54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的初期雨水收集池，项目区实行雨污分流。项目总平面布置及环保设施分布图详见附图4。</w:t>
            </w:r>
          </w:p>
          <w:p w14:paraId="4C1CD320">
            <w:pPr>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十一、项目环保投资</w:t>
            </w:r>
          </w:p>
          <w:p w14:paraId="1B03372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本项目实际总投资</w:t>
            </w:r>
            <w:r>
              <w:rPr>
                <w:rFonts w:hint="default" w:ascii="Times New Roman" w:hAnsi="Times New Roman" w:cs="Times New Roman"/>
                <w:color w:val="auto"/>
                <w:sz w:val="24"/>
                <w:lang w:val="en-US" w:eastAsia="zh-CN"/>
              </w:rPr>
              <w:t>2270</w:t>
            </w:r>
            <w:r>
              <w:rPr>
                <w:rFonts w:hint="default" w:ascii="Times New Roman" w:hAnsi="Times New Roman" w:cs="Times New Roman"/>
                <w:color w:val="auto"/>
                <w:sz w:val="24"/>
                <w:lang w:eastAsia="zh-CN"/>
              </w:rPr>
              <w:t>万元，其中环保投资</w:t>
            </w:r>
            <w:r>
              <w:rPr>
                <w:rFonts w:hint="default" w:ascii="Times New Roman" w:hAnsi="Times New Roman" w:cs="Times New Roman"/>
                <w:color w:val="auto"/>
                <w:sz w:val="24"/>
                <w:lang w:val="en-US" w:eastAsia="zh-CN"/>
              </w:rPr>
              <w:t>16.82</w:t>
            </w:r>
            <w:r>
              <w:rPr>
                <w:rFonts w:hint="default" w:ascii="Times New Roman" w:hAnsi="Times New Roman" w:cs="Times New Roman"/>
                <w:color w:val="auto"/>
                <w:sz w:val="24"/>
                <w:lang w:eastAsia="zh-CN"/>
              </w:rPr>
              <w:t>万元，占总投资的</w:t>
            </w:r>
            <w:r>
              <w:rPr>
                <w:rFonts w:hint="default" w:ascii="Times New Roman" w:hAnsi="Times New Roman" w:cs="Times New Roman"/>
                <w:color w:val="auto"/>
                <w:sz w:val="24"/>
                <w:lang w:val="en-US" w:eastAsia="zh-CN"/>
              </w:rPr>
              <w:t>0.74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项目环保投资明细表见表2-</w:t>
            </w:r>
            <w:r>
              <w:rPr>
                <w:rFonts w:hint="default" w:ascii="Times New Roman" w:hAnsi="Times New Roman" w:cs="Times New Roman"/>
                <w:color w:val="auto"/>
                <w:sz w:val="24"/>
                <w:lang w:eastAsia="zh-CN"/>
              </w:rPr>
              <w:t>8</w:t>
            </w:r>
            <w:r>
              <w:rPr>
                <w:rFonts w:hint="default" w:ascii="Times New Roman" w:hAnsi="Times New Roman" w:cs="Times New Roman"/>
                <w:color w:val="auto"/>
                <w:sz w:val="24"/>
              </w:rPr>
              <w:t>。</w:t>
            </w:r>
          </w:p>
          <w:p w14:paraId="7AAB59DF">
            <w:pPr>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w:t>
            </w:r>
            <w:r>
              <w:rPr>
                <w:rFonts w:hint="default" w:ascii="Times New Roman" w:hAnsi="Times New Roman" w:cs="Times New Roman"/>
                <w:b/>
                <w:bCs/>
                <w:color w:val="auto"/>
                <w:sz w:val="21"/>
                <w:szCs w:val="21"/>
                <w:lang w:eastAsia="zh-CN"/>
              </w:rPr>
              <w:t xml:space="preserve">8  </w:t>
            </w:r>
            <w:r>
              <w:rPr>
                <w:rFonts w:hint="default" w:ascii="Times New Roman" w:hAnsi="Times New Roman" w:cs="Times New Roman"/>
                <w:b/>
                <w:bCs/>
                <w:color w:val="auto"/>
                <w:sz w:val="21"/>
                <w:szCs w:val="21"/>
              </w:rPr>
              <w:t xml:space="preserve"> 环保投资一览表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59"/>
              <w:gridCol w:w="1954"/>
              <w:gridCol w:w="3730"/>
              <w:gridCol w:w="1165"/>
            </w:tblGrid>
            <w:tr w14:paraId="4B8D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 w:type="pct"/>
                  <w:shd w:val="clear" w:color="auto" w:fill="auto"/>
                  <w:vAlign w:val="center"/>
                </w:tcPr>
                <w:p w14:paraId="69298BA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时段</w:t>
                  </w:r>
                </w:p>
              </w:tc>
              <w:tc>
                <w:tcPr>
                  <w:tcW w:w="1688" w:type="pct"/>
                  <w:gridSpan w:val="2"/>
                  <w:shd w:val="clear" w:color="auto" w:fill="auto"/>
                  <w:vAlign w:val="center"/>
                </w:tcPr>
                <w:p w14:paraId="7420943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治理项目</w:t>
                  </w:r>
                </w:p>
                <w:p w14:paraId="51E75035">
                  <w:pPr>
                    <w:jc w:val="center"/>
                    <w:rPr>
                      <w:rFonts w:hint="default" w:ascii="Times New Roman" w:hAnsi="Times New Roman" w:cs="Times New Roman"/>
                      <w:b/>
                      <w:bCs/>
                      <w:color w:val="auto"/>
                      <w:sz w:val="21"/>
                      <w:szCs w:val="21"/>
                    </w:rPr>
                  </w:pPr>
                </w:p>
              </w:tc>
              <w:tc>
                <w:tcPr>
                  <w:tcW w:w="2320" w:type="pct"/>
                  <w:shd w:val="clear" w:color="auto" w:fill="auto"/>
                  <w:vAlign w:val="center"/>
                </w:tcPr>
                <w:p w14:paraId="1030549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环保设施</w:t>
                  </w:r>
                </w:p>
              </w:tc>
              <w:tc>
                <w:tcPr>
                  <w:tcW w:w="725" w:type="pct"/>
                  <w:shd w:val="clear" w:color="auto" w:fill="auto"/>
                  <w:vAlign w:val="center"/>
                </w:tcPr>
                <w:p w14:paraId="5B24F75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环保投资</w:t>
                  </w:r>
                </w:p>
                <w:p w14:paraId="1E1E95D7">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（万元）</w:t>
                  </w:r>
                </w:p>
              </w:tc>
            </w:tr>
            <w:tr w14:paraId="4454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65" w:type="pct"/>
                  <w:vMerge w:val="restart"/>
                  <w:shd w:val="clear" w:color="auto" w:fill="auto"/>
                  <w:vAlign w:val="center"/>
                </w:tcPr>
                <w:p w14:paraId="60B148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w:t>
                  </w:r>
                </w:p>
                <w:p w14:paraId="6509BDB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w:t>
                  </w:r>
                </w:p>
                <w:p w14:paraId="5381C9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w:t>
                  </w:r>
                </w:p>
              </w:tc>
              <w:tc>
                <w:tcPr>
                  <w:tcW w:w="472" w:type="pct"/>
                  <w:vMerge w:val="restart"/>
                  <w:shd w:val="clear" w:color="auto" w:fill="auto"/>
                  <w:vAlign w:val="center"/>
                </w:tcPr>
                <w:p w14:paraId="513C483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216" w:type="pct"/>
                  <w:shd w:val="clear" w:color="auto" w:fill="auto"/>
                  <w:vAlign w:val="center"/>
                </w:tcPr>
                <w:p w14:paraId="1689D97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施工废水</w:t>
                  </w:r>
                </w:p>
              </w:tc>
              <w:tc>
                <w:tcPr>
                  <w:tcW w:w="2320" w:type="pct"/>
                  <w:vMerge w:val="restart"/>
                  <w:shd w:val="clear" w:color="auto" w:fill="auto"/>
                  <w:vAlign w:val="center"/>
                </w:tcPr>
                <w:p w14:paraId="14EA5438">
                  <w:pPr>
                    <w:jc w:val="center"/>
                    <w:rPr>
                      <w:rFonts w:hint="default" w:ascii="Times New Roman" w:hAnsi="Times New Roman" w:cs="Times New Roman"/>
                      <w:color w:val="auto"/>
                      <w:sz w:val="21"/>
                      <w:szCs w:val="21"/>
                      <w:lang w:eastAsia="zh-CN"/>
                    </w:rPr>
                  </w:pPr>
                  <w:r>
                    <w:rPr>
                      <w:rFonts w:hint="default" w:ascii="Times New Roman" w:hAnsi="Times New Roman" w:cs="Times New Roman"/>
                      <w:bCs/>
                      <w:color w:val="auto"/>
                      <w:sz w:val="21"/>
                      <w:szCs w:val="21"/>
                      <w:lang w:eastAsia="zh-CN"/>
                    </w:rPr>
                    <w:t>1个临时沉淀池，有效容积为1.5m</w:t>
                  </w:r>
                  <w:r>
                    <w:rPr>
                      <w:rFonts w:hint="default" w:ascii="Times New Roman" w:hAnsi="Times New Roman" w:cs="Times New Roman"/>
                      <w:bCs/>
                      <w:color w:val="auto"/>
                      <w:sz w:val="21"/>
                      <w:szCs w:val="21"/>
                      <w:vertAlign w:val="superscript"/>
                      <w:lang w:eastAsia="zh-CN"/>
                    </w:rPr>
                    <w:t>3</w:t>
                  </w:r>
                </w:p>
              </w:tc>
              <w:tc>
                <w:tcPr>
                  <w:tcW w:w="725" w:type="pct"/>
                  <w:vMerge w:val="restart"/>
                  <w:shd w:val="clear" w:color="auto" w:fill="auto"/>
                  <w:vAlign w:val="center"/>
                </w:tcPr>
                <w:p w14:paraId="0284E87D">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0.02</w:t>
                  </w:r>
                </w:p>
              </w:tc>
            </w:tr>
            <w:tr w14:paraId="6E04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5" w:type="pct"/>
                  <w:vMerge w:val="continue"/>
                  <w:shd w:val="clear" w:color="auto" w:fill="auto"/>
                  <w:vAlign w:val="center"/>
                </w:tcPr>
                <w:p w14:paraId="7CA5EC1A">
                  <w:pPr>
                    <w:jc w:val="center"/>
                    <w:rPr>
                      <w:rFonts w:hint="default" w:ascii="Times New Roman" w:hAnsi="Times New Roman" w:cs="Times New Roman"/>
                      <w:color w:val="auto"/>
                      <w:sz w:val="21"/>
                      <w:szCs w:val="21"/>
                    </w:rPr>
                  </w:pPr>
                </w:p>
              </w:tc>
              <w:tc>
                <w:tcPr>
                  <w:tcW w:w="472" w:type="pct"/>
                  <w:vMerge w:val="continue"/>
                  <w:shd w:val="clear" w:color="auto" w:fill="auto"/>
                  <w:vAlign w:val="center"/>
                </w:tcPr>
                <w:p w14:paraId="06857F7B">
                  <w:pPr>
                    <w:jc w:val="center"/>
                    <w:rPr>
                      <w:rFonts w:hint="default" w:ascii="Times New Roman" w:hAnsi="Times New Roman" w:cs="Times New Roman"/>
                      <w:color w:val="auto"/>
                      <w:sz w:val="21"/>
                      <w:szCs w:val="21"/>
                    </w:rPr>
                  </w:pPr>
                </w:p>
              </w:tc>
              <w:tc>
                <w:tcPr>
                  <w:tcW w:w="1216" w:type="pct"/>
                  <w:shd w:val="clear" w:color="auto" w:fill="auto"/>
                  <w:vAlign w:val="center"/>
                </w:tcPr>
                <w:p w14:paraId="239D31D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2320" w:type="pct"/>
                  <w:vMerge w:val="continue"/>
                  <w:shd w:val="clear" w:color="auto" w:fill="auto"/>
                  <w:vAlign w:val="center"/>
                </w:tcPr>
                <w:p w14:paraId="403B35C7">
                  <w:pPr>
                    <w:jc w:val="center"/>
                    <w:rPr>
                      <w:rFonts w:hint="default" w:ascii="Times New Roman" w:hAnsi="Times New Roman" w:cs="Times New Roman"/>
                      <w:bCs/>
                      <w:color w:val="auto"/>
                      <w:sz w:val="21"/>
                      <w:szCs w:val="21"/>
                    </w:rPr>
                  </w:pPr>
                </w:p>
              </w:tc>
              <w:tc>
                <w:tcPr>
                  <w:tcW w:w="725" w:type="pct"/>
                  <w:vMerge w:val="continue"/>
                  <w:shd w:val="clear" w:color="auto" w:fill="auto"/>
                  <w:vAlign w:val="center"/>
                </w:tcPr>
                <w:p w14:paraId="30020403">
                  <w:pPr>
                    <w:jc w:val="center"/>
                    <w:rPr>
                      <w:rFonts w:hint="default" w:ascii="Times New Roman" w:hAnsi="Times New Roman" w:cs="Times New Roman"/>
                      <w:color w:val="auto"/>
                      <w:sz w:val="21"/>
                      <w:szCs w:val="21"/>
                    </w:rPr>
                  </w:pPr>
                </w:p>
              </w:tc>
            </w:tr>
            <w:tr w14:paraId="3B48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65" w:type="pct"/>
                  <w:vMerge w:val="continue"/>
                  <w:shd w:val="clear" w:color="auto" w:fill="auto"/>
                  <w:vAlign w:val="center"/>
                </w:tcPr>
                <w:p w14:paraId="26DFCAB2">
                  <w:pPr>
                    <w:jc w:val="center"/>
                    <w:rPr>
                      <w:rFonts w:hint="default" w:ascii="Times New Roman" w:hAnsi="Times New Roman" w:cs="Times New Roman"/>
                      <w:color w:val="auto"/>
                      <w:sz w:val="21"/>
                      <w:szCs w:val="21"/>
                    </w:rPr>
                  </w:pPr>
                </w:p>
              </w:tc>
              <w:tc>
                <w:tcPr>
                  <w:tcW w:w="1688" w:type="pct"/>
                  <w:gridSpan w:val="2"/>
                  <w:shd w:val="clear" w:color="auto" w:fill="auto"/>
                  <w:vAlign w:val="center"/>
                </w:tcPr>
                <w:p w14:paraId="15311AA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雨天地表径流</w:t>
                  </w:r>
                </w:p>
              </w:tc>
              <w:tc>
                <w:tcPr>
                  <w:tcW w:w="2320" w:type="pct"/>
                  <w:shd w:val="clear" w:color="auto" w:fill="auto"/>
                  <w:vAlign w:val="center"/>
                </w:tcPr>
                <w:p w14:paraId="0D1479E2">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临时截排水沟长为</w:t>
                  </w:r>
                  <w:r>
                    <w:rPr>
                      <w:rFonts w:hint="default" w:ascii="Times New Roman" w:hAnsi="Times New Roman" w:cs="Times New Roman"/>
                      <w:bCs/>
                      <w:color w:val="auto"/>
                      <w:sz w:val="21"/>
                      <w:szCs w:val="21"/>
                      <w:lang w:eastAsia="zh-CN"/>
                    </w:rPr>
                    <w:t>1</w:t>
                  </w:r>
                  <w:r>
                    <w:rPr>
                      <w:rFonts w:hint="default" w:ascii="Times New Roman" w:hAnsi="Times New Roman" w:cs="Times New Roman"/>
                      <w:bCs/>
                      <w:color w:val="auto"/>
                      <w:sz w:val="21"/>
                      <w:szCs w:val="21"/>
                    </w:rPr>
                    <w:t>00m</w:t>
                  </w:r>
                </w:p>
              </w:tc>
              <w:tc>
                <w:tcPr>
                  <w:tcW w:w="725" w:type="pct"/>
                  <w:shd w:val="clear" w:color="auto" w:fill="auto"/>
                  <w:vAlign w:val="center"/>
                </w:tcPr>
                <w:p w14:paraId="08D3045F">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0.2                                                                                                                                                                                                                     </w:t>
                  </w:r>
                </w:p>
              </w:tc>
            </w:tr>
            <w:tr w14:paraId="3CB2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 w:type="pct"/>
                  <w:vMerge w:val="continue"/>
                  <w:shd w:val="clear" w:color="auto" w:fill="auto"/>
                  <w:vAlign w:val="center"/>
                </w:tcPr>
                <w:p w14:paraId="5033F63F">
                  <w:pPr>
                    <w:jc w:val="center"/>
                    <w:rPr>
                      <w:rFonts w:hint="default" w:ascii="Times New Roman" w:hAnsi="Times New Roman" w:cs="Times New Roman"/>
                      <w:color w:val="auto"/>
                      <w:sz w:val="21"/>
                      <w:szCs w:val="21"/>
                    </w:rPr>
                  </w:pPr>
                </w:p>
              </w:tc>
              <w:tc>
                <w:tcPr>
                  <w:tcW w:w="472" w:type="pct"/>
                  <w:shd w:val="clear" w:color="auto" w:fill="auto"/>
                  <w:vAlign w:val="center"/>
                </w:tcPr>
                <w:p w14:paraId="1A4BFD0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216" w:type="pct"/>
                  <w:shd w:val="clear" w:color="auto" w:fill="auto"/>
                  <w:vAlign w:val="center"/>
                </w:tcPr>
                <w:p w14:paraId="35563C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w:t>
                  </w:r>
                </w:p>
              </w:tc>
              <w:tc>
                <w:tcPr>
                  <w:tcW w:w="2320" w:type="pct"/>
                  <w:shd w:val="clear" w:color="auto" w:fill="auto"/>
                  <w:vAlign w:val="center"/>
                </w:tcPr>
                <w:p w14:paraId="01F1F6FA">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洒水抑尘、运输车辆篷布遮盖运输</w:t>
                  </w:r>
                </w:p>
              </w:tc>
              <w:tc>
                <w:tcPr>
                  <w:tcW w:w="725" w:type="pct"/>
                  <w:shd w:val="clear" w:color="auto" w:fill="auto"/>
                  <w:vAlign w:val="center"/>
                </w:tcPr>
                <w:p w14:paraId="268539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r>
            <w:tr w14:paraId="1B07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5" w:type="pct"/>
                  <w:vMerge w:val="continue"/>
                  <w:shd w:val="clear" w:color="auto" w:fill="auto"/>
                  <w:vAlign w:val="center"/>
                </w:tcPr>
                <w:p w14:paraId="45FA9356">
                  <w:pPr>
                    <w:jc w:val="center"/>
                    <w:rPr>
                      <w:rFonts w:hint="default" w:ascii="Times New Roman" w:hAnsi="Times New Roman" w:cs="Times New Roman"/>
                      <w:color w:val="auto"/>
                      <w:sz w:val="21"/>
                      <w:szCs w:val="21"/>
                    </w:rPr>
                  </w:pPr>
                </w:p>
              </w:tc>
              <w:tc>
                <w:tcPr>
                  <w:tcW w:w="472" w:type="pct"/>
                  <w:shd w:val="clear" w:color="auto" w:fill="auto"/>
                  <w:vAlign w:val="center"/>
                </w:tcPr>
                <w:p w14:paraId="771A957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216" w:type="pct"/>
                  <w:shd w:val="clear" w:color="auto" w:fill="auto"/>
                  <w:vAlign w:val="center"/>
                </w:tcPr>
                <w:p w14:paraId="74E293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施工设备噪声</w:t>
                  </w:r>
                </w:p>
              </w:tc>
              <w:tc>
                <w:tcPr>
                  <w:tcW w:w="2320" w:type="pct"/>
                  <w:shd w:val="clear" w:color="auto" w:fill="auto"/>
                  <w:vAlign w:val="center"/>
                </w:tcPr>
                <w:p w14:paraId="0FE0CE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施工设备安装减震垫</w:t>
                  </w:r>
                </w:p>
              </w:tc>
              <w:tc>
                <w:tcPr>
                  <w:tcW w:w="725" w:type="pct"/>
                  <w:shd w:val="clear" w:color="auto" w:fill="auto"/>
                  <w:vAlign w:val="center"/>
                </w:tcPr>
                <w:p w14:paraId="5CA7A17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r>
            <w:tr w14:paraId="73CE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265" w:type="pct"/>
                  <w:vMerge w:val="continue"/>
                  <w:shd w:val="clear" w:color="auto" w:fill="auto"/>
                  <w:vAlign w:val="center"/>
                </w:tcPr>
                <w:p w14:paraId="152FE2A3">
                  <w:pPr>
                    <w:jc w:val="center"/>
                    <w:rPr>
                      <w:rFonts w:hint="default" w:ascii="Times New Roman" w:hAnsi="Times New Roman" w:cs="Times New Roman"/>
                      <w:color w:val="auto"/>
                      <w:sz w:val="21"/>
                      <w:szCs w:val="21"/>
                    </w:rPr>
                  </w:pPr>
                </w:p>
              </w:tc>
              <w:tc>
                <w:tcPr>
                  <w:tcW w:w="472" w:type="pct"/>
                  <w:shd w:val="clear" w:color="auto" w:fill="auto"/>
                  <w:vAlign w:val="center"/>
                </w:tcPr>
                <w:p w14:paraId="0721533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216" w:type="pct"/>
                  <w:shd w:val="clear" w:color="auto" w:fill="auto"/>
                  <w:vAlign w:val="center"/>
                </w:tcPr>
                <w:p w14:paraId="5C52E21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建筑垃圾</w:t>
                  </w:r>
                </w:p>
              </w:tc>
              <w:tc>
                <w:tcPr>
                  <w:tcW w:w="2320" w:type="pct"/>
                  <w:shd w:val="clear" w:color="auto" w:fill="auto"/>
                  <w:vAlign w:val="center"/>
                </w:tcPr>
                <w:p w14:paraId="2822A45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收集清运，100%处置</w:t>
                  </w:r>
                </w:p>
              </w:tc>
              <w:tc>
                <w:tcPr>
                  <w:tcW w:w="725" w:type="pct"/>
                  <w:shd w:val="clear" w:color="auto" w:fill="auto"/>
                  <w:vAlign w:val="center"/>
                </w:tcPr>
                <w:p w14:paraId="21DB4AA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r>
            <w:tr w14:paraId="593A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65" w:type="pct"/>
                  <w:vMerge w:val="restart"/>
                  <w:shd w:val="clear" w:color="auto" w:fill="auto"/>
                  <w:vAlign w:val="center"/>
                </w:tcPr>
                <w:p w14:paraId="5BF5B17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472" w:type="pct"/>
                  <w:vMerge w:val="restart"/>
                  <w:shd w:val="clear" w:color="auto" w:fill="auto"/>
                  <w:vAlign w:val="center"/>
                </w:tcPr>
                <w:p w14:paraId="0A6E8E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216" w:type="pct"/>
                  <w:shd w:val="clear" w:color="auto" w:fill="auto"/>
                  <w:vAlign w:val="center"/>
                </w:tcPr>
                <w:p w14:paraId="1F009D95">
                  <w:pPr>
                    <w:widowControl/>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原料堆场</w:t>
                  </w:r>
                  <w:r>
                    <w:rPr>
                      <w:rFonts w:hint="default" w:ascii="Times New Roman" w:hAnsi="Times New Roman" w:cs="Times New Roman"/>
                      <w:color w:val="auto"/>
                      <w:sz w:val="21"/>
                      <w:szCs w:val="21"/>
                      <w:lang w:val="en-US" w:eastAsia="zh-CN"/>
                    </w:rPr>
                    <w:t>废气、运输</w:t>
                  </w:r>
                  <w:r>
                    <w:rPr>
                      <w:rFonts w:hint="default" w:ascii="Times New Roman" w:hAnsi="Times New Roman" w:eastAsia="宋体" w:cs="Times New Roman"/>
                      <w:color w:val="auto"/>
                      <w:sz w:val="21"/>
                      <w:szCs w:val="21"/>
                      <w:lang w:val="en-US" w:eastAsia="zh-CN"/>
                    </w:rPr>
                    <w:t>废气</w:t>
                  </w:r>
                </w:p>
              </w:tc>
              <w:tc>
                <w:tcPr>
                  <w:tcW w:w="2320" w:type="pct"/>
                  <w:shd w:val="clear" w:color="auto" w:fill="auto"/>
                  <w:vAlign w:val="center"/>
                </w:tcPr>
                <w:p w14:paraId="52F988A0">
                  <w:pPr>
                    <w:widowControl/>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位于厂区</w:t>
                  </w:r>
                  <w:r>
                    <w:rPr>
                      <w:rFonts w:hint="default" w:ascii="Times New Roman" w:hAnsi="Times New Roman" w:cs="Times New Roman"/>
                      <w:color w:val="auto"/>
                      <w:sz w:val="21"/>
                      <w:szCs w:val="21"/>
                      <w:lang w:val="en-US" w:eastAsia="zh-CN"/>
                    </w:rPr>
                    <w:t>西</w:t>
                  </w:r>
                  <w:r>
                    <w:rPr>
                      <w:rFonts w:hint="default" w:ascii="Times New Roman" w:hAnsi="Times New Roman" w:eastAsia="宋体" w:cs="Times New Roman"/>
                      <w:color w:val="auto"/>
                      <w:sz w:val="21"/>
                      <w:szCs w:val="21"/>
                      <w:lang w:val="en-US" w:eastAsia="zh-CN"/>
                    </w:rPr>
                    <w:t>侧，本项目原料周转较快，因此，本项目原料堆场设置一个面积约500m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的原料堆场，堆场设置三面围挡+顶棚措施，所有物料均进入料棚内堆存，同时采用篷布遮盖，此外，原料堆场应定时洒水降尘。</w:t>
                  </w:r>
                  <w:r>
                    <w:rPr>
                      <w:rFonts w:hint="default" w:ascii="Times New Roman" w:hAnsi="Times New Roman" w:cs="Times New Roman"/>
                      <w:color w:val="auto"/>
                      <w:lang w:val="en-US" w:eastAsia="zh-CN"/>
                    </w:rPr>
                    <w:t>原料采用卡车运输，卡车用苫布苫盖，原料的运输过程产生的扬尘通过定期洒水进行降尘、限速行驶等措施，可有效降低粉尘产生。</w:t>
                  </w:r>
                </w:p>
              </w:tc>
              <w:tc>
                <w:tcPr>
                  <w:tcW w:w="725" w:type="pct"/>
                  <w:shd w:val="clear" w:color="auto" w:fill="auto"/>
                  <w:vAlign w:val="center"/>
                </w:tcPr>
                <w:p w14:paraId="5853437C">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0.3</w:t>
                  </w:r>
                </w:p>
              </w:tc>
            </w:tr>
            <w:tr w14:paraId="6A52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265" w:type="pct"/>
                  <w:vMerge w:val="continue"/>
                  <w:shd w:val="clear" w:color="auto" w:fill="auto"/>
                  <w:vAlign w:val="center"/>
                </w:tcPr>
                <w:p w14:paraId="4CBD1D98">
                  <w:pPr>
                    <w:jc w:val="center"/>
                    <w:rPr>
                      <w:rFonts w:hint="default" w:ascii="Times New Roman" w:hAnsi="Times New Roman" w:cs="Times New Roman"/>
                      <w:color w:val="auto"/>
                      <w:sz w:val="21"/>
                      <w:szCs w:val="21"/>
                    </w:rPr>
                  </w:pPr>
                </w:p>
              </w:tc>
              <w:tc>
                <w:tcPr>
                  <w:tcW w:w="472" w:type="pct"/>
                  <w:vMerge w:val="continue"/>
                  <w:shd w:val="clear" w:color="auto" w:fill="auto"/>
                  <w:vAlign w:val="center"/>
                </w:tcPr>
                <w:p w14:paraId="30757C50">
                  <w:pPr>
                    <w:jc w:val="center"/>
                    <w:rPr>
                      <w:rFonts w:hint="default" w:ascii="Times New Roman" w:hAnsi="Times New Roman" w:cs="Times New Roman"/>
                      <w:color w:val="auto"/>
                      <w:sz w:val="21"/>
                      <w:szCs w:val="21"/>
                    </w:rPr>
                  </w:pPr>
                </w:p>
              </w:tc>
              <w:tc>
                <w:tcPr>
                  <w:tcW w:w="1216" w:type="pct"/>
                  <w:shd w:val="clear" w:color="auto" w:fill="auto"/>
                  <w:vAlign w:val="center"/>
                </w:tcPr>
                <w:p w14:paraId="761D296D">
                  <w:pPr>
                    <w:pStyle w:val="5"/>
                    <w:autoSpaceDE/>
                    <w:autoSpaceDN/>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上料</w:t>
                  </w:r>
                  <w:r>
                    <w:rPr>
                      <w:rFonts w:hint="default" w:ascii="Times New Roman" w:hAnsi="Times New Roman" w:eastAsia="宋体" w:cs="Times New Roman"/>
                      <w:b w:val="0"/>
                      <w:bCs w:val="0"/>
                      <w:color w:val="auto"/>
                      <w:sz w:val="21"/>
                      <w:szCs w:val="21"/>
                    </w:rPr>
                    <w:t>阶段废气</w:t>
                  </w:r>
                </w:p>
              </w:tc>
              <w:tc>
                <w:tcPr>
                  <w:tcW w:w="2320" w:type="pct"/>
                  <w:shd w:val="clear" w:color="auto" w:fill="auto"/>
                  <w:vAlign w:val="center"/>
                </w:tcPr>
                <w:p w14:paraId="6FC25279">
                  <w:pPr>
                    <w:pStyle w:val="5"/>
                    <w:autoSpaceDE/>
                    <w:autoSpaceDN/>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装载机上料过程产生的粉尘采取洒水降尘，</w:t>
                  </w:r>
                  <w:r>
                    <w:rPr>
                      <w:rFonts w:hint="default" w:ascii="Times New Roman" w:hAnsi="Times New Roman" w:eastAsia="宋体" w:cs="Times New Roman"/>
                      <w:b w:val="0"/>
                      <w:bCs w:val="0"/>
                      <w:color w:val="auto"/>
                      <w:sz w:val="21"/>
                      <w:szCs w:val="21"/>
                    </w:rPr>
                    <w:t>原料的输送、计量及投料均为封闭式</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皮带输送要进行密闭</w:t>
                  </w:r>
                  <w:r>
                    <w:rPr>
                      <w:rFonts w:hint="default" w:ascii="Times New Roman" w:hAnsi="Times New Roman"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w:t>
                  </w:r>
                </w:p>
              </w:tc>
              <w:tc>
                <w:tcPr>
                  <w:tcW w:w="725" w:type="pct"/>
                  <w:shd w:val="clear" w:color="auto" w:fill="auto"/>
                  <w:vAlign w:val="center"/>
                </w:tcPr>
                <w:p w14:paraId="0DF541FA">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r>
            <w:tr w14:paraId="1C03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65" w:type="pct"/>
                  <w:vMerge w:val="continue"/>
                  <w:shd w:val="clear" w:color="auto" w:fill="auto"/>
                  <w:vAlign w:val="center"/>
                </w:tcPr>
                <w:p w14:paraId="760D7B1B">
                  <w:pPr>
                    <w:jc w:val="center"/>
                    <w:rPr>
                      <w:rFonts w:hint="default" w:ascii="Times New Roman" w:hAnsi="Times New Roman" w:cs="Times New Roman"/>
                      <w:color w:val="auto"/>
                      <w:sz w:val="21"/>
                      <w:szCs w:val="21"/>
                    </w:rPr>
                  </w:pPr>
                </w:p>
              </w:tc>
              <w:tc>
                <w:tcPr>
                  <w:tcW w:w="472" w:type="pct"/>
                  <w:vMerge w:val="continue"/>
                  <w:shd w:val="clear" w:color="auto" w:fill="auto"/>
                  <w:vAlign w:val="center"/>
                </w:tcPr>
                <w:p w14:paraId="614ECF11">
                  <w:pPr>
                    <w:jc w:val="center"/>
                    <w:rPr>
                      <w:rFonts w:hint="default" w:ascii="Times New Roman" w:hAnsi="Times New Roman" w:cs="Times New Roman"/>
                      <w:color w:val="auto"/>
                      <w:sz w:val="21"/>
                      <w:szCs w:val="21"/>
                    </w:rPr>
                  </w:pPr>
                </w:p>
              </w:tc>
              <w:tc>
                <w:tcPr>
                  <w:tcW w:w="1216" w:type="pct"/>
                  <w:shd w:val="clear" w:color="auto" w:fill="auto"/>
                  <w:vAlign w:val="center"/>
                </w:tcPr>
                <w:p w14:paraId="07191F0E">
                  <w:pPr>
                    <w:pStyle w:val="5"/>
                    <w:autoSpaceDE/>
                    <w:autoSpaceDN/>
                    <w:adjustRightInd w:val="0"/>
                    <w:snapToGrid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搅拌机</w:t>
                  </w:r>
                </w:p>
                <w:p w14:paraId="31A951BF">
                  <w:pPr>
                    <w:pStyle w:val="5"/>
                    <w:autoSpaceDE/>
                    <w:autoSpaceDN/>
                    <w:adjustRightInd w:val="0"/>
                    <w:snapToGrid w:val="0"/>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b w:val="0"/>
                      <w:bCs w:val="0"/>
                      <w:color w:val="auto"/>
                      <w:sz w:val="21"/>
                      <w:szCs w:val="21"/>
                    </w:rPr>
                    <w:t>粉尘</w:t>
                  </w:r>
                </w:p>
              </w:tc>
              <w:tc>
                <w:tcPr>
                  <w:tcW w:w="2320" w:type="pct"/>
                  <w:shd w:val="clear" w:color="auto" w:fill="auto"/>
                  <w:vAlign w:val="center"/>
                </w:tcPr>
                <w:p w14:paraId="08997AC9">
                  <w:pPr>
                    <w:pStyle w:val="5"/>
                    <w:autoSpaceDE/>
                    <w:autoSpaceDN/>
                    <w:adjustRightInd w:val="0"/>
                    <w:snapToGrid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b w:val="0"/>
                      <w:bCs w:val="0"/>
                      <w:color w:val="auto"/>
                      <w:sz w:val="21"/>
                      <w:szCs w:val="21"/>
                    </w:rPr>
                    <w:t>各种物料进入搅拌机时，小粒径颗粒物会飘散形成粉尘，尤其是加入搅拌机内的</w:t>
                  </w:r>
                  <w:r>
                    <w:rPr>
                      <w:rFonts w:hint="default" w:ascii="Times New Roman" w:hAnsi="Times New Roman" w:cs="Times New Roman"/>
                      <w:b w:val="0"/>
                      <w:bCs w:val="0"/>
                      <w:color w:val="auto"/>
                      <w:sz w:val="21"/>
                      <w:szCs w:val="21"/>
                      <w:lang w:val="en-US" w:eastAsia="zh-CN"/>
                    </w:rPr>
                    <w:t>粉料</w:t>
                  </w:r>
                  <w:r>
                    <w:rPr>
                      <w:rFonts w:hint="default" w:ascii="Times New Roman" w:hAnsi="Times New Roman" w:cs="Times New Roman"/>
                      <w:b w:val="0"/>
                      <w:bCs w:val="0"/>
                      <w:color w:val="auto"/>
                      <w:sz w:val="21"/>
                      <w:szCs w:val="21"/>
                    </w:rPr>
                    <w:t>。物料通过密闭管道输送及收集，搅拌机搅拌过程中为密闭状态。本项目对搅拌机和投料口采用彩钢板进行整体封闭。</w:t>
                  </w:r>
                </w:p>
              </w:tc>
              <w:tc>
                <w:tcPr>
                  <w:tcW w:w="725" w:type="pct"/>
                  <w:shd w:val="clear" w:color="auto" w:fill="auto"/>
                  <w:vAlign w:val="center"/>
                </w:tcPr>
                <w:p w14:paraId="31A62A7A">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r>
            <w:tr w14:paraId="57B3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shd w:val="clear" w:color="auto" w:fill="auto"/>
                  <w:vAlign w:val="center"/>
                </w:tcPr>
                <w:p w14:paraId="2F0ABCC2">
                  <w:pPr>
                    <w:jc w:val="center"/>
                    <w:rPr>
                      <w:rFonts w:hint="default" w:ascii="Times New Roman" w:hAnsi="Times New Roman" w:cs="Times New Roman"/>
                      <w:color w:val="auto"/>
                      <w:sz w:val="21"/>
                      <w:szCs w:val="21"/>
                    </w:rPr>
                  </w:pPr>
                </w:p>
              </w:tc>
              <w:tc>
                <w:tcPr>
                  <w:tcW w:w="472" w:type="pct"/>
                  <w:vMerge w:val="restart"/>
                  <w:shd w:val="clear" w:color="auto" w:fill="auto"/>
                  <w:vAlign w:val="center"/>
                </w:tcPr>
                <w:p w14:paraId="5318655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216" w:type="pct"/>
                  <w:shd w:val="clear" w:color="auto" w:fill="auto"/>
                  <w:vAlign w:val="center"/>
                </w:tcPr>
                <w:p w14:paraId="04E08EFE">
                  <w:pPr>
                    <w:pStyle w:val="30"/>
                    <w:spacing w:before="20"/>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kern w:val="2"/>
                      <w:sz w:val="21"/>
                      <w:szCs w:val="21"/>
                      <w:lang w:val="en-US" w:eastAsia="zh-CN" w:bidi="ar-SA"/>
                    </w:rPr>
                    <w:t>沉淀池</w:t>
                  </w:r>
                </w:p>
              </w:tc>
              <w:tc>
                <w:tcPr>
                  <w:tcW w:w="2320" w:type="pct"/>
                  <w:shd w:val="clear" w:color="auto" w:fill="auto"/>
                  <w:vAlign w:val="center"/>
                </w:tcPr>
                <w:p w14:paraId="709F5C6F">
                  <w:pPr>
                    <w:pStyle w:val="30"/>
                    <w:spacing w:before="20"/>
                    <w:jc w:val="both"/>
                    <w:rPr>
                      <w:rFonts w:hint="default" w:ascii="Times New Roman" w:hAnsi="Times New Roman" w:cs="Times New Roman"/>
                      <w:color w:val="auto"/>
                      <w:sz w:val="21"/>
                      <w:szCs w:val="21"/>
                      <w:lang w:bidi="ar"/>
                    </w:rPr>
                  </w:pPr>
                  <w:r>
                    <w:rPr>
                      <w:rFonts w:hint="default" w:ascii="Times New Roman" w:hAnsi="Times New Roman" w:eastAsia="宋体" w:cs="Times New Roman"/>
                      <w:b w:val="0"/>
                      <w:bCs w:val="0"/>
                      <w:color w:val="auto"/>
                      <w:kern w:val="2"/>
                      <w:sz w:val="21"/>
                      <w:szCs w:val="21"/>
                      <w:lang w:val="en-US" w:eastAsia="zh-CN" w:bidi="ar-SA"/>
                    </w:rPr>
                    <w:t>生产废水主要为搅拌机冲洗废水和运输车辆冲洗废水。废水经三级沉淀池（设计容约为200m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）处理后循环使用，不外排。</w:t>
                  </w:r>
                </w:p>
              </w:tc>
              <w:tc>
                <w:tcPr>
                  <w:tcW w:w="725" w:type="pct"/>
                  <w:shd w:val="clear" w:color="auto" w:fill="auto"/>
                  <w:vAlign w:val="center"/>
                </w:tcPr>
                <w:p w14:paraId="13E85A0C">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14:paraId="5632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shd w:val="clear" w:color="auto" w:fill="auto"/>
                  <w:vAlign w:val="center"/>
                </w:tcPr>
                <w:p w14:paraId="13D4CA83">
                  <w:pPr>
                    <w:jc w:val="center"/>
                    <w:rPr>
                      <w:rFonts w:hint="default" w:ascii="Times New Roman" w:hAnsi="Times New Roman" w:cs="Times New Roman"/>
                      <w:color w:val="auto"/>
                      <w:sz w:val="21"/>
                      <w:szCs w:val="21"/>
                    </w:rPr>
                  </w:pPr>
                </w:p>
              </w:tc>
              <w:tc>
                <w:tcPr>
                  <w:tcW w:w="472" w:type="pct"/>
                  <w:vMerge w:val="continue"/>
                  <w:shd w:val="clear" w:color="auto" w:fill="auto"/>
                  <w:vAlign w:val="center"/>
                </w:tcPr>
                <w:p w14:paraId="58DC76D6">
                  <w:pPr>
                    <w:jc w:val="center"/>
                    <w:rPr>
                      <w:rFonts w:hint="default" w:ascii="Times New Roman" w:hAnsi="Times New Roman" w:cs="Times New Roman"/>
                      <w:color w:val="auto"/>
                      <w:sz w:val="21"/>
                      <w:szCs w:val="21"/>
                    </w:rPr>
                  </w:pPr>
                </w:p>
              </w:tc>
              <w:tc>
                <w:tcPr>
                  <w:tcW w:w="1954" w:type="dxa"/>
                  <w:shd w:val="clear" w:color="auto" w:fill="auto"/>
                  <w:vAlign w:val="center"/>
                </w:tcPr>
                <w:p w14:paraId="7229B46E">
                  <w:pPr>
                    <w:pStyle w:val="30"/>
                    <w:spacing w:before="2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化粪池</w:t>
                  </w:r>
                </w:p>
              </w:tc>
              <w:tc>
                <w:tcPr>
                  <w:tcW w:w="3730" w:type="dxa"/>
                  <w:shd w:val="clear" w:color="auto" w:fill="auto"/>
                  <w:vAlign w:val="center"/>
                </w:tcPr>
                <w:p w14:paraId="51019F1D">
                  <w:pPr>
                    <w:pStyle w:val="30"/>
                    <w:spacing w:before="2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办公区</w:t>
                  </w:r>
                  <w:r>
                    <w:rPr>
                      <w:rFonts w:hint="default" w:ascii="Times New Roman" w:hAnsi="Times New Roman" w:eastAsia="宋体" w:cs="Times New Roman"/>
                      <w:b w:val="0"/>
                      <w:bCs w:val="0"/>
                      <w:color w:val="auto"/>
                      <w:kern w:val="2"/>
                      <w:sz w:val="21"/>
                      <w:szCs w:val="21"/>
                      <w:lang w:val="en-US" w:eastAsia="zh-CN" w:bidi="ar-SA"/>
                    </w:rPr>
                    <w:t>设置水冲厕，设置1个容积为3m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的化粪池，对生活污水进行预处理后，进入一体化污水处理站处理。</w:t>
                  </w:r>
                </w:p>
              </w:tc>
              <w:tc>
                <w:tcPr>
                  <w:tcW w:w="725" w:type="pct"/>
                  <w:shd w:val="clear" w:color="auto" w:fill="auto"/>
                  <w:vAlign w:val="center"/>
                </w:tcPr>
                <w:p w14:paraId="6377B261">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42CC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shd w:val="clear" w:color="auto" w:fill="auto"/>
                  <w:vAlign w:val="center"/>
                </w:tcPr>
                <w:p w14:paraId="541EA34F">
                  <w:pPr>
                    <w:jc w:val="center"/>
                    <w:rPr>
                      <w:rFonts w:hint="default" w:ascii="Times New Roman" w:hAnsi="Times New Roman" w:cs="Times New Roman"/>
                      <w:color w:val="auto"/>
                      <w:sz w:val="21"/>
                      <w:szCs w:val="21"/>
                    </w:rPr>
                  </w:pPr>
                </w:p>
              </w:tc>
              <w:tc>
                <w:tcPr>
                  <w:tcW w:w="472" w:type="pct"/>
                  <w:vMerge w:val="continue"/>
                  <w:shd w:val="clear" w:color="auto" w:fill="auto"/>
                  <w:vAlign w:val="center"/>
                </w:tcPr>
                <w:p w14:paraId="382FE560">
                  <w:pPr>
                    <w:jc w:val="center"/>
                    <w:rPr>
                      <w:rFonts w:hint="default" w:ascii="Times New Roman" w:hAnsi="Times New Roman" w:cs="Times New Roman"/>
                      <w:color w:val="auto"/>
                      <w:sz w:val="21"/>
                      <w:szCs w:val="21"/>
                    </w:rPr>
                  </w:pPr>
                </w:p>
              </w:tc>
              <w:tc>
                <w:tcPr>
                  <w:tcW w:w="1954" w:type="dxa"/>
                  <w:shd w:val="clear" w:color="auto" w:fill="auto"/>
                  <w:vAlign w:val="center"/>
                </w:tcPr>
                <w:p w14:paraId="027BB74F">
                  <w:pPr>
                    <w:pStyle w:val="30"/>
                    <w:spacing w:before="2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污水处理站、中水池</w:t>
                  </w:r>
                </w:p>
              </w:tc>
              <w:tc>
                <w:tcPr>
                  <w:tcW w:w="3730" w:type="dxa"/>
                  <w:shd w:val="clear" w:color="auto" w:fill="auto"/>
                  <w:vAlign w:val="center"/>
                </w:tcPr>
                <w:p w14:paraId="0F3D5B66">
                  <w:pPr>
                    <w:pStyle w:val="30"/>
                    <w:spacing w:before="2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设置1个处理规模为2m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/d的污水处理站，对化粪池预处理后的生活污水进行处理后达到《城市污水再生利用 城市杂用水水质》（GB/T 18920-2020）中道路绿化、降尘标准后回用于项目区绿化及道路洒水降尘。在污水处理站旁边设一个容积为5m3的中水收集池，用于雨天暂存污水处理站处理后的中水。</w:t>
                  </w:r>
                </w:p>
              </w:tc>
              <w:tc>
                <w:tcPr>
                  <w:tcW w:w="725" w:type="pct"/>
                  <w:shd w:val="clear" w:color="auto" w:fill="auto"/>
                  <w:vAlign w:val="center"/>
                </w:tcPr>
                <w:p w14:paraId="2B31AFF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r>
            <w:tr w14:paraId="353C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265" w:type="pct"/>
                  <w:vMerge w:val="continue"/>
                  <w:shd w:val="clear" w:color="auto" w:fill="auto"/>
                  <w:vAlign w:val="center"/>
                </w:tcPr>
                <w:p w14:paraId="5C293BF5">
                  <w:pPr>
                    <w:jc w:val="center"/>
                    <w:rPr>
                      <w:rFonts w:hint="default" w:ascii="Times New Roman" w:hAnsi="Times New Roman" w:cs="Times New Roman"/>
                      <w:color w:val="auto"/>
                      <w:sz w:val="21"/>
                      <w:szCs w:val="21"/>
                    </w:rPr>
                  </w:pPr>
                </w:p>
              </w:tc>
              <w:tc>
                <w:tcPr>
                  <w:tcW w:w="472" w:type="pct"/>
                  <w:vMerge w:val="continue"/>
                  <w:shd w:val="clear" w:color="auto" w:fill="auto"/>
                  <w:vAlign w:val="center"/>
                </w:tcPr>
                <w:p w14:paraId="01D51BAF">
                  <w:pPr>
                    <w:jc w:val="center"/>
                    <w:rPr>
                      <w:rFonts w:hint="default" w:ascii="Times New Roman" w:hAnsi="Times New Roman" w:cs="Times New Roman"/>
                      <w:color w:val="auto"/>
                      <w:sz w:val="21"/>
                      <w:szCs w:val="21"/>
                    </w:rPr>
                  </w:pPr>
                </w:p>
              </w:tc>
              <w:tc>
                <w:tcPr>
                  <w:tcW w:w="1216" w:type="pct"/>
                  <w:shd w:val="clear" w:color="auto" w:fill="auto"/>
                  <w:vAlign w:val="center"/>
                </w:tcPr>
                <w:p w14:paraId="46C1AB2E">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初期雨水收集池</w:t>
                  </w:r>
                </w:p>
              </w:tc>
              <w:tc>
                <w:tcPr>
                  <w:tcW w:w="2320" w:type="pct"/>
                  <w:shd w:val="clear" w:color="auto" w:fill="auto"/>
                  <w:vAlign w:val="center"/>
                </w:tcPr>
                <w:p w14:paraId="3EF0FB7A">
                  <w:pPr>
                    <w:autoSpaceDE/>
                    <w:autoSpaceDN/>
                    <w:adjustRightInd w:val="0"/>
                    <w:snapToGrid w:val="0"/>
                    <w:jc w:val="both"/>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rPr>
                    <w:t>在项目区西南侧地势较低处设置1个容积为</w:t>
                  </w:r>
                  <w:r>
                    <w:rPr>
                      <w:rFonts w:hint="default" w:ascii="Times New Roman" w:hAnsi="Times New Roman" w:cs="Times New Roman"/>
                      <w:color w:val="auto"/>
                      <w:sz w:val="21"/>
                      <w:szCs w:val="21"/>
                      <w:lang w:val="en-US" w:eastAsia="zh-CN"/>
                    </w:rPr>
                    <w:t>54</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的初期雨水收集池，</w:t>
                  </w:r>
                  <w:r>
                    <w:rPr>
                      <w:rFonts w:hint="default" w:ascii="Times New Roman" w:hAnsi="Times New Roman" w:cs="Times New Roman"/>
                      <w:color w:val="auto"/>
                      <w:sz w:val="21"/>
                      <w:szCs w:val="21"/>
                      <w:lang w:eastAsia="zh-CN" w:bidi="ar"/>
                    </w:rPr>
                    <w:t>项目区实行雨污分流。初期雨水经项目内新建的雨水排水沟（东侧拟布设有混凝土排水沟，尺寸0.4×0.4m，长206m）汇集后进入</w:t>
                  </w:r>
                  <w:r>
                    <w:rPr>
                      <w:rFonts w:hint="default" w:ascii="Times New Roman" w:hAnsi="Times New Roman" w:cs="Times New Roman"/>
                      <w:color w:val="auto"/>
                      <w:sz w:val="21"/>
                      <w:szCs w:val="21"/>
                      <w:lang w:val="en-US" w:eastAsia="zh-CN" w:bidi="ar"/>
                    </w:rPr>
                    <w:t>54</w:t>
                  </w:r>
                  <w:r>
                    <w:rPr>
                      <w:rFonts w:hint="default" w:ascii="Times New Roman" w:hAnsi="Times New Roman" w:cs="Times New Roman"/>
                      <w:color w:val="auto"/>
                      <w:sz w:val="21"/>
                      <w:szCs w:val="21"/>
                      <w:lang w:eastAsia="zh-CN" w:bidi="ar"/>
                    </w:rPr>
                    <w:t>m</w:t>
                  </w:r>
                  <w:r>
                    <w:rPr>
                      <w:rFonts w:hint="default" w:ascii="Times New Roman" w:hAnsi="Times New Roman" w:cs="Times New Roman"/>
                      <w:color w:val="auto"/>
                      <w:sz w:val="21"/>
                      <w:szCs w:val="21"/>
                      <w:vertAlign w:val="superscript"/>
                      <w:lang w:eastAsia="zh-CN" w:bidi="ar"/>
                    </w:rPr>
                    <w:t>3</w:t>
                  </w:r>
                  <w:r>
                    <w:rPr>
                      <w:rFonts w:hint="default" w:ascii="Times New Roman" w:hAnsi="Times New Roman" w:cs="Times New Roman"/>
                      <w:color w:val="auto"/>
                      <w:sz w:val="21"/>
                      <w:szCs w:val="21"/>
                      <w:lang w:eastAsia="zh-CN" w:bidi="ar"/>
                    </w:rPr>
                    <w:t>初期雨水收集池内，回用于生产或洒水降尘，不外排。</w:t>
                  </w:r>
                </w:p>
              </w:tc>
              <w:tc>
                <w:tcPr>
                  <w:tcW w:w="725" w:type="pct"/>
                  <w:shd w:val="clear" w:color="auto" w:fill="auto"/>
                  <w:vAlign w:val="center"/>
                </w:tcPr>
                <w:p w14:paraId="311E51BE">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0.5</w:t>
                  </w:r>
                </w:p>
              </w:tc>
            </w:tr>
            <w:tr w14:paraId="21B3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shd w:val="clear" w:color="auto" w:fill="auto"/>
                  <w:vAlign w:val="center"/>
                </w:tcPr>
                <w:p w14:paraId="08E3F923">
                  <w:pPr>
                    <w:jc w:val="center"/>
                    <w:rPr>
                      <w:rFonts w:hint="default" w:ascii="Times New Roman" w:hAnsi="Times New Roman" w:cs="Times New Roman"/>
                      <w:color w:val="auto"/>
                      <w:sz w:val="21"/>
                      <w:szCs w:val="21"/>
                    </w:rPr>
                  </w:pPr>
                </w:p>
              </w:tc>
              <w:tc>
                <w:tcPr>
                  <w:tcW w:w="472" w:type="pct"/>
                  <w:vMerge w:val="restart"/>
                  <w:shd w:val="clear" w:color="auto" w:fill="auto"/>
                  <w:vAlign w:val="center"/>
                </w:tcPr>
                <w:p w14:paraId="6DD18D5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216" w:type="pct"/>
                  <w:shd w:val="clear" w:color="auto" w:fill="auto"/>
                  <w:vAlign w:val="center"/>
                </w:tcPr>
                <w:p w14:paraId="16845E0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2320" w:type="pct"/>
                  <w:shd w:val="clear" w:color="auto" w:fill="auto"/>
                  <w:vAlign w:val="center"/>
                </w:tcPr>
                <w:p w14:paraId="017F742F">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项目建成后，噪声主要来自搅拌机、输送带、</w:t>
                  </w:r>
                  <w:r>
                    <w:rPr>
                      <w:rFonts w:hint="default" w:ascii="Times New Roman" w:hAnsi="Times New Roman" w:cs="Times New Roman"/>
                      <w:color w:val="auto"/>
                      <w:sz w:val="21"/>
                      <w:szCs w:val="21"/>
                      <w:lang w:val="en-US" w:eastAsia="zh-CN"/>
                    </w:rPr>
                    <w:t>水泵</w:t>
                  </w:r>
                  <w:r>
                    <w:rPr>
                      <w:rFonts w:hint="default" w:ascii="Times New Roman" w:hAnsi="Times New Roman" w:cs="Times New Roman"/>
                      <w:color w:val="auto"/>
                      <w:sz w:val="21"/>
                      <w:szCs w:val="21"/>
                      <w:lang w:eastAsia="zh-CN"/>
                    </w:rPr>
                    <w:t>、风机、装载机等产生的噪声。设备噪声在80～90dB(A)之间。对于上述设备产生的噪声，采取基础减振、合理布局、产噪设备远离居民等措施，限制噪声向外传播。</w:t>
                  </w:r>
                </w:p>
              </w:tc>
              <w:tc>
                <w:tcPr>
                  <w:tcW w:w="725" w:type="pct"/>
                  <w:shd w:val="clear" w:color="auto" w:fill="auto"/>
                  <w:vAlign w:val="center"/>
                </w:tcPr>
                <w:p w14:paraId="1113128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5E80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65" w:type="pct"/>
                  <w:vMerge w:val="continue"/>
                  <w:shd w:val="clear" w:color="auto" w:fill="auto"/>
                  <w:vAlign w:val="center"/>
                </w:tcPr>
                <w:p w14:paraId="40002EC1">
                  <w:pPr>
                    <w:jc w:val="center"/>
                    <w:rPr>
                      <w:rFonts w:hint="default" w:ascii="Times New Roman" w:hAnsi="Times New Roman" w:cs="Times New Roman"/>
                      <w:color w:val="auto"/>
                      <w:sz w:val="21"/>
                      <w:szCs w:val="21"/>
                    </w:rPr>
                  </w:pPr>
                </w:p>
              </w:tc>
              <w:tc>
                <w:tcPr>
                  <w:tcW w:w="472" w:type="pct"/>
                  <w:vMerge w:val="restart"/>
                  <w:shd w:val="clear" w:color="auto" w:fill="auto"/>
                  <w:vAlign w:val="center"/>
                </w:tcPr>
                <w:p w14:paraId="5D8662D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216" w:type="pct"/>
                  <w:shd w:val="clear" w:color="auto" w:fill="auto"/>
                  <w:vAlign w:val="center"/>
                </w:tcPr>
                <w:p w14:paraId="4FFF5578">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垃圾收集设施</w:t>
                  </w:r>
                </w:p>
              </w:tc>
              <w:tc>
                <w:tcPr>
                  <w:tcW w:w="2320" w:type="pct"/>
                  <w:shd w:val="clear" w:color="auto" w:fill="auto"/>
                  <w:vAlign w:val="center"/>
                </w:tcPr>
                <w:p w14:paraId="26A8FF33">
                  <w:pPr>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办公区布置垃圾桶，收集日常员工的生活垃圾，</w:t>
                  </w:r>
                  <w:r>
                    <w:rPr>
                      <w:rFonts w:hint="default" w:ascii="Times New Roman" w:hAnsi="Times New Roman" w:cs="Times New Roman"/>
                      <w:color w:val="auto"/>
                      <w:sz w:val="21"/>
                      <w:szCs w:val="21"/>
                      <w:lang w:eastAsia="zh-CN" w:bidi="ar"/>
                    </w:rPr>
                    <w:t>生活垃圾</w:t>
                  </w:r>
                  <w:r>
                    <w:rPr>
                      <w:rFonts w:hint="default" w:ascii="Times New Roman" w:hAnsi="Times New Roman" w:cs="Times New Roman"/>
                      <w:color w:val="auto"/>
                      <w:sz w:val="21"/>
                      <w:szCs w:val="21"/>
                      <w:lang w:eastAsia="zh-CN"/>
                    </w:rPr>
                    <w:t>集中收集后由管理人员定期清运至</w:t>
                  </w:r>
                  <w:r>
                    <w:rPr>
                      <w:rFonts w:hint="default" w:ascii="Times New Roman" w:hAnsi="Times New Roman" w:cs="Times New Roman"/>
                      <w:color w:val="auto"/>
                      <w:sz w:val="21"/>
                      <w:szCs w:val="21"/>
                      <w:lang w:val="en-US" w:eastAsia="zh-CN"/>
                    </w:rPr>
                    <w:t>老厂乡</w:t>
                  </w:r>
                  <w:r>
                    <w:rPr>
                      <w:rFonts w:hint="default" w:ascii="Times New Roman" w:hAnsi="Times New Roman" w:cs="Times New Roman"/>
                      <w:color w:val="auto"/>
                      <w:sz w:val="21"/>
                      <w:szCs w:val="21"/>
                      <w:lang w:eastAsia="zh-CN"/>
                    </w:rPr>
                    <w:t>垃圾收集点清运处置。</w:t>
                  </w:r>
                </w:p>
              </w:tc>
              <w:tc>
                <w:tcPr>
                  <w:tcW w:w="725" w:type="pct"/>
                  <w:shd w:val="clear" w:color="auto" w:fill="auto"/>
                  <w:vAlign w:val="center"/>
                </w:tcPr>
                <w:p w14:paraId="24669F34">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0.2</w:t>
                  </w:r>
                </w:p>
              </w:tc>
            </w:tr>
            <w:tr w14:paraId="11DE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65" w:type="pct"/>
                  <w:vMerge w:val="continue"/>
                  <w:shd w:val="clear" w:color="auto" w:fill="auto"/>
                  <w:vAlign w:val="center"/>
                </w:tcPr>
                <w:p w14:paraId="33FDF647">
                  <w:pPr>
                    <w:jc w:val="center"/>
                    <w:rPr>
                      <w:rFonts w:hint="default" w:ascii="Times New Roman" w:hAnsi="Times New Roman" w:cs="Times New Roman"/>
                      <w:color w:val="auto"/>
                      <w:sz w:val="21"/>
                      <w:szCs w:val="21"/>
                    </w:rPr>
                  </w:pPr>
                </w:p>
              </w:tc>
              <w:tc>
                <w:tcPr>
                  <w:tcW w:w="472" w:type="pct"/>
                  <w:vMerge w:val="continue"/>
                  <w:shd w:val="clear" w:color="auto" w:fill="auto"/>
                  <w:vAlign w:val="center"/>
                </w:tcPr>
                <w:p w14:paraId="51F1F635">
                  <w:pPr>
                    <w:jc w:val="center"/>
                    <w:rPr>
                      <w:rFonts w:hint="default" w:ascii="Times New Roman" w:hAnsi="Times New Roman" w:cs="Times New Roman"/>
                      <w:color w:val="auto"/>
                      <w:sz w:val="21"/>
                      <w:szCs w:val="21"/>
                    </w:rPr>
                  </w:pPr>
                </w:p>
              </w:tc>
              <w:tc>
                <w:tcPr>
                  <w:tcW w:w="1216" w:type="pct"/>
                  <w:shd w:val="clear" w:color="auto" w:fill="auto"/>
                  <w:vAlign w:val="center"/>
                </w:tcPr>
                <w:p w14:paraId="55546A92">
                  <w:pPr>
                    <w:autoSpaceDE/>
                    <w:autoSpaceDN/>
                    <w:adjustRightInd w:val="0"/>
                    <w:snapToGrid w:val="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沉淀池</w:t>
                  </w:r>
                </w:p>
                <w:p w14:paraId="6B57708F">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bidi="ar"/>
                    </w:rPr>
                    <w:t>沉渣</w:t>
                  </w:r>
                </w:p>
              </w:tc>
              <w:tc>
                <w:tcPr>
                  <w:tcW w:w="2320" w:type="pct"/>
                  <w:shd w:val="clear" w:color="auto" w:fill="auto"/>
                  <w:vAlign w:val="center"/>
                </w:tcPr>
                <w:p w14:paraId="1B0B694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eastAsia="zh-CN" w:bidi="ar"/>
                    </w:rPr>
                    <w:t>回用于</w:t>
                  </w:r>
                  <w:r>
                    <w:rPr>
                      <w:rFonts w:hint="default" w:ascii="Times New Roman" w:hAnsi="Times New Roman" w:cs="Times New Roman"/>
                      <w:color w:val="auto"/>
                      <w:sz w:val="21"/>
                      <w:szCs w:val="21"/>
                      <w:lang w:eastAsia="zh-CN" w:bidi="ar"/>
                    </w:rPr>
                    <w:t>拌合料</w:t>
                  </w:r>
                  <w:r>
                    <w:rPr>
                      <w:rFonts w:hint="default" w:ascii="Times New Roman" w:hAnsi="Times New Roman" w:eastAsia="宋体" w:cs="Times New Roman"/>
                      <w:color w:val="auto"/>
                      <w:sz w:val="21"/>
                      <w:szCs w:val="21"/>
                      <w:lang w:eastAsia="zh-CN" w:bidi="ar"/>
                    </w:rPr>
                    <w:t>生产工序。</w:t>
                  </w:r>
                </w:p>
              </w:tc>
              <w:tc>
                <w:tcPr>
                  <w:tcW w:w="725" w:type="pct"/>
                  <w:shd w:val="clear" w:color="auto" w:fill="auto"/>
                  <w:vAlign w:val="center"/>
                </w:tcPr>
                <w:p w14:paraId="429398DA">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0.1</w:t>
                  </w:r>
                </w:p>
              </w:tc>
            </w:tr>
            <w:tr w14:paraId="2E07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265" w:type="pct"/>
                  <w:vMerge w:val="continue"/>
                  <w:shd w:val="clear" w:color="auto" w:fill="auto"/>
                  <w:vAlign w:val="center"/>
                </w:tcPr>
                <w:p w14:paraId="55E16BA9">
                  <w:pPr>
                    <w:jc w:val="center"/>
                    <w:rPr>
                      <w:rFonts w:hint="default" w:ascii="Times New Roman" w:hAnsi="Times New Roman" w:cs="Times New Roman"/>
                      <w:color w:val="auto"/>
                      <w:sz w:val="21"/>
                      <w:szCs w:val="21"/>
                    </w:rPr>
                  </w:pPr>
                </w:p>
              </w:tc>
              <w:tc>
                <w:tcPr>
                  <w:tcW w:w="472" w:type="pct"/>
                  <w:vMerge w:val="continue"/>
                  <w:shd w:val="clear" w:color="auto" w:fill="auto"/>
                  <w:vAlign w:val="center"/>
                </w:tcPr>
                <w:p w14:paraId="6801A958">
                  <w:pPr>
                    <w:jc w:val="center"/>
                    <w:rPr>
                      <w:rFonts w:hint="default" w:ascii="Times New Roman" w:hAnsi="Times New Roman" w:cs="Times New Roman"/>
                      <w:color w:val="auto"/>
                      <w:sz w:val="21"/>
                      <w:szCs w:val="21"/>
                    </w:rPr>
                  </w:pPr>
                </w:p>
              </w:tc>
              <w:tc>
                <w:tcPr>
                  <w:tcW w:w="1216" w:type="pct"/>
                  <w:shd w:val="clear" w:color="auto" w:fill="auto"/>
                  <w:vAlign w:val="center"/>
                </w:tcPr>
                <w:p w14:paraId="10822831">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危废贮</w:t>
                  </w:r>
                </w:p>
                <w:p w14:paraId="3924ABD0">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存库</w:t>
                  </w:r>
                </w:p>
              </w:tc>
              <w:tc>
                <w:tcPr>
                  <w:tcW w:w="2320" w:type="pct"/>
                  <w:shd w:val="clear" w:color="auto" w:fill="auto"/>
                  <w:vAlign w:val="center"/>
                </w:tcPr>
                <w:p w14:paraId="79231DA4">
                  <w:pPr>
                    <w:widowControl/>
                    <w:autoSpaceDE/>
                    <w:autoSpaceDN/>
                    <w:adjustRightInd w:val="0"/>
                    <w:snapToGrid w:val="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在</w:t>
                  </w:r>
                  <w:r>
                    <w:rPr>
                      <w:rFonts w:hint="default"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lang w:eastAsia="zh-CN"/>
                    </w:rPr>
                    <w:t>设置1个占地面积为5m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的危废贮存库，用于暂存废机油和废油桶，并委托有资质单位定期清运处置。</w:t>
                  </w:r>
                  <w:r>
                    <w:rPr>
                      <w:rFonts w:hint="default" w:ascii="Times New Roman" w:hAnsi="Times New Roman" w:cs="Times New Roman"/>
                      <w:color w:val="auto"/>
                      <w:sz w:val="21"/>
                      <w:szCs w:val="21"/>
                      <w:lang w:eastAsia="zh-CN" w:bidi="ar"/>
                    </w:rPr>
                    <w:t>危废贮存库地面设置导流沟及收集池或设置</w:t>
                  </w:r>
                  <w:r>
                    <w:rPr>
                      <w:rFonts w:hint="default" w:ascii="Times New Roman" w:hAnsi="Times New Roman" w:cs="Times New Roman"/>
                      <w:color w:val="auto"/>
                      <w:sz w:val="21"/>
                      <w:szCs w:val="21"/>
                      <w:lang w:eastAsia="zh-CN"/>
                    </w:rPr>
                    <w:t>事故油盒</w:t>
                  </w:r>
                  <w:r>
                    <w:rPr>
                      <w:rFonts w:hint="default" w:ascii="Times New Roman" w:hAnsi="Times New Roman" w:cs="Times New Roman"/>
                      <w:color w:val="auto"/>
                      <w:sz w:val="21"/>
                      <w:szCs w:val="21"/>
                      <w:lang w:eastAsia="zh-CN" w:bidi="ar"/>
                    </w:rPr>
                    <w:t>，并进行防渗处理。危废贮存库按照《危险废物贮存和污染控制标准》（GB18597-2023）中基础必须防渗，防渗层为至少1m厚粘土层</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bidi="ar"/>
                    </w:rPr>
                    <w:t>渗透系数≤10</w:t>
                  </w:r>
                  <w:r>
                    <w:rPr>
                      <w:rFonts w:hint="default" w:ascii="Times New Roman" w:hAnsi="Times New Roman" w:cs="Times New Roman"/>
                      <w:color w:val="auto"/>
                      <w:sz w:val="21"/>
                      <w:szCs w:val="21"/>
                      <w:vertAlign w:val="superscript"/>
                      <w:lang w:eastAsia="zh-CN" w:bidi="ar"/>
                    </w:rPr>
                    <w:t>-7</w:t>
                  </w:r>
                  <w:r>
                    <w:rPr>
                      <w:rFonts w:hint="default" w:ascii="Times New Roman" w:hAnsi="Times New Roman" w:cs="Times New Roman"/>
                      <w:color w:val="auto"/>
                      <w:sz w:val="21"/>
                      <w:szCs w:val="21"/>
                      <w:lang w:eastAsia="zh-CN" w:bidi="ar"/>
                    </w:rPr>
                    <w:t>cm/s</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bidi="ar"/>
                    </w:rPr>
                    <w:t>，或2mm厚高密度聚乙烯，或至少2mm厚的其它人工材料，渗透系数≤10</w:t>
                  </w:r>
                  <w:r>
                    <w:rPr>
                      <w:rFonts w:hint="default" w:ascii="Times New Roman" w:hAnsi="Times New Roman" w:cs="Times New Roman"/>
                      <w:color w:val="auto"/>
                      <w:sz w:val="21"/>
                      <w:szCs w:val="21"/>
                      <w:vertAlign w:val="superscript"/>
                      <w:lang w:eastAsia="zh-CN" w:bidi="ar"/>
                    </w:rPr>
                    <w:t>-10</w:t>
                  </w:r>
                  <w:r>
                    <w:rPr>
                      <w:rFonts w:hint="default" w:ascii="Times New Roman" w:hAnsi="Times New Roman" w:cs="Times New Roman"/>
                      <w:color w:val="auto"/>
                      <w:sz w:val="21"/>
                      <w:szCs w:val="21"/>
                      <w:lang w:eastAsia="zh-CN" w:bidi="ar"/>
                    </w:rPr>
                    <w:t>cm/s进行防渗，同时</w:t>
                  </w:r>
                  <w:r>
                    <w:rPr>
                      <w:rFonts w:hint="default" w:ascii="Times New Roman" w:hAnsi="Times New Roman" w:cs="Times New Roman"/>
                      <w:color w:val="auto"/>
                      <w:sz w:val="21"/>
                      <w:szCs w:val="21"/>
                      <w:lang w:eastAsia="zh-CN"/>
                    </w:rPr>
                    <w:t xml:space="preserve">张贴规范的标志牌。 </w:t>
                  </w:r>
                </w:p>
              </w:tc>
              <w:tc>
                <w:tcPr>
                  <w:tcW w:w="725" w:type="pct"/>
                  <w:shd w:val="clear" w:color="auto" w:fill="auto"/>
                  <w:vAlign w:val="center"/>
                </w:tcPr>
                <w:p w14:paraId="1C2ED4A6">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2.0</w:t>
                  </w:r>
                </w:p>
              </w:tc>
            </w:tr>
            <w:tr w14:paraId="2C89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4" w:type="pct"/>
                  <w:gridSpan w:val="4"/>
                  <w:shd w:val="clear" w:color="auto" w:fill="auto"/>
                  <w:vAlign w:val="center"/>
                </w:tcPr>
                <w:p w14:paraId="4BB391E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合计</w:t>
                  </w:r>
                </w:p>
              </w:tc>
              <w:tc>
                <w:tcPr>
                  <w:tcW w:w="725" w:type="pct"/>
                  <w:shd w:val="clear" w:color="auto" w:fill="auto"/>
                  <w:vAlign w:val="center"/>
                </w:tcPr>
                <w:p w14:paraId="70B7D944">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16.82</w:t>
                  </w:r>
                </w:p>
              </w:tc>
            </w:tr>
          </w:tbl>
          <w:p w14:paraId="04C6FC96">
            <w:pPr>
              <w:pStyle w:val="31"/>
              <w:jc w:val="both"/>
              <w:rPr>
                <w:rFonts w:hint="default" w:ascii="Times New Roman" w:hAnsi="Times New Roman" w:cs="Times New Roman"/>
                <w:color w:val="auto"/>
              </w:rPr>
            </w:pPr>
          </w:p>
        </w:tc>
      </w:tr>
      <w:tr w14:paraId="6475F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8" w:hRule="atLeast"/>
          <w:jc w:val="center"/>
        </w:trPr>
        <w:tc>
          <w:tcPr>
            <w:tcW w:w="808" w:type="dxa"/>
            <w:tcBorders>
              <w:tl2br w:val="nil"/>
              <w:tr2bl w:val="nil"/>
            </w:tcBorders>
            <w:vAlign w:val="center"/>
          </w:tcPr>
          <w:p w14:paraId="44855F28">
            <w:pPr>
              <w:spacing w:line="360" w:lineRule="auto"/>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工艺流程和产排污环节</w:t>
            </w:r>
          </w:p>
        </w:tc>
        <w:tc>
          <w:tcPr>
            <w:tcW w:w="8263" w:type="dxa"/>
            <w:tcBorders>
              <w:tl2br w:val="nil"/>
              <w:tr2bl w:val="nil"/>
            </w:tcBorders>
          </w:tcPr>
          <w:p w14:paraId="384F760F">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一、施工期</w:t>
            </w:r>
          </w:p>
          <w:p w14:paraId="2E548662">
            <w:pPr>
              <w:adjustRightInd w:val="0"/>
              <w:snapToGrid w:val="0"/>
              <w:spacing w:line="360" w:lineRule="auto"/>
              <w:ind w:firstLine="482"/>
              <w:jc w:val="both"/>
              <w:textAlignment w:val="baseline"/>
              <w:rPr>
                <w:rFonts w:hint="default" w:ascii="Times New Roman" w:hAnsi="Times New Roman" w:cs="Times New Roman" w:eastAsiaTheme="minorEastAsia"/>
                <w:bCs/>
                <w:color w:val="auto"/>
                <w:sz w:val="24"/>
                <w:lang w:eastAsia="zh-CN"/>
              </w:rPr>
            </w:pPr>
            <w:r>
              <w:rPr>
                <w:rFonts w:hint="default" w:ascii="Times New Roman" w:hAnsi="Times New Roman" w:cs="Times New Roman"/>
                <w:color w:val="auto"/>
                <w:sz w:val="24"/>
                <w:szCs w:val="24"/>
                <w:lang w:eastAsia="zh-CN"/>
              </w:rPr>
              <w:t>本项目位于云南省玉溪市新平彝族傣族自治县老厂乡。项目场地租用</w:t>
            </w:r>
            <w:r>
              <w:rPr>
                <w:rFonts w:hint="default" w:ascii="Times New Roman" w:hAnsi="Times New Roman" w:cs="Times New Roman"/>
                <w:color w:val="auto"/>
                <w:sz w:val="24"/>
                <w:szCs w:val="24"/>
                <w:lang w:val="en-US" w:eastAsia="zh-CN"/>
              </w:rPr>
              <w:t>新平县城镇建设投资有限公司</w:t>
            </w:r>
            <w:r>
              <w:rPr>
                <w:rFonts w:hint="default" w:ascii="Times New Roman" w:hAnsi="Times New Roman" w:cs="Times New Roman"/>
                <w:color w:val="auto"/>
                <w:sz w:val="24"/>
                <w:szCs w:val="24"/>
                <w:lang w:eastAsia="zh-CN"/>
              </w:rPr>
              <w:t>的土地进行项目建设（</w:t>
            </w:r>
            <w:r>
              <w:rPr>
                <w:rFonts w:hint="default" w:ascii="Times New Roman" w:hAnsi="Times New Roman" w:cs="Times New Roman"/>
                <w:color w:val="auto"/>
                <w:sz w:val="24"/>
                <w:szCs w:val="24"/>
                <w:lang w:val="en-US" w:eastAsia="zh-CN"/>
              </w:rPr>
              <w:t>租地合同详见附件9</w:t>
            </w:r>
            <w:r>
              <w:rPr>
                <w:rFonts w:hint="default" w:ascii="Times New Roman" w:hAnsi="Times New Roman" w:cs="Times New Roman"/>
                <w:color w:val="auto"/>
                <w:sz w:val="24"/>
                <w:szCs w:val="24"/>
                <w:lang w:eastAsia="zh-CN"/>
              </w:rPr>
              <w:t>）。施工期仅涉及厂房搭建及设备安装。</w:t>
            </w:r>
          </w:p>
          <w:p w14:paraId="75E5612A">
            <w:pPr>
              <w:keepNext/>
              <w:keepLines/>
              <w:spacing w:line="360" w:lineRule="auto"/>
              <w:ind w:firstLine="440" w:firstLineChars="200"/>
              <w:jc w:val="center"/>
              <w:rPr>
                <w:rFonts w:hint="default" w:ascii="Times New Roman" w:hAnsi="Times New Roman" w:cs="Times New Roman"/>
                <w:b/>
                <w:bCs/>
                <w:color w:val="auto"/>
                <w:sz w:val="21"/>
                <w:szCs w:val="21"/>
                <w:lang w:eastAsia="zh-CN"/>
              </w:rPr>
            </w:pPr>
            <w:r>
              <w:rPr>
                <w:rFonts w:hint="default" w:ascii="Times New Roman" w:hAnsi="Times New Roman" w:cs="Times New Roman"/>
                <w:color w:val="auto"/>
              </w:rPr>
              <w:drawing>
                <wp:anchor distT="0" distB="0" distL="114300" distR="114300" simplePos="0" relativeHeight="251659264" behindDoc="1" locked="0" layoutInCell="1" allowOverlap="1">
                  <wp:simplePos x="0" y="0"/>
                  <wp:positionH relativeFrom="column">
                    <wp:posOffset>-6350</wp:posOffset>
                  </wp:positionH>
                  <wp:positionV relativeFrom="paragraph">
                    <wp:posOffset>98425</wp:posOffset>
                  </wp:positionV>
                  <wp:extent cx="5096510" cy="1383030"/>
                  <wp:effectExtent l="0" t="0" r="8890" b="7620"/>
                  <wp:wrapTight wrapText="bothSides">
                    <wp:wrapPolygon>
                      <wp:start x="0" y="0"/>
                      <wp:lineTo x="0" y="21421"/>
                      <wp:lineTo x="21557" y="21421"/>
                      <wp:lineTo x="21557" y="0"/>
                      <wp:lineTo x="0" y="0"/>
                    </wp:wrapPolygon>
                  </wp:wrapTight>
                  <wp:docPr id="1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8"/>
                          <pic:cNvPicPr>
                            <a:picLocks noChangeAspect="1"/>
                          </pic:cNvPicPr>
                        </pic:nvPicPr>
                        <pic:blipFill>
                          <a:blip r:embed="rId12"/>
                          <a:stretch>
                            <a:fillRect/>
                          </a:stretch>
                        </pic:blipFill>
                        <pic:spPr>
                          <a:xfrm>
                            <a:off x="0" y="0"/>
                            <a:ext cx="5096510" cy="1383030"/>
                          </a:xfrm>
                          <a:prstGeom prst="rect">
                            <a:avLst/>
                          </a:prstGeom>
                          <a:noFill/>
                          <a:ln>
                            <a:noFill/>
                          </a:ln>
                        </pic:spPr>
                      </pic:pic>
                    </a:graphicData>
                  </a:graphic>
                </wp:anchor>
              </w:drawing>
            </w:r>
            <w:r>
              <w:rPr>
                <w:rFonts w:hint="default" w:ascii="Times New Roman" w:hAnsi="Times New Roman" w:cs="Times New Roman"/>
                <w:b/>
                <w:bCs/>
                <w:color w:val="auto"/>
                <w:sz w:val="21"/>
                <w:szCs w:val="21"/>
                <w:lang w:eastAsia="zh-CN"/>
              </w:rPr>
              <w:t>图2-4 施工期工艺流程及产污节点图</w:t>
            </w:r>
          </w:p>
          <w:p w14:paraId="6FAC0361">
            <w:pPr>
              <w:pStyle w:val="30"/>
              <w:adjustRightInd w:val="0"/>
              <w:snapToGrid w:val="0"/>
              <w:spacing w:line="360" w:lineRule="auto"/>
              <w:ind w:left="587"/>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施工流程简述：</w:t>
            </w:r>
          </w:p>
          <w:p w14:paraId="7E0341EA">
            <w:pPr>
              <w:pStyle w:val="30"/>
              <w:adjustRightInd w:val="0"/>
              <w:snapToGrid w:val="0"/>
              <w:spacing w:line="360" w:lineRule="auto"/>
              <w:ind w:left="587"/>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eastAsia="Times New Roman" w:cs="Times New Roman"/>
                <w:color w:val="auto"/>
                <w:sz w:val="24"/>
                <w:lang w:eastAsia="zh-CN"/>
              </w:rPr>
              <w:t>1</w:t>
            </w:r>
            <w:r>
              <w:rPr>
                <w:rFonts w:hint="default" w:ascii="Times New Roman" w:hAnsi="Times New Roman" w:cs="Times New Roman"/>
                <w:color w:val="auto"/>
                <w:sz w:val="24"/>
                <w:lang w:eastAsia="zh-CN"/>
              </w:rPr>
              <w:t>）基础工程</w:t>
            </w:r>
          </w:p>
          <w:p w14:paraId="5919B554">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此工艺主要包括对生产</w:t>
            </w:r>
            <w:r>
              <w:rPr>
                <w:rFonts w:hint="default" w:ascii="Times New Roman" w:hAnsi="Times New Roman" w:cs="Times New Roman"/>
                <w:color w:val="auto"/>
                <w:spacing w:val="-3"/>
                <w:sz w:val="24"/>
                <w:lang w:val="en-US" w:eastAsia="zh-CN"/>
              </w:rPr>
              <w:t>区</w:t>
            </w:r>
            <w:r>
              <w:rPr>
                <w:rFonts w:hint="default" w:ascii="Times New Roman" w:hAnsi="Times New Roman" w:cs="Times New Roman"/>
                <w:color w:val="auto"/>
                <w:spacing w:val="-3"/>
                <w:sz w:val="24"/>
                <w:lang w:eastAsia="zh-CN"/>
              </w:rPr>
              <w:t>地面进行混凝土硬化，基础施工过程中混凝土采取外购，不在厂区进行拌合，装载机运输时会产生噪声，项目过程会产生扬尘及废弃土石方等。</w:t>
            </w:r>
          </w:p>
          <w:p w14:paraId="3566E830">
            <w:pPr>
              <w:pStyle w:val="30"/>
              <w:adjustRightInd w:val="0"/>
              <w:snapToGrid w:val="0"/>
              <w:spacing w:line="360" w:lineRule="auto"/>
              <w:ind w:left="587"/>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eastAsia="Times New Roman" w:cs="Times New Roman"/>
                <w:color w:val="auto"/>
                <w:sz w:val="24"/>
                <w:lang w:eastAsia="zh-CN"/>
              </w:rPr>
              <w:t>2</w:t>
            </w:r>
            <w:r>
              <w:rPr>
                <w:rFonts w:hint="default" w:ascii="Times New Roman" w:hAnsi="Times New Roman" w:cs="Times New Roman"/>
                <w:color w:val="auto"/>
                <w:sz w:val="24"/>
                <w:lang w:eastAsia="zh-CN"/>
              </w:rPr>
              <w:t>）建筑结构工程</w:t>
            </w:r>
          </w:p>
          <w:p w14:paraId="7CF886FD">
            <w:pPr>
              <w:pStyle w:val="30"/>
              <w:adjustRightInd w:val="0"/>
              <w:snapToGrid w:val="0"/>
              <w:spacing w:line="360" w:lineRule="auto"/>
              <w:ind w:left="107" w:right="-29" w:firstLine="48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项目不产生施工废水，主要为施工生活污水，施工废水经临时沉淀池沉淀处理后回用施工洒水降尘，彩钢瓦安装过程中还会产生施工噪声和建筑垃圾。</w:t>
            </w:r>
          </w:p>
          <w:p w14:paraId="5C5E8BB0">
            <w:pPr>
              <w:pStyle w:val="30"/>
              <w:adjustRightInd w:val="0"/>
              <w:snapToGrid w:val="0"/>
              <w:spacing w:line="360" w:lineRule="auto"/>
              <w:ind w:left="587"/>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eastAsia="Times New Roman" w:cs="Times New Roman"/>
                <w:color w:val="auto"/>
                <w:sz w:val="24"/>
                <w:lang w:eastAsia="zh-CN"/>
              </w:rPr>
              <w:t>3</w:t>
            </w:r>
            <w:r>
              <w:rPr>
                <w:rFonts w:hint="default" w:ascii="Times New Roman" w:hAnsi="Times New Roman" w:cs="Times New Roman"/>
                <w:color w:val="auto"/>
                <w:sz w:val="24"/>
                <w:lang w:eastAsia="zh-CN"/>
              </w:rPr>
              <w:t>）设备安装调试</w:t>
            </w:r>
          </w:p>
          <w:p w14:paraId="4BF1413D">
            <w:pPr>
              <w:adjustRightInd w:val="0"/>
              <w:snapToGrid w:val="0"/>
              <w:spacing w:line="360" w:lineRule="auto"/>
              <w:ind w:right="50" w:firstLine="480" w:firstLineChars="200"/>
              <w:rPr>
                <w:rFonts w:hint="default" w:ascii="Times New Roman" w:hAnsi="Times New Roman" w:cs="Times New Roman"/>
                <w:b/>
                <w:bCs/>
                <w:color w:val="auto"/>
                <w:sz w:val="24"/>
                <w:lang w:eastAsia="zh-CN"/>
              </w:rPr>
            </w:pPr>
            <w:r>
              <w:rPr>
                <w:rFonts w:hint="default" w:ascii="Times New Roman" w:hAnsi="Times New Roman" w:cs="Times New Roman"/>
                <w:color w:val="auto"/>
                <w:sz w:val="24"/>
                <w:lang w:eastAsia="zh-CN"/>
              </w:rPr>
              <w:t>在安装设备时会产生机械噪声、少量扬尘及包装固体废弃物，施工期间对环境的影响，将会随着施工期的结束而消失。</w:t>
            </w:r>
          </w:p>
          <w:p w14:paraId="2D911D62">
            <w:pPr>
              <w:spacing w:line="360" w:lineRule="auto"/>
              <w:ind w:right="5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二、运营期</w:t>
            </w:r>
          </w:p>
          <w:tbl>
            <w:tblPr>
              <w:tblStyle w:val="2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47"/>
            </w:tblGrid>
            <w:tr w14:paraId="7C2F4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47" w:type="dxa"/>
                  <w:tcBorders>
                    <w:tl2br w:val="nil"/>
                    <w:tr2bl w:val="nil"/>
                  </w:tcBorders>
                </w:tcPr>
                <w:p w14:paraId="6F8BD305">
                  <w:pPr>
                    <w:spacing w:line="360" w:lineRule="auto"/>
                    <w:ind w:right="50"/>
                    <w:jc w:val="both"/>
                    <w:rPr>
                      <w:rFonts w:hint="default" w:ascii="Times New Roman" w:hAnsi="Times New Roman" w:cs="Times New Roman"/>
                      <w:color w:val="auto"/>
                      <w:sz w:val="20"/>
                    </w:rPr>
                  </w:pPr>
                  <w:r>
                    <w:rPr>
                      <w:rFonts w:hint="default" w:ascii="Times New Roman" w:hAnsi="Times New Roman" w:cs="Times New Roman"/>
                      <w:color w:val="auto"/>
                      <w:sz w:val="20"/>
                    </w:rPr>
                    <w:pict>
                      <v:shape id="_x0000_s1028" o:spid="_x0000_s1028" o:spt="75" type="#_x0000_t75" style="position:absolute;left:0pt;margin-left:8pt;margin-top:11.65pt;height:362.1pt;width:385.4pt;mso-wrap-distance-bottom:0pt;mso-wrap-distance-left:9pt;mso-wrap-distance-right:9pt;mso-wrap-distance-top:0pt;z-index:251660288;mso-width-relative:page;mso-height-relative:page;" o:ole="t" filled="f" o:preferrelative="t" stroked="f" coordsize="21600,21600">
                        <v:path/>
                        <v:fill on="f" focussize="0,0"/>
                        <v:stroke on="f"/>
                        <v:imagedata r:id="rId14" o:title=""/>
                        <o:lock v:ext="edit" aspectratio="f"/>
                        <w10:wrap type="square"/>
                      </v:shape>
                      <o:OLEObject Type="Embed" ProgID="Visio.Drawing.11" ShapeID="_x0000_s1028" DrawAspect="Content" ObjectID="_1468075727" r:id="rId13">
                        <o:LockedField>false</o:LockedField>
                      </o:OLEObject>
                    </w:pict>
                  </w:r>
                </w:p>
              </w:tc>
            </w:tr>
            <w:tr w14:paraId="4C839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47" w:type="dxa"/>
                  <w:tcBorders>
                    <w:tl2br w:val="nil"/>
                    <w:tr2bl w:val="nil"/>
                  </w:tcBorders>
                </w:tcPr>
                <w:p w14:paraId="74DEA632">
                  <w:pPr>
                    <w:spacing w:line="360" w:lineRule="auto"/>
                    <w:ind w:right="50" w:firstLine="422" w:firstLineChars="200"/>
                    <w:jc w:val="center"/>
                    <w:rPr>
                      <w:rFonts w:hint="default" w:ascii="Times New Roman" w:hAnsi="Times New Roman" w:cs="Times New Roman"/>
                      <w:color w:val="auto"/>
                      <w:sz w:val="20"/>
                      <w:lang w:eastAsia="zh-CN"/>
                    </w:rPr>
                  </w:pPr>
                  <w:r>
                    <w:rPr>
                      <w:rFonts w:hint="default" w:ascii="Times New Roman" w:hAnsi="Times New Roman" w:cs="Times New Roman"/>
                      <w:b/>
                      <w:color w:val="auto"/>
                      <w:sz w:val="21"/>
                      <w:lang w:eastAsia="zh-CN"/>
                    </w:rPr>
                    <w:t>图</w:t>
                  </w:r>
                  <w:r>
                    <w:rPr>
                      <w:rFonts w:hint="default" w:ascii="Times New Roman" w:hAnsi="Times New Roman" w:cs="Times New Roman"/>
                      <w:b/>
                      <w:color w:val="auto"/>
                      <w:spacing w:val="-55"/>
                      <w:sz w:val="21"/>
                      <w:lang w:eastAsia="zh-CN"/>
                    </w:rPr>
                    <w:t xml:space="preserve"> </w:t>
                  </w:r>
                  <w:r>
                    <w:rPr>
                      <w:rFonts w:hint="default" w:ascii="Times New Roman" w:hAnsi="Times New Roman" w:eastAsia="Times New Roman" w:cs="Times New Roman"/>
                      <w:b/>
                      <w:color w:val="auto"/>
                      <w:sz w:val="21"/>
                      <w:lang w:eastAsia="zh-CN"/>
                    </w:rPr>
                    <w:t>2-</w:t>
                  </w:r>
                  <w:r>
                    <w:rPr>
                      <w:rFonts w:hint="default" w:ascii="Times New Roman" w:hAnsi="Times New Roman" w:cs="Times New Roman"/>
                      <w:b/>
                      <w:color w:val="auto"/>
                      <w:sz w:val="21"/>
                      <w:lang w:eastAsia="zh-CN"/>
                    </w:rPr>
                    <w:t>5</w:t>
                  </w:r>
                  <w:r>
                    <w:rPr>
                      <w:rFonts w:hint="default" w:ascii="Times New Roman" w:hAnsi="Times New Roman" w:eastAsia="Times New Roman" w:cs="Times New Roman"/>
                      <w:b/>
                      <w:color w:val="auto"/>
                      <w:sz w:val="21"/>
                      <w:lang w:eastAsia="zh-CN"/>
                    </w:rPr>
                    <w:tab/>
                  </w:r>
                  <w:r>
                    <w:rPr>
                      <w:rFonts w:hint="default" w:ascii="Times New Roman" w:hAnsi="Times New Roman" w:cs="Times New Roman"/>
                      <w:b/>
                      <w:color w:val="auto"/>
                      <w:sz w:val="21"/>
                      <w:lang w:eastAsia="zh-CN"/>
                    </w:rPr>
                    <w:t>项目运营期工艺流程及产污节点图</w:t>
                  </w:r>
                </w:p>
              </w:tc>
            </w:tr>
          </w:tbl>
          <w:p w14:paraId="38619E70">
            <w:pPr>
              <w:spacing w:line="360" w:lineRule="auto"/>
              <w:ind w:right="50"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工艺流程简述：</w:t>
            </w:r>
          </w:p>
          <w:p w14:paraId="7C5E6354">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①配料</w:t>
            </w:r>
          </w:p>
          <w:p w14:paraId="39C212DC">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生产过程由电脑控制，按照拌合料的原料配比，对原材料进行正确称量。技术人员在计算机的帮助下，在生产之前必须在化验室里反复实验，已达到各种原辅料之间的最佳配比。</w:t>
            </w:r>
          </w:p>
          <w:p w14:paraId="7099EE05">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②投料</w:t>
            </w:r>
          </w:p>
          <w:p w14:paraId="43717348">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val="en-US" w:eastAsia="zh-CN"/>
              </w:rPr>
              <w:t>骨料</w:t>
            </w:r>
            <w:r>
              <w:rPr>
                <w:rFonts w:hint="default" w:ascii="Times New Roman" w:hAnsi="Times New Roman" w:cs="Times New Roman"/>
                <w:color w:val="auto"/>
                <w:spacing w:val="-3"/>
                <w:sz w:val="24"/>
                <w:lang w:eastAsia="zh-CN"/>
              </w:rPr>
              <w:t>存放在</w:t>
            </w:r>
            <w:r>
              <w:rPr>
                <w:rFonts w:hint="default" w:ascii="Times New Roman" w:hAnsi="Times New Roman" w:cs="Times New Roman"/>
                <w:color w:val="auto"/>
                <w:spacing w:val="-3"/>
                <w:sz w:val="24"/>
                <w:lang w:val="en-US" w:eastAsia="zh-CN"/>
              </w:rPr>
              <w:t>原料堆场</w:t>
            </w:r>
            <w:r>
              <w:rPr>
                <w:rFonts w:hint="default" w:ascii="Times New Roman" w:hAnsi="Times New Roman" w:cs="Times New Roman"/>
                <w:color w:val="auto"/>
                <w:spacing w:val="-3"/>
                <w:sz w:val="24"/>
                <w:lang w:eastAsia="zh-CN"/>
              </w:rPr>
              <w:t>，通过装载机送至计量斗，计量斗根据指令控制比例后卸在传输皮带上然后运入搅拌机，水由清水称量系统抽入供给。</w:t>
            </w:r>
          </w:p>
          <w:p w14:paraId="234DD95D">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③搅拌</w:t>
            </w:r>
          </w:p>
          <w:p w14:paraId="61C37D73">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拌合料生产由搅拌机来完成，</w:t>
            </w:r>
            <w:r>
              <w:rPr>
                <w:rFonts w:hint="default" w:ascii="Times New Roman" w:hAnsi="Times New Roman" w:cs="Times New Roman"/>
                <w:color w:val="auto"/>
                <w:spacing w:val="-3"/>
                <w:sz w:val="24"/>
                <w:lang w:val="en-US" w:eastAsia="zh-CN"/>
              </w:rPr>
              <w:t>骨料</w:t>
            </w:r>
            <w:r>
              <w:rPr>
                <w:rFonts w:hint="default" w:ascii="Times New Roman" w:hAnsi="Times New Roman" w:cs="Times New Roman"/>
                <w:color w:val="auto"/>
                <w:spacing w:val="-3"/>
                <w:sz w:val="24"/>
                <w:lang w:eastAsia="zh-CN"/>
              </w:rPr>
              <w:t>通过传送带送入搅拌机；所有原辅料称量后一起</w:t>
            </w:r>
            <w:r>
              <w:rPr>
                <w:rFonts w:hint="default" w:ascii="Times New Roman" w:hAnsi="Times New Roman" w:cs="Times New Roman"/>
                <w:color w:val="auto"/>
                <w:lang w:val="en-US" w:eastAsia="zh-CN"/>
              </w:rPr>
              <w:t>由皮带</w:t>
            </w:r>
            <w:r>
              <w:rPr>
                <w:rFonts w:hint="default" w:ascii="Times New Roman" w:hAnsi="Times New Roman" w:cs="Times New Roman"/>
                <w:color w:val="auto"/>
                <w:spacing w:val="-3"/>
                <w:sz w:val="24"/>
                <w:lang w:eastAsia="zh-CN"/>
              </w:rPr>
              <w:t>送至搅拌机内进行搅拌。经过充分的搅拌，使</w:t>
            </w:r>
            <w:r>
              <w:rPr>
                <w:rFonts w:hint="default" w:ascii="Times New Roman" w:hAnsi="Times New Roman" w:cs="Times New Roman"/>
                <w:color w:val="auto"/>
                <w:spacing w:val="-3"/>
                <w:sz w:val="24"/>
                <w:lang w:val="en-US" w:eastAsia="zh-CN"/>
              </w:rPr>
              <w:t>原料</w:t>
            </w:r>
            <w:r>
              <w:rPr>
                <w:rFonts w:hint="default" w:ascii="Times New Roman" w:hAnsi="Times New Roman" w:cs="Times New Roman"/>
                <w:color w:val="auto"/>
                <w:spacing w:val="-3"/>
                <w:sz w:val="24"/>
                <w:lang w:eastAsia="zh-CN"/>
              </w:rPr>
              <w:t>的亲和力达到最大。搅拌到程序设定时间，主机自动开门卸料。</w:t>
            </w:r>
          </w:p>
          <w:p w14:paraId="2B2CFA6C">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④卸料</w:t>
            </w:r>
          </w:p>
          <w:p w14:paraId="75D3A3F7">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在搅拌完成后，主机自动开门卸料，将产品装入混凝土输送车，并在出厂检验合格后运输交付客户。</w:t>
            </w:r>
          </w:p>
          <w:p w14:paraId="441E7DC6">
            <w:pPr>
              <w:pStyle w:val="30"/>
              <w:adjustRightInd w:val="0"/>
              <w:snapToGrid w:val="0"/>
              <w:spacing w:line="360" w:lineRule="auto"/>
              <w:ind w:left="107" w:right="-29" w:firstLine="480"/>
              <w:jc w:val="both"/>
              <w:rPr>
                <w:rFonts w:hint="default" w:ascii="Times New Roman" w:hAnsi="Times New Roman" w:cs="Times New Roman"/>
                <w:color w:val="auto"/>
                <w:spacing w:val="-3"/>
                <w:sz w:val="24"/>
                <w:lang w:eastAsia="zh-CN"/>
              </w:rPr>
            </w:pPr>
            <w:r>
              <w:rPr>
                <w:rFonts w:hint="default" w:ascii="Times New Roman" w:hAnsi="Times New Roman" w:cs="Times New Roman"/>
                <w:color w:val="auto"/>
                <w:spacing w:val="-3"/>
                <w:sz w:val="24"/>
                <w:lang w:eastAsia="zh-CN"/>
              </w:rPr>
              <w:t>搅拌机、运输用的搅拌车和泵车需要每天冲洗，冲洗的泥沙和残余混凝土经过项目自建的三级沉淀池回收利用。</w:t>
            </w:r>
          </w:p>
          <w:p w14:paraId="68D1051C">
            <w:pPr>
              <w:pStyle w:val="30"/>
              <w:adjustRightInd w:val="0"/>
              <w:snapToGrid w:val="0"/>
              <w:spacing w:line="360" w:lineRule="auto"/>
              <w:ind w:left="107" w:right="-29" w:firstLine="480"/>
              <w:jc w:val="both"/>
              <w:rPr>
                <w:rFonts w:hint="default" w:ascii="Times New Roman" w:hAnsi="Times New Roman" w:cs="Times New Roman"/>
                <w:bCs/>
                <w:color w:val="auto"/>
              </w:rPr>
            </w:pPr>
            <w:r>
              <w:rPr>
                <w:rFonts w:hint="default" w:ascii="Times New Roman" w:hAnsi="Times New Roman" w:cs="Times New Roman"/>
                <w:color w:val="auto"/>
                <w:spacing w:val="-3"/>
                <w:sz w:val="24"/>
                <w:lang w:eastAsia="zh-CN"/>
              </w:rPr>
              <w:t>项目不设置试验室，理化性质测定外委进行。</w:t>
            </w:r>
          </w:p>
        </w:tc>
      </w:tr>
      <w:tr w14:paraId="10ED1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808" w:type="dxa"/>
            <w:tcBorders>
              <w:tl2br w:val="nil"/>
              <w:tr2bl w:val="nil"/>
            </w:tcBorders>
            <w:vAlign w:val="center"/>
          </w:tcPr>
          <w:p w14:paraId="1AE0E5BB">
            <w:pPr>
              <w:spacing w:line="360" w:lineRule="auto"/>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sz w:val="24"/>
                <w:lang w:eastAsia="zh-CN"/>
              </w:rPr>
              <w:t>与项目有关的原有环境污染问题</w:t>
            </w:r>
          </w:p>
        </w:tc>
        <w:tc>
          <w:tcPr>
            <w:tcW w:w="8263" w:type="dxa"/>
            <w:tcBorders>
              <w:tl2br w:val="nil"/>
              <w:tr2bl w:val="nil"/>
            </w:tcBorders>
            <w:vAlign w:val="center"/>
          </w:tcPr>
          <w:p w14:paraId="2F453073">
            <w:pPr>
              <w:spacing w:line="360" w:lineRule="auto"/>
              <w:ind w:firstLine="480" w:firstLineChars="200"/>
              <w:jc w:val="both"/>
              <w:rPr>
                <w:rFonts w:hint="default" w:ascii="Times New Roman" w:hAnsi="Times New Roman" w:cs="Times New Roman"/>
                <w:color w:val="auto"/>
                <w:kern w:val="2"/>
                <w:sz w:val="24"/>
                <w:szCs w:val="52"/>
                <w:lang w:eastAsia="zh-CN"/>
              </w:rPr>
            </w:pPr>
          </w:p>
          <w:p w14:paraId="6BED52C7">
            <w:pPr>
              <w:spacing w:line="360" w:lineRule="auto"/>
              <w:ind w:firstLine="480" w:firstLineChars="200"/>
              <w:jc w:val="both"/>
              <w:rPr>
                <w:rFonts w:hint="default" w:ascii="Times New Roman" w:hAnsi="Times New Roman" w:cs="Times New Roman"/>
                <w:color w:val="auto"/>
                <w:kern w:val="2"/>
                <w:sz w:val="24"/>
                <w:szCs w:val="52"/>
                <w:lang w:eastAsia="zh-CN"/>
              </w:rPr>
            </w:pPr>
            <w:r>
              <w:rPr>
                <w:rFonts w:hint="default" w:ascii="Times New Roman" w:hAnsi="Times New Roman" w:cs="Times New Roman"/>
                <w:bCs/>
                <w:color w:val="auto"/>
                <w:sz w:val="24"/>
                <w:lang w:val="en-US" w:eastAsia="zh-CN"/>
              </w:rPr>
              <w:t>本项目属于新建项目，不存在与本项目有关的原有环境污染问题</w:t>
            </w:r>
            <w:r>
              <w:rPr>
                <w:rFonts w:hint="default" w:ascii="Times New Roman" w:hAnsi="Times New Roman" w:cs="Times New Roman"/>
                <w:color w:val="auto"/>
                <w:sz w:val="24"/>
              </w:rPr>
              <w:t>。</w:t>
            </w:r>
          </w:p>
          <w:p w14:paraId="00FABE58">
            <w:pPr>
              <w:spacing w:line="360" w:lineRule="auto"/>
              <w:ind w:firstLine="480" w:firstLineChars="200"/>
              <w:jc w:val="both"/>
              <w:rPr>
                <w:rFonts w:hint="default" w:ascii="Times New Roman" w:hAnsi="Times New Roman" w:cs="Times New Roman"/>
                <w:color w:val="auto"/>
                <w:kern w:val="2"/>
                <w:sz w:val="24"/>
                <w:szCs w:val="52"/>
                <w:lang w:eastAsia="zh-CN"/>
              </w:rPr>
            </w:pPr>
          </w:p>
          <w:p w14:paraId="0DD143F3">
            <w:pPr>
              <w:spacing w:line="360" w:lineRule="auto"/>
              <w:ind w:firstLine="480" w:firstLineChars="200"/>
              <w:jc w:val="both"/>
              <w:rPr>
                <w:rFonts w:hint="default" w:ascii="Times New Roman" w:hAnsi="Times New Roman" w:cs="Times New Roman"/>
                <w:color w:val="auto"/>
                <w:kern w:val="2"/>
                <w:sz w:val="24"/>
                <w:szCs w:val="52"/>
                <w:lang w:eastAsia="zh-CN"/>
              </w:rPr>
            </w:pPr>
          </w:p>
          <w:p w14:paraId="25EB92DF">
            <w:pPr>
              <w:spacing w:line="360" w:lineRule="auto"/>
              <w:ind w:firstLine="480" w:firstLineChars="200"/>
              <w:jc w:val="both"/>
              <w:rPr>
                <w:rFonts w:hint="default" w:ascii="Times New Roman" w:hAnsi="Times New Roman" w:cs="Times New Roman"/>
                <w:color w:val="auto"/>
                <w:kern w:val="2"/>
                <w:sz w:val="24"/>
                <w:szCs w:val="52"/>
                <w:lang w:eastAsia="zh-CN"/>
              </w:rPr>
            </w:pPr>
          </w:p>
          <w:p w14:paraId="7DEEB76F">
            <w:pPr>
              <w:spacing w:line="360" w:lineRule="auto"/>
              <w:ind w:firstLine="480" w:firstLineChars="200"/>
              <w:jc w:val="both"/>
              <w:rPr>
                <w:rFonts w:hint="default" w:ascii="Times New Roman" w:hAnsi="Times New Roman" w:cs="Times New Roman"/>
                <w:color w:val="auto"/>
                <w:kern w:val="2"/>
                <w:sz w:val="24"/>
                <w:szCs w:val="52"/>
                <w:lang w:eastAsia="zh-CN"/>
              </w:rPr>
            </w:pPr>
          </w:p>
          <w:p w14:paraId="79ECA568">
            <w:pPr>
              <w:pStyle w:val="10"/>
              <w:rPr>
                <w:rFonts w:hint="default" w:ascii="Times New Roman" w:hAnsi="Times New Roman" w:cs="Times New Roman"/>
                <w:color w:val="auto"/>
                <w:kern w:val="2"/>
                <w:sz w:val="24"/>
                <w:szCs w:val="52"/>
                <w:lang w:eastAsia="zh-CN"/>
              </w:rPr>
            </w:pPr>
          </w:p>
          <w:p w14:paraId="1EFAF073">
            <w:pPr>
              <w:pStyle w:val="10"/>
              <w:rPr>
                <w:rFonts w:hint="default" w:ascii="Times New Roman" w:hAnsi="Times New Roman" w:cs="Times New Roman"/>
                <w:color w:val="auto"/>
                <w:kern w:val="2"/>
                <w:sz w:val="24"/>
                <w:szCs w:val="52"/>
                <w:lang w:eastAsia="zh-CN"/>
              </w:rPr>
            </w:pPr>
          </w:p>
          <w:p w14:paraId="79079085">
            <w:pPr>
              <w:pStyle w:val="10"/>
              <w:rPr>
                <w:rFonts w:hint="default" w:ascii="Times New Roman" w:hAnsi="Times New Roman" w:cs="Times New Roman"/>
                <w:color w:val="auto"/>
                <w:kern w:val="2"/>
                <w:sz w:val="24"/>
                <w:szCs w:val="52"/>
                <w:lang w:eastAsia="zh-CN"/>
              </w:rPr>
            </w:pPr>
          </w:p>
          <w:p w14:paraId="0118BA9A">
            <w:pPr>
              <w:pStyle w:val="10"/>
              <w:rPr>
                <w:rFonts w:hint="default" w:ascii="Times New Roman" w:hAnsi="Times New Roman" w:cs="Times New Roman"/>
                <w:color w:val="auto"/>
                <w:kern w:val="2"/>
                <w:sz w:val="24"/>
                <w:szCs w:val="52"/>
                <w:lang w:eastAsia="zh-CN"/>
              </w:rPr>
            </w:pPr>
          </w:p>
          <w:p w14:paraId="43CE7D47">
            <w:pPr>
              <w:pStyle w:val="10"/>
              <w:rPr>
                <w:rFonts w:hint="default" w:ascii="Times New Roman" w:hAnsi="Times New Roman" w:cs="Times New Roman"/>
                <w:color w:val="auto"/>
                <w:kern w:val="2"/>
                <w:sz w:val="24"/>
                <w:szCs w:val="52"/>
                <w:lang w:eastAsia="zh-CN"/>
              </w:rPr>
            </w:pPr>
          </w:p>
          <w:p w14:paraId="14510552">
            <w:pPr>
              <w:pStyle w:val="10"/>
              <w:rPr>
                <w:rFonts w:hint="default" w:ascii="Times New Roman" w:hAnsi="Times New Roman" w:cs="Times New Roman"/>
                <w:color w:val="auto"/>
                <w:kern w:val="2"/>
                <w:sz w:val="24"/>
                <w:szCs w:val="52"/>
                <w:lang w:eastAsia="zh-CN"/>
              </w:rPr>
            </w:pPr>
          </w:p>
          <w:p w14:paraId="44EAA956">
            <w:pPr>
              <w:pStyle w:val="10"/>
              <w:rPr>
                <w:rFonts w:hint="default" w:ascii="Times New Roman" w:hAnsi="Times New Roman" w:cs="Times New Roman"/>
                <w:color w:val="auto"/>
                <w:kern w:val="2"/>
                <w:sz w:val="24"/>
                <w:szCs w:val="52"/>
                <w:lang w:eastAsia="zh-CN"/>
              </w:rPr>
            </w:pPr>
          </w:p>
          <w:p w14:paraId="67123638">
            <w:pPr>
              <w:pStyle w:val="10"/>
              <w:rPr>
                <w:rFonts w:hint="default" w:ascii="Times New Roman" w:hAnsi="Times New Roman" w:cs="Times New Roman"/>
                <w:color w:val="auto"/>
                <w:kern w:val="2"/>
                <w:sz w:val="24"/>
                <w:szCs w:val="52"/>
                <w:lang w:eastAsia="zh-CN"/>
              </w:rPr>
            </w:pPr>
          </w:p>
          <w:p w14:paraId="346110C6">
            <w:pPr>
              <w:pStyle w:val="10"/>
              <w:rPr>
                <w:rFonts w:hint="default" w:ascii="Times New Roman" w:hAnsi="Times New Roman" w:cs="Times New Roman"/>
                <w:color w:val="auto"/>
                <w:kern w:val="2"/>
                <w:sz w:val="24"/>
                <w:szCs w:val="52"/>
                <w:lang w:eastAsia="zh-CN"/>
              </w:rPr>
            </w:pPr>
          </w:p>
          <w:p w14:paraId="7EC1F592">
            <w:pPr>
              <w:pStyle w:val="10"/>
              <w:rPr>
                <w:rFonts w:hint="default" w:ascii="Times New Roman" w:hAnsi="Times New Roman" w:cs="Times New Roman"/>
                <w:color w:val="auto"/>
                <w:kern w:val="2"/>
                <w:sz w:val="24"/>
                <w:szCs w:val="52"/>
                <w:lang w:eastAsia="zh-CN"/>
              </w:rPr>
            </w:pPr>
          </w:p>
          <w:p w14:paraId="0D20B0C6">
            <w:pPr>
              <w:pStyle w:val="10"/>
              <w:rPr>
                <w:rFonts w:hint="default" w:ascii="Times New Roman" w:hAnsi="Times New Roman" w:cs="Times New Roman"/>
                <w:color w:val="auto"/>
                <w:kern w:val="2"/>
                <w:sz w:val="24"/>
                <w:szCs w:val="52"/>
                <w:lang w:eastAsia="zh-CN"/>
              </w:rPr>
            </w:pPr>
          </w:p>
          <w:p w14:paraId="479BBCF9">
            <w:pPr>
              <w:pStyle w:val="10"/>
              <w:rPr>
                <w:rFonts w:hint="default" w:ascii="Times New Roman" w:hAnsi="Times New Roman" w:cs="Times New Roman"/>
                <w:color w:val="auto"/>
                <w:kern w:val="2"/>
                <w:sz w:val="24"/>
                <w:szCs w:val="52"/>
                <w:lang w:eastAsia="zh-CN"/>
              </w:rPr>
            </w:pPr>
          </w:p>
          <w:p w14:paraId="284AB9E6">
            <w:pPr>
              <w:pStyle w:val="10"/>
              <w:rPr>
                <w:rFonts w:hint="default" w:ascii="Times New Roman" w:hAnsi="Times New Roman" w:cs="Times New Roman"/>
                <w:color w:val="auto"/>
                <w:kern w:val="2"/>
                <w:sz w:val="24"/>
                <w:szCs w:val="52"/>
                <w:lang w:eastAsia="zh-CN"/>
              </w:rPr>
            </w:pPr>
          </w:p>
          <w:p w14:paraId="5DFB4535">
            <w:pPr>
              <w:pStyle w:val="10"/>
              <w:rPr>
                <w:rFonts w:hint="default" w:ascii="Times New Roman" w:hAnsi="Times New Roman" w:cs="Times New Roman"/>
                <w:color w:val="auto"/>
                <w:kern w:val="2"/>
                <w:sz w:val="24"/>
                <w:szCs w:val="52"/>
                <w:lang w:eastAsia="zh-CN"/>
              </w:rPr>
            </w:pPr>
          </w:p>
          <w:p w14:paraId="651FD84D">
            <w:pPr>
              <w:pStyle w:val="10"/>
              <w:rPr>
                <w:rFonts w:hint="default" w:ascii="Times New Roman" w:hAnsi="Times New Roman" w:cs="Times New Roman"/>
                <w:color w:val="auto"/>
                <w:kern w:val="2"/>
                <w:sz w:val="24"/>
                <w:szCs w:val="52"/>
                <w:lang w:eastAsia="zh-CN"/>
              </w:rPr>
            </w:pPr>
          </w:p>
          <w:p w14:paraId="11C14198">
            <w:pPr>
              <w:pStyle w:val="10"/>
              <w:rPr>
                <w:rFonts w:hint="default" w:ascii="Times New Roman" w:hAnsi="Times New Roman" w:cs="Times New Roman"/>
                <w:color w:val="auto"/>
                <w:kern w:val="2"/>
                <w:sz w:val="24"/>
                <w:szCs w:val="52"/>
                <w:lang w:eastAsia="zh-CN"/>
              </w:rPr>
            </w:pPr>
          </w:p>
          <w:p w14:paraId="78BBA275">
            <w:pPr>
              <w:pStyle w:val="10"/>
              <w:rPr>
                <w:rFonts w:hint="default" w:ascii="Times New Roman" w:hAnsi="Times New Roman" w:cs="Times New Roman"/>
                <w:color w:val="auto"/>
                <w:kern w:val="2"/>
                <w:sz w:val="24"/>
                <w:szCs w:val="52"/>
                <w:lang w:eastAsia="zh-CN"/>
              </w:rPr>
            </w:pPr>
          </w:p>
          <w:p w14:paraId="0CF0C88A">
            <w:pPr>
              <w:pStyle w:val="10"/>
              <w:rPr>
                <w:rFonts w:hint="default" w:ascii="Times New Roman" w:hAnsi="Times New Roman" w:cs="Times New Roman"/>
                <w:color w:val="auto"/>
                <w:kern w:val="2"/>
                <w:sz w:val="24"/>
                <w:szCs w:val="52"/>
                <w:lang w:eastAsia="zh-CN"/>
              </w:rPr>
            </w:pPr>
          </w:p>
          <w:p w14:paraId="42469DC1">
            <w:pPr>
              <w:pStyle w:val="10"/>
              <w:rPr>
                <w:rFonts w:hint="default" w:ascii="Times New Roman" w:hAnsi="Times New Roman" w:cs="Times New Roman"/>
                <w:color w:val="auto"/>
                <w:kern w:val="2"/>
                <w:sz w:val="24"/>
                <w:szCs w:val="52"/>
                <w:lang w:eastAsia="zh-CN"/>
              </w:rPr>
            </w:pPr>
          </w:p>
          <w:p w14:paraId="5D8483F1">
            <w:pPr>
              <w:pStyle w:val="10"/>
              <w:rPr>
                <w:rFonts w:hint="default" w:ascii="Times New Roman" w:hAnsi="Times New Roman" w:cs="Times New Roman"/>
                <w:color w:val="auto"/>
                <w:kern w:val="2"/>
                <w:sz w:val="24"/>
                <w:szCs w:val="52"/>
                <w:lang w:eastAsia="zh-CN"/>
              </w:rPr>
            </w:pPr>
          </w:p>
          <w:p w14:paraId="0DBF5E98">
            <w:pPr>
              <w:pStyle w:val="10"/>
              <w:rPr>
                <w:rFonts w:hint="default" w:ascii="Times New Roman" w:hAnsi="Times New Roman" w:cs="Times New Roman"/>
                <w:color w:val="auto"/>
                <w:kern w:val="2"/>
                <w:sz w:val="24"/>
                <w:szCs w:val="52"/>
                <w:lang w:eastAsia="zh-CN"/>
              </w:rPr>
            </w:pPr>
          </w:p>
          <w:p w14:paraId="5F726CE8">
            <w:pPr>
              <w:pStyle w:val="10"/>
              <w:rPr>
                <w:rFonts w:hint="default" w:ascii="Times New Roman" w:hAnsi="Times New Roman" w:cs="Times New Roman"/>
                <w:color w:val="auto"/>
                <w:kern w:val="2"/>
                <w:sz w:val="24"/>
                <w:szCs w:val="52"/>
                <w:lang w:eastAsia="zh-CN"/>
              </w:rPr>
            </w:pPr>
          </w:p>
          <w:p w14:paraId="4811E51B">
            <w:pPr>
              <w:pStyle w:val="10"/>
              <w:rPr>
                <w:rFonts w:hint="default" w:ascii="Times New Roman" w:hAnsi="Times New Roman" w:cs="Times New Roman"/>
                <w:color w:val="auto"/>
                <w:kern w:val="2"/>
                <w:sz w:val="24"/>
                <w:szCs w:val="52"/>
                <w:lang w:eastAsia="zh-CN"/>
              </w:rPr>
            </w:pPr>
          </w:p>
          <w:p w14:paraId="5D87BE17">
            <w:pPr>
              <w:pStyle w:val="10"/>
              <w:rPr>
                <w:rFonts w:hint="default" w:ascii="Times New Roman" w:hAnsi="Times New Roman" w:cs="Times New Roman"/>
                <w:color w:val="auto"/>
                <w:kern w:val="2"/>
                <w:sz w:val="24"/>
                <w:szCs w:val="52"/>
                <w:lang w:eastAsia="zh-CN"/>
              </w:rPr>
            </w:pPr>
          </w:p>
          <w:p w14:paraId="76ABE14C">
            <w:pPr>
              <w:spacing w:line="360" w:lineRule="auto"/>
              <w:ind w:firstLine="480" w:firstLineChars="200"/>
              <w:jc w:val="both"/>
              <w:rPr>
                <w:rFonts w:hint="default" w:ascii="Times New Roman" w:hAnsi="Times New Roman" w:cs="Times New Roman"/>
                <w:color w:val="auto"/>
                <w:kern w:val="2"/>
                <w:sz w:val="24"/>
                <w:szCs w:val="52"/>
                <w:lang w:eastAsia="zh-CN"/>
              </w:rPr>
            </w:pPr>
          </w:p>
          <w:p w14:paraId="6A7A4015">
            <w:pPr>
              <w:spacing w:line="360" w:lineRule="auto"/>
              <w:jc w:val="both"/>
              <w:rPr>
                <w:rFonts w:hint="default" w:ascii="Times New Roman" w:hAnsi="Times New Roman" w:cs="Times New Roman"/>
                <w:color w:val="auto"/>
                <w:kern w:val="2"/>
                <w:sz w:val="24"/>
                <w:szCs w:val="52"/>
                <w:lang w:eastAsia="zh-CN"/>
              </w:rPr>
            </w:pPr>
          </w:p>
        </w:tc>
      </w:tr>
    </w:tbl>
    <w:p w14:paraId="7511B4FD">
      <w:pPr>
        <w:rPr>
          <w:rFonts w:hint="default" w:ascii="Times New Roman" w:hAnsi="Times New Roman" w:cs="Times New Roman"/>
          <w:bCs/>
          <w:color w:val="auto"/>
          <w:sz w:val="24"/>
          <w:lang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464FF5E">
      <w:pPr>
        <w:keepNext/>
        <w:overflowPunct w:val="0"/>
        <w:snapToGrid w:val="0"/>
        <w:jc w:val="center"/>
        <w:outlineLvl w:val="0"/>
        <w:rPr>
          <w:rFonts w:hint="default" w:ascii="Times New Roman" w:hAnsi="Times New Roman" w:cs="Times New Roman"/>
          <w:b/>
          <w:bCs/>
          <w:snapToGrid w:val="0"/>
          <w:color w:val="auto"/>
          <w:kern w:val="44"/>
          <w:sz w:val="30"/>
          <w:szCs w:val="30"/>
          <w:lang w:eastAsia="zh-CN"/>
        </w:rPr>
      </w:pPr>
      <w:bookmarkStart w:id="34" w:name="_Toc20605"/>
      <w:r>
        <w:rPr>
          <w:rFonts w:hint="default" w:ascii="Times New Roman" w:hAnsi="Times New Roman" w:cs="Times New Roman"/>
          <w:b/>
          <w:bCs/>
          <w:snapToGrid w:val="0"/>
          <w:color w:val="auto"/>
          <w:kern w:val="44"/>
          <w:sz w:val="30"/>
          <w:szCs w:val="30"/>
          <w:lang w:eastAsia="zh-CN"/>
        </w:rPr>
        <w:t>三、区域环境质量现状、环境保护目标及评价标准</w:t>
      </w:r>
      <w:bookmarkEnd w:id="34"/>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8503"/>
      </w:tblGrid>
      <w:tr w14:paraId="40FB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6365E22B">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区</w:t>
            </w:r>
          </w:p>
          <w:p w14:paraId="1E1E65F1">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域</w:t>
            </w:r>
          </w:p>
          <w:p w14:paraId="0E012E66">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环</w:t>
            </w:r>
          </w:p>
          <w:p w14:paraId="495E32D9">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境</w:t>
            </w:r>
          </w:p>
          <w:p w14:paraId="476284B1">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质</w:t>
            </w:r>
          </w:p>
          <w:p w14:paraId="3A459261">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量</w:t>
            </w:r>
          </w:p>
          <w:p w14:paraId="099358D6">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现</w:t>
            </w:r>
          </w:p>
          <w:p w14:paraId="4201B8F5">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4"/>
                <w:szCs w:val="52"/>
                <w:lang w:eastAsia="zh-CN"/>
              </w:rPr>
              <w:t>状</w:t>
            </w:r>
          </w:p>
        </w:tc>
        <w:tc>
          <w:tcPr>
            <w:tcW w:w="8190" w:type="dxa"/>
            <w:vAlign w:val="center"/>
          </w:tcPr>
          <w:p w14:paraId="52DEDB33">
            <w:pPr>
              <w:spacing w:line="360" w:lineRule="auto"/>
              <w:ind w:firstLine="482" w:firstLineChars="200"/>
              <w:rPr>
                <w:rFonts w:hint="default" w:ascii="Times New Roman" w:hAnsi="Times New Roman" w:cs="Times New Roman"/>
                <w:color w:val="auto"/>
                <w:sz w:val="24"/>
                <w:lang w:val="en-US" w:eastAsia="zh-CN"/>
              </w:rPr>
            </w:pPr>
            <w:r>
              <w:rPr>
                <w:rFonts w:hint="default" w:ascii="Times New Roman" w:hAnsi="Times New Roman" w:cs="Times New Roman"/>
                <w:b/>
                <w:color w:val="auto"/>
                <w:sz w:val="24"/>
                <w:lang w:eastAsia="zh-CN"/>
              </w:rPr>
              <w:t>一、大气环境</w:t>
            </w:r>
            <w:r>
              <w:rPr>
                <w:rFonts w:hint="default" w:ascii="Times New Roman" w:hAnsi="Times New Roman" w:cs="Times New Roman"/>
                <w:b/>
                <w:color w:val="auto"/>
                <w:sz w:val="24"/>
                <w:lang w:val="en-US" w:eastAsia="zh-CN"/>
              </w:rPr>
              <w:t>质量</w:t>
            </w:r>
          </w:p>
          <w:p w14:paraId="7ADDEA0B">
            <w:pPr>
              <w:adjustRightInd w:val="0"/>
              <w:snapToGrid w:val="0"/>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1、环境空气质量标准</w:t>
            </w:r>
          </w:p>
          <w:p w14:paraId="628DCD09">
            <w:pPr>
              <w:adjustRightInd w:val="0"/>
              <w:snapToGrid w:val="0"/>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本项目位于</w:t>
            </w:r>
            <w:r>
              <w:rPr>
                <w:rFonts w:hint="default" w:ascii="Times New Roman" w:hAnsi="Times New Roman" w:cs="Times New Roman"/>
                <w:color w:val="auto"/>
                <w:sz w:val="24"/>
                <w:szCs w:val="24"/>
                <w:lang w:eastAsia="zh-CN"/>
              </w:rPr>
              <w:t>云南省玉溪市新平彝族傣族自治县老厂乡</w:t>
            </w:r>
            <w:r>
              <w:rPr>
                <w:rFonts w:hint="default" w:ascii="Times New Roman" w:hAnsi="Times New Roman" w:cs="Times New Roman"/>
                <w:color w:val="auto"/>
                <w:sz w:val="24"/>
                <w:lang w:eastAsia="zh-CN"/>
              </w:rPr>
              <w:t>，项目所处区域属于农村地区，区域环境空气质量功能区划为二类区，执行《环境空气质量标准》（GB3095－</w:t>
            </w:r>
            <w:r>
              <w:rPr>
                <w:rFonts w:hint="default" w:ascii="Times New Roman" w:hAnsi="Times New Roman" w:cs="Times New Roman"/>
                <w:color w:val="auto"/>
                <w:sz w:val="24"/>
                <w:lang w:val="en-US" w:eastAsia="zh-CN"/>
              </w:rPr>
              <w:t>2026</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表1中</w:t>
            </w:r>
            <w:r>
              <w:rPr>
                <w:rFonts w:hint="default" w:ascii="Times New Roman" w:hAnsi="Times New Roman" w:cs="Times New Roman"/>
                <w:color w:val="auto"/>
                <w:sz w:val="24"/>
                <w:lang w:eastAsia="zh-CN"/>
              </w:rPr>
              <w:t>二级标准（</w:t>
            </w:r>
            <w:r>
              <w:rPr>
                <w:rFonts w:hint="default" w:ascii="Times New Roman" w:hAnsi="Times New Roman" w:cs="Times New Roman"/>
                <w:color w:val="auto"/>
                <w:sz w:val="24"/>
                <w:lang w:val="en-US" w:eastAsia="zh-CN"/>
              </w:rPr>
              <w:t>自本标准实施之日起至2030年12月31日止，环境空气污染物基本项目（表1）实施过渡阶段浓度限值</w:t>
            </w:r>
            <w:r>
              <w:rPr>
                <w:rFonts w:hint="default" w:ascii="Times New Roman" w:hAnsi="Times New Roman" w:cs="Times New Roman"/>
                <w:color w:val="auto"/>
                <w:sz w:val="24"/>
                <w:lang w:eastAsia="zh-CN"/>
              </w:rPr>
              <w:t>）。</w:t>
            </w:r>
          </w:p>
          <w:p w14:paraId="5948FC25">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ind w:firstLine="422" w:firstLineChars="200"/>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表3-1  环境空气质量标准</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759"/>
              <w:gridCol w:w="605"/>
              <w:gridCol w:w="868"/>
              <w:gridCol w:w="611"/>
              <w:gridCol w:w="628"/>
              <w:gridCol w:w="586"/>
              <w:gridCol w:w="856"/>
              <w:gridCol w:w="598"/>
              <w:gridCol w:w="1476"/>
            </w:tblGrid>
            <w:tr w14:paraId="7AF5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Merge w:val="restart"/>
                  <w:vAlign w:val="center"/>
                </w:tcPr>
                <w:p w14:paraId="2B908E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评价因子</w:t>
                  </w:r>
                </w:p>
              </w:tc>
              <w:tc>
                <w:tcPr>
                  <w:tcW w:w="1906" w:type="pct"/>
                  <w:gridSpan w:val="4"/>
                  <w:vAlign w:val="center"/>
                </w:tcPr>
                <w:p w14:paraId="63A975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过渡阶段浓度限值</w:t>
                  </w:r>
                </w:p>
              </w:tc>
              <w:tc>
                <w:tcPr>
                  <w:tcW w:w="1799" w:type="pct"/>
                  <w:gridSpan w:val="4"/>
                </w:tcPr>
                <w:p w14:paraId="76FAB2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浓度限值</w:t>
                  </w:r>
                </w:p>
              </w:tc>
              <w:tc>
                <w:tcPr>
                  <w:tcW w:w="513" w:type="pct"/>
                  <w:vMerge w:val="restart"/>
                  <w:vAlign w:val="center"/>
                </w:tcPr>
                <w:p w14:paraId="10FD45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执行</w:t>
                  </w:r>
                </w:p>
                <w:p w14:paraId="0AA1C4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标准</w:t>
                  </w:r>
                </w:p>
              </w:tc>
            </w:tr>
            <w:tr w14:paraId="25BB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Merge w:val="continue"/>
                  <w:vAlign w:val="center"/>
                </w:tcPr>
                <w:p w14:paraId="4953B7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p>
              </w:tc>
              <w:tc>
                <w:tcPr>
                  <w:tcW w:w="506" w:type="pct"/>
                  <w:vAlign w:val="center"/>
                </w:tcPr>
                <w:p w14:paraId="2BA488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年平均</w:t>
                  </w:r>
                </w:p>
              </w:tc>
              <w:tc>
                <w:tcPr>
                  <w:tcW w:w="413" w:type="pct"/>
                  <w:vAlign w:val="center"/>
                </w:tcPr>
                <w:p w14:paraId="620A4D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日平均</w:t>
                  </w:r>
                </w:p>
              </w:tc>
              <w:tc>
                <w:tcPr>
                  <w:tcW w:w="571" w:type="pct"/>
                  <w:vAlign w:val="center"/>
                </w:tcPr>
                <w:p w14:paraId="405363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日最大8h平均</w:t>
                  </w:r>
                </w:p>
              </w:tc>
              <w:tc>
                <w:tcPr>
                  <w:tcW w:w="414" w:type="pct"/>
                  <w:vAlign w:val="center"/>
                </w:tcPr>
                <w:p w14:paraId="5A1C39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1h平均</w:t>
                  </w:r>
                </w:p>
              </w:tc>
              <w:tc>
                <w:tcPr>
                  <w:tcW w:w="426" w:type="pct"/>
                  <w:vAlign w:val="center"/>
                </w:tcPr>
                <w:p w14:paraId="07E633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年平均</w:t>
                  </w:r>
                </w:p>
              </w:tc>
              <w:tc>
                <w:tcPr>
                  <w:tcW w:w="401" w:type="pct"/>
                  <w:vAlign w:val="center"/>
                </w:tcPr>
                <w:p w14:paraId="254155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日平均</w:t>
                  </w:r>
                </w:p>
              </w:tc>
              <w:tc>
                <w:tcPr>
                  <w:tcW w:w="564" w:type="pct"/>
                  <w:vAlign w:val="center"/>
                </w:tcPr>
                <w:p w14:paraId="5671AA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日最大8h平均</w:t>
                  </w:r>
                </w:p>
              </w:tc>
              <w:tc>
                <w:tcPr>
                  <w:tcW w:w="407" w:type="pct"/>
                  <w:vAlign w:val="center"/>
                </w:tcPr>
                <w:p w14:paraId="6193FC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1h平均</w:t>
                  </w:r>
                </w:p>
              </w:tc>
              <w:tc>
                <w:tcPr>
                  <w:tcW w:w="513" w:type="pct"/>
                  <w:vMerge w:val="continue"/>
                  <w:vAlign w:val="center"/>
                </w:tcPr>
                <w:p w14:paraId="0547921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kern w:val="2"/>
                      <w:sz w:val="21"/>
                      <w:szCs w:val="21"/>
                      <w:lang w:eastAsia="zh-CN"/>
                    </w:rPr>
                  </w:pPr>
                </w:p>
              </w:tc>
            </w:tr>
            <w:tr w14:paraId="4E92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314414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SO</w:t>
                  </w:r>
                  <w:r>
                    <w:rPr>
                      <w:rFonts w:hint="default" w:ascii="Times New Roman" w:hAnsi="Times New Roman" w:cs="Times New Roman"/>
                      <w:color w:val="auto"/>
                      <w:kern w:val="2"/>
                      <w:sz w:val="21"/>
                      <w:szCs w:val="21"/>
                      <w:vertAlign w:val="subscript"/>
                      <w:lang w:eastAsia="zh-CN"/>
                    </w:rPr>
                    <w:t>2</w:t>
                  </w:r>
                  <w:r>
                    <w:rPr>
                      <w:rFonts w:hint="default" w:ascii="Times New Roman" w:hAnsi="Times New Roman" w:cs="Times New Roman"/>
                      <w:color w:val="auto"/>
                      <w:kern w:val="2"/>
                      <w:sz w:val="21"/>
                      <w:szCs w:val="21"/>
                      <w:lang w:eastAsia="zh-CN"/>
                    </w:rPr>
                    <w:t>（μg/m³）</w:t>
                  </w:r>
                </w:p>
              </w:tc>
              <w:tc>
                <w:tcPr>
                  <w:tcW w:w="506" w:type="pct"/>
                  <w:vAlign w:val="center"/>
                </w:tcPr>
                <w:p w14:paraId="1BC674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60</w:t>
                  </w:r>
                </w:p>
              </w:tc>
              <w:tc>
                <w:tcPr>
                  <w:tcW w:w="413" w:type="pct"/>
                  <w:vAlign w:val="center"/>
                </w:tcPr>
                <w:p w14:paraId="277E01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150</w:t>
                  </w:r>
                </w:p>
              </w:tc>
              <w:tc>
                <w:tcPr>
                  <w:tcW w:w="571" w:type="pct"/>
                  <w:vAlign w:val="center"/>
                </w:tcPr>
                <w:p w14:paraId="280A77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4" w:type="pct"/>
                  <w:vAlign w:val="center"/>
                </w:tcPr>
                <w:p w14:paraId="349100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500</w:t>
                  </w:r>
                </w:p>
              </w:tc>
              <w:tc>
                <w:tcPr>
                  <w:tcW w:w="426" w:type="pct"/>
                  <w:vAlign w:val="center"/>
                </w:tcPr>
                <w:p w14:paraId="39DD40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w:t>
                  </w:r>
                </w:p>
              </w:tc>
              <w:tc>
                <w:tcPr>
                  <w:tcW w:w="401" w:type="pct"/>
                  <w:vAlign w:val="center"/>
                </w:tcPr>
                <w:p w14:paraId="77EEA5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w:t>
                  </w:r>
                </w:p>
              </w:tc>
              <w:tc>
                <w:tcPr>
                  <w:tcW w:w="564" w:type="pct"/>
                  <w:vAlign w:val="center"/>
                </w:tcPr>
                <w:p w14:paraId="194E73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14:paraId="71C290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150</w:t>
                  </w:r>
                </w:p>
              </w:tc>
              <w:tc>
                <w:tcPr>
                  <w:tcW w:w="513" w:type="pct"/>
                  <w:vMerge w:val="restart"/>
                  <w:vAlign w:val="center"/>
                </w:tcPr>
                <w:p w14:paraId="502FA3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《环境空气质量标准》（GB 3095—2026）</w:t>
                  </w:r>
                </w:p>
              </w:tc>
            </w:tr>
            <w:tr w14:paraId="2107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6DBB17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NO</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（μg/m³）</w:t>
                  </w:r>
                </w:p>
              </w:tc>
              <w:tc>
                <w:tcPr>
                  <w:tcW w:w="506" w:type="pct"/>
                  <w:vAlign w:val="center"/>
                </w:tcPr>
                <w:p w14:paraId="3D75F0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40</w:t>
                  </w:r>
                </w:p>
              </w:tc>
              <w:tc>
                <w:tcPr>
                  <w:tcW w:w="413" w:type="pct"/>
                  <w:vAlign w:val="center"/>
                </w:tcPr>
                <w:p w14:paraId="709055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80</w:t>
                  </w:r>
                </w:p>
              </w:tc>
              <w:tc>
                <w:tcPr>
                  <w:tcW w:w="571" w:type="pct"/>
                  <w:vAlign w:val="center"/>
                </w:tcPr>
                <w:p w14:paraId="6C2610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4" w:type="pct"/>
                  <w:vAlign w:val="center"/>
                </w:tcPr>
                <w:p w14:paraId="0B4432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200</w:t>
                  </w:r>
                </w:p>
              </w:tc>
              <w:tc>
                <w:tcPr>
                  <w:tcW w:w="426" w:type="pct"/>
                  <w:vAlign w:val="center"/>
                </w:tcPr>
                <w:p w14:paraId="524D55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30</w:t>
                  </w:r>
                </w:p>
              </w:tc>
              <w:tc>
                <w:tcPr>
                  <w:tcW w:w="401" w:type="pct"/>
                  <w:vAlign w:val="center"/>
                </w:tcPr>
                <w:p w14:paraId="7BDAE9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w:t>
                  </w:r>
                </w:p>
              </w:tc>
              <w:tc>
                <w:tcPr>
                  <w:tcW w:w="564" w:type="pct"/>
                  <w:vAlign w:val="center"/>
                </w:tcPr>
                <w:p w14:paraId="1841FE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14:paraId="36CCC7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200</w:t>
                  </w:r>
                </w:p>
              </w:tc>
              <w:tc>
                <w:tcPr>
                  <w:tcW w:w="513" w:type="pct"/>
                  <w:vMerge w:val="continue"/>
                  <w:vAlign w:val="center"/>
                </w:tcPr>
                <w:p w14:paraId="68FBDAD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kern w:val="2"/>
                      <w:sz w:val="21"/>
                      <w:szCs w:val="21"/>
                      <w:lang w:eastAsia="zh-CN"/>
                    </w:rPr>
                  </w:pPr>
                </w:p>
              </w:tc>
            </w:tr>
            <w:tr w14:paraId="0D35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2EBAED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CO（mg/m³）</w:t>
                  </w:r>
                </w:p>
              </w:tc>
              <w:tc>
                <w:tcPr>
                  <w:tcW w:w="506" w:type="pct"/>
                  <w:vAlign w:val="center"/>
                </w:tcPr>
                <w:p w14:paraId="5426E8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3" w:type="pct"/>
                  <w:vAlign w:val="center"/>
                </w:tcPr>
                <w:p w14:paraId="73AB5E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4</w:t>
                  </w:r>
                </w:p>
              </w:tc>
              <w:tc>
                <w:tcPr>
                  <w:tcW w:w="571" w:type="pct"/>
                  <w:vAlign w:val="center"/>
                </w:tcPr>
                <w:p w14:paraId="1055C7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4" w:type="pct"/>
                  <w:vAlign w:val="center"/>
                </w:tcPr>
                <w:p w14:paraId="45DE88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w:t>
                  </w:r>
                </w:p>
              </w:tc>
              <w:tc>
                <w:tcPr>
                  <w:tcW w:w="426" w:type="pct"/>
                  <w:vAlign w:val="center"/>
                </w:tcPr>
                <w:p w14:paraId="05272A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1" w:type="pct"/>
                  <w:vAlign w:val="center"/>
                </w:tcPr>
                <w:p w14:paraId="4A8824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4</w:t>
                  </w:r>
                </w:p>
              </w:tc>
              <w:tc>
                <w:tcPr>
                  <w:tcW w:w="564" w:type="pct"/>
                  <w:vAlign w:val="center"/>
                </w:tcPr>
                <w:p w14:paraId="63EB68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14:paraId="5919D7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w:t>
                  </w:r>
                </w:p>
              </w:tc>
              <w:tc>
                <w:tcPr>
                  <w:tcW w:w="513" w:type="pct"/>
                  <w:vMerge w:val="continue"/>
                  <w:vAlign w:val="center"/>
                </w:tcPr>
                <w:p w14:paraId="4F65BDF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kern w:val="2"/>
                      <w:sz w:val="21"/>
                      <w:szCs w:val="21"/>
                      <w:lang w:eastAsia="zh-CN"/>
                    </w:rPr>
                  </w:pPr>
                </w:p>
              </w:tc>
            </w:tr>
            <w:tr w14:paraId="49F1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6A3360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O</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（μg/Nm³）</w:t>
                  </w:r>
                </w:p>
              </w:tc>
              <w:tc>
                <w:tcPr>
                  <w:tcW w:w="506" w:type="pct"/>
                  <w:vAlign w:val="center"/>
                </w:tcPr>
                <w:p w14:paraId="4FF750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3" w:type="pct"/>
                  <w:vAlign w:val="center"/>
                </w:tcPr>
                <w:p w14:paraId="5DDBBA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571" w:type="pct"/>
                  <w:vAlign w:val="center"/>
                </w:tcPr>
                <w:p w14:paraId="51916D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160</w:t>
                  </w:r>
                </w:p>
              </w:tc>
              <w:tc>
                <w:tcPr>
                  <w:tcW w:w="414" w:type="pct"/>
                  <w:vAlign w:val="center"/>
                </w:tcPr>
                <w:p w14:paraId="532A2C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200</w:t>
                  </w:r>
                </w:p>
              </w:tc>
              <w:tc>
                <w:tcPr>
                  <w:tcW w:w="426" w:type="pct"/>
                  <w:vAlign w:val="center"/>
                </w:tcPr>
                <w:p w14:paraId="140432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1" w:type="pct"/>
                  <w:vAlign w:val="center"/>
                </w:tcPr>
                <w:p w14:paraId="0017BC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564" w:type="pct"/>
                  <w:vAlign w:val="center"/>
                </w:tcPr>
                <w:p w14:paraId="29B3150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160</w:t>
                  </w:r>
                </w:p>
              </w:tc>
              <w:tc>
                <w:tcPr>
                  <w:tcW w:w="407" w:type="pct"/>
                  <w:vAlign w:val="center"/>
                </w:tcPr>
                <w:p w14:paraId="5639D6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200</w:t>
                  </w:r>
                </w:p>
              </w:tc>
              <w:tc>
                <w:tcPr>
                  <w:tcW w:w="513" w:type="pct"/>
                  <w:vMerge w:val="continue"/>
                  <w:vAlign w:val="center"/>
                </w:tcPr>
                <w:p w14:paraId="03E02B8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kern w:val="2"/>
                      <w:sz w:val="21"/>
                      <w:szCs w:val="21"/>
                      <w:lang w:eastAsia="zh-CN"/>
                    </w:rPr>
                  </w:pPr>
                </w:p>
              </w:tc>
            </w:tr>
            <w:tr w14:paraId="6AB3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618369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10</w:t>
                  </w:r>
                  <w:r>
                    <w:rPr>
                      <w:rFonts w:hint="default" w:ascii="Times New Roman" w:hAnsi="Times New Roman" w:cs="Times New Roman"/>
                      <w:color w:val="auto"/>
                      <w:sz w:val="21"/>
                      <w:szCs w:val="21"/>
                      <w:lang w:eastAsia="zh-CN"/>
                    </w:rPr>
                    <w:t>（μg/m³）</w:t>
                  </w:r>
                </w:p>
              </w:tc>
              <w:tc>
                <w:tcPr>
                  <w:tcW w:w="506" w:type="pct"/>
                  <w:vAlign w:val="center"/>
                </w:tcPr>
                <w:p w14:paraId="097253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60</w:t>
                  </w:r>
                </w:p>
              </w:tc>
              <w:tc>
                <w:tcPr>
                  <w:tcW w:w="413" w:type="pct"/>
                  <w:vAlign w:val="center"/>
                </w:tcPr>
                <w:p w14:paraId="0200CB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120</w:t>
                  </w:r>
                </w:p>
              </w:tc>
              <w:tc>
                <w:tcPr>
                  <w:tcW w:w="571" w:type="pct"/>
                  <w:vAlign w:val="center"/>
                </w:tcPr>
                <w:p w14:paraId="739DC4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4" w:type="pct"/>
                  <w:vAlign w:val="center"/>
                </w:tcPr>
                <w:p w14:paraId="0693F9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26" w:type="pct"/>
                  <w:vAlign w:val="center"/>
                </w:tcPr>
                <w:p w14:paraId="75CE7B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w:t>
                  </w:r>
                </w:p>
              </w:tc>
              <w:tc>
                <w:tcPr>
                  <w:tcW w:w="401" w:type="pct"/>
                  <w:vAlign w:val="center"/>
                </w:tcPr>
                <w:p w14:paraId="0D700F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100</w:t>
                  </w:r>
                </w:p>
              </w:tc>
              <w:tc>
                <w:tcPr>
                  <w:tcW w:w="564" w:type="pct"/>
                  <w:vAlign w:val="center"/>
                </w:tcPr>
                <w:p w14:paraId="1F14A1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14:paraId="7583A7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513" w:type="pct"/>
                  <w:vMerge w:val="continue"/>
                  <w:vAlign w:val="center"/>
                </w:tcPr>
                <w:p w14:paraId="56B14BB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kern w:val="2"/>
                      <w:sz w:val="21"/>
                      <w:szCs w:val="21"/>
                      <w:lang w:eastAsia="zh-CN"/>
                    </w:rPr>
                  </w:pPr>
                </w:p>
              </w:tc>
            </w:tr>
            <w:tr w14:paraId="17DD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71CAC4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2.5</w:t>
                  </w:r>
                  <w:r>
                    <w:rPr>
                      <w:rFonts w:hint="default" w:ascii="Times New Roman" w:hAnsi="Times New Roman" w:cs="Times New Roman"/>
                      <w:color w:val="auto"/>
                      <w:sz w:val="21"/>
                      <w:szCs w:val="21"/>
                      <w:lang w:eastAsia="zh-CN"/>
                    </w:rPr>
                    <w:t>（μg/m³）</w:t>
                  </w:r>
                </w:p>
              </w:tc>
              <w:tc>
                <w:tcPr>
                  <w:tcW w:w="506" w:type="pct"/>
                  <w:vAlign w:val="center"/>
                </w:tcPr>
                <w:p w14:paraId="0AF32C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30</w:t>
                  </w:r>
                </w:p>
              </w:tc>
              <w:tc>
                <w:tcPr>
                  <w:tcW w:w="413" w:type="pct"/>
                  <w:vAlign w:val="center"/>
                </w:tcPr>
                <w:p w14:paraId="2E00B1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60</w:t>
                  </w:r>
                </w:p>
              </w:tc>
              <w:tc>
                <w:tcPr>
                  <w:tcW w:w="571" w:type="pct"/>
                  <w:vAlign w:val="center"/>
                </w:tcPr>
                <w:p w14:paraId="6B9BEB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4" w:type="pct"/>
                  <w:vAlign w:val="center"/>
                </w:tcPr>
                <w:p w14:paraId="5793D6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26" w:type="pct"/>
                  <w:vAlign w:val="center"/>
                </w:tcPr>
                <w:p w14:paraId="5D9292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25</w:t>
                  </w:r>
                </w:p>
              </w:tc>
              <w:tc>
                <w:tcPr>
                  <w:tcW w:w="401" w:type="pct"/>
                  <w:vAlign w:val="center"/>
                </w:tcPr>
                <w:p w14:paraId="5AF83E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w:t>
                  </w:r>
                </w:p>
              </w:tc>
              <w:tc>
                <w:tcPr>
                  <w:tcW w:w="564" w:type="pct"/>
                  <w:vAlign w:val="center"/>
                </w:tcPr>
                <w:p w14:paraId="008B43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14:paraId="79B8E9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513" w:type="pct"/>
                  <w:vMerge w:val="continue"/>
                  <w:vAlign w:val="center"/>
                </w:tcPr>
                <w:p w14:paraId="45D1ACC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kern w:val="2"/>
                      <w:sz w:val="21"/>
                      <w:szCs w:val="21"/>
                      <w:lang w:eastAsia="zh-CN"/>
                    </w:rPr>
                  </w:pPr>
                </w:p>
              </w:tc>
            </w:tr>
          </w:tbl>
          <w:p w14:paraId="30BF3790">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rFonts w:hint="default" w:ascii="Times New Roman" w:hAnsi="Times New Roman" w:cs="Times New Roman"/>
                <w:b w:val="0"/>
                <w:bCs/>
                <w:color w:val="auto"/>
                <w:sz w:val="24"/>
                <w:lang w:eastAsia="zh-CN"/>
              </w:rPr>
            </w:pPr>
            <w:r>
              <w:rPr>
                <w:rFonts w:hint="default" w:ascii="Times New Roman" w:hAnsi="Times New Roman" w:cs="Times New Roman"/>
                <w:b w:val="0"/>
                <w:bCs/>
                <w:color w:val="auto"/>
                <w:sz w:val="24"/>
                <w:lang w:val="en-US" w:eastAsia="zh-CN"/>
              </w:rPr>
              <w:t>2、</w:t>
            </w:r>
            <w:r>
              <w:rPr>
                <w:rFonts w:hint="default" w:ascii="Times New Roman" w:hAnsi="Times New Roman" w:cs="Times New Roman"/>
                <w:b w:val="0"/>
                <w:bCs/>
                <w:color w:val="auto"/>
                <w:sz w:val="24"/>
                <w:lang w:eastAsia="zh-CN"/>
              </w:rPr>
              <w:t>区域环境空气质量达标区判定</w:t>
            </w:r>
          </w:p>
          <w:p w14:paraId="596BD8A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根据《环境影响评价技术导则大气环境》（HJ2.2-2018），基本污染物环境质量现状数据采用评价范围内国家或地方环境空气质量监测网中评价基准年连续1年的监测数据，或采用生态环境主管部门公开发布的环境空气质量现状数据。</w:t>
            </w:r>
          </w:p>
          <w:p w14:paraId="202472C1">
            <w:p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根据引用新平县2023年新平县环境自动监测站（新平一小）的自动监测数据统计结果进行分析，环境空气质量现状评价详见表3-</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p>
          <w:p w14:paraId="5656CCBD">
            <w:pPr>
              <w:autoSpaceDE/>
              <w:autoSpaceDN/>
              <w:adjustRightInd w:val="0"/>
              <w:snapToGrid w:val="0"/>
              <w:spacing w:before="156" w:beforeLines="5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表3-</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eastAsia="zh-CN"/>
              </w:rPr>
              <w:t xml:space="preserve">  2023年新平县环境自动监测站监测数据一览表</w:t>
            </w:r>
          </w:p>
          <w:tbl>
            <w:tblPr>
              <w:tblStyle w:val="20"/>
              <w:tblW w:w="8287" w:type="dxa"/>
              <w:tblInd w:w="0" w:type="dxa"/>
              <w:tblLayout w:type="autofit"/>
              <w:tblCellMar>
                <w:top w:w="0" w:type="dxa"/>
                <w:left w:w="0" w:type="dxa"/>
                <w:bottom w:w="0" w:type="dxa"/>
                <w:right w:w="0" w:type="dxa"/>
              </w:tblCellMar>
            </w:tblPr>
            <w:tblGrid>
              <w:gridCol w:w="974"/>
              <w:gridCol w:w="2390"/>
              <w:gridCol w:w="1375"/>
              <w:gridCol w:w="1526"/>
              <w:gridCol w:w="1274"/>
              <w:gridCol w:w="748"/>
            </w:tblGrid>
            <w:tr w14:paraId="5AA95140">
              <w:tblPrEx>
                <w:tblCellMar>
                  <w:top w:w="0" w:type="dxa"/>
                  <w:left w:w="0" w:type="dxa"/>
                  <w:bottom w:w="0" w:type="dxa"/>
                  <w:right w:w="0" w:type="dxa"/>
                </w:tblCellMar>
              </w:tblPrEx>
              <w:trPr>
                <w:trHeight w:val="149" w:hRule="atLeast"/>
              </w:trPr>
              <w:tc>
                <w:tcPr>
                  <w:tcW w:w="588" w:type="pct"/>
                  <w:tcBorders>
                    <w:top w:val="single" w:color="000000" w:sz="4" w:space="0"/>
                    <w:left w:val="single" w:color="000000" w:sz="4" w:space="0"/>
                    <w:bottom w:val="single" w:color="000000" w:sz="4" w:space="0"/>
                    <w:right w:val="single" w:color="000000" w:sz="4" w:space="0"/>
                  </w:tcBorders>
                  <w:vAlign w:val="center"/>
                </w:tcPr>
                <w:p w14:paraId="02E04716">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污染物</w:t>
                  </w:r>
                </w:p>
              </w:tc>
              <w:tc>
                <w:tcPr>
                  <w:tcW w:w="1441" w:type="pct"/>
                  <w:tcBorders>
                    <w:top w:val="single" w:color="000000" w:sz="4" w:space="0"/>
                    <w:left w:val="single" w:color="000000" w:sz="4" w:space="0"/>
                    <w:bottom w:val="single" w:color="000000" w:sz="4" w:space="0"/>
                    <w:right w:val="single" w:color="000000" w:sz="4" w:space="0"/>
                  </w:tcBorders>
                  <w:vAlign w:val="center"/>
                </w:tcPr>
                <w:p w14:paraId="2C48E9EF">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年评价指标</w:t>
                  </w:r>
                </w:p>
              </w:tc>
              <w:tc>
                <w:tcPr>
                  <w:tcW w:w="829" w:type="pct"/>
                  <w:tcBorders>
                    <w:top w:val="single" w:color="000000" w:sz="4" w:space="0"/>
                    <w:left w:val="single" w:color="000000" w:sz="4" w:space="0"/>
                    <w:bottom w:val="single" w:color="000000" w:sz="4" w:space="0"/>
                    <w:right w:val="single" w:color="000000" w:sz="4" w:space="0"/>
                  </w:tcBorders>
                  <w:vAlign w:val="center"/>
                </w:tcPr>
                <w:p w14:paraId="55EC635F">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现状浓度（μg/m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w:t>
                  </w:r>
                </w:p>
              </w:tc>
              <w:tc>
                <w:tcPr>
                  <w:tcW w:w="920" w:type="pct"/>
                  <w:tcBorders>
                    <w:top w:val="single" w:color="000000" w:sz="4" w:space="0"/>
                    <w:left w:val="single" w:color="000000" w:sz="4" w:space="0"/>
                    <w:bottom w:val="single" w:color="000000" w:sz="4" w:space="0"/>
                    <w:right w:val="single" w:color="000000" w:sz="4" w:space="0"/>
                  </w:tcBorders>
                  <w:vAlign w:val="center"/>
                </w:tcPr>
                <w:p w14:paraId="2C8E72B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标准值（μg/m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w:t>
                  </w:r>
                </w:p>
              </w:tc>
              <w:tc>
                <w:tcPr>
                  <w:tcW w:w="768" w:type="pct"/>
                  <w:tcBorders>
                    <w:top w:val="single" w:color="000000" w:sz="4" w:space="0"/>
                    <w:left w:val="single" w:color="000000" w:sz="4" w:space="0"/>
                    <w:bottom w:val="single" w:color="000000" w:sz="4" w:space="0"/>
                    <w:right w:val="single" w:color="000000" w:sz="4" w:space="0"/>
                  </w:tcBorders>
                  <w:vAlign w:val="center"/>
                </w:tcPr>
                <w:p w14:paraId="24860640">
                  <w:pPr>
                    <w:autoSpaceDE/>
                    <w:autoSpaceDN/>
                    <w:adjustRightInd w:val="0"/>
                    <w:snapToGrid w:val="0"/>
                    <w:ind w:firstLine="420" w:firstLineChars="200"/>
                    <w:jc w:val="center"/>
                    <w:rPr>
                      <w:rFonts w:hint="default" w:ascii="Times New Roman" w:hAnsi="Times New Roman" w:cs="Times New Roman"/>
                      <w:color w:val="auto"/>
                      <w:sz w:val="21"/>
                      <w:szCs w:val="21"/>
                      <w:lang w:eastAsia="zh-CN"/>
                    </w:rPr>
                  </w:pPr>
                </w:p>
                <w:p w14:paraId="336EF43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占标率%</w:t>
                  </w:r>
                </w:p>
              </w:tc>
              <w:tc>
                <w:tcPr>
                  <w:tcW w:w="451" w:type="pct"/>
                  <w:tcBorders>
                    <w:top w:val="single" w:color="000000" w:sz="4" w:space="0"/>
                    <w:left w:val="single" w:color="000000" w:sz="4" w:space="0"/>
                    <w:bottom w:val="single" w:color="000000" w:sz="4" w:space="0"/>
                    <w:right w:val="single" w:color="000000" w:sz="4" w:space="0"/>
                  </w:tcBorders>
                  <w:vAlign w:val="center"/>
                </w:tcPr>
                <w:p w14:paraId="14B24326">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p w14:paraId="45025ECB">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情况</w:t>
                  </w:r>
                </w:p>
              </w:tc>
            </w:tr>
            <w:tr w14:paraId="6B040AE3">
              <w:tblPrEx>
                <w:tblCellMar>
                  <w:top w:w="0" w:type="dxa"/>
                  <w:left w:w="0" w:type="dxa"/>
                  <w:bottom w:w="0" w:type="dxa"/>
                  <w:right w:w="0" w:type="dxa"/>
                </w:tblCellMar>
              </w:tblPrEx>
              <w:trPr>
                <w:trHeight w:val="90" w:hRule="atLeast"/>
              </w:trPr>
              <w:tc>
                <w:tcPr>
                  <w:tcW w:w="588" w:type="pct"/>
                  <w:vMerge w:val="restart"/>
                  <w:tcBorders>
                    <w:top w:val="single" w:color="000000" w:sz="4" w:space="0"/>
                    <w:left w:val="single" w:color="000000" w:sz="4" w:space="0"/>
                    <w:bottom w:val="single" w:color="000000" w:sz="4" w:space="0"/>
                    <w:right w:val="single" w:color="000000" w:sz="4" w:space="0"/>
                  </w:tcBorders>
                  <w:vAlign w:val="center"/>
                </w:tcPr>
                <w:p w14:paraId="48E5C7D8">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SO</w:t>
                  </w:r>
                  <w:r>
                    <w:rPr>
                      <w:rFonts w:hint="default" w:ascii="Times New Roman" w:hAnsi="Times New Roman" w:cs="Times New Roman"/>
                      <w:color w:val="auto"/>
                      <w:sz w:val="21"/>
                      <w:szCs w:val="21"/>
                      <w:vertAlign w:val="subscript"/>
                      <w:lang w:eastAsia="zh-CN"/>
                    </w:rPr>
                    <w:t>2</w:t>
                  </w:r>
                </w:p>
              </w:tc>
              <w:tc>
                <w:tcPr>
                  <w:tcW w:w="1441" w:type="pct"/>
                  <w:tcBorders>
                    <w:top w:val="single" w:color="000000" w:sz="4" w:space="0"/>
                    <w:left w:val="single" w:color="000000" w:sz="4" w:space="0"/>
                    <w:bottom w:val="single" w:color="000000" w:sz="4" w:space="0"/>
                    <w:right w:val="single" w:color="000000" w:sz="4" w:space="0"/>
                  </w:tcBorders>
                  <w:vAlign w:val="center"/>
                </w:tcPr>
                <w:p w14:paraId="21AC3CE3">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年平均质量浓度</w:t>
                  </w:r>
                </w:p>
              </w:tc>
              <w:tc>
                <w:tcPr>
                  <w:tcW w:w="829" w:type="pct"/>
                  <w:tcBorders>
                    <w:top w:val="single" w:color="000000" w:sz="4" w:space="0"/>
                    <w:left w:val="single" w:color="000000" w:sz="4" w:space="0"/>
                    <w:bottom w:val="single" w:color="000000" w:sz="4" w:space="0"/>
                    <w:right w:val="single" w:color="000000" w:sz="4" w:space="0"/>
                  </w:tcBorders>
                  <w:vAlign w:val="center"/>
                </w:tcPr>
                <w:p w14:paraId="36A7092F">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w:t>
                  </w:r>
                </w:p>
              </w:tc>
              <w:tc>
                <w:tcPr>
                  <w:tcW w:w="920" w:type="pct"/>
                  <w:tcBorders>
                    <w:top w:val="single" w:color="000000" w:sz="4" w:space="0"/>
                    <w:left w:val="single" w:color="000000" w:sz="4" w:space="0"/>
                    <w:bottom w:val="single" w:color="000000" w:sz="4" w:space="0"/>
                    <w:right w:val="single" w:color="000000" w:sz="4" w:space="0"/>
                  </w:tcBorders>
                  <w:vAlign w:val="center"/>
                </w:tcPr>
                <w:p w14:paraId="611FDDEA">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60</w:t>
                  </w:r>
                </w:p>
              </w:tc>
              <w:tc>
                <w:tcPr>
                  <w:tcW w:w="768" w:type="pct"/>
                  <w:tcBorders>
                    <w:top w:val="single" w:color="000000" w:sz="4" w:space="0"/>
                    <w:left w:val="single" w:color="000000" w:sz="4" w:space="0"/>
                    <w:bottom w:val="single" w:color="000000" w:sz="4" w:space="0"/>
                    <w:right w:val="single" w:color="000000" w:sz="4" w:space="0"/>
                  </w:tcBorders>
                  <w:vAlign w:val="center"/>
                </w:tcPr>
                <w:p w14:paraId="73596DE2">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8.33</w:t>
                  </w:r>
                </w:p>
              </w:tc>
              <w:tc>
                <w:tcPr>
                  <w:tcW w:w="451" w:type="pct"/>
                  <w:tcBorders>
                    <w:top w:val="single" w:color="000000" w:sz="4" w:space="0"/>
                    <w:left w:val="single" w:color="000000" w:sz="4" w:space="0"/>
                    <w:bottom w:val="single" w:color="000000" w:sz="4" w:space="0"/>
                    <w:right w:val="single" w:color="000000" w:sz="4" w:space="0"/>
                  </w:tcBorders>
                  <w:vAlign w:val="center"/>
                </w:tcPr>
                <w:p w14:paraId="66278C8A">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4485F2D5">
              <w:tblPrEx>
                <w:tblCellMar>
                  <w:top w:w="0" w:type="dxa"/>
                  <w:left w:w="0" w:type="dxa"/>
                  <w:bottom w:w="0" w:type="dxa"/>
                  <w:right w:w="0" w:type="dxa"/>
                </w:tblCellMar>
              </w:tblPrEx>
              <w:trPr>
                <w:trHeight w:val="90" w:hRule="atLeast"/>
              </w:trPr>
              <w:tc>
                <w:tcPr>
                  <w:tcW w:w="588" w:type="pct"/>
                  <w:vMerge w:val="continue"/>
                  <w:tcBorders>
                    <w:top w:val="nil"/>
                    <w:left w:val="single" w:color="000000" w:sz="4" w:space="0"/>
                    <w:bottom w:val="single" w:color="000000" w:sz="4" w:space="0"/>
                    <w:right w:val="single" w:color="000000" w:sz="4" w:space="0"/>
                  </w:tcBorders>
                  <w:vAlign w:val="center"/>
                </w:tcPr>
                <w:p w14:paraId="69CC3C6C">
                  <w:pPr>
                    <w:autoSpaceDE/>
                    <w:autoSpaceDN/>
                    <w:adjustRightInd w:val="0"/>
                    <w:snapToGrid w:val="0"/>
                    <w:ind w:firstLine="420" w:firstLineChars="200"/>
                    <w:jc w:val="center"/>
                    <w:rPr>
                      <w:rFonts w:hint="default" w:ascii="Times New Roman" w:hAnsi="Times New Roman" w:cs="Times New Roman"/>
                      <w:color w:val="auto"/>
                      <w:sz w:val="21"/>
                      <w:szCs w:val="21"/>
                      <w:lang w:eastAsia="zh-CN"/>
                    </w:rPr>
                  </w:pPr>
                </w:p>
              </w:tc>
              <w:tc>
                <w:tcPr>
                  <w:tcW w:w="1441" w:type="pct"/>
                  <w:tcBorders>
                    <w:top w:val="single" w:color="000000" w:sz="4" w:space="0"/>
                    <w:left w:val="single" w:color="000000" w:sz="4" w:space="0"/>
                    <w:bottom w:val="single" w:color="000000" w:sz="4" w:space="0"/>
                    <w:right w:val="single" w:color="000000" w:sz="4" w:space="0"/>
                  </w:tcBorders>
                  <w:vAlign w:val="center"/>
                </w:tcPr>
                <w:p w14:paraId="41680958">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24h平均第98百分位数</w:t>
                  </w:r>
                </w:p>
              </w:tc>
              <w:tc>
                <w:tcPr>
                  <w:tcW w:w="829" w:type="pct"/>
                  <w:tcBorders>
                    <w:top w:val="single" w:color="000000" w:sz="4" w:space="0"/>
                    <w:left w:val="single" w:color="000000" w:sz="4" w:space="0"/>
                    <w:bottom w:val="single" w:color="000000" w:sz="4" w:space="0"/>
                    <w:right w:val="single" w:color="000000" w:sz="4" w:space="0"/>
                  </w:tcBorders>
                  <w:vAlign w:val="center"/>
                </w:tcPr>
                <w:p w14:paraId="414EC3B7">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8</w:t>
                  </w:r>
                </w:p>
              </w:tc>
              <w:tc>
                <w:tcPr>
                  <w:tcW w:w="920" w:type="pct"/>
                  <w:tcBorders>
                    <w:top w:val="single" w:color="000000" w:sz="4" w:space="0"/>
                    <w:left w:val="single" w:color="000000" w:sz="4" w:space="0"/>
                    <w:bottom w:val="single" w:color="000000" w:sz="4" w:space="0"/>
                    <w:right w:val="single" w:color="000000" w:sz="4" w:space="0"/>
                  </w:tcBorders>
                  <w:vAlign w:val="center"/>
                </w:tcPr>
                <w:p w14:paraId="7F268DDE">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150</w:t>
                  </w:r>
                </w:p>
              </w:tc>
              <w:tc>
                <w:tcPr>
                  <w:tcW w:w="768" w:type="pct"/>
                  <w:tcBorders>
                    <w:top w:val="single" w:color="000000" w:sz="4" w:space="0"/>
                    <w:left w:val="single" w:color="000000" w:sz="4" w:space="0"/>
                    <w:bottom w:val="single" w:color="000000" w:sz="4" w:space="0"/>
                    <w:right w:val="single" w:color="000000" w:sz="4" w:space="0"/>
                  </w:tcBorders>
                  <w:vAlign w:val="center"/>
                </w:tcPr>
                <w:p w14:paraId="1F8B272C">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5.33</w:t>
                  </w:r>
                </w:p>
              </w:tc>
              <w:tc>
                <w:tcPr>
                  <w:tcW w:w="451" w:type="pct"/>
                  <w:tcBorders>
                    <w:top w:val="single" w:color="000000" w:sz="4" w:space="0"/>
                    <w:left w:val="single" w:color="000000" w:sz="4" w:space="0"/>
                    <w:bottom w:val="single" w:color="000000" w:sz="4" w:space="0"/>
                    <w:right w:val="single" w:color="000000" w:sz="4" w:space="0"/>
                  </w:tcBorders>
                  <w:vAlign w:val="center"/>
                </w:tcPr>
                <w:p w14:paraId="5BAACFA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655BAA9F">
              <w:tblPrEx>
                <w:tblCellMar>
                  <w:top w:w="0" w:type="dxa"/>
                  <w:left w:w="0" w:type="dxa"/>
                  <w:bottom w:w="0" w:type="dxa"/>
                  <w:right w:w="0" w:type="dxa"/>
                </w:tblCellMar>
              </w:tblPrEx>
              <w:trPr>
                <w:trHeight w:val="90" w:hRule="atLeast"/>
              </w:trPr>
              <w:tc>
                <w:tcPr>
                  <w:tcW w:w="588" w:type="pct"/>
                  <w:vMerge w:val="restart"/>
                  <w:tcBorders>
                    <w:top w:val="single" w:color="000000" w:sz="4" w:space="0"/>
                    <w:left w:val="single" w:color="000000" w:sz="4" w:space="0"/>
                    <w:bottom w:val="single" w:color="000000" w:sz="4" w:space="0"/>
                    <w:right w:val="single" w:color="000000" w:sz="4" w:space="0"/>
                  </w:tcBorders>
                  <w:vAlign w:val="center"/>
                </w:tcPr>
                <w:p w14:paraId="4CEC2DDA">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NO</w:t>
                  </w:r>
                  <w:r>
                    <w:rPr>
                      <w:rFonts w:hint="default" w:ascii="Times New Roman" w:hAnsi="Times New Roman" w:cs="Times New Roman"/>
                      <w:color w:val="auto"/>
                      <w:sz w:val="21"/>
                      <w:szCs w:val="21"/>
                      <w:vertAlign w:val="subscript"/>
                      <w:lang w:eastAsia="zh-CN"/>
                    </w:rPr>
                    <w:t>2</w:t>
                  </w:r>
                </w:p>
              </w:tc>
              <w:tc>
                <w:tcPr>
                  <w:tcW w:w="1441" w:type="pct"/>
                  <w:tcBorders>
                    <w:top w:val="single" w:color="000000" w:sz="4" w:space="0"/>
                    <w:left w:val="single" w:color="000000" w:sz="4" w:space="0"/>
                    <w:bottom w:val="single" w:color="000000" w:sz="4" w:space="0"/>
                    <w:right w:val="single" w:color="000000" w:sz="4" w:space="0"/>
                  </w:tcBorders>
                  <w:vAlign w:val="center"/>
                </w:tcPr>
                <w:p w14:paraId="780BCD85">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年平均质量浓度</w:t>
                  </w:r>
                </w:p>
              </w:tc>
              <w:tc>
                <w:tcPr>
                  <w:tcW w:w="829" w:type="pct"/>
                  <w:tcBorders>
                    <w:top w:val="single" w:color="000000" w:sz="4" w:space="0"/>
                    <w:left w:val="single" w:color="000000" w:sz="4" w:space="0"/>
                    <w:bottom w:val="single" w:color="000000" w:sz="4" w:space="0"/>
                    <w:right w:val="single" w:color="000000" w:sz="4" w:space="0"/>
                  </w:tcBorders>
                  <w:vAlign w:val="center"/>
                </w:tcPr>
                <w:p w14:paraId="224A9D5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w:t>
                  </w:r>
                </w:p>
              </w:tc>
              <w:tc>
                <w:tcPr>
                  <w:tcW w:w="920" w:type="pct"/>
                  <w:tcBorders>
                    <w:top w:val="single" w:color="000000" w:sz="4" w:space="0"/>
                    <w:left w:val="single" w:color="000000" w:sz="4" w:space="0"/>
                    <w:bottom w:val="single" w:color="000000" w:sz="4" w:space="0"/>
                    <w:right w:val="single" w:color="000000" w:sz="4" w:space="0"/>
                  </w:tcBorders>
                  <w:vAlign w:val="center"/>
                </w:tcPr>
                <w:p w14:paraId="65128BF4">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40</w:t>
                  </w:r>
                </w:p>
              </w:tc>
              <w:tc>
                <w:tcPr>
                  <w:tcW w:w="768" w:type="pct"/>
                  <w:tcBorders>
                    <w:top w:val="single" w:color="000000" w:sz="4" w:space="0"/>
                    <w:left w:val="single" w:color="000000" w:sz="4" w:space="0"/>
                    <w:bottom w:val="single" w:color="000000" w:sz="4" w:space="0"/>
                    <w:right w:val="single" w:color="000000" w:sz="4" w:space="0"/>
                  </w:tcBorders>
                  <w:vAlign w:val="center"/>
                </w:tcPr>
                <w:p w14:paraId="4B2AC8AF">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17.5</w:t>
                  </w:r>
                </w:p>
              </w:tc>
              <w:tc>
                <w:tcPr>
                  <w:tcW w:w="451" w:type="pct"/>
                  <w:tcBorders>
                    <w:top w:val="single" w:color="000000" w:sz="4" w:space="0"/>
                    <w:left w:val="single" w:color="000000" w:sz="4" w:space="0"/>
                    <w:bottom w:val="single" w:color="000000" w:sz="4" w:space="0"/>
                    <w:right w:val="single" w:color="000000" w:sz="4" w:space="0"/>
                  </w:tcBorders>
                  <w:vAlign w:val="center"/>
                </w:tcPr>
                <w:p w14:paraId="1E24A8E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033F7D82">
              <w:tblPrEx>
                <w:tblCellMar>
                  <w:top w:w="0" w:type="dxa"/>
                  <w:left w:w="0" w:type="dxa"/>
                  <w:bottom w:w="0" w:type="dxa"/>
                  <w:right w:w="0" w:type="dxa"/>
                </w:tblCellMar>
              </w:tblPrEx>
              <w:trPr>
                <w:trHeight w:val="90" w:hRule="atLeast"/>
              </w:trPr>
              <w:tc>
                <w:tcPr>
                  <w:tcW w:w="588" w:type="pct"/>
                  <w:vMerge w:val="continue"/>
                  <w:tcBorders>
                    <w:top w:val="nil"/>
                    <w:left w:val="single" w:color="000000" w:sz="4" w:space="0"/>
                    <w:bottom w:val="single" w:color="000000" w:sz="4" w:space="0"/>
                    <w:right w:val="single" w:color="000000" w:sz="4" w:space="0"/>
                  </w:tcBorders>
                  <w:vAlign w:val="center"/>
                </w:tcPr>
                <w:p w14:paraId="61F9DC4C">
                  <w:pPr>
                    <w:autoSpaceDE/>
                    <w:autoSpaceDN/>
                    <w:adjustRightInd w:val="0"/>
                    <w:snapToGrid w:val="0"/>
                    <w:ind w:firstLine="420" w:firstLineChars="200"/>
                    <w:jc w:val="center"/>
                    <w:rPr>
                      <w:rFonts w:hint="default" w:ascii="Times New Roman" w:hAnsi="Times New Roman" w:cs="Times New Roman"/>
                      <w:color w:val="auto"/>
                      <w:sz w:val="21"/>
                      <w:szCs w:val="21"/>
                      <w:lang w:eastAsia="zh-CN"/>
                    </w:rPr>
                  </w:pPr>
                </w:p>
              </w:tc>
              <w:tc>
                <w:tcPr>
                  <w:tcW w:w="1441" w:type="pct"/>
                  <w:tcBorders>
                    <w:top w:val="single" w:color="000000" w:sz="4" w:space="0"/>
                    <w:left w:val="single" w:color="000000" w:sz="4" w:space="0"/>
                    <w:bottom w:val="single" w:color="000000" w:sz="4" w:space="0"/>
                    <w:right w:val="single" w:color="000000" w:sz="4" w:space="0"/>
                  </w:tcBorders>
                  <w:vAlign w:val="center"/>
                </w:tcPr>
                <w:p w14:paraId="2484B85E">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24h平均第98百分位数</w:t>
                  </w:r>
                </w:p>
              </w:tc>
              <w:tc>
                <w:tcPr>
                  <w:tcW w:w="829" w:type="pct"/>
                  <w:tcBorders>
                    <w:top w:val="single" w:color="000000" w:sz="4" w:space="0"/>
                    <w:left w:val="single" w:color="000000" w:sz="4" w:space="0"/>
                    <w:bottom w:val="single" w:color="000000" w:sz="4" w:space="0"/>
                    <w:right w:val="single" w:color="000000" w:sz="4" w:space="0"/>
                  </w:tcBorders>
                  <w:vAlign w:val="center"/>
                </w:tcPr>
                <w:p w14:paraId="70C244D5">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13</w:t>
                  </w:r>
                </w:p>
              </w:tc>
              <w:tc>
                <w:tcPr>
                  <w:tcW w:w="920" w:type="pct"/>
                  <w:tcBorders>
                    <w:top w:val="single" w:color="000000" w:sz="4" w:space="0"/>
                    <w:left w:val="single" w:color="000000" w:sz="4" w:space="0"/>
                    <w:bottom w:val="single" w:color="000000" w:sz="4" w:space="0"/>
                    <w:right w:val="single" w:color="000000" w:sz="4" w:space="0"/>
                  </w:tcBorders>
                  <w:vAlign w:val="center"/>
                </w:tcPr>
                <w:p w14:paraId="38C6C05B">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80</w:t>
                  </w:r>
                </w:p>
              </w:tc>
              <w:tc>
                <w:tcPr>
                  <w:tcW w:w="768" w:type="pct"/>
                  <w:tcBorders>
                    <w:top w:val="single" w:color="000000" w:sz="4" w:space="0"/>
                    <w:left w:val="single" w:color="000000" w:sz="4" w:space="0"/>
                    <w:bottom w:val="single" w:color="000000" w:sz="4" w:space="0"/>
                    <w:right w:val="single" w:color="000000" w:sz="4" w:space="0"/>
                  </w:tcBorders>
                  <w:vAlign w:val="center"/>
                </w:tcPr>
                <w:p w14:paraId="43B2239A">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16.25</w:t>
                  </w:r>
                </w:p>
              </w:tc>
              <w:tc>
                <w:tcPr>
                  <w:tcW w:w="451" w:type="pct"/>
                  <w:tcBorders>
                    <w:top w:val="single" w:color="000000" w:sz="4" w:space="0"/>
                    <w:left w:val="single" w:color="000000" w:sz="4" w:space="0"/>
                    <w:bottom w:val="single" w:color="000000" w:sz="4" w:space="0"/>
                    <w:right w:val="single" w:color="000000" w:sz="4" w:space="0"/>
                  </w:tcBorders>
                  <w:vAlign w:val="center"/>
                </w:tcPr>
                <w:p w14:paraId="30CF6271">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48197EE1">
              <w:tblPrEx>
                <w:tblCellMar>
                  <w:top w:w="0" w:type="dxa"/>
                  <w:left w:w="0" w:type="dxa"/>
                  <w:bottom w:w="0" w:type="dxa"/>
                  <w:right w:w="0" w:type="dxa"/>
                </w:tblCellMar>
              </w:tblPrEx>
              <w:trPr>
                <w:trHeight w:val="90" w:hRule="atLeast"/>
              </w:trPr>
              <w:tc>
                <w:tcPr>
                  <w:tcW w:w="588" w:type="pct"/>
                  <w:vMerge w:val="restart"/>
                  <w:tcBorders>
                    <w:top w:val="single" w:color="000000" w:sz="4" w:space="0"/>
                    <w:left w:val="single" w:color="000000" w:sz="4" w:space="0"/>
                    <w:bottom w:val="single" w:color="000000" w:sz="4" w:space="0"/>
                    <w:right w:val="single" w:color="000000" w:sz="4" w:space="0"/>
                  </w:tcBorders>
                  <w:vAlign w:val="center"/>
                </w:tcPr>
                <w:p w14:paraId="7219F421">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10</w:t>
                  </w:r>
                </w:p>
              </w:tc>
              <w:tc>
                <w:tcPr>
                  <w:tcW w:w="1441" w:type="pct"/>
                  <w:tcBorders>
                    <w:top w:val="single" w:color="000000" w:sz="4" w:space="0"/>
                    <w:left w:val="single" w:color="000000" w:sz="4" w:space="0"/>
                    <w:bottom w:val="single" w:color="000000" w:sz="4" w:space="0"/>
                    <w:right w:val="single" w:color="000000" w:sz="4" w:space="0"/>
                  </w:tcBorders>
                  <w:vAlign w:val="center"/>
                </w:tcPr>
                <w:p w14:paraId="54A28C7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年平均质量浓度</w:t>
                  </w:r>
                </w:p>
              </w:tc>
              <w:tc>
                <w:tcPr>
                  <w:tcW w:w="829" w:type="pct"/>
                  <w:tcBorders>
                    <w:top w:val="single" w:color="000000" w:sz="4" w:space="0"/>
                    <w:left w:val="single" w:color="000000" w:sz="4" w:space="0"/>
                    <w:bottom w:val="single" w:color="000000" w:sz="4" w:space="0"/>
                    <w:right w:val="single" w:color="000000" w:sz="4" w:space="0"/>
                  </w:tcBorders>
                  <w:vAlign w:val="center"/>
                </w:tcPr>
                <w:p w14:paraId="1751B80B">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28</w:t>
                  </w:r>
                </w:p>
              </w:tc>
              <w:tc>
                <w:tcPr>
                  <w:tcW w:w="920" w:type="pct"/>
                  <w:tcBorders>
                    <w:top w:val="single" w:color="000000" w:sz="4" w:space="0"/>
                    <w:left w:val="single" w:color="000000" w:sz="4" w:space="0"/>
                    <w:bottom w:val="single" w:color="000000" w:sz="4" w:space="0"/>
                    <w:right w:val="single" w:color="000000" w:sz="4" w:space="0"/>
                  </w:tcBorders>
                  <w:vAlign w:val="center"/>
                </w:tcPr>
                <w:p w14:paraId="1FA256C4">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768" w:type="pct"/>
                  <w:tcBorders>
                    <w:top w:val="single" w:color="000000" w:sz="4" w:space="0"/>
                    <w:left w:val="single" w:color="000000" w:sz="4" w:space="0"/>
                    <w:bottom w:val="single" w:color="000000" w:sz="4" w:space="0"/>
                    <w:right w:val="single" w:color="000000" w:sz="4" w:space="0"/>
                  </w:tcBorders>
                  <w:vAlign w:val="center"/>
                </w:tcPr>
                <w:p w14:paraId="00F12EB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40</w:t>
                  </w:r>
                </w:p>
              </w:tc>
              <w:tc>
                <w:tcPr>
                  <w:tcW w:w="451" w:type="pct"/>
                  <w:tcBorders>
                    <w:top w:val="single" w:color="000000" w:sz="4" w:space="0"/>
                    <w:left w:val="single" w:color="000000" w:sz="4" w:space="0"/>
                    <w:bottom w:val="single" w:color="000000" w:sz="4" w:space="0"/>
                    <w:right w:val="single" w:color="000000" w:sz="4" w:space="0"/>
                  </w:tcBorders>
                  <w:vAlign w:val="center"/>
                </w:tcPr>
                <w:p w14:paraId="23CEA0CE">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5604758D">
              <w:tblPrEx>
                <w:tblCellMar>
                  <w:top w:w="0" w:type="dxa"/>
                  <w:left w:w="0" w:type="dxa"/>
                  <w:bottom w:w="0" w:type="dxa"/>
                  <w:right w:w="0" w:type="dxa"/>
                </w:tblCellMar>
              </w:tblPrEx>
              <w:trPr>
                <w:trHeight w:val="90" w:hRule="atLeast"/>
              </w:trPr>
              <w:tc>
                <w:tcPr>
                  <w:tcW w:w="588" w:type="pct"/>
                  <w:vMerge w:val="continue"/>
                  <w:tcBorders>
                    <w:top w:val="nil"/>
                    <w:left w:val="single" w:color="000000" w:sz="4" w:space="0"/>
                    <w:bottom w:val="single" w:color="000000" w:sz="4" w:space="0"/>
                    <w:right w:val="single" w:color="000000" w:sz="4" w:space="0"/>
                  </w:tcBorders>
                  <w:vAlign w:val="center"/>
                </w:tcPr>
                <w:p w14:paraId="68D093E8">
                  <w:pPr>
                    <w:autoSpaceDE/>
                    <w:autoSpaceDN/>
                    <w:adjustRightInd w:val="0"/>
                    <w:snapToGrid w:val="0"/>
                    <w:ind w:firstLine="420" w:firstLineChars="200"/>
                    <w:jc w:val="center"/>
                    <w:rPr>
                      <w:rFonts w:hint="default" w:ascii="Times New Roman" w:hAnsi="Times New Roman" w:cs="Times New Roman"/>
                      <w:color w:val="auto"/>
                      <w:sz w:val="21"/>
                      <w:szCs w:val="21"/>
                      <w:lang w:eastAsia="zh-CN"/>
                    </w:rPr>
                  </w:pPr>
                </w:p>
              </w:tc>
              <w:tc>
                <w:tcPr>
                  <w:tcW w:w="1441" w:type="pct"/>
                  <w:tcBorders>
                    <w:top w:val="single" w:color="000000" w:sz="4" w:space="0"/>
                    <w:left w:val="single" w:color="000000" w:sz="4" w:space="0"/>
                    <w:bottom w:val="single" w:color="000000" w:sz="4" w:space="0"/>
                    <w:right w:val="single" w:color="000000" w:sz="4" w:space="0"/>
                  </w:tcBorders>
                  <w:vAlign w:val="center"/>
                </w:tcPr>
                <w:p w14:paraId="3EAC0543">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24h平均第95百分位数</w:t>
                  </w:r>
                </w:p>
              </w:tc>
              <w:tc>
                <w:tcPr>
                  <w:tcW w:w="829" w:type="pct"/>
                  <w:tcBorders>
                    <w:top w:val="single" w:color="000000" w:sz="4" w:space="0"/>
                    <w:left w:val="single" w:color="000000" w:sz="4" w:space="0"/>
                    <w:bottom w:val="single" w:color="000000" w:sz="4" w:space="0"/>
                    <w:right w:val="single" w:color="000000" w:sz="4" w:space="0"/>
                  </w:tcBorders>
                  <w:vAlign w:val="center"/>
                </w:tcPr>
                <w:p w14:paraId="172246D4">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68</w:t>
                  </w:r>
                </w:p>
              </w:tc>
              <w:tc>
                <w:tcPr>
                  <w:tcW w:w="920" w:type="pct"/>
                  <w:tcBorders>
                    <w:top w:val="single" w:color="000000" w:sz="4" w:space="0"/>
                    <w:left w:val="single" w:color="000000" w:sz="4" w:space="0"/>
                    <w:bottom w:val="single" w:color="000000" w:sz="4" w:space="0"/>
                    <w:right w:val="single" w:color="000000" w:sz="4" w:space="0"/>
                  </w:tcBorders>
                  <w:vAlign w:val="center"/>
                </w:tcPr>
                <w:p w14:paraId="15158B11">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768" w:type="pct"/>
                  <w:tcBorders>
                    <w:top w:val="single" w:color="000000" w:sz="4" w:space="0"/>
                    <w:left w:val="single" w:color="000000" w:sz="4" w:space="0"/>
                    <w:bottom w:val="single" w:color="000000" w:sz="4" w:space="0"/>
                    <w:right w:val="single" w:color="000000" w:sz="4" w:space="0"/>
                  </w:tcBorders>
                  <w:vAlign w:val="center"/>
                </w:tcPr>
                <w:p w14:paraId="4A563AC1">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45.33</w:t>
                  </w:r>
                </w:p>
              </w:tc>
              <w:tc>
                <w:tcPr>
                  <w:tcW w:w="451" w:type="pct"/>
                  <w:tcBorders>
                    <w:top w:val="single" w:color="000000" w:sz="4" w:space="0"/>
                    <w:left w:val="single" w:color="000000" w:sz="4" w:space="0"/>
                    <w:bottom w:val="single" w:color="000000" w:sz="4" w:space="0"/>
                    <w:right w:val="single" w:color="000000" w:sz="4" w:space="0"/>
                  </w:tcBorders>
                  <w:vAlign w:val="center"/>
                </w:tcPr>
                <w:p w14:paraId="57BEB687">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1BBBD782">
              <w:tblPrEx>
                <w:tblCellMar>
                  <w:top w:w="0" w:type="dxa"/>
                  <w:left w:w="0" w:type="dxa"/>
                  <w:bottom w:w="0" w:type="dxa"/>
                  <w:right w:w="0" w:type="dxa"/>
                </w:tblCellMar>
              </w:tblPrEx>
              <w:trPr>
                <w:trHeight w:val="90" w:hRule="atLeast"/>
              </w:trPr>
              <w:tc>
                <w:tcPr>
                  <w:tcW w:w="588" w:type="pct"/>
                  <w:vMerge w:val="restart"/>
                  <w:tcBorders>
                    <w:top w:val="single" w:color="000000" w:sz="4" w:space="0"/>
                    <w:left w:val="single" w:color="000000" w:sz="4" w:space="0"/>
                    <w:bottom w:val="single" w:color="000000" w:sz="4" w:space="0"/>
                    <w:right w:val="single" w:color="000000" w:sz="4" w:space="0"/>
                  </w:tcBorders>
                  <w:vAlign w:val="center"/>
                </w:tcPr>
                <w:p w14:paraId="0B9E208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2.5</w:t>
                  </w:r>
                </w:p>
              </w:tc>
              <w:tc>
                <w:tcPr>
                  <w:tcW w:w="1441" w:type="pct"/>
                  <w:tcBorders>
                    <w:top w:val="single" w:color="000000" w:sz="4" w:space="0"/>
                    <w:left w:val="single" w:color="000000" w:sz="4" w:space="0"/>
                    <w:bottom w:val="single" w:color="000000" w:sz="4" w:space="0"/>
                    <w:right w:val="single" w:color="000000" w:sz="4" w:space="0"/>
                  </w:tcBorders>
                  <w:vAlign w:val="center"/>
                </w:tcPr>
                <w:p w14:paraId="47C50F84">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年平均质量浓度</w:t>
                  </w:r>
                </w:p>
              </w:tc>
              <w:tc>
                <w:tcPr>
                  <w:tcW w:w="829" w:type="pct"/>
                  <w:tcBorders>
                    <w:top w:val="single" w:color="000000" w:sz="4" w:space="0"/>
                    <w:left w:val="single" w:color="000000" w:sz="4" w:space="0"/>
                    <w:bottom w:val="single" w:color="000000" w:sz="4" w:space="0"/>
                    <w:right w:val="single" w:color="000000" w:sz="4" w:space="0"/>
                  </w:tcBorders>
                  <w:vAlign w:val="center"/>
                </w:tcPr>
                <w:p w14:paraId="37712FD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20</w:t>
                  </w:r>
                </w:p>
              </w:tc>
              <w:tc>
                <w:tcPr>
                  <w:tcW w:w="920" w:type="pct"/>
                  <w:tcBorders>
                    <w:top w:val="single" w:color="000000" w:sz="4" w:space="0"/>
                    <w:left w:val="single" w:color="000000" w:sz="4" w:space="0"/>
                    <w:bottom w:val="single" w:color="000000" w:sz="4" w:space="0"/>
                    <w:right w:val="single" w:color="000000" w:sz="4" w:space="0"/>
                  </w:tcBorders>
                  <w:vAlign w:val="center"/>
                </w:tcPr>
                <w:p w14:paraId="5DAFA397">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768" w:type="pct"/>
                  <w:tcBorders>
                    <w:top w:val="single" w:color="000000" w:sz="4" w:space="0"/>
                    <w:left w:val="single" w:color="000000" w:sz="4" w:space="0"/>
                    <w:bottom w:val="single" w:color="000000" w:sz="4" w:space="0"/>
                    <w:right w:val="single" w:color="000000" w:sz="4" w:space="0"/>
                  </w:tcBorders>
                  <w:vAlign w:val="center"/>
                </w:tcPr>
                <w:p w14:paraId="05DAC78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57.14</w:t>
                  </w:r>
                </w:p>
              </w:tc>
              <w:tc>
                <w:tcPr>
                  <w:tcW w:w="451" w:type="pct"/>
                  <w:tcBorders>
                    <w:top w:val="single" w:color="000000" w:sz="4" w:space="0"/>
                    <w:left w:val="single" w:color="000000" w:sz="4" w:space="0"/>
                    <w:bottom w:val="single" w:color="000000" w:sz="4" w:space="0"/>
                    <w:right w:val="single" w:color="000000" w:sz="4" w:space="0"/>
                  </w:tcBorders>
                  <w:vAlign w:val="center"/>
                </w:tcPr>
                <w:p w14:paraId="5E01C9D8">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4C647B18">
              <w:tblPrEx>
                <w:tblCellMar>
                  <w:top w:w="0" w:type="dxa"/>
                  <w:left w:w="0" w:type="dxa"/>
                  <w:bottom w:w="0" w:type="dxa"/>
                  <w:right w:w="0" w:type="dxa"/>
                </w:tblCellMar>
              </w:tblPrEx>
              <w:trPr>
                <w:trHeight w:val="90" w:hRule="atLeast"/>
              </w:trPr>
              <w:tc>
                <w:tcPr>
                  <w:tcW w:w="588" w:type="pct"/>
                  <w:vMerge w:val="continue"/>
                  <w:tcBorders>
                    <w:top w:val="nil"/>
                    <w:left w:val="single" w:color="000000" w:sz="4" w:space="0"/>
                    <w:bottom w:val="single" w:color="000000" w:sz="4" w:space="0"/>
                    <w:right w:val="single" w:color="000000" w:sz="4" w:space="0"/>
                  </w:tcBorders>
                  <w:vAlign w:val="center"/>
                </w:tcPr>
                <w:p w14:paraId="4EE08F9F">
                  <w:pPr>
                    <w:autoSpaceDE/>
                    <w:autoSpaceDN/>
                    <w:adjustRightInd w:val="0"/>
                    <w:snapToGrid w:val="0"/>
                    <w:ind w:firstLine="420" w:firstLineChars="200"/>
                    <w:jc w:val="center"/>
                    <w:rPr>
                      <w:rFonts w:hint="default" w:ascii="Times New Roman" w:hAnsi="Times New Roman" w:cs="Times New Roman"/>
                      <w:color w:val="auto"/>
                      <w:sz w:val="21"/>
                      <w:szCs w:val="21"/>
                      <w:lang w:eastAsia="zh-CN"/>
                    </w:rPr>
                  </w:pPr>
                </w:p>
              </w:tc>
              <w:tc>
                <w:tcPr>
                  <w:tcW w:w="1441" w:type="pct"/>
                  <w:tcBorders>
                    <w:top w:val="single" w:color="000000" w:sz="4" w:space="0"/>
                    <w:left w:val="single" w:color="000000" w:sz="4" w:space="0"/>
                    <w:bottom w:val="single" w:color="000000" w:sz="4" w:space="0"/>
                    <w:right w:val="single" w:color="000000" w:sz="4" w:space="0"/>
                  </w:tcBorders>
                  <w:vAlign w:val="center"/>
                </w:tcPr>
                <w:p w14:paraId="520F34ED">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24h平均第95百分位数</w:t>
                  </w:r>
                </w:p>
              </w:tc>
              <w:tc>
                <w:tcPr>
                  <w:tcW w:w="829" w:type="pct"/>
                  <w:tcBorders>
                    <w:top w:val="single" w:color="000000" w:sz="4" w:space="0"/>
                    <w:left w:val="single" w:color="000000" w:sz="4" w:space="0"/>
                    <w:bottom w:val="single" w:color="000000" w:sz="4" w:space="0"/>
                    <w:right w:val="single" w:color="000000" w:sz="4" w:space="0"/>
                  </w:tcBorders>
                  <w:vAlign w:val="center"/>
                </w:tcPr>
                <w:p w14:paraId="2D34A99C">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54</w:t>
                  </w:r>
                </w:p>
              </w:tc>
              <w:tc>
                <w:tcPr>
                  <w:tcW w:w="920" w:type="pct"/>
                  <w:tcBorders>
                    <w:top w:val="single" w:color="000000" w:sz="4" w:space="0"/>
                    <w:left w:val="single" w:color="000000" w:sz="4" w:space="0"/>
                    <w:bottom w:val="single" w:color="000000" w:sz="4" w:space="0"/>
                    <w:right w:val="single" w:color="000000" w:sz="4" w:space="0"/>
                  </w:tcBorders>
                  <w:vAlign w:val="center"/>
                </w:tcPr>
                <w:p w14:paraId="14E9038D">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768" w:type="pct"/>
                  <w:tcBorders>
                    <w:top w:val="single" w:color="000000" w:sz="4" w:space="0"/>
                    <w:left w:val="single" w:color="000000" w:sz="4" w:space="0"/>
                    <w:bottom w:val="single" w:color="000000" w:sz="4" w:space="0"/>
                    <w:right w:val="single" w:color="000000" w:sz="4" w:space="0"/>
                  </w:tcBorders>
                  <w:vAlign w:val="center"/>
                </w:tcPr>
                <w:p w14:paraId="2265F764">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72</w:t>
                  </w:r>
                </w:p>
              </w:tc>
              <w:tc>
                <w:tcPr>
                  <w:tcW w:w="451" w:type="pct"/>
                  <w:tcBorders>
                    <w:top w:val="single" w:color="000000" w:sz="4" w:space="0"/>
                    <w:left w:val="single" w:color="000000" w:sz="4" w:space="0"/>
                    <w:bottom w:val="single" w:color="000000" w:sz="4" w:space="0"/>
                    <w:right w:val="single" w:color="000000" w:sz="4" w:space="0"/>
                  </w:tcBorders>
                  <w:vAlign w:val="center"/>
                </w:tcPr>
                <w:p w14:paraId="23668E31">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05DA335C">
              <w:tblPrEx>
                <w:tblCellMar>
                  <w:top w:w="0" w:type="dxa"/>
                  <w:left w:w="0" w:type="dxa"/>
                  <w:bottom w:w="0" w:type="dxa"/>
                  <w:right w:w="0" w:type="dxa"/>
                </w:tblCellMar>
              </w:tblPrEx>
              <w:trPr>
                <w:trHeight w:val="90" w:hRule="atLeast"/>
              </w:trPr>
              <w:tc>
                <w:tcPr>
                  <w:tcW w:w="588" w:type="pct"/>
                  <w:tcBorders>
                    <w:top w:val="single" w:color="000000" w:sz="4" w:space="0"/>
                    <w:left w:val="single" w:color="000000" w:sz="4" w:space="0"/>
                    <w:bottom w:val="single" w:color="000000" w:sz="4" w:space="0"/>
                    <w:right w:val="single" w:color="000000" w:sz="4" w:space="0"/>
                  </w:tcBorders>
                  <w:vAlign w:val="center"/>
                </w:tcPr>
                <w:p w14:paraId="0F8C22D6">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CO</w:t>
                  </w:r>
                </w:p>
              </w:tc>
              <w:tc>
                <w:tcPr>
                  <w:tcW w:w="1441" w:type="pct"/>
                  <w:tcBorders>
                    <w:top w:val="single" w:color="000000" w:sz="4" w:space="0"/>
                    <w:left w:val="single" w:color="000000" w:sz="4" w:space="0"/>
                    <w:bottom w:val="single" w:color="000000" w:sz="4" w:space="0"/>
                    <w:right w:val="single" w:color="000000" w:sz="4" w:space="0"/>
                  </w:tcBorders>
                  <w:vAlign w:val="center"/>
                </w:tcPr>
                <w:p w14:paraId="7314ECB3">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24h平均第95百分位数</w:t>
                  </w:r>
                </w:p>
              </w:tc>
              <w:tc>
                <w:tcPr>
                  <w:tcW w:w="829" w:type="pct"/>
                  <w:tcBorders>
                    <w:top w:val="single" w:color="000000" w:sz="4" w:space="0"/>
                    <w:left w:val="single" w:color="000000" w:sz="4" w:space="0"/>
                    <w:bottom w:val="single" w:color="000000" w:sz="4" w:space="0"/>
                    <w:right w:val="single" w:color="000000" w:sz="4" w:space="0"/>
                  </w:tcBorders>
                  <w:vAlign w:val="center"/>
                </w:tcPr>
                <w:p w14:paraId="3F05D401">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900</w:t>
                  </w:r>
                </w:p>
              </w:tc>
              <w:tc>
                <w:tcPr>
                  <w:tcW w:w="920" w:type="pct"/>
                  <w:tcBorders>
                    <w:top w:val="single" w:color="000000" w:sz="4" w:space="0"/>
                    <w:left w:val="single" w:color="000000" w:sz="4" w:space="0"/>
                    <w:bottom w:val="single" w:color="000000" w:sz="4" w:space="0"/>
                    <w:right w:val="single" w:color="000000" w:sz="4" w:space="0"/>
                  </w:tcBorders>
                  <w:vAlign w:val="center"/>
                </w:tcPr>
                <w:p w14:paraId="3ECE80D6">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4000</w:t>
                  </w:r>
                </w:p>
              </w:tc>
              <w:tc>
                <w:tcPr>
                  <w:tcW w:w="768" w:type="pct"/>
                  <w:tcBorders>
                    <w:top w:val="single" w:color="000000" w:sz="4" w:space="0"/>
                    <w:left w:val="single" w:color="000000" w:sz="4" w:space="0"/>
                    <w:bottom w:val="single" w:color="000000" w:sz="4" w:space="0"/>
                    <w:right w:val="single" w:color="000000" w:sz="4" w:space="0"/>
                  </w:tcBorders>
                  <w:vAlign w:val="center"/>
                </w:tcPr>
                <w:p w14:paraId="605864D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22.5</w:t>
                  </w:r>
                </w:p>
              </w:tc>
              <w:tc>
                <w:tcPr>
                  <w:tcW w:w="451" w:type="pct"/>
                  <w:tcBorders>
                    <w:top w:val="single" w:color="000000" w:sz="4" w:space="0"/>
                    <w:left w:val="single" w:color="000000" w:sz="4" w:space="0"/>
                    <w:bottom w:val="single" w:color="000000" w:sz="4" w:space="0"/>
                    <w:right w:val="single" w:color="000000" w:sz="4" w:space="0"/>
                  </w:tcBorders>
                  <w:vAlign w:val="center"/>
                </w:tcPr>
                <w:p w14:paraId="2D55363F">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48023D0A">
              <w:tblPrEx>
                <w:tblCellMar>
                  <w:top w:w="0" w:type="dxa"/>
                  <w:left w:w="0" w:type="dxa"/>
                  <w:bottom w:w="0" w:type="dxa"/>
                  <w:right w:w="0" w:type="dxa"/>
                </w:tblCellMar>
              </w:tblPrEx>
              <w:trPr>
                <w:trHeight w:val="90" w:hRule="atLeast"/>
              </w:trPr>
              <w:tc>
                <w:tcPr>
                  <w:tcW w:w="588" w:type="pct"/>
                  <w:tcBorders>
                    <w:top w:val="single" w:color="000000" w:sz="4" w:space="0"/>
                    <w:left w:val="single" w:color="000000" w:sz="4" w:space="0"/>
                    <w:bottom w:val="single" w:color="000000" w:sz="4" w:space="0"/>
                    <w:right w:val="single" w:color="000000" w:sz="4" w:space="0"/>
                  </w:tcBorders>
                  <w:vAlign w:val="center"/>
                </w:tcPr>
                <w:p w14:paraId="7476A19B">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O</w:t>
                  </w:r>
                  <w:r>
                    <w:rPr>
                      <w:rFonts w:hint="default" w:ascii="Times New Roman" w:hAnsi="Times New Roman" w:cs="Times New Roman"/>
                      <w:color w:val="auto"/>
                      <w:sz w:val="21"/>
                      <w:szCs w:val="21"/>
                      <w:vertAlign w:val="subscript"/>
                      <w:lang w:eastAsia="zh-CN"/>
                    </w:rPr>
                    <w:t>3</w:t>
                  </w:r>
                </w:p>
              </w:tc>
              <w:tc>
                <w:tcPr>
                  <w:tcW w:w="1441" w:type="pct"/>
                  <w:tcBorders>
                    <w:top w:val="single" w:color="000000" w:sz="4" w:space="0"/>
                    <w:left w:val="single" w:color="000000" w:sz="4" w:space="0"/>
                    <w:bottom w:val="single" w:color="000000" w:sz="4" w:space="0"/>
                    <w:right w:val="single" w:color="000000" w:sz="4" w:space="0"/>
                  </w:tcBorders>
                  <w:vAlign w:val="center"/>
                </w:tcPr>
                <w:p w14:paraId="45F86610">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8小时平均第90百分位数</w:t>
                  </w:r>
                </w:p>
              </w:tc>
              <w:tc>
                <w:tcPr>
                  <w:tcW w:w="829" w:type="pct"/>
                  <w:tcBorders>
                    <w:top w:val="single" w:color="000000" w:sz="4" w:space="0"/>
                    <w:left w:val="single" w:color="000000" w:sz="4" w:space="0"/>
                    <w:bottom w:val="single" w:color="000000" w:sz="4" w:space="0"/>
                    <w:right w:val="single" w:color="000000" w:sz="4" w:space="0"/>
                  </w:tcBorders>
                  <w:vAlign w:val="center"/>
                </w:tcPr>
                <w:p w14:paraId="4C33F201">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120</w:t>
                  </w:r>
                </w:p>
              </w:tc>
              <w:tc>
                <w:tcPr>
                  <w:tcW w:w="920" w:type="pct"/>
                  <w:tcBorders>
                    <w:top w:val="single" w:color="000000" w:sz="4" w:space="0"/>
                    <w:left w:val="single" w:color="000000" w:sz="4" w:space="0"/>
                    <w:bottom w:val="single" w:color="000000" w:sz="4" w:space="0"/>
                    <w:right w:val="single" w:color="000000" w:sz="4" w:space="0"/>
                  </w:tcBorders>
                  <w:vAlign w:val="center"/>
                </w:tcPr>
                <w:p w14:paraId="3F0BBF36">
                  <w:pPr>
                    <w:autoSpaceDE/>
                    <w:autoSpaceDN/>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160</w:t>
                  </w:r>
                </w:p>
              </w:tc>
              <w:tc>
                <w:tcPr>
                  <w:tcW w:w="768" w:type="pct"/>
                  <w:tcBorders>
                    <w:top w:val="single" w:color="000000" w:sz="4" w:space="0"/>
                    <w:left w:val="single" w:color="000000" w:sz="4" w:space="0"/>
                    <w:bottom w:val="single" w:color="000000" w:sz="4" w:space="0"/>
                    <w:right w:val="single" w:color="000000" w:sz="4" w:space="0"/>
                  </w:tcBorders>
                  <w:vAlign w:val="center"/>
                </w:tcPr>
                <w:p w14:paraId="1978506E">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60</w:t>
                  </w:r>
                </w:p>
              </w:tc>
              <w:tc>
                <w:tcPr>
                  <w:tcW w:w="451" w:type="pct"/>
                  <w:tcBorders>
                    <w:top w:val="single" w:color="000000" w:sz="4" w:space="0"/>
                    <w:left w:val="single" w:color="000000" w:sz="4" w:space="0"/>
                    <w:bottom w:val="single" w:color="000000" w:sz="4" w:space="0"/>
                    <w:right w:val="single" w:color="000000" w:sz="4" w:space="0"/>
                  </w:tcBorders>
                  <w:vAlign w:val="center"/>
                </w:tcPr>
                <w:p w14:paraId="1FFD0B8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bl>
          <w:p w14:paraId="1FCE90A7">
            <w:pPr>
              <w:widowControl/>
              <w:autoSpaceDE/>
              <w:autoSpaceDN/>
              <w:spacing w:line="360" w:lineRule="auto"/>
              <w:ind w:firstLine="480" w:firstLineChars="200"/>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sz w:val="24"/>
                <w:lang w:val="en-US" w:eastAsia="zh-CN"/>
              </w:rPr>
              <w:t>根据监测</w:t>
            </w:r>
            <w:r>
              <w:rPr>
                <w:rFonts w:hint="default" w:ascii="Times New Roman" w:hAnsi="Times New Roman" w:cs="Times New Roman"/>
                <w:color w:val="auto"/>
                <w:sz w:val="24"/>
                <w:lang w:eastAsia="zh-CN"/>
              </w:rPr>
              <w:t>数据可知，新平县城环境空气质量 6 个指标二氧化硫（SO</w:t>
            </w:r>
            <w:r>
              <w:rPr>
                <w:rFonts w:hint="default" w:ascii="Times New Roman" w:hAnsi="Times New Roman" w:cs="Times New Roman"/>
                <w:color w:val="auto"/>
                <w:sz w:val="24"/>
                <w:vertAlign w:val="subscript"/>
                <w:lang w:eastAsia="zh-CN"/>
              </w:rPr>
              <w:t>2</w:t>
            </w:r>
            <w:r>
              <w:rPr>
                <w:rFonts w:hint="default" w:ascii="Times New Roman" w:hAnsi="Times New Roman" w:cs="Times New Roman"/>
                <w:color w:val="auto"/>
                <w:sz w:val="24"/>
                <w:lang w:eastAsia="zh-CN"/>
              </w:rPr>
              <w:t>）、二氧化氮（NO</w:t>
            </w:r>
            <w:r>
              <w:rPr>
                <w:rFonts w:hint="default" w:ascii="Times New Roman" w:hAnsi="Times New Roman" w:cs="Times New Roman"/>
                <w:color w:val="auto"/>
                <w:sz w:val="24"/>
                <w:vertAlign w:val="subscript"/>
                <w:lang w:eastAsia="zh-CN"/>
              </w:rPr>
              <w:t>2</w:t>
            </w:r>
            <w:r>
              <w:rPr>
                <w:rFonts w:hint="default" w:ascii="Times New Roman" w:hAnsi="Times New Roman" w:cs="Times New Roman"/>
                <w:color w:val="auto"/>
                <w:sz w:val="24"/>
                <w:lang w:eastAsia="zh-CN"/>
              </w:rPr>
              <w:t>）、一氧化碳（CO）、臭氧（O</w:t>
            </w:r>
            <w:r>
              <w:rPr>
                <w:rFonts w:hint="default" w:ascii="Times New Roman" w:hAnsi="Times New Roman" w:cs="Times New Roman"/>
                <w:color w:val="auto"/>
                <w:sz w:val="24"/>
                <w:vertAlign w:val="subscript"/>
                <w:lang w:eastAsia="zh-CN"/>
              </w:rPr>
              <w:t>3</w:t>
            </w:r>
            <w:r>
              <w:rPr>
                <w:rFonts w:hint="default" w:ascii="Times New Roman" w:hAnsi="Times New Roman" w:cs="Times New Roman"/>
                <w:color w:val="auto"/>
                <w:sz w:val="24"/>
                <w:lang w:eastAsia="zh-CN"/>
              </w:rPr>
              <w:t>）、可吸入颗粒物（PM</w:t>
            </w:r>
            <w:r>
              <w:rPr>
                <w:rFonts w:hint="default" w:ascii="Times New Roman" w:hAnsi="Times New Roman" w:cs="Times New Roman"/>
                <w:color w:val="auto"/>
                <w:sz w:val="24"/>
                <w:vertAlign w:val="subscript"/>
                <w:lang w:eastAsia="zh-CN"/>
              </w:rPr>
              <w:t>10</w:t>
            </w:r>
            <w:r>
              <w:rPr>
                <w:rFonts w:hint="default" w:ascii="Times New Roman" w:hAnsi="Times New Roman" w:cs="Times New Roman"/>
                <w:color w:val="auto"/>
                <w:sz w:val="24"/>
                <w:lang w:eastAsia="zh-CN"/>
              </w:rPr>
              <w:t>）、细颗粒物（PM</w:t>
            </w:r>
            <w:r>
              <w:rPr>
                <w:rFonts w:hint="default" w:ascii="Times New Roman" w:hAnsi="Times New Roman" w:cs="Times New Roman"/>
                <w:color w:val="auto"/>
                <w:sz w:val="24"/>
                <w:vertAlign w:val="subscript"/>
                <w:lang w:eastAsia="zh-CN"/>
              </w:rPr>
              <w:t>2.5</w:t>
            </w:r>
            <w:r>
              <w:rPr>
                <w:rFonts w:hint="default" w:ascii="Times New Roman" w:hAnsi="Times New Roman" w:cs="Times New Roman"/>
                <w:color w:val="auto"/>
                <w:sz w:val="24"/>
                <w:lang w:eastAsia="zh-CN"/>
              </w:rPr>
              <w:t>）</w:t>
            </w:r>
            <w:r>
              <w:rPr>
                <w:rFonts w:hint="default" w:ascii="Times New Roman" w:hAnsi="Times New Roman" w:cs="Times New Roman"/>
                <w:color w:val="auto"/>
                <w:kern w:val="2"/>
                <w:sz w:val="24"/>
                <w:szCs w:val="24"/>
                <w:lang w:eastAsia="zh-CN"/>
              </w:rPr>
              <w:t xml:space="preserve">各项污染物浓度均达到《环境空气质量标准》（GB3095-2012）二级标准，类比《环境空气质量标准》（GB3095-2026）二级标准过渡阶段浓度限值，均可达标，空气质量保持良好水平。 </w:t>
            </w:r>
          </w:p>
          <w:p w14:paraId="6D7C796B">
            <w:pPr>
              <w:adjustRightInd w:val="0"/>
              <w:snapToGrid w:val="0"/>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kern w:val="2"/>
                <w:sz w:val="24"/>
                <w:szCs w:val="24"/>
                <w:lang w:eastAsia="zh-CN"/>
              </w:rPr>
              <w:t>综上所述，项目所在区域环境空气质量良好，属于环境空气质量达标区</w:t>
            </w:r>
            <w:r>
              <w:rPr>
                <w:rFonts w:hint="default" w:ascii="Times New Roman" w:hAnsi="Times New Roman" w:cs="Times New Roman"/>
                <w:color w:val="auto"/>
                <w:sz w:val="24"/>
                <w:lang w:eastAsia="zh-CN"/>
              </w:rPr>
              <w:t>。</w:t>
            </w:r>
          </w:p>
          <w:p w14:paraId="62002AF9">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3、项目所在区域环境质量现状</w:t>
            </w:r>
          </w:p>
          <w:p w14:paraId="749459EF">
            <w:p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项目特征污染物主要为颗粒物，根据《建设项目环境影响报告表编制技术指南》（污染影响类）（试行），排放国家、地方环境空气质量标准中有标准限值要求的特征污染物时，建设项目</w:t>
            </w:r>
            <w:r>
              <w:rPr>
                <w:rFonts w:hint="default" w:ascii="Times New Roman" w:hAnsi="Times New Roman" w:cs="Times New Roman"/>
                <w:color w:val="auto"/>
                <w:sz w:val="24"/>
                <w:lang w:val="en-US" w:eastAsia="zh-CN"/>
              </w:rPr>
              <w:t>使用</w:t>
            </w:r>
            <w:r>
              <w:rPr>
                <w:rFonts w:hint="default" w:ascii="Times New Roman" w:hAnsi="Times New Roman" w:cs="Times New Roman"/>
                <w:color w:val="auto"/>
                <w:sz w:val="24"/>
                <w:lang w:eastAsia="zh-CN"/>
              </w:rPr>
              <w:t>周边5km范围内近3年的现有监测数据。项目拟建位置位于</w:t>
            </w:r>
            <w:r>
              <w:rPr>
                <w:rFonts w:hint="default" w:ascii="Times New Roman" w:hAnsi="Times New Roman" w:cs="Times New Roman"/>
                <w:color w:val="auto"/>
                <w:sz w:val="24"/>
                <w:szCs w:val="24"/>
                <w:lang w:eastAsia="zh-CN"/>
              </w:rPr>
              <w:t>云南省玉溪市新平彝族傣族自治县老厂乡</w:t>
            </w:r>
            <w:r>
              <w:rPr>
                <w:rFonts w:hint="default" w:ascii="Times New Roman" w:hAnsi="Times New Roman" w:cs="Times New Roman"/>
                <w:color w:val="auto"/>
                <w:sz w:val="24"/>
                <w:lang w:eastAsia="zh-CN"/>
              </w:rPr>
              <w:t>，建设单位于</w:t>
            </w:r>
            <w:r>
              <w:rPr>
                <w:rFonts w:hint="default" w:ascii="Times New Roman" w:hAnsi="Times New Roman" w:cs="Times New Roman"/>
                <w:color w:val="auto"/>
                <w:sz w:val="24"/>
                <w:lang w:val="en-US" w:eastAsia="zh-CN"/>
              </w:rPr>
              <w:t>2026</w:t>
            </w:r>
            <w:r>
              <w:rPr>
                <w:rFonts w:hint="default" w:ascii="Times New Roman" w:hAnsi="Times New Roman" w:cs="Times New Roman"/>
                <w:color w:val="auto"/>
                <w:sz w:val="24"/>
                <w:lang w:eastAsia="zh-CN"/>
              </w:rPr>
              <w:t>年</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 xml:space="preserve"> 月</w:t>
            </w:r>
            <w:r>
              <w:rPr>
                <w:rFonts w:hint="default" w:ascii="Times New Roman" w:hAnsi="Times New Roman" w:cs="Times New Roman"/>
                <w:color w:val="auto"/>
                <w:sz w:val="24"/>
                <w:lang w:val="en-US" w:eastAsia="zh-CN"/>
              </w:rPr>
              <w:t>4日—2026年3月7日</w:t>
            </w:r>
            <w:r>
              <w:rPr>
                <w:rFonts w:hint="default" w:ascii="Times New Roman" w:hAnsi="Times New Roman" w:cs="Times New Roman"/>
                <w:color w:val="auto"/>
                <w:sz w:val="24"/>
                <w:lang w:eastAsia="zh-CN"/>
              </w:rPr>
              <w:t>委托云南天博环境检测有限公司对项目区厂界下风向1#、项目区域东北面老厂乡中心幼儿园2#</w:t>
            </w:r>
            <w:r>
              <w:rPr>
                <w:rFonts w:hint="default" w:ascii="Times New Roman" w:hAnsi="Times New Roman" w:cs="Times New Roman"/>
                <w:color w:val="auto"/>
                <w:sz w:val="24"/>
                <w:lang w:val="en-US" w:eastAsia="zh-CN"/>
              </w:rPr>
              <w:t>2点</w:t>
            </w:r>
            <w:r>
              <w:rPr>
                <w:rFonts w:hint="default" w:ascii="Times New Roman" w:hAnsi="Times New Roman" w:cs="Times New Roman"/>
                <w:color w:val="auto"/>
                <w:sz w:val="24"/>
                <w:lang w:eastAsia="zh-CN"/>
              </w:rPr>
              <w:t>进行了环境空气质量现状监测。监测结果统计如下表。</w:t>
            </w:r>
          </w:p>
          <w:p w14:paraId="4745CA72">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ind w:firstLine="422" w:firstLineChars="200"/>
              <w:jc w:val="center"/>
              <w:textAlignment w:val="auto"/>
              <w:rPr>
                <w:rFonts w:hint="default" w:ascii="Times New Roman" w:hAnsi="Times New Roman" w:cs="Times New Roman"/>
                <w:b/>
                <w:bCs/>
                <w:color w:val="auto"/>
                <w:sz w:val="21"/>
                <w:szCs w:val="21"/>
                <w:highlight w:val="none"/>
                <w:vertAlign w:val="superscript"/>
              </w:rPr>
            </w:pPr>
            <w:r>
              <w:rPr>
                <w:rFonts w:hint="default" w:ascii="Times New Roman" w:hAnsi="Times New Roman" w:cs="Times New Roman"/>
                <w:b/>
                <w:color w:val="auto"/>
                <w:sz w:val="21"/>
                <w:szCs w:val="21"/>
                <w:lang w:val="en-US" w:eastAsia="zh-CN"/>
              </w:rPr>
              <w:t xml:space="preserve">表3-3  </w:t>
            </w:r>
            <w:r>
              <w:rPr>
                <w:rFonts w:hint="default" w:ascii="Times New Roman" w:hAnsi="Times New Roman" w:cs="Times New Roman"/>
                <w:b/>
                <w:color w:val="auto"/>
                <w:sz w:val="21"/>
                <w:szCs w:val="21"/>
              </w:rPr>
              <w:t>环境空气检测结果一览表</w:t>
            </w:r>
            <w:r>
              <w:rPr>
                <w:rFonts w:hint="default" w:ascii="Times New Roman" w:hAnsi="Times New Roman" w:cs="Times New Roman"/>
                <w:color w:val="auto"/>
                <w:sz w:val="21"/>
                <w:szCs w:val="21"/>
              </w:rPr>
              <w:t xml:space="preserve">   </w:t>
            </w:r>
            <w:r>
              <w:rPr>
                <w:rFonts w:hint="default" w:ascii="Times New Roman" w:hAnsi="Times New Roman" w:cs="Times New Roman"/>
                <w:b/>
                <w:color w:val="auto"/>
                <w:sz w:val="21"/>
                <w:szCs w:val="21"/>
              </w:rPr>
              <w:t>单位：</w:t>
            </w:r>
            <w:r>
              <w:rPr>
                <w:rFonts w:hint="default" w:ascii="Times New Roman" w:hAnsi="Times New Roman" w:cs="Times New Roman"/>
                <w:b/>
                <w:color w:val="auto"/>
                <w:sz w:val="21"/>
                <w:szCs w:val="21"/>
                <w:highlight w:val="none"/>
              </w:rPr>
              <w:t>µg</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vertAlign w:val="superscript"/>
              </w:rPr>
              <w:t>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173"/>
              <w:gridCol w:w="1257"/>
              <w:gridCol w:w="2410"/>
              <w:gridCol w:w="880"/>
              <w:gridCol w:w="939"/>
              <w:gridCol w:w="897"/>
            </w:tblGrid>
            <w:tr w14:paraId="4D8B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tcBorders>
                    <w:tl2br w:val="nil"/>
                    <w:tr2bl w:val="nil"/>
                  </w:tcBorders>
                  <w:noWrap w:val="0"/>
                  <w:vAlign w:val="center"/>
                </w:tcPr>
                <w:p w14:paraId="6B33281E">
                  <w:pPr>
                    <w:autoSpaceDN w:val="0"/>
                    <w:ind w:left="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w:t>
                  </w:r>
                </w:p>
                <w:p w14:paraId="387146A1">
                  <w:pPr>
                    <w:autoSpaceDN w:val="0"/>
                    <w:ind w:left="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点位</w:t>
                  </w:r>
                </w:p>
              </w:tc>
              <w:tc>
                <w:tcPr>
                  <w:tcW w:w="736" w:type="pct"/>
                  <w:tcBorders>
                    <w:tl2br w:val="nil"/>
                    <w:tr2bl w:val="nil"/>
                  </w:tcBorders>
                  <w:noWrap w:val="0"/>
                  <w:vAlign w:val="center"/>
                </w:tcPr>
                <w:p w14:paraId="76635A0C">
                  <w:pPr>
                    <w:autoSpaceDN w:val="0"/>
                    <w:ind w:lef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日期</w:t>
                  </w:r>
                </w:p>
              </w:tc>
              <w:tc>
                <w:tcPr>
                  <w:tcW w:w="909" w:type="pct"/>
                  <w:tcBorders>
                    <w:tl2br w:val="nil"/>
                    <w:tr2bl w:val="nil"/>
                  </w:tcBorders>
                  <w:noWrap w:val="0"/>
                  <w:vAlign w:val="center"/>
                </w:tcPr>
                <w:p w14:paraId="1B828337">
                  <w:pPr>
                    <w:autoSpaceDN w:val="0"/>
                    <w:ind w:lef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时间</w:t>
                  </w:r>
                </w:p>
              </w:tc>
              <w:tc>
                <w:tcPr>
                  <w:tcW w:w="923" w:type="pct"/>
                  <w:tcBorders>
                    <w:tl2br w:val="nil"/>
                    <w:tr2bl w:val="nil"/>
                  </w:tcBorders>
                  <w:noWrap w:val="0"/>
                  <w:vAlign w:val="center"/>
                </w:tcPr>
                <w:p w14:paraId="7CCEA5DE">
                  <w:pPr>
                    <w:autoSpaceDN w:val="0"/>
                    <w:ind w:lef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样品编号</w:t>
                  </w:r>
                </w:p>
              </w:tc>
              <w:tc>
                <w:tcPr>
                  <w:tcW w:w="620" w:type="pct"/>
                  <w:tcBorders>
                    <w:tl2br w:val="nil"/>
                    <w:tr2bl w:val="nil"/>
                  </w:tcBorders>
                  <w:noWrap w:val="0"/>
                  <w:vAlign w:val="center"/>
                </w:tcPr>
                <w:p w14:paraId="3A377F72">
                  <w:pPr>
                    <w:autoSpaceDN w:val="0"/>
                    <w:ind w:left="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0"/>
                      <w:sz w:val="21"/>
                      <w:szCs w:val="21"/>
                      <w:lang w:val="en-US" w:eastAsia="zh-CN" w:bidi="ar-SA"/>
                    </w:rPr>
                    <w:t>总悬浮颗粒物</w:t>
                  </w:r>
                </w:p>
              </w:tc>
              <w:tc>
                <w:tcPr>
                  <w:tcW w:w="656" w:type="pct"/>
                  <w:tcBorders>
                    <w:tl2br w:val="nil"/>
                    <w:tr2bl w:val="nil"/>
                  </w:tcBorders>
                  <w:noWrap w:val="0"/>
                  <w:vAlign w:val="center"/>
                </w:tcPr>
                <w:p w14:paraId="3D274FF5">
                  <w:pPr>
                    <w:autoSpaceDN w:val="0"/>
                    <w:ind w:left="0"/>
                    <w:jc w:val="center"/>
                    <w:textAlignment w:val="center"/>
                    <w:rPr>
                      <w:rFonts w:hint="default" w:ascii="Times New Roman" w:hAnsi="Times New Roman" w:eastAsia="宋体" w:cs="Times New Roman"/>
                      <w:b/>
                      <w:bCs/>
                      <w:color w:val="auto"/>
                      <w:spacing w:val="0"/>
                      <w:sz w:val="21"/>
                      <w:szCs w:val="21"/>
                      <w:lang w:val="en-US" w:eastAsia="zh-CN" w:bidi="ar-SA"/>
                    </w:rPr>
                  </w:pPr>
                  <w:r>
                    <w:rPr>
                      <w:rFonts w:hint="default" w:ascii="Times New Roman" w:hAnsi="Times New Roman" w:eastAsia="宋体" w:cs="Times New Roman"/>
                      <w:b/>
                      <w:bCs/>
                      <w:color w:val="auto"/>
                      <w:spacing w:val="0"/>
                      <w:sz w:val="21"/>
                      <w:szCs w:val="21"/>
                      <w:lang w:val="en-US" w:eastAsia="zh-CN" w:bidi="ar-SA"/>
                    </w:rPr>
                    <w:t>标准限值</w:t>
                  </w:r>
                </w:p>
              </w:tc>
              <w:tc>
                <w:tcPr>
                  <w:tcW w:w="630" w:type="pct"/>
                  <w:tcBorders>
                    <w:tl2br w:val="nil"/>
                    <w:tr2bl w:val="nil"/>
                  </w:tcBorders>
                  <w:noWrap w:val="0"/>
                  <w:vAlign w:val="center"/>
                </w:tcPr>
                <w:p w14:paraId="4BC1086A">
                  <w:pPr>
                    <w:autoSpaceDN w:val="0"/>
                    <w:ind w:left="0"/>
                    <w:jc w:val="center"/>
                    <w:textAlignment w:val="center"/>
                    <w:rPr>
                      <w:rFonts w:hint="default" w:ascii="Times New Roman" w:hAnsi="Times New Roman" w:eastAsia="宋体" w:cs="Times New Roman"/>
                      <w:b/>
                      <w:bCs/>
                      <w:color w:val="auto"/>
                      <w:spacing w:val="0"/>
                      <w:sz w:val="21"/>
                      <w:szCs w:val="21"/>
                      <w:lang w:val="en-US" w:eastAsia="zh-CN" w:bidi="ar-SA"/>
                    </w:rPr>
                  </w:pPr>
                  <w:r>
                    <w:rPr>
                      <w:rFonts w:hint="default" w:ascii="Times New Roman" w:hAnsi="Times New Roman" w:eastAsia="宋体" w:cs="Times New Roman"/>
                      <w:b/>
                      <w:bCs/>
                      <w:color w:val="auto"/>
                      <w:spacing w:val="0"/>
                      <w:sz w:val="21"/>
                      <w:szCs w:val="21"/>
                      <w:lang w:val="en-US" w:eastAsia="zh-CN" w:bidi="ar-SA"/>
                    </w:rPr>
                    <w:t>达标情况</w:t>
                  </w:r>
                </w:p>
              </w:tc>
            </w:tr>
            <w:tr w14:paraId="2A85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Merge w:val="restart"/>
                  <w:tcBorders>
                    <w:tl2br w:val="nil"/>
                    <w:tr2bl w:val="nil"/>
                  </w:tcBorders>
                  <w:noWrap w:val="0"/>
                  <w:vAlign w:val="center"/>
                </w:tcPr>
                <w:p w14:paraId="60CBAB4D">
                  <w:pPr>
                    <w:autoSpaceDN w:val="0"/>
                    <w:ind w:left="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项目区厂界下风向1#</w:t>
                  </w:r>
                </w:p>
              </w:tc>
              <w:tc>
                <w:tcPr>
                  <w:tcW w:w="736" w:type="pct"/>
                  <w:tcBorders>
                    <w:tl2br w:val="nil"/>
                    <w:tr2bl w:val="nil"/>
                  </w:tcBorders>
                  <w:noWrap w:val="0"/>
                  <w:vAlign w:val="center"/>
                </w:tcPr>
                <w:p w14:paraId="0F722327">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2026/3/4～2026/3/5</w:t>
                  </w:r>
                </w:p>
              </w:tc>
              <w:tc>
                <w:tcPr>
                  <w:tcW w:w="909" w:type="pct"/>
                  <w:tcBorders>
                    <w:tl2br w:val="nil"/>
                    <w:tr2bl w:val="nil"/>
                  </w:tcBorders>
                  <w:noWrap w:val="0"/>
                  <w:vAlign w:val="center"/>
                </w:tcPr>
                <w:p w14:paraId="21541BAF">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17:10次日17:10</w:t>
                  </w:r>
                </w:p>
              </w:tc>
              <w:tc>
                <w:tcPr>
                  <w:tcW w:w="923" w:type="pct"/>
                  <w:tcBorders>
                    <w:tl2br w:val="nil"/>
                    <w:tr2bl w:val="nil"/>
                  </w:tcBorders>
                  <w:noWrap w:val="0"/>
                  <w:vAlign w:val="center"/>
                </w:tcPr>
                <w:p w14:paraId="6D3181DA">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b w:val="0"/>
                      <w:bCs w:val="0"/>
                      <w:color w:val="auto"/>
                      <w:spacing w:val="0"/>
                      <w:sz w:val="21"/>
                      <w:szCs w:val="21"/>
                      <w:lang w:val="en-US" w:eastAsia="zh-CN" w:bidi="ar-SA"/>
                    </w:rPr>
                    <w:t>TSP20260302005</w:t>
                  </w:r>
                  <w:r>
                    <w:rPr>
                      <w:rFonts w:hint="default" w:ascii="Times New Roman" w:hAnsi="Times New Roman" w:eastAsia="宋体" w:cs="Times New Roman"/>
                      <w:color w:val="auto"/>
                      <w:sz w:val="21"/>
                      <w:szCs w:val="21"/>
                      <w:lang w:val="en-US" w:eastAsia="zh-CN"/>
                    </w:rPr>
                    <w:t>-1-1-1</w:t>
                  </w:r>
                </w:p>
              </w:tc>
              <w:tc>
                <w:tcPr>
                  <w:tcW w:w="620" w:type="pct"/>
                  <w:tcBorders>
                    <w:tl2br w:val="nil"/>
                    <w:tr2bl w:val="nil"/>
                  </w:tcBorders>
                  <w:noWrap w:val="0"/>
                  <w:vAlign w:val="center"/>
                </w:tcPr>
                <w:p w14:paraId="25A1C3E4">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w:t>
                  </w:r>
                </w:p>
              </w:tc>
              <w:tc>
                <w:tcPr>
                  <w:tcW w:w="656" w:type="pct"/>
                  <w:tcBorders>
                    <w:tl2br w:val="nil"/>
                    <w:tr2bl w:val="nil"/>
                  </w:tcBorders>
                  <w:noWrap w:val="0"/>
                  <w:vAlign w:val="center"/>
                </w:tcPr>
                <w:p w14:paraId="17EC896E">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30" w:type="pct"/>
                  <w:tcBorders>
                    <w:tl2br w:val="nil"/>
                    <w:tr2bl w:val="nil"/>
                  </w:tcBorders>
                  <w:noWrap w:val="0"/>
                  <w:vAlign w:val="center"/>
                </w:tcPr>
                <w:p w14:paraId="2B9EE6F6">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25F3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Merge w:val="continue"/>
                  <w:tcBorders>
                    <w:tl2br w:val="nil"/>
                    <w:tr2bl w:val="nil"/>
                  </w:tcBorders>
                  <w:noWrap w:val="0"/>
                  <w:vAlign w:val="center"/>
                </w:tcPr>
                <w:p w14:paraId="1C469B16">
                  <w:pPr>
                    <w:autoSpaceDN w:val="0"/>
                    <w:ind w:left="0"/>
                    <w:jc w:val="center"/>
                    <w:textAlignment w:val="center"/>
                    <w:rPr>
                      <w:rFonts w:hint="default" w:ascii="Times New Roman" w:hAnsi="Times New Roman" w:eastAsia="宋体" w:cs="Times New Roman"/>
                      <w:b/>
                      <w:bCs/>
                      <w:color w:val="auto"/>
                      <w:sz w:val="21"/>
                      <w:szCs w:val="21"/>
                      <w:lang w:val="en-US" w:eastAsia="zh-CN"/>
                    </w:rPr>
                  </w:pPr>
                </w:p>
              </w:tc>
              <w:tc>
                <w:tcPr>
                  <w:tcW w:w="736" w:type="pct"/>
                  <w:tcBorders>
                    <w:tl2br w:val="nil"/>
                    <w:tr2bl w:val="nil"/>
                  </w:tcBorders>
                  <w:noWrap w:val="0"/>
                  <w:vAlign w:val="center"/>
                </w:tcPr>
                <w:p w14:paraId="3109E0EB">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2026/3/5～2026/3/6</w:t>
                  </w:r>
                </w:p>
              </w:tc>
              <w:tc>
                <w:tcPr>
                  <w:tcW w:w="909" w:type="pct"/>
                  <w:tcBorders>
                    <w:tl2br w:val="nil"/>
                    <w:tr2bl w:val="nil"/>
                  </w:tcBorders>
                  <w:noWrap w:val="0"/>
                  <w:vAlign w:val="center"/>
                </w:tcPr>
                <w:p w14:paraId="011D81A4">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18:52次日18:52</w:t>
                  </w:r>
                </w:p>
              </w:tc>
              <w:tc>
                <w:tcPr>
                  <w:tcW w:w="923" w:type="pct"/>
                  <w:tcBorders>
                    <w:tl2br w:val="nil"/>
                    <w:tr2bl w:val="nil"/>
                  </w:tcBorders>
                  <w:noWrap w:val="0"/>
                  <w:vAlign w:val="center"/>
                </w:tcPr>
                <w:p w14:paraId="69F286E1">
                  <w:pPr>
                    <w:autoSpaceDN w:val="0"/>
                    <w:ind w:left="0" w:left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b w:val="0"/>
                      <w:bCs w:val="0"/>
                      <w:color w:val="auto"/>
                      <w:spacing w:val="0"/>
                      <w:sz w:val="21"/>
                      <w:szCs w:val="21"/>
                      <w:lang w:val="en-US" w:eastAsia="zh-CN" w:bidi="ar-SA"/>
                    </w:rPr>
                    <w:t>TSP20260302005</w:t>
                  </w:r>
                  <w:r>
                    <w:rPr>
                      <w:rFonts w:hint="default" w:ascii="Times New Roman" w:hAnsi="Times New Roman" w:eastAsia="宋体" w:cs="Times New Roman"/>
                      <w:color w:val="auto"/>
                      <w:sz w:val="21"/>
                      <w:szCs w:val="21"/>
                      <w:lang w:val="en-US" w:eastAsia="zh-CN"/>
                    </w:rPr>
                    <w:t>-1-2-1</w:t>
                  </w:r>
                </w:p>
              </w:tc>
              <w:tc>
                <w:tcPr>
                  <w:tcW w:w="620" w:type="pct"/>
                  <w:tcBorders>
                    <w:tl2br w:val="nil"/>
                    <w:tr2bl w:val="nil"/>
                  </w:tcBorders>
                  <w:noWrap w:val="0"/>
                  <w:vAlign w:val="center"/>
                </w:tcPr>
                <w:p w14:paraId="7A1581CC">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w:t>
                  </w:r>
                </w:p>
              </w:tc>
              <w:tc>
                <w:tcPr>
                  <w:tcW w:w="656" w:type="pct"/>
                  <w:tcBorders>
                    <w:tl2br w:val="nil"/>
                    <w:tr2bl w:val="nil"/>
                  </w:tcBorders>
                  <w:noWrap w:val="0"/>
                  <w:vAlign w:val="center"/>
                </w:tcPr>
                <w:p w14:paraId="0B5E3853">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30" w:type="pct"/>
                  <w:tcBorders>
                    <w:tl2br w:val="nil"/>
                    <w:tr2bl w:val="nil"/>
                  </w:tcBorders>
                  <w:noWrap w:val="0"/>
                  <w:vAlign w:val="center"/>
                </w:tcPr>
                <w:p w14:paraId="687DC4CA">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72ED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Merge w:val="continue"/>
                  <w:tcBorders>
                    <w:tl2br w:val="nil"/>
                    <w:tr2bl w:val="nil"/>
                  </w:tcBorders>
                  <w:noWrap w:val="0"/>
                  <w:vAlign w:val="center"/>
                </w:tcPr>
                <w:p w14:paraId="1C15347A">
                  <w:pPr>
                    <w:autoSpaceDN w:val="0"/>
                    <w:ind w:left="0"/>
                    <w:jc w:val="center"/>
                    <w:textAlignment w:val="center"/>
                    <w:rPr>
                      <w:rFonts w:hint="default" w:ascii="Times New Roman" w:hAnsi="Times New Roman" w:eastAsia="宋体" w:cs="Times New Roman"/>
                      <w:b/>
                      <w:bCs/>
                      <w:color w:val="auto"/>
                      <w:sz w:val="21"/>
                      <w:szCs w:val="21"/>
                      <w:lang w:val="en-US" w:eastAsia="zh-CN"/>
                    </w:rPr>
                  </w:pPr>
                </w:p>
              </w:tc>
              <w:tc>
                <w:tcPr>
                  <w:tcW w:w="736" w:type="pct"/>
                  <w:tcBorders>
                    <w:tl2br w:val="nil"/>
                    <w:tr2bl w:val="nil"/>
                  </w:tcBorders>
                  <w:noWrap w:val="0"/>
                  <w:vAlign w:val="center"/>
                </w:tcPr>
                <w:p w14:paraId="48E5C894">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2026/3/6～2026/3/7</w:t>
                  </w:r>
                </w:p>
              </w:tc>
              <w:tc>
                <w:tcPr>
                  <w:tcW w:w="909" w:type="pct"/>
                  <w:tcBorders>
                    <w:tl2br w:val="nil"/>
                    <w:tr2bl w:val="nil"/>
                  </w:tcBorders>
                  <w:noWrap w:val="0"/>
                  <w:vAlign w:val="center"/>
                </w:tcPr>
                <w:p w14:paraId="4FBC0587">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19:12次日19:12</w:t>
                  </w:r>
                </w:p>
              </w:tc>
              <w:tc>
                <w:tcPr>
                  <w:tcW w:w="923" w:type="pct"/>
                  <w:tcBorders>
                    <w:tl2br w:val="nil"/>
                    <w:tr2bl w:val="nil"/>
                  </w:tcBorders>
                  <w:noWrap w:val="0"/>
                  <w:vAlign w:val="center"/>
                </w:tcPr>
                <w:p w14:paraId="3AF08655">
                  <w:pPr>
                    <w:autoSpaceDN w:val="0"/>
                    <w:ind w:left="0" w:left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b w:val="0"/>
                      <w:bCs w:val="0"/>
                      <w:color w:val="auto"/>
                      <w:spacing w:val="0"/>
                      <w:sz w:val="21"/>
                      <w:szCs w:val="21"/>
                      <w:lang w:val="en-US" w:eastAsia="zh-CN" w:bidi="ar-SA"/>
                    </w:rPr>
                    <w:t>TSP20260302005</w:t>
                  </w:r>
                  <w:r>
                    <w:rPr>
                      <w:rFonts w:hint="default" w:ascii="Times New Roman" w:hAnsi="Times New Roman" w:eastAsia="宋体" w:cs="Times New Roman"/>
                      <w:color w:val="auto"/>
                      <w:sz w:val="21"/>
                      <w:szCs w:val="21"/>
                      <w:lang w:val="en-US" w:eastAsia="zh-CN"/>
                    </w:rPr>
                    <w:t>-1-3-1</w:t>
                  </w:r>
                </w:p>
              </w:tc>
              <w:tc>
                <w:tcPr>
                  <w:tcW w:w="620" w:type="pct"/>
                  <w:tcBorders>
                    <w:tl2br w:val="nil"/>
                    <w:tr2bl w:val="nil"/>
                  </w:tcBorders>
                  <w:noWrap w:val="0"/>
                  <w:vAlign w:val="center"/>
                </w:tcPr>
                <w:p w14:paraId="50A1D505">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656" w:type="pct"/>
                  <w:tcBorders>
                    <w:tl2br w:val="nil"/>
                    <w:tr2bl w:val="nil"/>
                  </w:tcBorders>
                  <w:noWrap w:val="0"/>
                  <w:vAlign w:val="center"/>
                </w:tcPr>
                <w:p w14:paraId="4938AF9B">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30" w:type="pct"/>
                  <w:tcBorders>
                    <w:tl2br w:val="nil"/>
                    <w:tr2bl w:val="nil"/>
                  </w:tcBorders>
                  <w:noWrap w:val="0"/>
                  <w:vAlign w:val="center"/>
                </w:tcPr>
                <w:p w14:paraId="3D5600EB">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3138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Merge w:val="restart"/>
                  <w:tcBorders>
                    <w:tl2br w:val="nil"/>
                    <w:tr2bl w:val="nil"/>
                  </w:tcBorders>
                  <w:noWrap w:val="0"/>
                  <w:vAlign w:val="center"/>
                </w:tcPr>
                <w:p w14:paraId="3F5D5F28">
                  <w:pPr>
                    <w:autoSpaceDN w:val="0"/>
                    <w:ind w:left="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项目区域东北面老厂乡中心幼儿园2#</w:t>
                  </w:r>
                </w:p>
              </w:tc>
              <w:tc>
                <w:tcPr>
                  <w:tcW w:w="736" w:type="pct"/>
                  <w:tcBorders>
                    <w:tl2br w:val="nil"/>
                    <w:tr2bl w:val="nil"/>
                  </w:tcBorders>
                  <w:noWrap w:val="0"/>
                  <w:vAlign w:val="center"/>
                </w:tcPr>
                <w:p w14:paraId="2D4D858F">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2026/3/4～2026/3/5</w:t>
                  </w:r>
                </w:p>
              </w:tc>
              <w:tc>
                <w:tcPr>
                  <w:tcW w:w="909" w:type="pct"/>
                  <w:tcBorders>
                    <w:tl2br w:val="nil"/>
                    <w:tr2bl w:val="nil"/>
                  </w:tcBorders>
                  <w:noWrap w:val="0"/>
                  <w:vAlign w:val="center"/>
                </w:tcPr>
                <w:p w14:paraId="06433ED0">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16:30次日16:30</w:t>
                  </w:r>
                </w:p>
              </w:tc>
              <w:tc>
                <w:tcPr>
                  <w:tcW w:w="923" w:type="pct"/>
                  <w:tcBorders>
                    <w:tl2br w:val="nil"/>
                    <w:tr2bl w:val="nil"/>
                  </w:tcBorders>
                  <w:noWrap w:val="0"/>
                  <w:vAlign w:val="center"/>
                </w:tcPr>
                <w:p w14:paraId="74F6519B">
                  <w:pPr>
                    <w:autoSpaceDN w:val="0"/>
                    <w:ind w:left="0" w:leftChars="0"/>
                    <w:jc w:val="center"/>
                    <w:textAlignment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b w:val="0"/>
                      <w:bCs w:val="0"/>
                      <w:color w:val="auto"/>
                      <w:spacing w:val="0"/>
                      <w:sz w:val="21"/>
                      <w:szCs w:val="21"/>
                      <w:lang w:val="en-US" w:eastAsia="zh-CN" w:bidi="ar-SA"/>
                    </w:rPr>
                    <w:t>TSP20260302005</w:t>
                  </w:r>
                  <w:r>
                    <w:rPr>
                      <w:rFonts w:hint="default" w:ascii="Times New Roman" w:hAnsi="Times New Roman" w:eastAsia="宋体" w:cs="Times New Roman"/>
                      <w:color w:val="auto"/>
                      <w:sz w:val="21"/>
                      <w:szCs w:val="21"/>
                      <w:lang w:val="en-US" w:eastAsia="zh-CN"/>
                    </w:rPr>
                    <w:t>-2-1-1</w:t>
                  </w:r>
                </w:p>
              </w:tc>
              <w:tc>
                <w:tcPr>
                  <w:tcW w:w="620" w:type="pct"/>
                  <w:tcBorders>
                    <w:tl2br w:val="nil"/>
                    <w:tr2bl w:val="nil"/>
                  </w:tcBorders>
                  <w:noWrap w:val="0"/>
                  <w:vAlign w:val="center"/>
                </w:tcPr>
                <w:p w14:paraId="253BE309">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656" w:type="pct"/>
                  <w:tcBorders>
                    <w:tl2br w:val="nil"/>
                    <w:tr2bl w:val="nil"/>
                  </w:tcBorders>
                  <w:noWrap w:val="0"/>
                  <w:vAlign w:val="center"/>
                </w:tcPr>
                <w:p w14:paraId="1F99F5DD">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30" w:type="pct"/>
                  <w:tcBorders>
                    <w:tl2br w:val="nil"/>
                    <w:tr2bl w:val="nil"/>
                  </w:tcBorders>
                  <w:noWrap w:val="0"/>
                  <w:vAlign w:val="center"/>
                </w:tcPr>
                <w:p w14:paraId="1C7538D0">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7B19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Merge w:val="continue"/>
                  <w:tcBorders>
                    <w:tl2br w:val="nil"/>
                    <w:tr2bl w:val="nil"/>
                  </w:tcBorders>
                  <w:noWrap w:val="0"/>
                  <w:vAlign w:val="center"/>
                </w:tcPr>
                <w:p w14:paraId="4CFE15C4">
                  <w:pPr>
                    <w:autoSpaceDN w:val="0"/>
                    <w:ind w:left="0"/>
                    <w:jc w:val="center"/>
                    <w:textAlignment w:val="center"/>
                    <w:rPr>
                      <w:rFonts w:hint="default" w:ascii="Times New Roman" w:hAnsi="Times New Roman" w:eastAsia="宋体" w:cs="Times New Roman"/>
                      <w:b/>
                      <w:bCs/>
                      <w:color w:val="auto"/>
                      <w:sz w:val="21"/>
                      <w:szCs w:val="21"/>
                    </w:rPr>
                  </w:pPr>
                </w:p>
              </w:tc>
              <w:tc>
                <w:tcPr>
                  <w:tcW w:w="736" w:type="pct"/>
                  <w:tcBorders>
                    <w:tl2br w:val="nil"/>
                    <w:tr2bl w:val="nil"/>
                  </w:tcBorders>
                  <w:noWrap w:val="0"/>
                  <w:vAlign w:val="center"/>
                </w:tcPr>
                <w:p w14:paraId="66236B2A">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2026/3/5～2026/3/6</w:t>
                  </w:r>
                </w:p>
              </w:tc>
              <w:tc>
                <w:tcPr>
                  <w:tcW w:w="909" w:type="pct"/>
                  <w:tcBorders>
                    <w:tl2br w:val="nil"/>
                    <w:tr2bl w:val="nil"/>
                  </w:tcBorders>
                  <w:noWrap w:val="0"/>
                  <w:vAlign w:val="center"/>
                </w:tcPr>
                <w:p w14:paraId="7D2E9EA8">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18:40次日18:40</w:t>
                  </w:r>
                </w:p>
              </w:tc>
              <w:tc>
                <w:tcPr>
                  <w:tcW w:w="923" w:type="pct"/>
                  <w:tcBorders>
                    <w:tl2br w:val="nil"/>
                    <w:tr2bl w:val="nil"/>
                  </w:tcBorders>
                  <w:noWrap w:val="0"/>
                  <w:vAlign w:val="center"/>
                </w:tcPr>
                <w:p w14:paraId="0B8292B1">
                  <w:pPr>
                    <w:autoSpaceDN w:val="0"/>
                    <w:ind w:left="0" w:leftChars="0"/>
                    <w:jc w:val="center"/>
                    <w:textAlignment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b w:val="0"/>
                      <w:bCs w:val="0"/>
                      <w:color w:val="auto"/>
                      <w:spacing w:val="0"/>
                      <w:sz w:val="21"/>
                      <w:szCs w:val="21"/>
                      <w:lang w:val="en-US" w:eastAsia="zh-CN" w:bidi="ar-SA"/>
                    </w:rPr>
                    <w:t>TSP20260302005</w:t>
                  </w:r>
                  <w:r>
                    <w:rPr>
                      <w:rFonts w:hint="default" w:ascii="Times New Roman" w:hAnsi="Times New Roman" w:eastAsia="宋体" w:cs="Times New Roman"/>
                      <w:color w:val="auto"/>
                      <w:sz w:val="21"/>
                      <w:szCs w:val="21"/>
                      <w:lang w:val="en-US" w:eastAsia="zh-CN"/>
                    </w:rPr>
                    <w:t>-2-2-1</w:t>
                  </w:r>
                </w:p>
              </w:tc>
              <w:tc>
                <w:tcPr>
                  <w:tcW w:w="620" w:type="pct"/>
                  <w:tcBorders>
                    <w:tl2br w:val="nil"/>
                    <w:tr2bl w:val="nil"/>
                  </w:tcBorders>
                  <w:noWrap w:val="0"/>
                  <w:vAlign w:val="center"/>
                </w:tcPr>
                <w:p w14:paraId="4F9C6DF5">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656" w:type="pct"/>
                  <w:tcBorders>
                    <w:tl2br w:val="nil"/>
                    <w:tr2bl w:val="nil"/>
                  </w:tcBorders>
                  <w:noWrap w:val="0"/>
                  <w:vAlign w:val="center"/>
                </w:tcPr>
                <w:p w14:paraId="43B6C4EB">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30" w:type="pct"/>
                  <w:tcBorders>
                    <w:tl2br w:val="nil"/>
                    <w:tr2bl w:val="nil"/>
                  </w:tcBorders>
                  <w:noWrap w:val="0"/>
                  <w:vAlign w:val="center"/>
                </w:tcPr>
                <w:p w14:paraId="7E35644D">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3D13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Merge w:val="continue"/>
                  <w:tcBorders>
                    <w:tl2br w:val="nil"/>
                    <w:tr2bl w:val="nil"/>
                  </w:tcBorders>
                  <w:noWrap w:val="0"/>
                  <w:vAlign w:val="center"/>
                </w:tcPr>
                <w:p w14:paraId="71DFE6AA">
                  <w:pPr>
                    <w:autoSpaceDN w:val="0"/>
                    <w:ind w:left="0"/>
                    <w:jc w:val="center"/>
                    <w:textAlignment w:val="center"/>
                    <w:rPr>
                      <w:rFonts w:hint="default" w:ascii="Times New Roman" w:hAnsi="Times New Roman" w:eastAsia="宋体" w:cs="Times New Roman"/>
                      <w:b/>
                      <w:bCs/>
                      <w:color w:val="auto"/>
                      <w:sz w:val="21"/>
                      <w:szCs w:val="21"/>
                    </w:rPr>
                  </w:pPr>
                </w:p>
              </w:tc>
              <w:tc>
                <w:tcPr>
                  <w:tcW w:w="736" w:type="pct"/>
                  <w:tcBorders>
                    <w:tl2br w:val="nil"/>
                    <w:tr2bl w:val="nil"/>
                  </w:tcBorders>
                  <w:noWrap w:val="0"/>
                  <w:vAlign w:val="center"/>
                </w:tcPr>
                <w:p w14:paraId="746A615C">
                  <w:pPr>
                    <w:autoSpaceDN w:val="0"/>
                    <w:ind w:left="0" w:leftChars="0"/>
                    <w:jc w:val="center"/>
                    <w:textAlignment w:val="center"/>
                    <w:rPr>
                      <w:rFonts w:hint="default" w:ascii="Times New Roman" w:hAnsi="Times New Roman" w:eastAsia="宋体" w:cs="Times New Roman"/>
                      <w:color w:val="auto"/>
                      <w:spacing w:val="-5"/>
                      <w:sz w:val="21"/>
                      <w:szCs w:val="21"/>
                      <w:highlight w:val="none"/>
                      <w:lang w:val="en-US" w:eastAsia="zh-CN" w:bidi="he-IL"/>
                    </w:rPr>
                  </w:pPr>
                  <w:r>
                    <w:rPr>
                      <w:rFonts w:hint="default" w:ascii="Times New Roman" w:hAnsi="Times New Roman" w:eastAsia="宋体" w:cs="Times New Roman"/>
                      <w:color w:val="auto"/>
                      <w:sz w:val="21"/>
                      <w:szCs w:val="21"/>
                      <w:highlight w:val="none"/>
                      <w:lang w:val="en-US" w:eastAsia="zh-CN"/>
                    </w:rPr>
                    <w:t>2026/3/6～2026/3/7</w:t>
                  </w:r>
                </w:p>
              </w:tc>
              <w:tc>
                <w:tcPr>
                  <w:tcW w:w="909" w:type="pct"/>
                  <w:tcBorders>
                    <w:tl2br w:val="nil"/>
                    <w:tr2bl w:val="nil"/>
                  </w:tcBorders>
                  <w:noWrap w:val="0"/>
                  <w:vAlign w:val="center"/>
                </w:tcPr>
                <w:p w14:paraId="3F0C66B1">
                  <w:pPr>
                    <w:autoSpaceDN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18:59次日18:59</w:t>
                  </w:r>
                </w:p>
              </w:tc>
              <w:tc>
                <w:tcPr>
                  <w:tcW w:w="923" w:type="pct"/>
                  <w:tcBorders>
                    <w:tl2br w:val="nil"/>
                    <w:tr2bl w:val="nil"/>
                  </w:tcBorders>
                  <w:noWrap w:val="0"/>
                  <w:vAlign w:val="center"/>
                </w:tcPr>
                <w:p w14:paraId="3BDC0A09">
                  <w:pPr>
                    <w:autoSpaceDN w:val="0"/>
                    <w:ind w:left="0" w:leftChars="0"/>
                    <w:jc w:val="center"/>
                    <w:textAlignment w:val="center"/>
                    <w:rPr>
                      <w:rFonts w:hint="default" w:ascii="Times New Roman" w:hAnsi="Times New Roman" w:eastAsia="宋体" w:cs="Times New Roman"/>
                      <w:color w:val="auto"/>
                      <w:spacing w:val="-5"/>
                      <w:sz w:val="21"/>
                      <w:szCs w:val="21"/>
                      <w:lang w:val="en-US" w:eastAsia="zh-CN" w:bidi="he-IL"/>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b w:val="0"/>
                      <w:bCs w:val="0"/>
                      <w:color w:val="auto"/>
                      <w:spacing w:val="0"/>
                      <w:sz w:val="21"/>
                      <w:szCs w:val="21"/>
                      <w:lang w:val="en-US" w:eastAsia="zh-CN" w:bidi="ar-SA"/>
                    </w:rPr>
                    <w:t>TSP20260302005</w:t>
                  </w:r>
                  <w:r>
                    <w:rPr>
                      <w:rFonts w:hint="default" w:ascii="Times New Roman" w:hAnsi="Times New Roman" w:eastAsia="宋体" w:cs="Times New Roman"/>
                      <w:color w:val="auto"/>
                      <w:sz w:val="21"/>
                      <w:szCs w:val="21"/>
                      <w:lang w:val="en-US" w:eastAsia="zh-CN"/>
                    </w:rPr>
                    <w:t>-2-3-1</w:t>
                  </w:r>
                </w:p>
              </w:tc>
              <w:tc>
                <w:tcPr>
                  <w:tcW w:w="620" w:type="pct"/>
                  <w:tcBorders>
                    <w:tl2br w:val="nil"/>
                    <w:tr2bl w:val="nil"/>
                  </w:tcBorders>
                  <w:noWrap w:val="0"/>
                  <w:vAlign w:val="center"/>
                </w:tcPr>
                <w:p w14:paraId="220C7F04">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656" w:type="pct"/>
                  <w:tcBorders>
                    <w:tl2br w:val="nil"/>
                    <w:tr2bl w:val="nil"/>
                  </w:tcBorders>
                  <w:noWrap w:val="0"/>
                  <w:vAlign w:val="center"/>
                </w:tcPr>
                <w:p w14:paraId="1F027BB7">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30" w:type="pct"/>
                  <w:tcBorders>
                    <w:tl2br w:val="nil"/>
                    <w:tr2bl w:val="nil"/>
                  </w:tcBorders>
                  <w:noWrap w:val="0"/>
                  <w:vAlign w:val="center"/>
                </w:tcPr>
                <w:p w14:paraId="13452523">
                  <w:pPr>
                    <w:autoSpaceDN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bl>
          <w:p w14:paraId="2568EC94">
            <w:pPr>
              <w:adjustRightInd w:val="0"/>
              <w:snapToGrid w:val="0"/>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根据上表监测结果，</w:t>
            </w:r>
            <w:r>
              <w:rPr>
                <w:rFonts w:hint="default" w:ascii="Times New Roman" w:hAnsi="Times New Roman" w:cs="Times New Roman"/>
                <w:color w:val="auto"/>
                <w:sz w:val="24"/>
                <w:szCs w:val="24"/>
                <w:lang w:eastAsia="zh-CN" w:bidi="ar"/>
              </w:rPr>
              <w:t>项目区周边</w:t>
            </w:r>
            <w:r>
              <w:rPr>
                <w:rFonts w:hint="default" w:ascii="Times New Roman" w:hAnsi="Times New Roman" w:cs="Times New Roman"/>
                <w:color w:val="auto"/>
                <w:sz w:val="24"/>
                <w:szCs w:val="24"/>
                <w:lang w:val="en-US" w:eastAsia="zh-CN" w:bidi="ar"/>
              </w:rPr>
              <w:t>TSP</w:t>
            </w:r>
            <w:r>
              <w:rPr>
                <w:rFonts w:hint="default" w:ascii="Times New Roman" w:hAnsi="Times New Roman" w:cs="Times New Roman"/>
                <w:color w:val="auto"/>
                <w:sz w:val="24"/>
                <w:szCs w:val="24"/>
                <w:lang w:eastAsia="zh-CN" w:bidi="ar"/>
              </w:rPr>
              <w:t>浓度满足《环境空气质量标准》（GB3095—20</w:t>
            </w:r>
            <w:r>
              <w:rPr>
                <w:rFonts w:hint="default" w:ascii="Times New Roman" w:hAnsi="Times New Roman" w:cs="Times New Roman"/>
                <w:color w:val="auto"/>
                <w:sz w:val="24"/>
                <w:szCs w:val="24"/>
                <w:lang w:val="en-US" w:eastAsia="zh-CN" w:bidi="ar"/>
              </w:rPr>
              <w:t>26</w:t>
            </w:r>
            <w:r>
              <w:rPr>
                <w:rFonts w:hint="default" w:ascii="Times New Roman" w:hAnsi="Times New Roman" w:cs="Times New Roman"/>
                <w:color w:val="auto"/>
                <w:sz w:val="24"/>
                <w:szCs w:val="24"/>
                <w:lang w:eastAsia="zh-CN" w:bidi="ar"/>
              </w:rPr>
              <w:t>）中的</w:t>
            </w:r>
            <w:r>
              <w:rPr>
                <w:rFonts w:hint="default" w:ascii="Times New Roman" w:hAnsi="Times New Roman" w:cs="Times New Roman"/>
                <w:color w:val="auto"/>
                <w:sz w:val="24"/>
                <w:szCs w:val="24"/>
                <w:lang w:val="en-US" w:eastAsia="zh-CN" w:bidi="ar"/>
              </w:rPr>
              <w:t>过渡期</w:t>
            </w:r>
            <w:r>
              <w:rPr>
                <w:rFonts w:hint="default" w:ascii="Times New Roman" w:hAnsi="Times New Roman" w:cs="Times New Roman"/>
                <w:color w:val="auto"/>
                <w:sz w:val="24"/>
                <w:szCs w:val="24"/>
                <w:lang w:eastAsia="zh-CN" w:bidi="ar"/>
              </w:rPr>
              <w:t>二级标准限值，区域环境空气质量良好。</w:t>
            </w:r>
          </w:p>
          <w:p w14:paraId="4C9C26B3">
            <w:p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综上所述，项目区域常规污染物和特征污染物均满足要求，所处区域属于环境空气质量现状达标区。</w:t>
            </w:r>
          </w:p>
          <w:p w14:paraId="53A06A30">
            <w:pPr>
              <w:spacing w:line="360" w:lineRule="auto"/>
              <w:ind w:firstLine="482" w:firstLineChars="200"/>
              <w:jc w:val="both"/>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二、地表水环境质量</w:t>
            </w:r>
          </w:p>
          <w:p w14:paraId="37707E1B">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1、地表水环境质量标准</w:t>
            </w:r>
          </w:p>
          <w:p w14:paraId="24A24DEB">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本项目位于</w:t>
            </w:r>
            <w:r>
              <w:rPr>
                <w:rFonts w:hint="default" w:ascii="Times New Roman" w:hAnsi="Times New Roman" w:cs="Times New Roman"/>
                <w:color w:val="auto"/>
                <w:sz w:val="24"/>
                <w:szCs w:val="24"/>
                <w:lang w:eastAsia="zh-CN"/>
              </w:rPr>
              <w:t>云南省玉溪市新平彝族傣族自治县老厂乡</w:t>
            </w:r>
            <w:r>
              <w:rPr>
                <w:rFonts w:hint="default" w:ascii="Times New Roman" w:hAnsi="Times New Roman" w:cs="Times New Roman"/>
                <w:color w:val="auto"/>
                <w:sz w:val="24"/>
                <w:lang w:eastAsia="zh-CN"/>
              </w:rPr>
              <w:t>，项目周边地表水</w:t>
            </w:r>
            <w:r>
              <w:rPr>
                <w:rFonts w:hint="default" w:ascii="Times New Roman" w:hAnsi="Times New Roman" w:cs="Times New Roman"/>
                <w:color w:val="auto"/>
                <w:sz w:val="24"/>
                <w:lang w:val="en-US" w:eastAsia="zh-CN"/>
              </w:rPr>
              <w:t>为</w:t>
            </w:r>
            <w:r>
              <w:rPr>
                <w:rFonts w:hint="default" w:ascii="Times New Roman" w:hAnsi="Times New Roman" w:cs="Times New Roman"/>
                <w:color w:val="auto"/>
                <w:sz w:val="24"/>
                <w:lang w:eastAsia="zh-CN"/>
              </w:rPr>
              <w:t>西侧</w:t>
            </w:r>
            <w:r>
              <w:rPr>
                <w:rFonts w:hint="default" w:ascii="Times New Roman" w:hAnsi="Times New Roman" w:cs="Times New Roman"/>
                <w:color w:val="auto"/>
                <w:sz w:val="24"/>
                <w:lang w:val="en-US" w:eastAsia="zh-CN"/>
              </w:rPr>
              <w:t>250</w:t>
            </w:r>
            <w:r>
              <w:rPr>
                <w:rFonts w:hint="default" w:ascii="Times New Roman" w:hAnsi="Times New Roman" w:cs="Times New Roman"/>
                <w:color w:val="auto"/>
                <w:sz w:val="24"/>
                <w:lang w:eastAsia="zh-CN"/>
              </w:rPr>
              <w:t>m处的</w:t>
            </w:r>
            <w:r>
              <w:rPr>
                <w:rFonts w:hint="default" w:ascii="Times New Roman" w:hAnsi="Times New Roman" w:cs="Times New Roman"/>
                <w:color w:val="auto"/>
                <w:sz w:val="24"/>
                <w:lang w:val="en-US" w:eastAsia="zh-CN"/>
              </w:rPr>
              <w:t>老厂河</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老厂河属于困龙河上游，于东磨村汇入戛洒江，戛洒江属于红河水系（三江口—蔓耗桥河段）</w:t>
            </w:r>
            <w:r>
              <w:rPr>
                <w:rFonts w:hint="default" w:ascii="Times New Roman" w:hAnsi="Times New Roman" w:cs="Times New Roman"/>
                <w:color w:val="auto"/>
                <w:sz w:val="24"/>
                <w:lang w:eastAsia="zh-CN"/>
              </w:rPr>
              <w:t>。根据《云南省水功能区划（2014年）》（云政复[2014]27号），红河流域，红河干流在云南省境内通常称为元江，流域包括元江、李先江、盘龙河3个水资源三级区。元江主源扎江发源于巍山县哀牢山东麓，流经大理、楚雄、昆明、玉溪、红河等五个地州，红河流域共划分保护区14个、缓冲区1个、开发利用区13个、保留区26个；其中红河巍山-河口保留区：由巍山县洗澡塘至出境口，全长614.1km，自北向东南流经巍山、南涧、双柏、新平、元江，现状水质为II~IV类，其中，上段大东勇段II类，中段元江段III类，下段蛮耗段IV类，规划水平线水质目标为III类。所以项目所述位置为元江中段（当地也称</w:t>
            </w:r>
            <w:r>
              <w:rPr>
                <w:rFonts w:hint="default" w:ascii="Times New Roman" w:hAnsi="Times New Roman" w:eastAsia="宋体" w:cs="Times New Roman"/>
                <w:color w:val="auto"/>
                <w:sz w:val="24"/>
                <w:lang w:eastAsia="zh-CN"/>
              </w:rPr>
              <w:t>戛洒江），执行《地表水环境质量标准》（GB3838-2002）的III类标准。</w:t>
            </w:r>
          </w:p>
          <w:p w14:paraId="41571B2B">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2、地表水质量现状</w:t>
            </w:r>
          </w:p>
          <w:p w14:paraId="31783816">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新平县环境质量季报》（2024年第一季度），戛洒江重点监测三江口（上游入境）、南碱（中游）、南薅（下游出境）3个断面，按月监测，第一季度戛洒江累计监测9个断面次，根据《地表水环境质量评价办法》（总氮和粪大肠菌群不评价）评价，戛洒江水质为Ⅱ类，与去年同期保持一致，水质状况为良好，戛洒江本季度断面达标率为100%，其中达Ⅱ类及以上的7个断面次，占77.8%；达Ⅲ类2个断面次，占22.2%。本项目位于三江口（上游入境）、南碱（中游）断面间，属于达标区。</w:t>
            </w:r>
          </w:p>
          <w:p w14:paraId="380D0AF5">
            <w:pPr>
              <w:pStyle w:val="10"/>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本次环评地表水环境现状引用2025年8月8日《老厂集镇西侧滑坡治理及综合开发利用项目填方前补测》的地表水现状监测数据，共2点（1#：W3:项目点老厂河上游500m；2#：W4:老厂河下游500m（与苛达茸河汇合口之前）），监测结果详见表3-4。</w:t>
            </w:r>
          </w:p>
          <w:p w14:paraId="6B1283C5">
            <w:pPr>
              <w:pStyle w:val="10"/>
              <w:keepNext w:val="0"/>
              <w:keepLines w:val="0"/>
              <w:pageBreakBefore w:val="0"/>
              <w:widowControl w:val="0"/>
              <w:kinsoku/>
              <w:wordWrap/>
              <w:overflowPunct/>
              <w:topLinePunct w:val="0"/>
              <w:autoSpaceDE/>
              <w:autoSpaceDN/>
              <w:bidi w:val="0"/>
              <w:adjustRightInd w:val="0"/>
              <w:snapToGrid w:val="0"/>
              <w:spacing w:before="157" w:beforeLines="50"/>
              <w:ind w:firstLine="42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表3-4  老厂河地表水环境质量现状</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725"/>
              <w:gridCol w:w="2753"/>
              <w:gridCol w:w="794"/>
              <w:gridCol w:w="649"/>
            </w:tblGrid>
            <w:tr w14:paraId="60E9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pct"/>
                  <w:vMerge w:val="restart"/>
                  <w:vAlign w:val="center"/>
                </w:tcPr>
                <w:p w14:paraId="30191908">
                  <w:pPr>
                    <w:pStyle w:val="10"/>
                    <w:keepNext w:val="0"/>
                    <w:keepLines w:val="0"/>
                    <w:pageBreakBefore w:val="0"/>
                    <w:widowControl w:val="0"/>
                    <w:kinsoku/>
                    <w:wordWrap/>
                    <w:overflowPunct/>
                    <w:topLinePunct w:val="0"/>
                    <w:autoSpaceDE/>
                    <w:autoSpaceDN/>
                    <w:bidi w:val="0"/>
                    <w:adjustRightInd w:val="0"/>
                    <w:snapToGrid w:val="0"/>
                    <w:ind w:firstLine="0"/>
                    <w:jc w:val="right"/>
                    <w:textAlignment w:val="auto"/>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5080</wp:posOffset>
                            </wp:positionV>
                            <wp:extent cx="847725" cy="807720"/>
                            <wp:effectExtent l="4445" t="4445" r="5080" b="6985"/>
                            <wp:wrapNone/>
                            <wp:docPr id="12" name="直接连接符 12"/>
                            <wp:cNvGraphicFramePr/>
                            <a:graphic xmlns:a="http://schemas.openxmlformats.org/drawingml/2006/main">
                              <a:graphicData uri="http://schemas.microsoft.com/office/word/2010/wordprocessingShape">
                                <wps:wsp>
                                  <wps:cNvCnPr/>
                                  <wps:spPr>
                                    <a:xfrm>
                                      <a:off x="1486535" y="6057900"/>
                                      <a:ext cx="847725" cy="807720"/>
                                    </a:xfrm>
                                    <a:prstGeom prst="line">
                                      <a:avLst/>
                                    </a:prstGeom>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25pt;margin-top:0.4pt;height:63.6pt;width:66.75pt;z-index:251664384;mso-width-relative:page;mso-height-relative:page;" filled="f" stroked="t" coordsize="21600,21600" o:gfxdata="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g385dcAAAAIAQAADwAAAAAA&#10;AAABACAAAAAiAAAAZHJzL2Rvd25yZXYueG1sUEsBAhQAFAAAAAgAh07iQO4M525NAgAAywQAAA4A&#10;AAAAAAAAAQAgAAAAJgEAAGRycy9lMm9Eb2MueG1sUEsFBgAAAAAGAAYAWQEAAOUFAAAAAA==&#10;">
                            <v:fill on="f" focussize="0,0"/>
                            <v:stroke weight="1pt" color="#000000" miterlimit="8" joinstyle="miter"/>
                            <v:imagedata o:title=""/>
                            <o:lock v:ext="edit" aspectratio="f"/>
                          </v:line>
                        </w:pict>
                      </mc:Fallback>
                    </mc:AlternateContent>
                  </w:r>
                  <w:r>
                    <w:rPr>
                      <w:rFonts w:hint="default" w:ascii="Times New Roman" w:hAnsi="Times New Roman" w:cs="Times New Roman"/>
                      <w:color w:val="auto"/>
                      <w:sz w:val="15"/>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5080</wp:posOffset>
                            </wp:positionV>
                            <wp:extent cx="845185" cy="337185"/>
                            <wp:effectExtent l="88265" t="21590" r="76200" b="155575"/>
                            <wp:wrapNone/>
                            <wp:docPr id="11" name="直接连接符 11"/>
                            <wp:cNvGraphicFramePr/>
                            <a:graphic xmlns:a="http://schemas.openxmlformats.org/drawingml/2006/main">
                              <a:graphicData uri="http://schemas.microsoft.com/office/word/2010/wordprocessingShape">
                                <wps:wsp>
                                  <wps:cNvCnPr/>
                                  <wps:spPr>
                                    <a:xfrm flipH="1" flipV="1">
                                      <a:off x="1490980" y="6049010"/>
                                      <a:ext cx="845185" cy="337185"/>
                                    </a:xfrm>
                                    <a:prstGeom prst="line">
                                      <a:avLst/>
                                    </a:prstGeom>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 y;margin-left:-4.55pt;margin-top:0.4pt;height:26.55pt;width:66.55pt;z-index:251663360;mso-width-relative:page;mso-height-relative:page;" filled="f" stroked="t" coordsize="21600,21600" o:gfxdata="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ALFFLVAAAABgEAAA8AAAAAAAAAAQAgAAAAIgAAAGRycy9kb3ducmV2Lnht&#10;bFBLAQIUABQAAAAIAIdO4kBSjLljpwIAAJcFAAAOAAAAAAAAAAEAIAAAACQBAABkcnMvZTJvRG9j&#10;LnhtbFBLBQYAAAAABgAGAFkBAAA9BgAAAAA=&#10;">
                            <v:fill on="f" focussize="0,0"/>
                            <v:stroke weight="1pt" color="#000000" miterlimit="8" joinstyle="miter"/>
                            <v:imagedata o:title=""/>
                            <o:lock v:ext="edit" aspectratio="f"/>
                            <v:shadow on="t" color="#FFFFFF [3216]" opacity="39321f" offset="0pt,4pt" origin="0f,0f" matrix="65536f,0f,0f,65536f"/>
                          </v:line>
                        </w:pict>
                      </mc:Fallback>
                    </mc:AlternateContent>
                  </w:r>
                  <w:r>
                    <w:rPr>
                      <w:rFonts w:hint="default" w:ascii="Times New Roman" w:hAnsi="Times New Roman" w:cs="Times New Roman"/>
                      <w:color w:val="auto"/>
                      <w:sz w:val="15"/>
                      <w:szCs w:val="15"/>
                      <w:vertAlign w:val="baseline"/>
                      <w:lang w:val="en-US" w:eastAsia="zh-CN"/>
                    </w:rPr>
                    <w:t>采样点位</w:t>
                  </w:r>
                </w:p>
                <w:p w14:paraId="5FFFD5F1">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13"/>
                      <w:szCs w:val="13"/>
                      <w:vertAlign w:val="baseline"/>
                      <w:lang w:val="en-US" w:eastAsia="zh-CN"/>
                    </w:rPr>
                  </w:pPr>
                </w:p>
                <w:p w14:paraId="391D6EFE">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13"/>
                      <w:szCs w:val="13"/>
                      <w:vertAlign w:val="baseline"/>
                      <w:lang w:val="en-US" w:eastAsia="zh-CN"/>
                    </w:rPr>
                  </w:pPr>
                </w:p>
                <w:p w14:paraId="3412FE87">
                  <w:pPr>
                    <w:pStyle w:val="10"/>
                    <w:keepNext w:val="0"/>
                    <w:keepLines w:val="0"/>
                    <w:pageBreakBefore w:val="0"/>
                    <w:widowControl w:val="0"/>
                    <w:kinsoku/>
                    <w:wordWrap/>
                    <w:overflowPunct/>
                    <w:topLinePunct w:val="0"/>
                    <w:autoSpaceDE/>
                    <w:autoSpaceDN/>
                    <w:bidi w:val="0"/>
                    <w:adjustRightInd w:val="0"/>
                    <w:snapToGrid w:val="0"/>
                    <w:ind w:firstLine="0"/>
                    <w:jc w:val="right"/>
                    <w:textAlignment w:val="auto"/>
                    <w:rPr>
                      <w:rFonts w:hint="default" w:ascii="Times New Roman" w:hAnsi="Times New Roman" w:cs="Times New Roman"/>
                      <w:color w:val="auto"/>
                      <w:sz w:val="13"/>
                      <w:szCs w:val="13"/>
                      <w:vertAlign w:val="baseline"/>
                      <w:lang w:val="en-US" w:eastAsia="zh-CN"/>
                    </w:rPr>
                  </w:pPr>
                  <w:r>
                    <w:rPr>
                      <w:rFonts w:hint="default" w:ascii="Times New Roman" w:hAnsi="Times New Roman" w:cs="Times New Roman"/>
                      <w:color w:val="auto"/>
                      <w:sz w:val="13"/>
                      <w:szCs w:val="13"/>
                      <w:vertAlign w:val="baseline"/>
                      <w:lang w:val="en-US" w:eastAsia="zh-CN"/>
                    </w:rPr>
                    <w:t>采样日期/</w:t>
                  </w:r>
                </w:p>
                <w:p w14:paraId="684A7F30">
                  <w:pPr>
                    <w:pStyle w:val="10"/>
                    <w:keepNext w:val="0"/>
                    <w:keepLines w:val="0"/>
                    <w:pageBreakBefore w:val="0"/>
                    <w:widowControl w:val="0"/>
                    <w:kinsoku/>
                    <w:wordWrap/>
                    <w:overflowPunct/>
                    <w:topLinePunct w:val="0"/>
                    <w:autoSpaceDE/>
                    <w:autoSpaceDN/>
                    <w:bidi w:val="0"/>
                    <w:adjustRightInd w:val="0"/>
                    <w:snapToGrid w:val="0"/>
                    <w:ind w:firstLine="0"/>
                    <w:jc w:val="right"/>
                    <w:textAlignment w:val="auto"/>
                    <w:rPr>
                      <w:rFonts w:hint="default" w:ascii="Times New Roman" w:hAnsi="Times New Roman" w:cs="Times New Roman"/>
                      <w:color w:val="auto"/>
                      <w:sz w:val="13"/>
                      <w:szCs w:val="13"/>
                      <w:vertAlign w:val="baseline"/>
                      <w:lang w:val="en-US" w:eastAsia="zh-CN"/>
                    </w:rPr>
                  </w:pPr>
                  <w:r>
                    <w:rPr>
                      <w:rFonts w:hint="default" w:ascii="Times New Roman" w:hAnsi="Times New Roman" w:cs="Times New Roman"/>
                      <w:color w:val="auto"/>
                      <w:sz w:val="13"/>
                      <w:szCs w:val="13"/>
                      <w:vertAlign w:val="baseline"/>
                      <w:lang w:val="en-US" w:eastAsia="zh-CN"/>
                    </w:rPr>
                    <w:t>样品编号</w:t>
                  </w:r>
                </w:p>
                <w:p w14:paraId="12B62A51">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13"/>
                      <w:szCs w:val="13"/>
                      <w:vertAlign w:val="baseline"/>
                      <w:lang w:val="en-US" w:eastAsia="zh-CN"/>
                    </w:rPr>
                  </w:pPr>
                </w:p>
                <w:p w14:paraId="4AB372E8">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13"/>
                      <w:szCs w:val="13"/>
                      <w:vertAlign w:val="baseline"/>
                      <w:lang w:val="en-US" w:eastAsia="zh-CN"/>
                    </w:rPr>
                  </w:pPr>
                </w:p>
                <w:p w14:paraId="362396AF">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13"/>
                      <w:szCs w:val="13"/>
                      <w:vertAlign w:val="baseline"/>
                      <w:lang w:val="en-US" w:eastAsia="zh-CN"/>
                    </w:rPr>
                  </w:pPr>
                </w:p>
                <w:p w14:paraId="1A623D1B">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3"/>
                      <w:szCs w:val="13"/>
                      <w:vertAlign w:val="baseline"/>
                      <w:lang w:val="en-US" w:eastAsia="zh-CN"/>
                    </w:rPr>
                    <w:t>检测项目（单位）</w:t>
                  </w:r>
                </w:p>
              </w:tc>
              <w:tc>
                <w:tcPr>
                  <w:tcW w:w="1646" w:type="pct"/>
                  <w:vAlign w:val="center"/>
                </w:tcPr>
                <w:p w14:paraId="71C04180">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W3:项目点老厂河上游500m</w:t>
                  </w:r>
                </w:p>
              </w:tc>
              <w:tc>
                <w:tcPr>
                  <w:tcW w:w="1675" w:type="pct"/>
                  <w:vAlign w:val="center"/>
                </w:tcPr>
                <w:p w14:paraId="5399F824">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W4:老厂河下游500m（与苛达茸河汇合口之前）</w:t>
                  </w:r>
                </w:p>
              </w:tc>
              <w:tc>
                <w:tcPr>
                  <w:tcW w:w="442" w:type="pct"/>
                  <w:vMerge w:val="restart"/>
                  <w:vAlign w:val="center"/>
                </w:tcPr>
                <w:p w14:paraId="73948390">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标准限值</w:t>
                  </w:r>
                </w:p>
              </w:tc>
              <w:tc>
                <w:tcPr>
                  <w:tcW w:w="404" w:type="pct"/>
                  <w:vMerge w:val="restart"/>
                  <w:vAlign w:val="center"/>
                </w:tcPr>
                <w:p w14:paraId="2CA35A3E">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达标情况</w:t>
                  </w:r>
                </w:p>
              </w:tc>
            </w:tr>
            <w:tr w14:paraId="7D4A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vAlign w:val="center"/>
                </w:tcPr>
                <w:p w14:paraId="2217D6C0">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p>
              </w:tc>
              <w:tc>
                <w:tcPr>
                  <w:tcW w:w="3322" w:type="pct"/>
                  <w:gridSpan w:val="2"/>
                  <w:vAlign w:val="center"/>
                </w:tcPr>
                <w:p w14:paraId="34584B03">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2025.07.27</w:t>
                  </w:r>
                </w:p>
              </w:tc>
              <w:tc>
                <w:tcPr>
                  <w:tcW w:w="442" w:type="pct"/>
                  <w:vMerge w:val="continue"/>
                  <w:vAlign w:val="center"/>
                </w:tcPr>
                <w:p w14:paraId="113D70BA">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p>
              </w:tc>
              <w:tc>
                <w:tcPr>
                  <w:tcW w:w="404" w:type="pct"/>
                  <w:vMerge w:val="continue"/>
                  <w:vAlign w:val="center"/>
                </w:tcPr>
                <w:p w14:paraId="403762ED">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p>
              </w:tc>
            </w:tr>
            <w:tr w14:paraId="3368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vAlign w:val="center"/>
                </w:tcPr>
                <w:p w14:paraId="635B03C5">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p>
              </w:tc>
              <w:tc>
                <w:tcPr>
                  <w:tcW w:w="1646" w:type="pct"/>
                  <w:vAlign w:val="center"/>
                </w:tcPr>
                <w:p w14:paraId="20E166BA">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YNZKSC20250709006W003</w:t>
                  </w:r>
                </w:p>
              </w:tc>
              <w:tc>
                <w:tcPr>
                  <w:tcW w:w="1675" w:type="pct"/>
                  <w:vAlign w:val="center"/>
                </w:tcPr>
                <w:p w14:paraId="4D5CEAC1">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YNZKSC20250709006W0</w:t>
                  </w:r>
                </w:p>
                <w:p w14:paraId="040B6B98">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04</w:t>
                  </w:r>
                </w:p>
              </w:tc>
              <w:tc>
                <w:tcPr>
                  <w:tcW w:w="442" w:type="pct"/>
                  <w:vMerge w:val="continue"/>
                  <w:vAlign w:val="center"/>
                </w:tcPr>
                <w:p w14:paraId="46CEB280">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p>
              </w:tc>
              <w:tc>
                <w:tcPr>
                  <w:tcW w:w="404" w:type="pct"/>
                  <w:vMerge w:val="continue"/>
                  <w:vAlign w:val="center"/>
                </w:tcPr>
                <w:p w14:paraId="6D57B8C1">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p>
              </w:tc>
            </w:tr>
            <w:tr w14:paraId="6F82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4D95C176">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pH（无量纲）</w:t>
                  </w:r>
                </w:p>
              </w:tc>
              <w:tc>
                <w:tcPr>
                  <w:tcW w:w="1646" w:type="pct"/>
                  <w:vAlign w:val="center"/>
                </w:tcPr>
                <w:p w14:paraId="2BE22DCF">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7.2</w:t>
                  </w:r>
                </w:p>
              </w:tc>
              <w:tc>
                <w:tcPr>
                  <w:tcW w:w="1675" w:type="pct"/>
                  <w:vAlign w:val="center"/>
                </w:tcPr>
                <w:p w14:paraId="5ACF10DE">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7.1</w:t>
                  </w:r>
                </w:p>
              </w:tc>
              <w:tc>
                <w:tcPr>
                  <w:tcW w:w="442" w:type="pct"/>
                  <w:vAlign w:val="center"/>
                </w:tcPr>
                <w:p w14:paraId="33E91CDA">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6-9</w:t>
                  </w:r>
                </w:p>
              </w:tc>
              <w:tc>
                <w:tcPr>
                  <w:tcW w:w="404" w:type="pct"/>
                  <w:vAlign w:val="center"/>
                </w:tcPr>
                <w:p w14:paraId="465C77FB">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1530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00C14335">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锌（mg/L）</w:t>
                  </w:r>
                </w:p>
              </w:tc>
              <w:tc>
                <w:tcPr>
                  <w:tcW w:w="1646" w:type="pct"/>
                  <w:vAlign w:val="center"/>
                </w:tcPr>
                <w:p w14:paraId="40081FF2">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6.78×10</w:t>
                  </w:r>
                  <w:r>
                    <w:rPr>
                      <w:rFonts w:hint="default" w:ascii="Times New Roman" w:hAnsi="Times New Roman" w:cs="Times New Roman"/>
                      <w:color w:val="auto"/>
                      <w:sz w:val="21"/>
                      <w:szCs w:val="21"/>
                      <w:vertAlign w:val="superscript"/>
                      <w:lang w:val="en-US" w:eastAsia="zh-CN"/>
                    </w:rPr>
                    <w:t>-3</w:t>
                  </w:r>
                </w:p>
              </w:tc>
              <w:tc>
                <w:tcPr>
                  <w:tcW w:w="1675" w:type="pct"/>
                  <w:vAlign w:val="center"/>
                </w:tcPr>
                <w:p w14:paraId="1244E257">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1.97×10</w:t>
                  </w:r>
                  <w:r>
                    <w:rPr>
                      <w:rFonts w:hint="default" w:ascii="Times New Roman" w:hAnsi="Times New Roman" w:cs="Times New Roman"/>
                      <w:color w:val="auto"/>
                      <w:sz w:val="21"/>
                      <w:szCs w:val="21"/>
                      <w:vertAlign w:val="superscript"/>
                      <w:lang w:val="en-US" w:eastAsia="zh-CN"/>
                    </w:rPr>
                    <w:t>64</w:t>
                  </w:r>
                </w:p>
              </w:tc>
              <w:tc>
                <w:tcPr>
                  <w:tcW w:w="442" w:type="pct"/>
                  <w:vAlign w:val="center"/>
                </w:tcPr>
                <w:p w14:paraId="4B12103A">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404" w:type="pct"/>
                  <w:vAlign w:val="center"/>
                </w:tcPr>
                <w:p w14:paraId="5114D67A">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6E53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5B6FC1CD">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铜（mg/L）</w:t>
                  </w:r>
                </w:p>
              </w:tc>
              <w:tc>
                <w:tcPr>
                  <w:tcW w:w="1646" w:type="pct"/>
                  <w:vAlign w:val="center"/>
                </w:tcPr>
                <w:p w14:paraId="43851E3F">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1.05×10</w:t>
                  </w:r>
                  <w:r>
                    <w:rPr>
                      <w:rFonts w:hint="default" w:ascii="Times New Roman" w:hAnsi="Times New Roman" w:cs="Times New Roman"/>
                      <w:color w:val="auto"/>
                      <w:sz w:val="21"/>
                      <w:szCs w:val="21"/>
                      <w:vertAlign w:val="superscript"/>
                      <w:lang w:val="en-US" w:eastAsia="zh-CN"/>
                    </w:rPr>
                    <w:t>-3</w:t>
                  </w:r>
                </w:p>
              </w:tc>
              <w:tc>
                <w:tcPr>
                  <w:tcW w:w="1675" w:type="pct"/>
                  <w:vAlign w:val="center"/>
                </w:tcPr>
                <w:p w14:paraId="4ADCCF4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1.08×10</w:t>
                  </w:r>
                  <w:r>
                    <w:rPr>
                      <w:rFonts w:hint="default" w:ascii="Times New Roman" w:hAnsi="Times New Roman" w:cs="Times New Roman"/>
                      <w:color w:val="auto"/>
                      <w:sz w:val="21"/>
                      <w:szCs w:val="21"/>
                      <w:vertAlign w:val="superscript"/>
                      <w:lang w:val="en-US" w:eastAsia="zh-CN"/>
                    </w:rPr>
                    <w:t>-3</w:t>
                  </w:r>
                </w:p>
              </w:tc>
              <w:tc>
                <w:tcPr>
                  <w:tcW w:w="442" w:type="pct"/>
                  <w:vAlign w:val="center"/>
                </w:tcPr>
                <w:p w14:paraId="549C2121">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404" w:type="pct"/>
                  <w:vAlign w:val="center"/>
                </w:tcPr>
                <w:p w14:paraId="293F89B1">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0FCB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28162669">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汞（mg/L）</w:t>
                  </w:r>
                </w:p>
              </w:tc>
              <w:tc>
                <w:tcPr>
                  <w:tcW w:w="1646" w:type="pct"/>
                  <w:vAlign w:val="center"/>
                </w:tcPr>
                <w:p w14:paraId="3B91462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4×10</w:t>
                  </w:r>
                  <w:r>
                    <w:rPr>
                      <w:rFonts w:hint="default" w:ascii="Times New Roman" w:hAnsi="Times New Roman" w:cs="Times New Roman"/>
                      <w:color w:val="auto"/>
                      <w:sz w:val="21"/>
                      <w:szCs w:val="21"/>
                      <w:vertAlign w:val="superscript"/>
                      <w:lang w:val="en-US" w:eastAsia="zh-CN"/>
                    </w:rPr>
                    <w:t>-5</w:t>
                  </w:r>
                  <w:r>
                    <w:rPr>
                      <w:rFonts w:hint="default" w:ascii="Times New Roman" w:hAnsi="Times New Roman" w:cs="Times New Roman"/>
                      <w:color w:val="auto"/>
                      <w:sz w:val="21"/>
                      <w:szCs w:val="21"/>
                      <w:vertAlign w:val="baseline"/>
                      <w:lang w:val="en-US" w:eastAsia="zh-CN"/>
                    </w:rPr>
                    <w:t>L</w:t>
                  </w:r>
                </w:p>
              </w:tc>
              <w:tc>
                <w:tcPr>
                  <w:tcW w:w="1675" w:type="pct"/>
                  <w:vAlign w:val="center"/>
                </w:tcPr>
                <w:p w14:paraId="68F89898">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4×10</w:t>
                  </w:r>
                  <w:r>
                    <w:rPr>
                      <w:rFonts w:hint="default" w:ascii="Times New Roman" w:hAnsi="Times New Roman" w:cs="Times New Roman"/>
                      <w:color w:val="auto"/>
                      <w:sz w:val="21"/>
                      <w:szCs w:val="21"/>
                      <w:vertAlign w:val="superscript"/>
                      <w:lang w:val="en-US" w:eastAsia="zh-CN"/>
                    </w:rPr>
                    <w:t>-5</w:t>
                  </w:r>
                  <w:r>
                    <w:rPr>
                      <w:rFonts w:hint="default" w:ascii="Times New Roman" w:hAnsi="Times New Roman" w:cs="Times New Roman"/>
                      <w:color w:val="auto"/>
                      <w:sz w:val="21"/>
                      <w:szCs w:val="21"/>
                      <w:vertAlign w:val="baseline"/>
                      <w:lang w:val="en-US" w:eastAsia="zh-CN"/>
                    </w:rPr>
                    <w:t>L</w:t>
                  </w:r>
                </w:p>
              </w:tc>
              <w:tc>
                <w:tcPr>
                  <w:tcW w:w="442" w:type="pct"/>
                  <w:vAlign w:val="center"/>
                </w:tcPr>
                <w:p w14:paraId="46AD47F9">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0.0001</w:t>
                  </w:r>
                </w:p>
              </w:tc>
              <w:tc>
                <w:tcPr>
                  <w:tcW w:w="404" w:type="pct"/>
                  <w:vAlign w:val="center"/>
                </w:tcPr>
                <w:p w14:paraId="33624337">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7C6B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27502804">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砷（mg/L）</w:t>
                  </w:r>
                </w:p>
              </w:tc>
              <w:tc>
                <w:tcPr>
                  <w:tcW w:w="1646" w:type="pct"/>
                  <w:vAlign w:val="center"/>
                </w:tcPr>
                <w:p w14:paraId="176BA307">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7.2×10-4</w:t>
                  </w:r>
                </w:p>
              </w:tc>
              <w:tc>
                <w:tcPr>
                  <w:tcW w:w="1675" w:type="pct"/>
                  <w:vAlign w:val="center"/>
                </w:tcPr>
                <w:p w14:paraId="1B31C45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5.0×10</w:t>
                  </w:r>
                  <w:r>
                    <w:rPr>
                      <w:rFonts w:hint="default" w:ascii="Times New Roman" w:hAnsi="Times New Roman" w:cs="Times New Roman"/>
                      <w:color w:val="auto"/>
                      <w:sz w:val="21"/>
                      <w:szCs w:val="21"/>
                      <w:vertAlign w:val="superscript"/>
                      <w:lang w:val="en-US" w:eastAsia="zh-CN"/>
                    </w:rPr>
                    <w:t>-4</w:t>
                  </w:r>
                </w:p>
              </w:tc>
              <w:tc>
                <w:tcPr>
                  <w:tcW w:w="442" w:type="pct"/>
                  <w:vAlign w:val="center"/>
                </w:tcPr>
                <w:p w14:paraId="08134A4F">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w:t>
                  </w:r>
                </w:p>
              </w:tc>
              <w:tc>
                <w:tcPr>
                  <w:tcW w:w="404" w:type="pct"/>
                  <w:vAlign w:val="center"/>
                </w:tcPr>
                <w:p w14:paraId="6B19DC9E">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2904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050F9AF4">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六价铬（mg/L）</w:t>
                  </w:r>
                </w:p>
              </w:tc>
              <w:tc>
                <w:tcPr>
                  <w:tcW w:w="1646" w:type="pct"/>
                  <w:vAlign w:val="center"/>
                </w:tcPr>
                <w:p w14:paraId="0FA6338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0.004L</w:t>
                  </w:r>
                </w:p>
              </w:tc>
              <w:tc>
                <w:tcPr>
                  <w:tcW w:w="1675" w:type="pct"/>
                  <w:vAlign w:val="center"/>
                </w:tcPr>
                <w:p w14:paraId="6614A01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0.004L</w:t>
                  </w:r>
                </w:p>
              </w:tc>
              <w:tc>
                <w:tcPr>
                  <w:tcW w:w="442" w:type="pct"/>
                  <w:vAlign w:val="center"/>
                </w:tcPr>
                <w:p w14:paraId="06229151">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w:t>
                  </w:r>
                </w:p>
              </w:tc>
              <w:tc>
                <w:tcPr>
                  <w:tcW w:w="404" w:type="pct"/>
                  <w:vAlign w:val="center"/>
                </w:tcPr>
                <w:p w14:paraId="2BF28E88">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6203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390116A7">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铬（mg/L）</w:t>
                  </w:r>
                </w:p>
              </w:tc>
              <w:tc>
                <w:tcPr>
                  <w:tcW w:w="1646" w:type="pct"/>
                  <w:vAlign w:val="center"/>
                </w:tcPr>
                <w:p w14:paraId="585B28B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5.5×10</w:t>
                  </w:r>
                  <w:r>
                    <w:rPr>
                      <w:rFonts w:hint="default" w:ascii="Times New Roman" w:hAnsi="Times New Roman" w:cs="Times New Roman"/>
                      <w:color w:val="auto"/>
                      <w:sz w:val="21"/>
                      <w:szCs w:val="21"/>
                      <w:vertAlign w:val="superscript"/>
                      <w:lang w:val="en-US" w:eastAsia="zh-CN"/>
                    </w:rPr>
                    <w:t>-4</w:t>
                  </w:r>
                </w:p>
              </w:tc>
              <w:tc>
                <w:tcPr>
                  <w:tcW w:w="1675" w:type="pct"/>
                  <w:vAlign w:val="center"/>
                </w:tcPr>
                <w:p w14:paraId="4C21814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5.7×10</w:t>
                  </w:r>
                  <w:r>
                    <w:rPr>
                      <w:rFonts w:hint="default" w:ascii="Times New Roman" w:hAnsi="Times New Roman" w:cs="Times New Roman"/>
                      <w:color w:val="auto"/>
                      <w:sz w:val="21"/>
                      <w:szCs w:val="21"/>
                      <w:vertAlign w:val="superscript"/>
                      <w:lang w:val="en-US" w:eastAsia="zh-CN"/>
                    </w:rPr>
                    <w:t>-4</w:t>
                  </w:r>
                </w:p>
              </w:tc>
              <w:tc>
                <w:tcPr>
                  <w:tcW w:w="442" w:type="pct"/>
                  <w:vAlign w:val="center"/>
                </w:tcPr>
                <w:p w14:paraId="485109FA">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w:t>
                  </w:r>
                </w:p>
              </w:tc>
              <w:tc>
                <w:tcPr>
                  <w:tcW w:w="404" w:type="pct"/>
                  <w:vAlign w:val="center"/>
                </w:tcPr>
                <w:p w14:paraId="0C323623">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02E0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552992EE">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镍（mg/L）</w:t>
                  </w:r>
                </w:p>
              </w:tc>
              <w:tc>
                <w:tcPr>
                  <w:tcW w:w="1646" w:type="pct"/>
                  <w:vAlign w:val="center"/>
                </w:tcPr>
                <w:p w14:paraId="4C80436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7.0×10</w:t>
                  </w:r>
                  <w:r>
                    <w:rPr>
                      <w:rFonts w:hint="default" w:ascii="Times New Roman" w:hAnsi="Times New Roman" w:cs="Times New Roman"/>
                      <w:color w:val="auto"/>
                      <w:sz w:val="21"/>
                      <w:szCs w:val="21"/>
                      <w:vertAlign w:val="superscript"/>
                      <w:lang w:val="en-US" w:eastAsia="zh-CN"/>
                    </w:rPr>
                    <w:t>-4</w:t>
                  </w:r>
                </w:p>
              </w:tc>
              <w:tc>
                <w:tcPr>
                  <w:tcW w:w="1675" w:type="pct"/>
                  <w:vAlign w:val="center"/>
                </w:tcPr>
                <w:p w14:paraId="1B8E911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3.0×10</w:t>
                  </w:r>
                  <w:r>
                    <w:rPr>
                      <w:rFonts w:hint="default" w:ascii="Times New Roman" w:hAnsi="Times New Roman" w:cs="Times New Roman"/>
                      <w:color w:val="auto"/>
                      <w:sz w:val="21"/>
                      <w:szCs w:val="21"/>
                      <w:vertAlign w:val="superscript"/>
                      <w:lang w:val="en-US" w:eastAsia="zh-CN"/>
                    </w:rPr>
                    <w:t>-4</w:t>
                  </w:r>
                </w:p>
              </w:tc>
              <w:tc>
                <w:tcPr>
                  <w:tcW w:w="442" w:type="pct"/>
                  <w:vAlign w:val="center"/>
                </w:tcPr>
                <w:p w14:paraId="2932C738">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404" w:type="pct"/>
                  <w:vAlign w:val="center"/>
                </w:tcPr>
                <w:p w14:paraId="524C545E">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14:paraId="568F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1113CD9C">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镉（mg/L）</w:t>
                  </w:r>
                </w:p>
              </w:tc>
              <w:tc>
                <w:tcPr>
                  <w:tcW w:w="1646" w:type="pct"/>
                  <w:vAlign w:val="center"/>
                </w:tcPr>
                <w:p w14:paraId="25DC15D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5×10</w:t>
                  </w:r>
                  <w:r>
                    <w:rPr>
                      <w:rFonts w:hint="default" w:ascii="Times New Roman" w:hAnsi="Times New Roman" w:cs="Times New Roman"/>
                      <w:color w:val="auto"/>
                      <w:sz w:val="21"/>
                      <w:szCs w:val="21"/>
                      <w:vertAlign w:val="superscript"/>
                      <w:lang w:val="en-US" w:eastAsia="zh-CN"/>
                    </w:rPr>
                    <w:t>-5</w:t>
                  </w:r>
                  <w:r>
                    <w:rPr>
                      <w:rFonts w:hint="default" w:ascii="Times New Roman" w:hAnsi="Times New Roman" w:cs="Times New Roman"/>
                      <w:color w:val="auto"/>
                      <w:sz w:val="21"/>
                      <w:szCs w:val="21"/>
                      <w:vertAlign w:val="baseline"/>
                      <w:lang w:val="en-US" w:eastAsia="zh-CN"/>
                    </w:rPr>
                    <w:t>L</w:t>
                  </w:r>
                </w:p>
              </w:tc>
              <w:tc>
                <w:tcPr>
                  <w:tcW w:w="1675" w:type="pct"/>
                  <w:vAlign w:val="center"/>
                </w:tcPr>
                <w:p w14:paraId="6034D41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5×10</w:t>
                  </w:r>
                  <w:r>
                    <w:rPr>
                      <w:rFonts w:hint="default" w:ascii="Times New Roman" w:hAnsi="Times New Roman" w:cs="Times New Roman"/>
                      <w:color w:val="auto"/>
                      <w:sz w:val="21"/>
                      <w:szCs w:val="21"/>
                      <w:vertAlign w:val="superscript"/>
                      <w:lang w:val="en-US" w:eastAsia="zh-CN"/>
                    </w:rPr>
                    <w:t>-5</w:t>
                  </w:r>
                  <w:r>
                    <w:rPr>
                      <w:rFonts w:hint="default" w:ascii="Times New Roman" w:hAnsi="Times New Roman" w:cs="Times New Roman"/>
                      <w:color w:val="auto"/>
                      <w:sz w:val="21"/>
                      <w:szCs w:val="21"/>
                      <w:vertAlign w:val="baseline"/>
                      <w:lang w:val="en-US" w:eastAsia="zh-CN"/>
                    </w:rPr>
                    <w:t>L</w:t>
                  </w:r>
                </w:p>
              </w:tc>
              <w:tc>
                <w:tcPr>
                  <w:tcW w:w="442" w:type="pct"/>
                  <w:vAlign w:val="center"/>
                </w:tcPr>
                <w:p w14:paraId="1CBA505C">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0.005</w:t>
                  </w:r>
                </w:p>
              </w:tc>
              <w:tc>
                <w:tcPr>
                  <w:tcW w:w="404" w:type="pct"/>
                  <w:vAlign w:val="center"/>
                </w:tcPr>
                <w:p w14:paraId="39F414AA">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4AA5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24AC31D2">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铊（mg/L）</w:t>
                  </w:r>
                </w:p>
              </w:tc>
              <w:tc>
                <w:tcPr>
                  <w:tcW w:w="1646" w:type="pct"/>
                  <w:vAlign w:val="center"/>
                </w:tcPr>
                <w:p w14:paraId="05130B6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4×10</w:t>
                  </w:r>
                  <w:r>
                    <w:rPr>
                      <w:rFonts w:hint="default" w:ascii="Times New Roman" w:hAnsi="Times New Roman" w:cs="Times New Roman"/>
                      <w:color w:val="auto"/>
                      <w:sz w:val="21"/>
                      <w:szCs w:val="21"/>
                      <w:vertAlign w:val="superscript"/>
                      <w:lang w:val="en-US" w:eastAsia="zh-CN"/>
                    </w:rPr>
                    <w:t>-5</w:t>
                  </w:r>
                </w:p>
              </w:tc>
              <w:tc>
                <w:tcPr>
                  <w:tcW w:w="1675" w:type="pct"/>
                  <w:vAlign w:val="center"/>
                </w:tcPr>
                <w:p w14:paraId="2F12BEA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3×10</w:t>
                  </w:r>
                  <w:r>
                    <w:rPr>
                      <w:rFonts w:hint="default" w:ascii="Times New Roman" w:hAnsi="Times New Roman" w:cs="Times New Roman"/>
                      <w:color w:val="auto"/>
                      <w:sz w:val="21"/>
                      <w:szCs w:val="21"/>
                      <w:vertAlign w:val="superscript"/>
                      <w:lang w:val="en-US" w:eastAsia="zh-CN"/>
                    </w:rPr>
                    <w:t>-5</w:t>
                  </w:r>
                </w:p>
              </w:tc>
              <w:tc>
                <w:tcPr>
                  <w:tcW w:w="442" w:type="pct"/>
                  <w:vAlign w:val="center"/>
                </w:tcPr>
                <w:p w14:paraId="40D1B6AA">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404" w:type="pct"/>
                  <w:vAlign w:val="center"/>
                </w:tcPr>
                <w:p w14:paraId="63AA848A">
                  <w:pPr>
                    <w:pStyle w:val="1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14:paraId="5BBA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16BF831B">
                  <w:pPr>
                    <w:pStyle w:val="10"/>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备注</w:t>
                  </w:r>
                </w:p>
              </w:tc>
              <w:tc>
                <w:tcPr>
                  <w:tcW w:w="4169" w:type="pct"/>
                  <w:gridSpan w:val="4"/>
                  <w:vAlign w:val="center"/>
                </w:tcPr>
                <w:p w14:paraId="43BCFD41">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1.采样方式:瞬时采样;</w:t>
                  </w:r>
                </w:p>
                <w:p w14:paraId="18580038">
                  <w:pPr>
                    <w:pStyle w:val="10"/>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2.“检出限+L”表示检测结果低于方法检出限。</w:t>
                  </w:r>
                </w:p>
              </w:tc>
            </w:tr>
          </w:tbl>
          <w:p w14:paraId="2E25050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
              </w:rPr>
              <w:t>根据引用的现状监测结果可知，项目区附近地表水监测断面监测因子均满足《地表水环境质量标准》（GB3838-2002）Ⅲ类标准要求。</w:t>
            </w:r>
          </w:p>
          <w:p w14:paraId="6EB93BFE">
            <w:pPr>
              <w:spacing w:line="360" w:lineRule="auto"/>
              <w:ind w:firstLine="480" w:firstLineChars="200"/>
              <w:rPr>
                <w:rFonts w:hint="default" w:ascii="Times New Roman" w:hAnsi="Times New Roman" w:cs="Times New Roman"/>
                <w:b/>
                <w:color w:val="auto"/>
                <w:sz w:val="24"/>
                <w:lang w:eastAsia="zh-CN"/>
              </w:rPr>
            </w:pPr>
            <w:r>
              <w:rPr>
                <w:rFonts w:hint="default" w:ascii="Times New Roman" w:hAnsi="Times New Roman" w:eastAsia="宋体" w:cs="Times New Roman"/>
                <w:color w:val="auto"/>
                <w:sz w:val="24"/>
                <w:lang w:eastAsia="zh-CN"/>
              </w:rPr>
              <w:t>综上所述，</w:t>
            </w:r>
            <w:r>
              <w:rPr>
                <w:rFonts w:hint="default" w:ascii="Times New Roman" w:hAnsi="Times New Roman" w:eastAsia="宋体" w:cs="Times New Roman"/>
                <w:color w:val="auto"/>
                <w:sz w:val="24"/>
              </w:rPr>
              <w:t>项目所处区域属于地表水环境质量现状达标区。</w:t>
            </w:r>
          </w:p>
          <w:p w14:paraId="6C74987A">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三、声环境质量现状</w:t>
            </w:r>
          </w:p>
          <w:p w14:paraId="64E1D9E3">
            <w:p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本项目位于</w:t>
            </w:r>
            <w:r>
              <w:rPr>
                <w:rFonts w:hint="default" w:ascii="Times New Roman" w:hAnsi="Times New Roman" w:cs="Times New Roman"/>
                <w:color w:val="auto"/>
                <w:sz w:val="24"/>
                <w:szCs w:val="24"/>
                <w:lang w:eastAsia="zh-CN"/>
              </w:rPr>
              <w:t>云南省玉溪市新平彝族傣族自治县老厂乡</w:t>
            </w:r>
            <w:r>
              <w:rPr>
                <w:rFonts w:hint="default" w:ascii="Times New Roman" w:hAnsi="Times New Roman" w:cs="Times New Roman"/>
                <w:color w:val="auto"/>
                <w:sz w:val="24"/>
                <w:lang w:eastAsia="zh-CN"/>
              </w:rPr>
              <w:t>，根据《声环境质量标准》（GB3096-2008）项目所在地声环境质量</w:t>
            </w:r>
            <w:r>
              <w:rPr>
                <w:rFonts w:hint="default" w:ascii="Times New Roman" w:hAnsi="Times New Roman" w:cs="Times New Roman"/>
                <w:color w:val="auto"/>
                <w:sz w:val="24"/>
                <w:lang w:val="en-US" w:eastAsia="zh-CN"/>
              </w:rPr>
              <w:t>为</w:t>
            </w:r>
            <w:r>
              <w:rPr>
                <w:rFonts w:hint="default" w:ascii="Times New Roman" w:hAnsi="Times New Roman" w:cs="Times New Roman"/>
                <w:color w:val="auto"/>
                <w:sz w:val="24"/>
                <w:lang w:eastAsia="zh-CN"/>
              </w:rPr>
              <w:t>2类区。区域声环境执行《声环境质量标准》（GB3096-2008）中2类区标准。</w:t>
            </w:r>
          </w:p>
          <w:p w14:paraId="79BC194B">
            <w:pPr>
              <w:widowControl/>
              <w:spacing w:line="360" w:lineRule="auto"/>
              <w:ind w:firstLine="480" w:firstLineChars="200"/>
              <w:rPr>
                <w:rFonts w:hint="default" w:ascii="Times New Roman" w:hAnsi="Times New Roman" w:cs="Times New Roman"/>
                <w:color w:val="auto"/>
                <w:sz w:val="24"/>
                <w:lang w:eastAsia="zh-CN" w:bidi="ar"/>
              </w:rPr>
            </w:pPr>
            <w:r>
              <w:rPr>
                <w:rFonts w:hint="default" w:ascii="Times New Roman" w:hAnsi="Times New Roman" w:cs="Times New Roman"/>
                <w:color w:val="auto"/>
                <w:sz w:val="24"/>
                <w:lang w:eastAsia="zh-CN" w:bidi="ar"/>
              </w:rPr>
              <w:t xml:space="preserve">根据《建设项目环境影响报告表编制技术指南（污染影响类）（试行）》： </w:t>
            </w:r>
          </w:p>
          <w:p w14:paraId="049C6D5D">
            <w:pPr>
              <w:widowControl/>
              <w:spacing w:line="360" w:lineRule="auto"/>
              <w:jc w:val="both"/>
              <w:rPr>
                <w:rFonts w:hint="default" w:ascii="Times New Roman" w:hAnsi="Times New Roman" w:cs="Times New Roman"/>
                <w:b/>
                <w:color w:val="auto"/>
                <w:sz w:val="24"/>
                <w:lang w:eastAsia="zh-CN"/>
              </w:rPr>
            </w:pPr>
            <w:r>
              <w:rPr>
                <w:rFonts w:hint="default" w:ascii="Times New Roman" w:hAnsi="Times New Roman" w:cs="Times New Roman"/>
                <w:color w:val="auto"/>
                <w:sz w:val="24"/>
                <w:lang w:eastAsia="zh-CN" w:bidi="ar"/>
              </w:rPr>
              <w:t>“厂界外周边50m范围内存在声环境保护目标的建设项目，应监测保护目标声环境质量现状并评价达标情况”。</w:t>
            </w:r>
            <w:r>
              <w:rPr>
                <w:rFonts w:hint="default" w:ascii="Times New Roman" w:hAnsi="Times New Roman" w:eastAsia="宋体" w:cs="Times New Roman"/>
                <w:color w:val="auto"/>
                <w:sz w:val="24"/>
                <w:lang w:eastAsia="zh-CN" w:bidi="ar"/>
              </w:rPr>
              <w:t>项目厂界外</w:t>
            </w:r>
            <w:r>
              <w:rPr>
                <w:rFonts w:hint="default" w:ascii="Times New Roman" w:hAnsi="Times New Roman" w:eastAsia="宋体" w:cs="Times New Roman"/>
                <w:color w:val="auto"/>
                <w:sz w:val="24"/>
                <w:lang w:val="en-US" w:eastAsia="zh-CN" w:bidi="ar"/>
              </w:rPr>
              <w:t>50m范围内无声环境保护目标</w:t>
            </w:r>
            <w:r>
              <w:rPr>
                <w:rFonts w:hint="default" w:ascii="Times New Roman" w:hAnsi="Times New Roman" w:eastAsia="宋体" w:cs="Times New Roman"/>
                <w:color w:val="auto"/>
                <w:sz w:val="24"/>
                <w:lang w:eastAsia="zh-CN" w:bidi="ar"/>
              </w:rPr>
              <w:t>，因此不需要进行声环境质量的现状监测。</w:t>
            </w:r>
            <w:r>
              <w:rPr>
                <w:rFonts w:hint="default" w:ascii="Times New Roman" w:hAnsi="Times New Roman" w:cs="Times New Roman"/>
                <w:color w:val="auto"/>
                <w:sz w:val="24"/>
                <w:lang w:eastAsia="zh-CN"/>
              </w:rPr>
              <w:t>项目区域声环境执行《声环境质量标准》（GB3096-2008）中2类区标准。</w:t>
            </w:r>
          </w:p>
          <w:p w14:paraId="54C40231">
            <w:pPr>
              <w:adjustRightInd w:val="0"/>
              <w:snapToGrid w:val="0"/>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四、生态环境现状</w:t>
            </w:r>
          </w:p>
          <w:p w14:paraId="5101882F">
            <w:pPr>
              <w:adjustRightInd w:val="0"/>
              <w:snapToGrid w:val="0"/>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新平县属中亚热带气候，气候垂直分带现象明显，海拔1900m以上的地区气候温凉，海拔1300m以下的河谷地带气候湿热。县内最高海拔哀牢山主峰大磨岩峰3165.9m，最低海拔漠沙南村422m，呈明显的垂直立体气候，一山之中自红河谷到哀牢山顶可分为河谷热坝高温区，半山暖温区和高山寒温区，一天中可以感受到四时气候和景观。据新平县气象站资料，新平县属温带气候区，局部气候受海拔影响，形成河谷高温区半山暖温区、高山寒温区三个气候类型。年平均气温 18.1℃，年最高气温32.8℃，年最低气温1.3℃，年降水量869mm，总日照时数 2838.7小时，无霜期316天。干湿两季分明，雨量较为充沛，年降雨量的60%以上集中在6~9月份，且多以降雨形式降落，多年平均降雨量940.6mm，最大年降雨量为1168mm，最小为713mm，最大日降雨量为82.4mm。多年平均风速2.4m/s，最大风速17.0m/s，风向多以西风为主，常年主导风向为西南风。</w:t>
            </w:r>
          </w:p>
          <w:p w14:paraId="24F0ADA6">
            <w:pPr>
              <w:pStyle w:val="12"/>
              <w:ind w:firstLine="480"/>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lang w:eastAsia="zh-CN"/>
              </w:rPr>
              <w:t>本项目位于云南省玉溪市新平彝族傣族自治县老厂乡，经过现场勘查，项目所在区域受人类活动影响，已经演变为人工生态系统，地表植被较单一，主要植被为本地普通常见树种、低矮的草丛及农田。生态系统结构不复杂，自身调控能力一般。本项目场址所在地区及周边无各级自然生态保护区，未发现国家和省级重点保护的珍稀和濒危动植物。结合《建设项目环境影响报告表编制技术指南（污染影响类）（试行）》技术要求，本次评价不进行生态环境质量现状评价</w:t>
            </w:r>
            <w:r>
              <w:rPr>
                <w:rFonts w:hint="default" w:ascii="Times New Roman" w:hAnsi="Times New Roman" w:cs="Times New Roman"/>
                <w:color w:val="auto"/>
                <w:sz w:val="24"/>
                <w:lang w:eastAsia="zh-CN"/>
              </w:rPr>
              <w:t>。</w:t>
            </w:r>
          </w:p>
          <w:p w14:paraId="438361B8">
            <w:pPr>
              <w:pStyle w:val="12"/>
              <w:ind w:firstLine="48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五、水文地质</w:t>
            </w:r>
          </w:p>
          <w:p w14:paraId="3C00FDA2">
            <w:pPr>
              <w:pStyle w:val="12"/>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水文：老厂河属下游红河（嘎洒江）一级支流，主沟全长约25km。在项目区上游段基本沿由北向西方向径流，于项目区南侧流出老厂乡集镇并与苛达苴河交汇后，受地形制约，流向转而向南西，并最终汇入嘎洒江内，为流域内最低侵蚀基准面；地下水类型划分为孔隙水、碎屑岩裂隙水 2 类。松散堆积层孔隙水分布于滑坡变形区、老厂河两侧岸坡及其外围广大斜坡区，含水层主要为第四系人工堆积层素填土（Q4ml）、残坡积含碎石粉质粘土（Q4el+dl）下及老厂河道两侧堆积区内的冲洪积层粘性土夹卵石层（Q4al+pl），地下水主要接受大气降水及老厂河地表水的水平向、竖向（即下渗）补给；项目区内碎屑岩裂隙含水层为三迭系上统舍资组（T3sb）粉砂质泥岩，分布于区域周边广大斜坡、露天岩质边坡地带，岩石破碎，风化剧烈。受地质构造及风化作用影响，岩体节理裂隙发育，呈张开状且连通性较好，有一定的方向性，对地下水接受补给及富集有利，节理裂隙及风化裂隙是地下水的赋存及运移空间。裂隙水主要接受大气降水及上覆孔隙水补给，在径流过程中，在地形低洼处、地形转折处及开挖斜坡坡脚易浸出形成泉水；</w:t>
            </w:r>
          </w:p>
          <w:p w14:paraId="5EB3AD70">
            <w:pPr>
              <w:pStyle w:val="12"/>
              <w:ind w:firstLine="480"/>
              <w:rPr>
                <w:rFonts w:hint="default" w:ascii="Times New Roman" w:hAnsi="Times New Roman" w:cs="Times New Roman"/>
                <w:color w:val="auto"/>
              </w:rPr>
            </w:pPr>
            <w:r>
              <w:rPr>
                <w:rFonts w:hint="default" w:ascii="Times New Roman" w:hAnsi="Times New Roman" w:cs="Times New Roman"/>
                <w:color w:val="auto"/>
                <w:sz w:val="24"/>
                <w:lang w:val="en-US" w:eastAsia="zh-CN"/>
              </w:rPr>
              <w:t>地质：项目区总体位于新平县域西北部，属青、藏、滇、缅、印尼（规歹）字型构造体系东支中段的复合部位，经历了多次构造变动，构造行迹比较复杂，而且地质构造的时空差异明显。在时间上，晚三叠世下前的地层强烈变形变质，上三叠统及更新统的地层变形微弱。在空间上，哀牢山、红河、绿汁江三大断裂变形强烈、其余地区变形微弱。区域构造十分复杂，构造线下北西向为主，断层和褶皱发育。</w:t>
            </w:r>
          </w:p>
        </w:tc>
      </w:tr>
      <w:tr w14:paraId="6263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0" w:type="dxa"/>
            <w:vAlign w:val="center"/>
          </w:tcPr>
          <w:p w14:paraId="7D26F462">
            <w:pPr>
              <w:jc w:val="center"/>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环境</w:t>
            </w:r>
          </w:p>
          <w:p w14:paraId="09F47356">
            <w:pPr>
              <w:jc w:val="center"/>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保护</w:t>
            </w:r>
          </w:p>
          <w:p w14:paraId="766CAD7D">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4"/>
                <w:szCs w:val="24"/>
                <w:lang w:eastAsia="zh-CN"/>
              </w:rPr>
              <w:t>目标</w:t>
            </w:r>
          </w:p>
        </w:tc>
        <w:tc>
          <w:tcPr>
            <w:tcW w:w="8190" w:type="dxa"/>
            <w:vAlign w:val="center"/>
          </w:tcPr>
          <w:p w14:paraId="4447C2D4">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本项目位于</w:t>
            </w:r>
            <w:r>
              <w:rPr>
                <w:rFonts w:hint="default" w:ascii="Times New Roman" w:hAnsi="Times New Roman" w:cs="Times New Roman"/>
                <w:color w:val="auto"/>
                <w:sz w:val="24"/>
                <w:szCs w:val="24"/>
                <w:lang w:eastAsia="zh-CN"/>
              </w:rPr>
              <w:t>云南省玉溪市新平彝族傣族自治县老厂乡。</w:t>
            </w:r>
            <w:r>
              <w:rPr>
                <w:rFonts w:hint="default" w:ascii="Times New Roman" w:hAnsi="Times New Roman" w:cs="Times New Roman"/>
                <w:color w:val="auto"/>
                <w:kern w:val="2"/>
                <w:sz w:val="24"/>
                <w:szCs w:val="24"/>
                <w:lang w:eastAsia="zh-CN"/>
              </w:rPr>
              <w:t>根据环办环评〔2020〕33 号附件 2《建设项目环境影响报告表编制技术指南（污染影响类）（试行）》，环境影响报告表环境保护目标设置范围如下：</w:t>
            </w:r>
          </w:p>
          <w:p w14:paraId="401BCB5E">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大气环境：项目厂界外500m范围内大气环境保护目标</w:t>
            </w:r>
            <w:r>
              <w:rPr>
                <w:rFonts w:hint="default" w:ascii="Times New Roman" w:hAnsi="Times New Roman" w:cs="Times New Roman"/>
                <w:color w:val="auto"/>
                <w:kern w:val="2"/>
                <w:sz w:val="24"/>
                <w:szCs w:val="24"/>
                <w:lang w:val="en-US" w:eastAsia="zh-CN"/>
              </w:rPr>
              <w:t>主要为</w:t>
            </w:r>
            <w:r>
              <w:rPr>
                <w:rFonts w:hint="default"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lang w:val="en-US" w:eastAsia="zh-CN"/>
              </w:rPr>
              <w:t>东面220m处的老厂乡、西面480m处的旧糖房村、东面100m处的酒店（建设中）；</w:t>
            </w:r>
          </w:p>
          <w:p w14:paraId="520033B3">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kern w:val="2"/>
                <w:sz w:val="24"/>
                <w:szCs w:val="24"/>
                <w:lang w:eastAsia="zh-CN"/>
              </w:rPr>
              <w:t>声环境：项目厂界外50m范围内</w:t>
            </w:r>
            <w:r>
              <w:rPr>
                <w:rFonts w:hint="default" w:ascii="Times New Roman" w:hAnsi="Times New Roman" w:cs="Times New Roman"/>
                <w:color w:val="auto"/>
                <w:kern w:val="2"/>
                <w:sz w:val="24"/>
                <w:szCs w:val="24"/>
                <w:lang w:val="en-US" w:eastAsia="zh-CN"/>
              </w:rPr>
              <w:t>不</w:t>
            </w:r>
            <w:r>
              <w:rPr>
                <w:rFonts w:hint="default" w:ascii="Times New Roman" w:hAnsi="Times New Roman" w:cs="Times New Roman"/>
                <w:color w:val="auto"/>
                <w:kern w:val="2"/>
                <w:sz w:val="24"/>
                <w:szCs w:val="24"/>
                <w:lang w:eastAsia="zh-CN"/>
              </w:rPr>
              <w:t>存在声环境</w:t>
            </w:r>
            <w:r>
              <w:rPr>
                <w:rFonts w:hint="default" w:ascii="Times New Roman" w:hAnsi="Times New Roman" w:cs="Times New Roman"/>
                <w:color w:val="auto"/>
                <w:sz w:val="24"/>
                <w:lang w:eastAsia="zh-CN"/>
              </w:rPr>
              <w:t>保护目标。</w:t>
            </w:r>
          </w:p>
          <w:p w14:paraId="03F744F4">
            <w:pPr>
              <w:pStyle w:val="30"/>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地表水环境：项目所在地附近主要地表水体为</w:t>
            </w:r>
            <w:r>
              <w:rPr>
                <w:rFonts w:hint="default" w:ascii="Times New Roman" w:hAnsi="Times New Roman" w:cs="Times New Roman"/>
                <w:color w:val="auto"/>
                <w:sz w:val="24"/>
                <w:lang w:val="en-US" w:eastAsia="zh-CN"/>
              </w:rPr>
              <w:t>东面200m处的老厂河</w:t>
            </w:r>
            <w:r>
              <w:rPr>
                <w:rFonts w:hint="default" w:ascii="Times New Roman" w:hAnsi="Times New Roman" w:cs="Times New Roman"/>
                <w:color w:val="auto"/>
                <w:sz w:val="24"/>
                <w:lang w:eastAsia="zh-CN"/>
              </w:rPr>
              <w:t>。</w:t>
            </w:r>
          </w:p>
          <w:p w14:paraId="5B36E39B">
            <w:pPr>
              <w:pStyle w:val="30"/>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生态环境：项目场地及周边200m范围内无国家级和省级保护植物物种，以及地方狭域植物种类分布，也无古树名木。无大型野生哺乳动物、受国家和云南省重点保护及关注物种，同时也无当地特有物种，无生态环境保护目标。</w:t>
            </w:r>
          </w:p>
          <w:p w14:paraId="6CF50538">
            <w:pPr>
              <w:pStyle w:val="30"/>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地下水环境：项目厂界外500m范围内无地下水集中式饮用水水源和热水、 矿泉水、温泉等特殊地下水资源，项目无地下水保护目标。</w:t>
            </w:r>
          </w:p>
          <w:p w14:paraId="5C5E6ADA">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项目周边主要环境保护目标见表3-</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lang w:eastAsia="zh-CN"/>
              </w:rPr>
              <w:t>。</w:t>
            </w:r>
          </w:p>
          <w:p w14:paraId="67622B24">
            <w:pPr>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rPr>
              <w:t>表3-</w:t>
            </w:r>
            <w:r>
              <w:rPr>
                <w:rFonts w:hint="default" w:ascii="Times New Roman" w:hAnsi="Times New Roman" w:cs="Times New Roman"/>
                <w:b/>
                <w:color w:val="auto"/>
                <w:kern w:val="2"/>
                <w:sz w:val="21"/>
                <w:szCs w:val="21"/>
                <w:lang w:val="en-US" w:eastAsia="zh-CN"/>
              </w:rPr>
              <w:t>5</w:t>
            </w:r>
            <w:r>
              <w:rPr>
                <w:rFonts w:hint="default" w:ascii="Times New Roman" w:hAnsi="Times New Roman" w:cs="Times New Roman"/>
                <w:b/>
                <w:color w:val="auto"/>
                <w:kern w:val="2"/>
                <w:sz w:val="21"/>
                <w:szCs w:val="21"/>
                <w:lang w:eastAsia="zh-CN"/>
              </w:rPr>
              <w:t xml:space="preserve">   主要环境保护目标一览表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664"/>
              <w:gridCol w:w="1059"/>
              <w:gridCol w:w="1263"/>
              <w:gridCol w:w="662"/>
              <w:gridCol w:w="1129"/>
              <w:gridCol w:w="2751"/>
            </w:tblGrid>
            <w:tr w14:paraId="6E6D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pct"/>
                  <w:vMerge w:val="restart"/>
                  <w:vAlign w:val="center"/>
                </w:tcPr>
                <w:p w14:paraId="7AA29BA0">
                  <w:pPr>
                    <w:pStyle w:val="31"/>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401" w:type="pct"/>
                  <w:vMerge w:val="restart"/>
                  <w:vAlign w:val="center"/>
                </w:tcPr>
                <w:p w14:paraId="38C28A86">
                  <w:pPr>
                    <w:pStyle w:val="31"/>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w:t>
                  </w:r>
                </w:p>
                <w:p w14:paraId="08B91C20">
                  <w:pPr>
                    <w:pStyle w:val="31"/>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对象</w:t>
                  </w:r>
                </w:p>
              </w:tc>
              <w:tc>
                <w:tcPr>
                  <w:tcW w:w="1403" w:type="pct"/>
                  <w:gridSpan w:val="2"/>
                  <w:vAlign w:val="center"/>
                </w:tcPr>
                <w:p w14:paraId="1A94074A">
                  <w:pPr>
                    <w:pStyle w:val="31"/>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400" w:type="pct"/>
                  <w:vMerge w:val="restart"/>
                  <w:vAlign w:val="center"/>
                </w:tcPr>
                <w:p w14:paraId="364C70B2">
                  <w:pPr>
                    <w:pStyle w:val="31"/>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相对方位</w:t>
                  </w:r>
                </w:p>
              </w:tc>
              <w:tc>
                <w:tcPr>
                  <w:tcW w:w="681" w:type="pct"/>
                  <w:vMerge w:val="restart"/>
                  <w:vAlign w:val="center"/>
                </w:tcPr>
                <w:p w14:paraId="09145FCC">
                  <w:pPr>
                    <w:pStyle w:val="31"/>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与项目的距离</w:t>
                  </w:r>
                </w:p>
              </w:tc>
              <w:tc>
                <w:tcPr>
                  <w:tcW w:w="1662" w:type="pct"/>
                  <w:vMerge w:val="restart"/>
                  <w:vAlign w:val="center"/>
                </w:tcPr>
                <w:p w14:paraId="0741B336">
                  <w:pPr>
                    <w:pStyle w:val="31"/>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环境功能类别</w:t>
                  </w:r>
                </w:p>
              </w:tc>
            </w:tr>
            <w:tr w14:paraId="77A2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pct"/>
                  <w:vMerge w:val="continue"/>
                  <w:vAlign w:val="center"/>
                </w:tcPr>
                <w:p w14:paraId="5E7DC61D">
                  <w:pPr>
                    <w:pStyle w:val="31"/>
                    <w:adjustRightInd w:val="0"/>
                    <w:snapToGrid w:val="0"/>
                    <w:spacing w:line="240" w:lineRule="auto"/>
                    <w:rPr>
                      <w:rFonts w:hint="default" w:ascii="Times New Roman" w:hAnsi="Times New Roman" w:cs="Times New Roman"/>
                      <w:color w:val="auto"/>
                      <w:sz w:val="21"/>
                      <w:szCs w:val="21"/>
                    </w:rPr>
                  </w:pPr>
                </w:p>
              </w:tc>
              <w:tc>
                <w:tcPr>
                  <w:tcW w:w="401" w:type="pct"/>
                  <w:vMerge w:val="continue"/>
                  <w:vAlign w:val="center"/>
                </w:tcPr>
                <w:p w14:paraId="5519DEC0">
                  <w:pPr>
                    <w:pStyle w:val="31"/>
                    <w:adjustRightInd w:val="0"/>
                    <w:snapToGrid w:val="0"/>
                    <w:spacing w:line="240" w:lineRule="auto"/>
                    <w:rPr>
                      <w:rFonts w:hint="default" w:ascii="Times New Roman" w:hAnsi="Times New Roman" w:cs="Times New Roman"/>
                      <w:color w:val="auto"/>
                      <w:sz w:val="21"/>
                      <w:szCs w:val="21"/>
                    </w:rPr>
                  </w:pPr>
                </w:p>
              </w:tc>
              <w:tc>
                <w:tcPr>
                  <w:tcW w:w="640" w:type="pct"/>
                  <w:vAlign w:val="center"/>
                </w:tcPr>
                <w:p w14:paraId="1D7A158E">
                  <w:pPr>
                    <w:pStyle w:val="27"/>
                    <w:adjustRightInd w:val="0"/>
                    <w:snapToGrid w:val="0"/>
                    <w:rPr>
                      <w:rFonts w:hint="default" w:ascii="Times New Roman" w:hAnsi="Times New Roman" w:cs="Times New Roman"/>
                      <w:b/>
                      <w:color w:val="auto"/>
                      <w:szCs w:val="21"/>
                    </w:rPr>
                  </w:pPr>
                  <w:r>
                    <w:rPr>
                      <w:rFonts w:hint="default" w:ascii="Times New Roman" w:hAnsi="Times New Roman" w:cs="Times New Roman"/>
                      <w:b/>
                      <w:color w:val="auto"/>
                      <w:szCs w:val="21"/>
                    </w:rPr>
                    <w:t>东经（E）</w:t>
                  </w:r>
                </w:p>
              </w:tc>
              <w:tc>
                <w:tcPr>
                  <w:tcW w:w="762" w:type="pct"/>
                  <w:vAlign w:val="center"/>
                </w:tcPr>
                <w:p w14:paraId="4D76A0D2">
                  <w:pPr>
                    <w:pStyle w:val="27"/>
                    <w:adjustRightInd w:val="0"/>
                    <w:snapToGrid w:val="0"/>
                    <w:rPr>
                      <w:rFonts w:hint="default" w:ascii="Times New Roman" w:hAnsi="Times New Roman" w:cs="Times New Roman"/>
                      <w:b/>
                      <w:color w:val="auto"/>
                      <w:szCs w:val="21"/>
                    </w:rPr>
                  </w:pPr>
                  <w:r>
                    <w:rPr>
                      <w:rFonts w:hint="default" w:ascii="Times New Roman" w:hAnsi="Times New Roman" w:cs="Times New Roman"/>
                      <w:b/>
                      <w:color w:val="auto"/>
                      <w:szCs w:val="21"/>
                    </w:rPr>
                    <w:t>北纬（N）</w:t>
                  </w:r>
                </w:p>
              </w:tc>
              <w:tc>
                <w:tcPr>
                  <w:tcW w:w="400" w:type="pct"/>
                  <w:vMerge w:val="continue"/>
                  <w:vAlign w:val="center"/>
                </w:tcPr>
                <w:p w14:paraId="6D97CA02">
                  <w:pPr>
                    <w:pStyle w:val="31"/>
                    <w:adjustRightInd w:val="0"/>
                    <w:snapToGrid w:val="0"/>
                    <w:spacing w:line="240" w:lineRule="auto"/>
                    <w:rPr>
                      <w:rFonts w:hint="default" w:ascii="Times New Roman" w:hAnsi="Times New Roman" w:cs="Times New Roman"/>
                      <w:color w:val="auto"/>
                      <w:sz w:val="21"/>
                      <w:szCs w:val="21"/>
                    </w:rPr>
                  </w:pPr>
                </w:p>
              </w:tc>
              <w:tc>
                <w:tcPr>
                  <w:tcW w:w="681" w:type="pct"/>
                  <w:vMerge w:val="continue"/>
                  <w:vAlign w:val="center"/>
                </w:tcPr>
                <w:p w14:paraId="333054C1">
                  <w:pPr>
                    <w:pStyle w:val="31"/>
                    <w:adjustRightInd w:val="0"/>
                    <w:snapToGrid w:val="0"/>
                    <w:spacing w:line="240" w:lineRule="auto"/>
                    <w:rPr>
                      <w:rFonts w:hint="default" w:ascii="Times New Roman" w:hAnsi="Times New Roman" w:cs="Times New Roman"/>
                      <w:color w:val="auto"/>
                      <w:sz w:val="21"/>
                      <w:szCs w:val="21"/>
                    </w:rPr>
                  </w:pPr>
                </w:p>
              </w:tc>
              <w:tc>
                <w:tcPr>
                  <w:tcW w:w="1662" w:type="pct"/>
                  <w:vMerge w:val="continue"/>
                  <w:vAlign w:val="center"/>
                </w:tcPr>
                <w:p w14:paraId="0C93C3DE">
                  <w:pPr>
                    <w:pStyle w:val="31"/>
                    <w:adjustRightInd w:val="0"/>
                    <w:snapToGrid w:val="0"/>
                    <w:spacing w:line="240" w:lineRule="auto"/>
                    <w:rPr>
                      <w:rFonts w:hint="default" w:ascii="Times New Roman" w:hAnsi="Times New Roman" w:cs="Times New Roman"/>
                      <w:color w:val="auto"/>
                      <w:sz w:val="21"/>
                      <w:szCs w:val="21"/>
                    </w:rPr>
                  </w:pPr>
                </w:p>
              </w:tc>
            </w:tr>
            <w:tr w14:paraId="500A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pct"/>
                  <w:vMerge w:val="restart"/>
                  <w:vAlign w:val="center"/>
                </w:tcPr>
                <w:p w14:paraId="2C1F983A">
                  <w:pPr>
                    <w:pStyle w:val="31"/>
                    <w:adjustRightInd w:val="0"/>
                    <w:snapToGrid w:val="0"/>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环境空气</w:t>
                  </w:r>
                </w:p>
              </w:tc>
              <w:tc>
                <w:tcPr>
                  <w:tcW w:w="1804" w:type="pct"/>
                  <w:gridSpan w:val="3"/>
                  <w:vAlign w:val="center"/>
                </w:tcPr>
                <w:p w14:paraId="51BD7A6B">
                  <w:pPr>
                    <w:pStyle w:val="31"/>
                    <w:adjustRightInd w:val="0"/>
                    <w:snapToGrid w:val="0"/>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老厂乡</w:t>
                  </w:r>
                </w:p>
              </w:tc>
              <w:tc>
                <w:tcPr>
                  <w:tcW w:w="400" w:type="pct"/>
                  <w:vAlign w:val="center"/>
                </w:tcPr>
                <w:p w14:paraId="0E3D082D">
                  <w:pPr>
                    <w:pStyle w:val="31"/>
                    <w:adjustRightInd w:val="0"/>
                    <w:snapToGrid w:val="0"/>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东面</w:t>
                  </w:r>
                </w:p>
              </w:tc>
              <w:tc>
                <w:tcPr>
                  <w:tcW w:w="681" w:type="pct"/>
                  <w:vAlign w:val="center"/>
                </w:tcPr>
                <w:p w14:paraId="48838C29">
                  <w:pPr>
                    <w:pStyle w:val="31"/>
                    <w:adjustRightInd w:val="0"/>
                    <w:snapToGrid w:val="0"/>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220</w:t>
                  </w:r>
                  <w:r>
                    <w:rPr>
                      <w:rFonts w:hint="default" w:ascii="Times New Roman" w:hAnsi="Times New Roman" w:cs="Times New Roman"/>
                      <w:b w:val="0"/>
                      <w:bCs/>
                      <w:color w:val="auto"/>
                      <w:szCs w:val="21"/>
                    </w:rPr>
                    <w:t>m</w:t>
                  </w:r>
                </w:p>
              </w:tc>
              <w:tc>
                <w:tcPr>
                  <w:tcW w:w="1662" w:type="pct"/>
                  <w:vMerge w:val="restart"/>
                  <w:vAlign w:val="center"/>
                </w:tcPr>
                <w:p w14:paraId="3140F315">
                  <w:pPr>
                    <w:pStyle w:val="31"/>
                    <w:adjustRightInd w:val="0"/>
                    <w:snapToGrid w:val="0"/>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《环境空气质量标准》（GB3095－</w:t>
                  </w:r>
                  <w:r>
                    <w:rPr>
                      <w:rFonts w:hint="default" w:ascii="Times New Roman" w:hAnsi="Times New Roman" w:cs="Times New Roman"/>
                      <w:b w:val="0"/>
                      <w:bCs/>
                      <w:color w:val="auto"/>
                      <w:sz w:val="21"/>
                      <w:szCs w:val="21"/>
                      <w:lang w:val="en-US" w:eastAsia="zh-CN"/>
                    </w:rPr>
                    <w:t>2026</w:t>
                  </w:r>
                  <w:r>
                    <w:rPr>
                      <w:rFonts w:hint="default" w:ascii="Times New Roman" w:hAnsi="Times New Roman" w:cs="Times New Roman"/>
                      <w:b w:val="0"/>
                      <w:bCs/>
                      <w:color w:val="auto"/>
                      <w:sz w:val="21"/>
                      <w:szCs w:val="21"/>
                    </w:rPr>
                    <w:t>）二级标准</w:t>
                  </w:r>
                </w:p>
              </w:tc>
            </w:tr>
            <w:tr w14:paraId="6818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pct"/>
                  <w:vMerge w:val="continue"/>
                  <w:vAlign w:val="center"/>
                </w:tcPr>
                <w:p w14:paraId="174F489D">
                  <w:pPr>
                    <w:pStyle w:val="31"/>
                    <w:adjustRightInd w:val="0"/>
                    <w:snapToGrid w:val="0"/>
                    <w:spacing w:line="240" w:lineRule="auto"/>
                    <w:rPr>
                      <w:rFonts w:hint="default" w:ascii="Times New Roman" w:hAnsi="Times New Roman" w:cs="Times New Roman"/>
                      <w:b w:val="0"/>
                      <w:bCs/>
                      <w:color w:val="auto"/>
                      <w:sz w:val="21"/>
                      <w:szCs w:val="21"/>
                    </w:rPr>
                  </w:pPr>
                </w:p>
              </w:tc>
              <w:tc>
                <w:tcPr>
                  <w:tcW w:w="1804" w:type="pct"/>
                  <w:gridSpan w:val="3"/>
                  <w:vAlign w:val="center"/>
                </w:tcPr>
                <w:p w14:paraId="28045548">
                  <w:pPr>
                    <w:pStyle w:val="31"/>
                    <w:adjustRightInd w:val="0"/>
                    <w:snapToGrid w:val="0"/>
                    <w:spacing w:line="240" w:lineRule="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酒店（建设中）</w:t>
                  </w:r>
                </w:p>
              </w:tc>
              <w:tc>
                <w:tcPr>
                  <w:tcW w:w="400" w:type="pct"/>
                  <w:vAlign w:val="center"/>
                </w:tcPr>
                <w:p w14:paraId="47CB8238">
                  <w:pPr>
                    <w:pStyle w:val="31"/>
                    <w:adjustRightInd w:val="0"/>
                    <w:snapToGrid w:val="0"/>
                    <w:spacing w:line="240" w:lineRule="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东面</w:t>
                  </w:r>
                </w:p>
              </w:tc>
              <w:tc>
                <w:tcPr>
                  <w:tcW w:w="681" w:type="pct"/>
                  <w:vAlign w:val="center"/>
                </w:tcPr>
                <w:p w14:paraId="09A70025">
                  <w:pPr>
                    <w:pStyle w:val="31"/>
                    <w:adjustRightInd w:val="0"/>
                    <w:snapToGrid w:val="0"/>
                    <w:spacing w:line="240" w:lineRule="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100m</w:t>
                  </w:r>
                </w:p>
              </w:tc>
              <w:tc>
                <w:tcPr>
                  <w:tcW w:w="1662" w:type="pct"/>
                  <w:vMerge w:val="continue"/>
                  <w:vAlign w:val="center"/>
                </w:tcPr>
                <w:p w14:paraId="24C0E225">
                  <w:pPr>
                    <w:pStyle w:val="31"/>
                    <w:adjustRightInd w:val="0"/>
                    <w:snapToGrid w:val="0"/>
                    <w:spacing w:line="240" w:lineRule="auto"/>
                    <w:rPr>
                      <w:rFonts w:hint="default" w:ascii="Times New Roman" w:hAnsi="Times New Roman" w:cs="Times New Roman"/>
                      <w:b w:val="0"/>
                      <w:bCs/>
                      <w:color w:val="auto"/>
                      <w:sz w:val="21"/>
                      <w:szCs w:val="21"/>
                    </w:rPr>
                  </w:pPr>
                </w:p>
              </w:tc>
            </w:tr>
            <w:tr w14:paraId="076A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pct"/>
                  <w:vMerge w:val="continue"/>
                  <w:vAlign w:val="center"/>
                </w:tcPr>
                <w:p w14:paraId="18EC4721">
                  <w:pPr>
                    <w:pStyle w:val="31"/>
                    <w:adjustRightInd w:val="0"/>
                    <w:snapToGrid w:val="0"/>
                    <w:spacing w:line="240" w:lineRule="auto"/>
                    <w:rPr>
                      <w:rFonts w:hint="default" w:ascii="Times New Roman" w:hAnsi="Times New Roman" w:cs="Times New Roman"/>
                      <w:b w:val="0"/>
                      <w:bCs/>
                      <w:color w:val="auto"/>
                      <w:sz w:val="21"/>
                      <w:szCs w:val="21"/>
                    </w:rPr>
                  </w:pPr>
                </w:p>
              </w:tc>
              <w:tc>
                <w:tcPr>
                  <w:tcW w:w="1804" w:type="pct"/>
                  <w:gridSpan w:val="3"/>
                  <w:vAlign w:val="center"/>
                </w:tcPr>
                <w:p w14:paraId="4E66D2B5">
                  <w:pPr>
                    <w:pStyle w:val="31"/>
                    <w:adjustRightInd w:val="0"/>
                    <w:snapToGrid w:val="0"/>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旧糖房村</w:t>
                  </w:r>
                </w:p>
              </w:tc>
              <w:tc>
                <w:tcPr>
                  <w:tcW w:w="400" w:type="pct"/>
                  <w:vAlign w:val="center"/>
                </w:tcPr>
                <w:p w14:paraId="7F6506AF">
                  <w:pPr>
                    <w:pStyle w:val="31"/>
                    <w:adjustRightInd w:val="0"/>
                    <w:snapToGrid w:val="0"/>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西面</w:t>
                  </w:r>
                </w:p>
              </w:tc>
              <w:tc>
                <w:tcPr>
                  <w:tcW w:w="681" w:type="pct"/>
                  <w:vAlign w:val="center"/>
                </w:tcPr>
                <w:p w14:paraId="4E575DEB">
                  <w:pPr>
                    <w:pStyle w:val="31"/>
                    <w:adjustRightInd w:val="0"/>
                    <w:snapToGrid w:val="0"/>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480</w:t>
                  </w:r>
                  <w:r>
                    <w:rPr>
                      <w:rFonts w:hint="default" w:ascii="Times New Roman" w:hAnsi="Times New Roman" w:cs="Times New Roman"/>
                      <w:b w:val="0"/>
                      <w:bCs/>
                      <w:color w:val="auto"/>
                      <w:szCs w:val="21"/>
                    </w:rPr>
                    <w:t>m</w:t>
                  </w:r>
                </w:p>
              </w:tc>
              <w:tc>
                <w:tcPr>
                  <w:tcW w:w="1662" w:type="pct"/>
                  <w:vMerge w:val="continue"/>
                  <w:vAlign w:val="center"/>
                </w:tcPr>
                <w:p w14:paraId="636953DF">
                  <w:pPr>
                    <w:pStyle w:val="31"/>
                    <w:adjustRightInd w:val="0"/>
                    <w:snapToGrid w:val="0"/>
                    <w:spacing w:line="240" w:lineRule="auto"/>
                    <w:rPr>
                      <w:rFonts w:hint="default" w:ascii="Times New Roman" w:hAnsi="Times New Roman" w:cs="Times New Roman"/>
                      <w:b w:val="0"/>
                      <w:bCs/>
                      <w:color w:val="auto"/>
                      <w:sz w:val="21"/>
                      <w:szCs w:val="21"/>
                    </w:rPr>
                  </w:pPr>
                </w:p>
              </w:tc>
            </w:tr>
            <w:tr w14:paraId="38DD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pct"/>
                  <w:vAlign w:val="center"/>
                </w:tcPr>
                <w:p w14:paraId="319729F7">
                  <w:pPr>
                    <w:pStyle w:val="31"/>
                    <w:adjustRightInd w:val="0"/>
                    <w:snapToGrid w:val="0"/>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声环境</w:t>
                  </w:r>
                </w:p>
              </w:tc>
              <w:tc>
                <w:tcPr>
                  <w:tcW w:w="2886" w:type="pct"/>
                  <w:gridSpan w:val="5"/>
                  <w:vAlign w:val="center"/>
                </w:tcPr>
                <w:p w14:paraId="631C7470">
                  <w:pPr>
                    <w:pStyle w:val="31"/>
                    <w:adjustRightInd w:val="0"/>
                    <w:snapToGrid w:val="0"/>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项目区周边50m范围内无声环境敏感目标</w:t>
                  </w:r>
                </w:p>
              </w:tc>
              <w:tc>
                <w:tcPr>
                  <w:tcW w:w="1662" w:type="pct"/>
                  <w:vAlign w:val="center"/>
                </w:tcPr>
                <w:p w14:paraId="2F1E0859">
                  <w:pPr>
                    <w:pStyle w:val="31"/>
                    <w:adjustRightInd w:val="0"/>
                    <w:snapToGrid w:val="0"/>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《声环境质量标准》（GB3096-2008）2类标准</w:t>
                  </w:r>
                </w:p>
              </w:tc>
            </w:tr>
            <w:tr w14:paraId="1BB7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51" w:type="pct"/>
                  <w:vAlign w:val="center"/>
                </w:tcPr>
                <w:p w14:paraId="6096485F">
                  <w:pPr>
                    <w:pStyle w:val="27"/>
                    <w:adjustRightInd w:val="0"/>
                    <w:snapToGrid w:val="0"/>
                    <w:rPr>
                      <w:rFonts w:hint="default" w:ascii="Times New Roman" w:hAnsi="Times New Roman" w:cs="Times New Roman"/>
                      <w:bCs/>
                      <w:color w:val="auto"/>
                      <w:szCs w:val="21"/>
                    </w:rPr>
                  </w:pPr>
                  <w:r>
                    <w:rPr>
                      <w:rFonts w:hint="default" w:ascii="Times New Roman" w:hAnsi="Times New Roman" w:cs="Times New Roman"/>
                      <w:color w:val="auto"/>
                      <w:szCs w:val="21"/>
                    </w:rPr>
                    <w:t>地表水环境</w:t>
                  </w:r>
                </w:p>
              </w:tc>
              <w:tc>
                <w:tcPr>
                  <w:tcW w:w="1804" w:type="pct"/>
                  <w:gridSpan w:val="3"/>
                  <w:vAlign w:val="center"/>
                </w:tcPr>
                <w:p w14:paraId="315B9495">
                  <w:pPr>
                    <w:pStyle w:val="27"/>
                    <w:adjustRightInd w:val="0"/>
                    <w:snapToGrid w:val="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老厂河</w:t>
                  </w:r>
                </w:p>
              </w:tc>
              <w:tc>
                <w:tcPr>
                  <w:tcW w:w="400" w:type="pct"/>
                  <w:vAlign w:val="center"/>
                </w:tcPr>
                <w:p w14:paraId="24A08F8B">
                  <w:pPr>
                    <w:pStyle w:val="27"/>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东</w:t>
                  </w:r>
                  <w:r>
                    <w:rPr>
                      <w:rFonts w:hint="default" w:ascii="Times New Roman" w:hAnsi="Times New Roman" w:cs="Times New Roman"/>
                      <w:color w:val="auto"/>
                      <w:szCs w:val="21"/>
                    </w:rPr>
                    <w:t>面</w:t>
                  </w:r>
                </w:p>
              </w:tc>
              <w:tc>
                <w:tcPr>
                  <w:tcW w:w="681" w:type="pct"/>
                  <w:vAlign w:val="center"/>
                </w:tcPr>
                <w:p w14:paraId="68EEADFF">
                  <w:pPr>
                    <w:pStyle w:val="27"/>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200</w:t>
                  </w:r>
                  <w:r>
                    <w:rPr>
                      <w:rFonts w:hint="default" w:ascii="Times New Roman" w:hAnsi="Times New Roman" w:cs="Times New Roman"/>
                      <w:color w:val="auto"/>
                      <w:szCs w:val="21"/>
                    </w:rPr>
                    <w:t>m</w:t>
                  </w:r>
                </w:p>
              </w:tc>
              <w:tc>
                <w:tcPr>
                  <w:tcW w:w="1662" w:type="pct"/>
                  <w:vAlign w:val="center"/>
                </w:tcPr>
                <w:p w14:paraId="3B4BBBA4">
                  <w:pPr>
                    <w:pStyle w:val="27"/>
                    <w:adjustRightInd w:val="0"/>
                    <w:snapToGrid w:val="0"/>
                    <w:rPr>
                      <w:rFonts w:hint="default" w:ascii="Times New Roman" w:hAnsi="Times New Roman" w:cs="Times New Roman"/>
                      <w:bCs/>
                      <w:color w:val="auto"/>
                      <w:szCs w:val="21"/>
                    </w:rPr>
                  </w:pPr>
                  <w:r>
                    <w:rPr>
                      <w:rFonts w:hint="default" w:ascii="Times New Roman" w:hAnsi="Times New Roman" w:cs="Times New Roman"/>
                      <w:color w:val="auto"/>
                      <w:szCs w:val="21"/>
                    </w:rPr>
                    <w:t>《地表水环境质量标准》（GB3838-2002）III类标准</w:t>
                  </w:r>
                </w:p>
              </w:tc>
            </w:tr>
            <w:tr w14:paraId="3F56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51" w:type="pct"/>
                  <w:vAlign w:val="center"/>
                </w:tcPr>
                <w:p w14:paraId="6CAB6658">
                  <w:pPr>
                    <w:pStyle w:val="27"/>
                    <w:adjustRightInd w:val="0"/>
                    <w:snapToGrid w:val="0"/>
                    <w:rPr>
                      <w:rFonts w:hint="default" w:ascii="Times New Roman" w:hAnsi="Times New Roman" w:cs="Times New Roman"/>
                      <w:bCs/>
                      <w:color w:val="auto"/>
                      <w:szCs w:val="21"/>
                    </w:rPr>
                  </w:pPr>
                  <w:r>
                    <w:rPr>
                      <w:rFonts w:hint="default" w:ascii="Times New Roman" w:hAnsi="Times New Roman" w:cs="Times New Roman"/>
                      <w:color w:val="auto"/>
                      <w:szCs w:val="21"/>
                    </w:rPr>
                    <w:t>地下水环境</w:t>
                  </w:r>
                </w:p>
              </w:tc>
              <w:tc>
                <w:tcPr>
                  <w:tcW w:w="4548" w:type="pct"/>
                  <w:gridSpan w:val="6"/>
                  <w:vAlign w:val="center"/>
                </w:tcPr>
                <w:p w14:paraId="67348B8B">
                  <w:pPr>
                    <w:pStyle w:val="31"/>
                    <w:adjustRightInd w:val="0"/>
                    <w:snapToGrid w:val="0"/>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厂界外 500 米范围内无地下水集中式饮用水水源和热水、矿泉水、温泉等特殊地下水资源，项目无地下水保护目标。</w:t>
                  </w:r>
                </w:p>
              </w:tc>
            </w:tr>
            <w:tr w14:paraId="518B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Align w:val="center"/>
                </w:tcPr>
                <w:p w14:paraId="54AB243A">
                  <w:pPr>
                    <w:pStyle w:val="27"/>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生态</w:t>
                  </w:r>
                </w:p>
                <w:p w14:paraId="1A18E1CC">
                  <w:pPr>
                    <w:pStyle w:val="27"/>
                    <w:adjustRightInd w:val="0"/>
                    <w:snapToGrid w:val="0"/>
                    <w:rPr>
                      <w:rFonts w:hint="default" w:ascii="Times New Roman" w:hAnsi="Times New Roman" w:cs="Times New Roman"/>
                      <w:bCs/>
                      <w:color w:val="auto"/>
                      <w:szCs w:val="21"/>
                    </w:rPr>
                  </w:pPr>
                  <w:r>
                    <w:rPr>
                      <w:rFonts w:hint="default" w:ascii="Times New Roman" w:hAnsi="Times New Roman" w:cs="Times New Roman"/>
                      <w:color w:val="auto"/>
                      <w:szCs w:val="21"/>
                    </w:rPr>
                    <w:t>环境</w:t>
                  </w:r>
                </w:p>
              </w:tc>
              <w:tc>
                <w:tcPr>
                  <w:tcW w:w="4548" w:type="pct"/>
                  <w:gridSpan w:val="6"/>
                  <w:vAlign w:val="center"/>
                </w:tcPr>
                <w:p w14:paraId="73EC4E8C">
                  <w:pPr>
                    <w:pStyle w:val="31"/>
                    <w:adjustRightInd w:val="0"/>
                    <w:snapToGrid w:val="0"/>
                    <w:spacing w:line="240" w:lineRule="auto"/>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项目场地及周边200m范围内无国家级和省级保护植物物种，以及地方狭域植物种类分布，也无古树名木。无大型野生哺乳动物、受国家和云南省重点保护及关注物种，同时也无当地特有物种，无生态环境保护目标。</w:t>
                  </w:r>
                </w:p>
              </w:tc>
            </w:tr>
          </w:tbl>
          <w:p w14:paraId="1619AE3F">
            <w:pPr>
              <w:spacing w:line="360" w:lineRule="auto"/>
              <w:rPr>
                <w:rFonts w:hint="default" w:ascii="Times New Roman" w:hAnsi="Times New Roman" w:cs="Times New Roman"/>
                <w:b/>
                <w:color w:val="auto"/>
                <w:kern w:val="2"/>
                <w:sz w:val="24"/>
                <w:szCs w:val="24"/>
                <w:lang w:eastAsia="zh-CN"/>
              </w:rPr>
            </w:pPr>
          </w:p>
        </w:tc>
      </w:tr>
      <w:tr w14:paraId="4CCF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00" w:type="dxa"/>
            <w:tcMar>
              <w:left w:w="28" w:type="dxa"/>
              <w:right w:w="28" w:type="dxa"/>
            </w:tcMar>
            <w:vAlign w:val="center"/>
          </w:tcPr>
          <w:p w14:paraId="34B759EE">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污</w:t>
            </w:r>
          </w:p>
          <w:p w14:paraId="379B8136">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染</w:t>
            </w:r>
          </w:p>
          <w:p w14:paraId="02140EEE">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物</w:t>
            </w:r>
          </w:p>
          <w:p w14:paraId="23D360C1">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排</w:t>
            </w:r>
          </w:p>
          <w:p w14:paraId="5DE2B1B2">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放</w:t>
            </w:r>
          </w:p>
          <w:p w14:paraId="393C8170">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控</w:t>
            </w:r>
          </w:p>
          <w:p w14:paraId="66B4A34E">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制</w:t>
            </w:r>
          </w:p>
          <w:p w14:paraId="4381F1C0">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标</w:t>
            </w:r>
          </w:p>
          <w:p w14:paraId="37C5C869">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4"/>
                <w:szCs w:val="52"/>
                <w:lang w:eastAsia="zh-CN"/>
              </w:rPr>
              <w:t>准</w:t>
            </w:r>
          </w:p>
        </w:tc>
        <w:tc>
          <w:tcPr>
            <w:tcW w:w="8190" w:type="dxa"/>
            <w:vAlign w:val="center"/>
          </w:tcPr>
          <w:p w14:paraId="05B68686">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一、大气污染物标准</w:t>
            </w:r>
          </w:p>
          <w:p w14:paraId="5A67C505">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1、施工期</w:t>
            </w:r>
          </w:p>
          <w:p w14:paraId="64AF8118">
            <w:pPr>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项目施工期扬尘执行《大气污染物综合排放标准》（GB16297-1996）表2中无组织排放浓度监控限值。</w:t>
            </w:r>
          </w:p>
          <w:p w14:paraId="71A843B3">
            <w:pPr>
              <w:snapToGrid w:val="0"/>
              <w:ind w:firstLine="422" w:firstLineChars="20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表3-</w:t>
            </w:r>
            <w:r>
              <w:rPr>
                <w:rFonts w:hint="default" w:ascii="Times New Roman" w:hAnsi="Times New Roman" w:cs="Times New Roman"/>
                <w:b/>
                <w:color w:val="auto"/>
                <w:sz w:val="21"/>
                <w:szCs w:val="21"/>
                <w:lang w:val="en-US" w:eastAsia="zh-CN"/>
              </w:rPr>
              <w:t>6</w:t>
            </w:r>
            <w:r>
              <w:rPr>
                <w:rFonts w:hint="default" w:ascii="Times New Roman" w:hAnsi="Times New Roman" w:cs="Times New Roman"/>
                <w:b/>
                <w:color w:val="auto"/>
                <w:sz w:val="21"/>
                <w:szCs w:val="21"/>
                <w:lang w:eastAsia="zh-CN"/>
              </w:rPr>
              <w:t xml:space="preserve">  大气污染物综合排放标准</w:t>
            </w:r>
          </w:p>
          <w:tbl>
            <w:tblPr>
              <w:tblStyle w:val="20"/>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705"/>
              <w:gridCol w:w="4575"/>
            </w:tblGrid>
            <w:tr w14:paraId="75FC12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2237" w:type="pct"/>
                  <w:tcBorders>
                    <w:top w:val="single" w:color="auto" w:sz="2" w:space="0"/>
                    <w:left w:val="single" w:color="auto" w:sz="2" w:space="0"/>
                    <w:bottom w:val="single" w:color="auto" w:sz="2" w:space="0"/>
                    <w:right w:val="single" w:color="auto" w:sz="2" w:space="0"/>
                  </w:tcBorders>
                  <w:vAlign w:val="center"/>
                </w:tcPr>
                <w:p w14:paraId="3F7E6DE3">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标准类别</w:t>
                  </w:r>
                </w:p>
              </w:tc>
              <w:tc>
                <w:tcPr>
                  <w:tcW w:w="2762" w:type="pct"/>
                  <w:tcBorders>
                    <w:top w:val="single" w:color="auto" w:sz="2" w:space="0"/>
                    <w:left w:val="single" w:color="auto" w:sz="2" w:space="0"/>
                    <w:bottom w:val="single" w:color="auto" w:sz="2" w:space="0"/>
                    <w:right w:val="single" w:color="auto" w:sz="2" w:space="0"/>
                  </w:tcBorders>
                  <w:vAlign w:val="center"/>
                </w:tcPr>
                <w:p w14:paraId="05C6CFAA">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颗粒物（mg/m</w:t>
                  </w:r>
                  <w:r>
                    <w:rPr>
                      <w:rFonts w:hint="default" w:ascii="Times New Roman" w:hAnsi="Times New Roman" w:cs="Times New Roman"/>
                      <w:color w:val="auto"/>
                      <w:kern w:val="2"/>
                      <w:sz w:val="21"/>
                      <w:szCs w:val="21"/>
                      <w:vertAlign w:val="superscript"/>
                      <w:lang w:eastAsia="zh-CN"/>
                    </w:rPr>
                    <w:t>3</w:t>
                  </w:r>
                  <w:r>
                    <w:rPr>
                      <w:rFonts w:hint="default" w:ascii="Times New Roman" w:hAnsi="Times New Roman" w:cs="Times New Roman"/>
                      <w:color w:val="auto"/>
                      <w:kern w:val="2"/>
                      <w:sz w:val="21"/>
                      <w:szCs w:val="21"/>
                      <w:lang w:eastAsia="zh-CN"/>
                    </w:rPr>
                    <w:t>）</w:t>
                  </w:r>
                </w:p>
              </w:tc>
            </w:tr>
            <w:tr w14:paraId="1A0098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2237" w:type="pct"/>
                  <w:tcBorders>
                    <w:top w:val="single" w:color="auto" w:sz="2" w:space="0"/>
                    <w:left w:val="single" w:color="auto" w:sz="2" w:space="0"/>
                    <w:bottom w:val="single" w:color="auto" w:sz="2" w:space="0"/>
                    <w:right w:val="single" w:color="auto" w:sz="2" w:space="0"/>
                  </w:tcBorders>
                  <w:vAlign w:val="center"/>
                </w:tcPr>
                <w:p w14:paraId="5D84F2D9">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周界外浓度最高点</w:t>
                  </w:r>
                </w:p>
              </w:tc>
              <w:tc>
                <w:tcPr>
                  <w:tcW w:w="2762" w:type="pct"/>
                  <w:tcBorders>
                    <w:top w:val="single" w:color="auto" w:sz="2" w:space="0"/>
                    <w:left w:val="single" w:color="auto" w:sz="2" w:space="0"/>
                    <w:bottom w:val="single" w:color="auto" w:sz="2" w:space="0"/>
                    <w:right w:val="single" w:color="auto" w:sz="2" w:space="0"/>
                  </w:tcBorders>
                  <w:vAlign w:val="center"/>
                </w:tcPr>
                <w:p w14:paraId="711AA0E9">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1.0（无组织排放浓度）</w:t>
                  </w:r>
                </w:p>
              </w:tc>
            </w:tr>
          </w:tbl>
          <w:p w14:paraId="234A3625">
            <w:pPr>
              <w:widowControl/>
              <w:adjustRightInd w:val="0"/>
              <w:spacing w:line="360" w:lineRule="auto"/>
              <w:ind w:firstLine="482" w:firstLineChars="200"/>
              <w:rPr>
                <w:rFonts w:hint="default" w:ascii="Times New Roman" w:hAnsi="Times New Roman" w:cs="Times New Roman"/>
                <w:b/>
                <w:bCs/>
                <w:color w:val="auto"/>
                <w:sz w:val="24"/>
                <w:szCs w:val="21"/>
                <w:lang w:eastAsia="zh-CN"/>
              </w:rPr>
            </w:pPr>
            <w:r>
              <w:rPr>
                <w:rFonts w:hint="default" w:ascii="Times New Roman" w:hAnsi="Times New Roman" w:cs="Times New Roman"/>
                <w:b/>
                <w:bCs/>
                <w:color w:val="auto"/>
                <w:sz w:val="24"/>
                <w:szCs w:val="21"/>
                <w:lang w:eastAsia="zh-CN"/>
              </w:rPr>
              <w:t>2、运营期</w:t>
            </w:r>
          </w:p>
          <w:p w14:paraId="577EB383">
            <w:pPr>
              <w:widowControl/>
              <w:adjustRightInd w:val="0"/>
              <w:spacing w:line="360" w:lineRule="auto"/>
              <w:ind w:firstLine="480" w:firstLineChars="200"/>
              <w:jc w:val="both"/>
              <w:rPr>
                <w:rFonts w:hint="default" w:ascii="Times New Roman" w:hAnsi="Times New Roman" w:cs="Times New Roman"/>
                <w:color w:val="auto"/>
                <w:sz w:val="24"/>
                <w:szCs w:val="21"/>
                <w:lang w:eastAsia="zh-CN"/>
              </w:rPr>
            </w:pPr>
            <w:r>
              <w:rPr>
                <w:rFonts w:hint="default" w:ascii="Times New Roman" w:hAnsi="Times New Roman" w:cs="Times New Roman"/>
                <w:color w:val="auto"/>
                <w:sz w:val="24"/>
                <w:szCs w:val="21"/>
                <w:lang w:eastAsia="zh-CN"/>
              </w:rPr>
              <w:t>本项目</w:t>
            </w:r>
            <w:r>
              <w:rPr>
                <w:rFonts w:hint="default" w:ascii="Times New Roman" w:hAnsi="Times New Roman" w:cs="Times New Roman"/>
                <w:color w:val="auto"/>
                <w:sz w:val="24"/>
                <w:szCs w:val="21"/>
                <w:lang w:val="en-US" w:eastAsia="zh-CN"/>
              </w:rPr>
              <w:t>运营期</w:t>
            </w:r>
            <w:r>
              <w:rPr>
                <w:rFonts w:hint="default" w:ascii="Times New Roman" w:hAnsi="Times New Roman" w:cs="Times New Roman"/>
                <w:color w:val="auto"/>
                <w:sz w:val="24"/>
                <w:szCs w:val="21"/>
                <w:lang w:eastAsia="zh-CN"/>
              </w:rPr>
              <w:t>废气主要为粉尘，运营期废气执行《水泥工业大气污染物排放标准》（GB4915-2013）（</w:t>
            </w:r>
            <w:r>
              <w:rPr>
                <w:rFonts w:hint="default" w:ascii="Times New Roman" w:hAnsi="Times New Roman" w:cs="Times New Roman"/>
                <w:color w:val="auto"/>
                <w:sz w:val="24"/>
                <w:szCs w:val="21"/>
                <w:lang w:val="en-US" w:eastAsia="zh-CN"/>
              </w:rPr>
              <w:t>含2025年修改单</w:t>
            </w:r>
            <w:r>
              <w:rPr>
                <w:rFonts w:hint="default" w:ascii="Times New Roman" w:hAnsi="Times New Roman" w:cs="Times New Roman"/>
                <w:color w:val="auto"/>
                <w:sz w:val="24"/>
                <w:szCs w:val="21"/>
                <w:lang w:eastAsia="zh-CN"/>
              </w:rPr>
              <w:t>）中无组织排放执行表3标准。</w:t>
            </w:r>
          </w:p>
          <w:p w14:paraId="3A5831FB">
            <w:pPr>
              <w:widowControl/>
              <w:autoSpaceDE/>
              <w:autoSpaceDN/>
              <w:adjustRightInd w:val="0"/>
              <w:snapToGrid w:val="0"/>
              <w:spacing w:before="156" w:beforeLines="50"/>
              <w:ind w:firstLine="482"/>
              <w:jc w:val="center"/>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表3-</w:t>
            </w:r>
            <w:r>
              <w:rPr>
                <w:rFonts w:hint="default" w:ascii="Times New Roman" w:hAnsi="Times New Roman" w:cs="Times New Roman"/>
                <w:b/>
                <w:bCs/>
                <w:color w:val="auto"/>
                <w:szCs w:val="21"/>
                <w:lang w:val="en-US" w:eastAsia="zh-CN"/>
              </w:rPr>
              <w:t>7</w:t>
            </w:r>
            <w:r>
              <w:rPr>
                <w:rFonts w:hint="default" w:ascii="Times New Roman" w:hAnsi="Times New Roman" w:cs="Times New Roman"/>
                <w:b/>
                <w:bCs/>
                <w:color w:val="auto"/>
                <w:szCs w:val="21"/>
                <w:lang w:eastAsia="zh-CN"/>
              </w:rPr>
              <w:t xml:space="preserve">  </w:t>
            </w:r>
            <w:r>
              <w:rPr>
                <w:rFonts w:hint="default" w:ascii="Times New Roman" w:hAnsi="Times New Roman" w:cs="Times New Roman"/>
                <w:b/>
                <w:color w:val="auto"/>
                <w:sz w:val="21"/>
                <w:lang w:eastAsia="zh-CN"/>
              </w:rPr>
              <w:t>《水泥工业大气污染物排放标准》（GB4915-2013）（含2025年修改单）</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941"/>
              <w:gridCol w:w="2757"/>
              <w:gridCol w:w="2706"/>
            </w:tblGrid>
            <w:tr w14:paraId="44A4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527" w:type="pct"/>
                  <w:vMerge w:val="restart"/>
                  <w:noWrap w:val="0"/>
                  <w:vAlign w:val="center"/>
                </w:tcPr>
                <w:p w14:paraId="1760859E">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2837" w:type="pct"/>
                  <w:gridSpan w:val="2"/>
                  <w:noWrap w:val="0"/>
                  <w:vAlign w:val="center"/>
                </w:tcPr>
                <w:p w14:paraId="4A459A4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排放浓度限值</w:t>
                  </w:r>
                </w:p>
              </w:tc>
              <w:tc>
                <w:tcPr>
                  <w:tcW w:w="1634" w:type="pct"/>
                  <w:vMerge w:val="restart"/>
                  <w:noWrap w:val="0"/>
                  <w:vAlign w:val="center"/>
                </w:tcPr>
                <w:p w14:paraId="0A989E5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14:paraId="6741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noWrap w:val="0"/>
                  <w:vAlign w:val="center"/>
                </w:tcPr>
                <w:p w14:paraId="4FC63CEA">
                  <w:pPr>
                    <w:jc w:val="center"/>
                    <w:rPr>
                      <w:rFonts w:hint="default" w:ascii="Times New Roman" w:hAnsi="Times New Roman" w:cs="Times New Roman"/>
                      <w:color w:val="auto"/>
                      <w:sz w:val="21"/>
                      <w:szCs w:val="21"/>
                    </w:rPr>
                  </w:pPr>
                </w:p>
              </w:tc>
              <w:tc>
                <w:tcPr>
                  <w:tcW w:w="1172" w:type="pct"/>
                  <w:noWrap w:val="0"/>
                  <w:vAlign w:val="center"/>
                </w:tcPr>
                <w:p w14:paraId="4599970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生产设备/监控点</w:t>
                  </w:r>
                </w:p>
              </w:tc>
              <w:tc>
                <w:tcPr>
                  <w:tcW w:w="1665" w:type="pct"/>
                  <w:noWrap w:val="0"/>
                  <w:vAlign w:val="center"/>
                </w:tcPr>
                <w:p w14:paraId="57E2B18E">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634" w:type="pct"/>
                  <w:vMerge w:val="continue"/>
                  <w:noWrap w:val="0"/>
                  <w:vAlign w:val="center"/>
                </w:tcPr>
                <w:p w14:paraId="18F1865E">
                  <w:pPr>
                    <w:jc w:val="center"/>
                    <w:rPr>
                      <w:rFonts w:hint="default" w:ascii="Times New Roman" w:hAnsi="Times New Roman" w:cs="Times New Roman"/>
                      <w:color w:val="auto"/>
                      <w:sz w:val="21"/>
                      <w:szCs w:val="21"/>
                    </w:rPr>
                  </w:pPr>
                </w:p>
              </w:tc>
            </w:tr>
            <w:tr w14:paraId="7996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527" w:type="pct"/>
                  <w:noWrap w:val="0"/>
                  <w:vAlign w:val="center"/>
                </w:tcPr>
                <w:p w14:paraId="4D20AE5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172" w:type="pct"/>
                  <w:noWrap w:val="0"/>
                  <w:vAlign w:val="center"/>
                </w:tcPr>
                <w:p w14:paraId="1FFB089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厂界外20m处上风向设参照点，下风向设监控点</w:t>
                  </w:r>
                </w:p>
              </w:tc>
              <w:tc>
                <w:tcPr>
                  <w:tcW w:w="1665" w:type="pct"/>
                  <w:noWrap w:val="0"/>
                  <w:vAlign w:val="center"/>
                </w:tcPr>
                <w:p w14:paraId="5F0F7BE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0.5（监控点与参照点总悬浮颗粒物（TSP）1小时浓度值的差值）</w:t>
                  </w:r>
                </w:p>
              </w:tc>
              <w:tc>
                <w:tcPr>
                  <w:tcW w:w="1634" w:type="pct"/>
                  <w:noWrap w:val="0"/>
                  <w:vAlign w:val="center"/>
                </w:tcPr>
                <w:p w14:paraId="1198EA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水泥工业大气污染物排放标准》（GB4915-2013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含2025年修改单</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Cs w:val="21"/>
                    </w:rPr>
                    <w:t>表3</w:t>
                  </w:r>
                </w:p>
              </w:tc>
            </w:tr>
          </w:tbl>
          <w:p w14:paraId="6E7CD47E">
            <w:pPr>
              <w:spacing w:line="360" w:lineRule="auto"/>
              <w:ind w:firstLine="482" w:firstLineChars="200"/>
              <w:rPr>
                <w:rFonts w:hint="default" w:ascii="Times New Roman" w:hAnsi="Times New Roman" w:cs="Times New Roman"/>
                <w:b/>
                <w:bCs/>
                <w:color w:val="auto"/>
                <w:sz w:val="24"/>
                <w:szCs w:val="21"/>
                <w:lang w:eastAsia="zh-CN"/>
              </w:rPr>
            </w:pPr>
            <w:r>
              <w:rPr>
                <w:rFonts w:hint="default" w:ascii="Times New Roman" w:hAnsi="Times New Roman" w:cs="Times New Roman"/>
                <w:b/>
                <w:bCs/>
                <w:color w:val="auto"/>
                <w:sz w:val="24"/>
                <w:szCs w:val="21"/>
                <w:lang w:eastAsia="zh-CN"/>
              </w:rPr>
              <w:t>二、环境噪声排放标准</w:t>
            </w:r>
          </w:p>
          <w:p w14:paraId="412D9B9B">
            <w:pPr>
              <w:adjustRightInd w:val="0"/>
              <w:snapToGrid w:val="0"/>
              <w:spacing w:line="360" w:lineRule="auto"/>
              <w:ind w:firstLine="482" w:firstLineChars="200"/>
              <w:rPr>
                <w:rFonts w:hint="default" w:ascii="Times New Roman" w:hAnsi="Times New Roman" w:cs="Times New Roman"/>
                <w:b/>
                <w:bCs/>
                <w:color w:val="auto"/>
                <w:sz w:val="24"/>
                <w:szCs w:val="21"/>
                <w:lang w:eastAsia="zh-CN"/>
              </w:rPr>
            </w:pPr>
            <w:r>
              <w:rPr>
                <w:rFonts w:hint="default" w:ascii="Times New Roman" w:hAnsi="Times New Roman" w:cs="Times New Roman"/>
                <w:b/>
                <w:bCs/>
                <w:color w:val="auto"/>
                <w:sz w:val="24"/>
                <w:szCs w:val="21"/>
                <w:lang w:eastAsia="zh-CN"/>
              </w:rPr>
              <w:t>1、施工期</w:t>
            </w:r>
          </w:p>
          <w:p w14:paraId="19C62C27">
            <w:pPr>
              <w:adjustRightInd w:val="0"/>
              <w:snapToGrid w:val="0"/>
              <w:spacing w:line="360" w:lineRule="auto"/>
              <w:ind w:firstLine="480" w:firstLineChars="200"/>
              <w:rPr>
                <w:rFonts w:hint="default" w:ascii="Times New Roman" w:hAnsi="Times New Roman" w:cs="Times New Roman"/>
                <w:color w:val="auto"/>
                <w:sz w:val="24"/>
                <w:szCs w:val="21"/>
                <w:lang w:eastAsia="zh-CN"/>
              </w:rPr>
            </w:pPr>
            <w:r>
              <w:rPr>
                <w:rFonts w:hint="default" w:ascii="Times New Roman" w:hAnsi="Times New Roman" w:cs="Times New Roman"/>
                <w:color w:val="auto"/>
                <w:sz w:val="24"/>
                <w:szCs w:val="21"/>
                <w:lang w:eastAsia="zh-CN"/>
              </w:rPr>
              <w:t>施工期环境噪声执行《建筑施工场界环境噪声排放标准》（GB12523-</w:t>
            </w:r>
            <w:r>
              <w:rPr>
                <w:rFonts w:hint="default" w:ascii="Times New Roman" w:hAnsi="Times New Roman" w:cs="Times New Roman"/>
                <w:color w:val="auto"/>
                <w:sz w:val="24"/>
                <w:szCs w:val="21"/>
                <w:lang w:val="en-US" w:eastAsia="zh-CN"/>
              </w:rPr>
              <w:t>2025</w:t>
            </w:r>
            <w:r>
              <w:rPr>
                <w:rFonts w:hint="default" w:ascii="Times New Roman" w:hAnsi="Times New Roman" w:cs="Times New Roman"/>
                <w:color w:val="auto"/>
                <w:sz w:val="24"/>
                <w:szCs w:val="21"/>
                <w:lang w:eastAsia="zh-CN"/>
              </w:rPr>
              <w:t>）中的标准，噪声限值见表3-</w:t>
            </w:r>
            <w:r>
              <w:rPr>
                <w:rFonts w:hint="default" w:ascii="Times New Roman" w:hAnsi="Times New Roman" w:cs="Times New Roman"/>
                <w:color w:val="auto"/>
                <w:sz w:val="24"/>
                <w:szCs w:val="21"/>
                <w:lang w:val="en-US" w:eastAsia="zh-CN"/>
              </w:rPr>
              <w:t>8</w:t>
            </w:r>
            <w:r>
              <w:rPr>
                <w:rFonts w:hint="default" w:ascii="Times New Roman" w:hAnsi="Times New Roman" w:cs="Times New Roman"/>
                <w:color w:val="auto"/>
                <w:sz w:val="24"/>
                <w:szCs w:val="21"/>
                <w:lang w:eastAsia="zh-CN"/>
              </w:rPr>
              <w:t>。</w:t>
            </w:r>
          </w:p>
          <w:p w14:paraId="6AA89E5A">
            <w:pPr>
              <w:autoSpaceDE/>
              <w:autoSpaceDN/>
              <w:adjustRightInd w:val="0"/>
              <w:snapToGrid w:val="0"/>
              <w:spacing w:before="156" w:beforeLines="50"/>
              <w:ind w:firstLine="422" w:firstLineChars="20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表3-</w:t>
            </w:r>
            <w:r>
              <w:rPr>
                <w:rFonts w:hint="default"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lang w:eastAsia="zh-CN"/>
              </w:rPr>
              <w:t xml:space="preserve">  建筑施工场界环境噪声排放限值   单位：dB</w:t>
            </w:r>
            <w:r>
              <w:rPr>
                <w:rFonts w:hint="default" w:ascii="Times New Roman" w:hAnsi="Times New Roman" w:cs="Times New Roman"/>
                <w:b/>
                <w:color w:val="auto"/>
                <w:sz w:val="21"/>
                <w:szCs w:val="21"/>
                <w:lang w:eastAsia="zh-CN"/>
              </w:rPr>
              <w:t>(A)</w:t>
            </w:r>
          </w:p>
          <w:tbl>
            <w:tblPr>
              <w:tblStyle w:val="2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1"/>
              <w:gridCol w:w="3926"/>
            </w:tblGrid>
            <w:tr w14:paraId="2240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628" w:type="pct"/>
                  <w:tcBorders>
                    <w:top w:val="single" w:color="auto" w:sz="4" w:space="0"/>
                    <w:left w:val="single" w:color="auto" w:sz="4" w:space="0"/>
                    <w:bottom w:val="single" w:color="auto" w:sz="4" w:space="0"/>
                    <w:right w:val="single" w:color="auto" w:sz="4" w:space="0"/>
                  </w:tcBorders>
                  <w:vAlign w:val="center"/>
                </w:tcPr>
                <w:p w14:paraId="140AF696">
                  <w:pPr>
                    <w:tabs>
                      <w:tab w:val="left" w:pos="360"/>
                      <w:tab w:val="left" w:pos="540"/>
                    </w:tabs>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昼间</w:t>
                  </w:r>
                </w:p>
              </w:tc>
              <w:tc>
                <w:tcPr>
                  <w:tcW w:w="2371" w:type="pct"/>
                  <w:tcBorders>
                    <w:top w:val="single" w:color="auto" w:sz="4" w:space="0"/>
                    <w:left w:val="single" w:color="auto" w:sz="4" w:space="0"/>
                    <w:bottom w:val="single" w:color="auto" w:sz="4" w:space="0"/>
                    <w:right w:val="single" w:color="auto" w:sz="4" w:space="0"/>
                  </w:tcBorders>
                  <w:vAlign w:val="center"/>
                </w:tcPr>
                <w:p w14:paraId="433A9467">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夜间</w:t>
                  </w:r>
                </w:p>
              </w:tc>
            </w:tr>
            <w:tr w14:paraId="148B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628" w:type="pct"/>
                  <w:tcBorders>
                    <w:top w:val="single" w:color="auto" w:sz="4" w:space="0"/>
                    <w:left w:val="single" w:color="auto" w:sz="4" w:space="0"/>
                    <w:bottom w:val="single" w:color="auto" w:sz="4" w:space="0"/>
                    <w:right w:val="single" w:color="auto" w:sz="4" w:space="0"/>
                  </w:tcBorders>
                  <w:vAlign w:val="center"/>
                </w:tcPr>
                <w:p w14:paraId="1D996280">
                  <w:pPr>
                    <w:tabs>
                      <w:tab w:val="left" w:pos="360"/>
                      <w:tab w:val="left" w:pos="540"/>
                    </w:tabs>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70</w:t>
                  </w:r>
                </w:p>
              </w:tc>
              <w:tc>
                <w:tcPr>
                  <w:tcW w:w="2371" w:type="pct"/>
                  <w:tcBorders>
                    <w:top w:val="single" w:color="auto" w:sz="4" w:space="0"/>
                    <w:left w:val="single" w:color="auto" w:sz="4" w:space="0"/>
                    <w:bottom w:val="single" w:color="auto" w:sz="4" w:space="0"/>
                    <w:right w:val="single" w:color="auto" w:sz="4" w:space="0"/>
                  </w:tcBorders>
                  <w:vAlign w:val="center"/>
                </w:tcPr>
                <w:p w14:paraId="72125430">
                  <w:pPr>
                    <w:tabs>
                      <w:tab w:val="left" w:pos="360"/>
                      <w:tab w:val="left" w:pos="540"/>
                    </w:tabs>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55</w:t>
                  </w:r>
                </w:p>
              </w:tc>
            </w:tr>
          </w:tbl>
          <w:p w14:paraId="0BD49C8F">
            <w:pPr>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2、运营期</w:t>
            </w:r>
          </w:p>
          <w:p w14:paraId="3E00B5B1">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项目运营期间厂界噪声执行《工业企业厂界环境噪声排放标准》（GB12348-2008）2类</w:t>
            </w:r>
            <w:r>
              <w:rPr>
                <w:rFonts w:hint="default" w:ascii="Times New Roman" w:hAnsi="Times New Roman" w:cs="Times New Roman"/>
                <w:color w:val="auto"/>
                <w:sz w:val="24"/>
                <w:lang w:val="en-US" w:eastAsia="zh-CN"/>
              </w:rPr>
              <w:t>标准</w:t>
            </w:r>
            <w:r>
              <w:rPr>
                <w:rFonts w:hint="default" w:ascii="Times New Roman" w:hAnsi="Times New Roman" w:cs="Times New Roman"/>
                <w:color w:val="auto"/>
                <w:sz w:val="24"/>
                <w:lang w:eastAsia="zh-CN"/>
              </w:rPr>
              <w:t>；</w:t>
            </w:r>
          </w:p>
          <w:p w14:paraId="7BF1A2EC">
            <w:pPr>
              <w:autoSpaceDE/>
              <w:autoSpaceDN/>
              <w:adjustRightInd w:val="0"/>
              <w:snapToGrid w:val="0"/>
              <w:spacing w:before="156" w:beforeLines="5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表3-</w:t>
            </w:r>
            <w:r>
              <w:rPr>
                <w:rFonts w:hint="default"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lang w:eastAsia="zh-CN"/>
              </w:rPr>
              <w:t xml:space="preserve">  工业企业厂界环境噪声排放标准  单位：dB</w:t>
            </w:r>
            <w:r>
              <w:rPr>
                <w:rFonts w:hint="default" w:ascii="Times New Roman" w:hAnsi="Times New Roman" w:cs="Times New Roman"/>
                <w:b/>
                <w:color w:val="auto"/>
                <w:sz w:val="21"/>
                <w:szCs w:val="21"/>
                <w:lang w:eastAsia="zh-CN"/>
              </w:rPr>
              <w:t>(A)</w:t>
            </w:r>
          </w:p>
          <w:tbl>
            <w:tblPr>
              <w:tblStyle w:val="20"/>
              <w:tblW w:w="827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67"/>
              <w:gridCol w:w="3074"/>
              <w:gridCol w:w="1903"/>
              <w:gridCol w:w="1933"/>
            </w:tblGrid>
            <w:tr w14:paraId="266F71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3" w:hRule="atLeast"/>
                <w:jc w:val="center"/>
              </w:trPr>
              <w:tc>
                <w:tcPr>
                  <w:tcW w:w="1367" w:type="dxa"/>
                  <w:vMerge w:val="restart"/>
                  <w:tcBorders>
                    <w:top w:val="single" w:color="auto" w:sz="2" w:space="0"/>
                    <w:left w:val="single" w:color="auto" w:sz="2" w:space="0"/>
                    <w:right w:val="single" w:color="auto" w:sz="4" w:space="0"/>
                  </w:tcBorders>
                  <w:vAlign w:val="center"/>
                </w:tcPr>
                <w:p w14:paraId="7C7FEC16">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类别</w:t>
                  </w:r>
                </w:p>
              </w:tc>
              <w:tc>
                <w:tcPr>
                  <w:tcW w:w="3074" w:type="dxa"/>
                  <w:vMerge w:val="restart"/>
                  <w:tcBorders>
                    <w:top w:val="single" w:color="auto" w:sz="2" w:space="0"/>
                    <w:left w:val="single" w:color="auto" w:sz="4" w:space="0"/>
                    <w:right w:val="single" w:color="auto" w:sz="2" w:space="0"/>
                  </w:tcBorders>
                  <w:vAlign w:val="center"/>
                </w:tcPr>
                <w:p w14:paraId="56BA2004">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适用区域</w:t>
                  </w:r>
                </w:p>
              </w:tc>
              <w:tc>
                <w:tcPr>
                  <w:tcW w:w="3836" w:type="dxa"/>
                  <w:gridSpan w:val="2"/>
                  <w:tcBorders>
                    <w:top w:val="single" w:color="auto" w:sz="2" w:space="0"/>
                    <w:left w:val="single" w:color="auto" w:sz="2" w:space="0"/>
                    <w:bottom w:val="single" w:color="auto" w:sz="2" w:space="0"/>
                    <w:right w:val="single" w:color="auto" w:sz="2" w:space="0"/>
                  </w:tcBorders>
                  <w:vAlign w:val="center"/>
                </w:tcPr>
                <w:p w14:paraId="27B4B93F">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等效声级[dB(A)]</w:t>
                  </w:r>
                </w:p>
              </w:tc>
            </w:tr>
            <w:tr w14:paraId="65BC94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67" w:type="dxa"/>
                  <w:vMerge w:val="continue"/>
                  <w:tcBorders>
                    <w:left w:val="single" w:color="auto" w:sz="2" w:space="0"/>
                    <w:bottom w:val="single" w:color="auto" w:sz="2" w:space="0"/>
                    <w:right w:val="single" w:color="auto" w:sz="4" w:space="0"/>
                  </w:tcBorders>
                  <w:vAlign w:val="center"/>
                </w:tcPr>
                <w:p w14:paraId="6DFE4C3C">
                  <w:pPr>
                    <w:widowControl/>
                    <w:jc w:val="center"/>
                    <w:rPr>
                      <w:rFonts w:hint="default" w:ascii="Times New Roman" w:hAnsi="Times New Roman" w:cs="Times New Roman"/>
                      <w:b/>
                      <w:bCs/>
                      <w:color w:val="auto"/>
                      <w:sz w:val="21"/>
                      <w:szCs w:val="21"/>
                      <w:lang w:eastAsia="zh-CN"/>
                    </w:rPr>
                  </w:pPr>
                </w:p>
              </w:tc>
              <w:tc>
                <w:tcPr>
                  <w:tcW w:w="3074" w:type="dxa"/>
                  <w:vMerge w:val="continue"/>
                  <w:tcBorders>
                    <w:left w:val="single" w:color="auto" w:sz="4" w:space="0"/>
                    <w:bottom w:val="single" w:color="auto" w:sz="2" w:space="0"/>
                    <w:right w:val="single" w:color="auto" w:sz="2" w:space="0"/>
                  </w:tcBorders>
                  <w:vAlign w:val="center"/>
                </w:tcPr>
                <w:p w14:paraId="51767738">
                  <w:pPr>
                    <w:widowControl/>
                    <w:jc w:val="center"/>
                    <w:rPr>
                      <w:rFonts w:hint="default" w:ascii="Times New Roman" w:hAnsi="Times New Roman" w:cs="Times New Roman"/>
                      <w:b/>
                      <w:bCs/>
                      <w:color w:val="auto"/>
                      <w:sz w:val="21"/>
                      <w:szCs w:val="21"/>
                      <w:lang w:eastAsia="zh-CN"/>
                    </w:rPr>
                  </w:pPr>
                </w:p>
              </w:tc>
              <w:tc>
                <w:tcPr>
                  <w:tcW w:w="1903" w:type="dxa"/>
                  <w:tcBorders>
                    <w:top w:val="single" w:color="auto" w:sz="2" w:space="0"/>
                    <w:left w:val="single" w:color="auto" w:sz="2" w:space="0"/>
                    <w:bottom w:val="single" w:color="auto" w:sz="2" w:space="0"/>
                    <w:right w:val="single" w:color="auto" w:sz="2" w:space="0"/>
                  </w:tcBorders>
                  <w:vAlign w:val="center"/>
                </w:tcPr>
                <w:p w14:paraId="1287F706">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昼间</w:t>
                  </w:r>
                </w:p>
              </w:tc>
              <w:tc>
                <w:tcPr>
                  <w:tcW w:w="1933" w:type="dxa"/>
                  <w:tcBorders>
                    <w:top w:val="single" w:color="auto" w:sz="2" w:space="0"/>
                    <w:left w:val="single" w:color="auto" w:sz="2" w:space="0"/>
                    <w:bottom w:val="single" w:color="auto" w:sz="2" w:space="0"/>
                    <w:right w:val="single" w:color="auto" w:sz="2" w:space="0"/>
                  </w:tcBorders>
                  <w:vAlign w:val="center"/>
                </w:tcPr>
                <w:p w14:paraId="47B86C61">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夜间</w:t>
                  </w:r>
                </w:p>
              </w:tc>
            </w:tr>
            <w:tr w14:paraId="25D45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67" w:type="dxa"/>
                  <w:tcBorders>
                    <w:top w:val="single" w:color="auto" w:sz="2" w:space="0"/>
                    <w:left w:val="single" w:color="auto" w:sz="2" w:space="0"/>
                    <w:bottom w:val="single" w:color="auto" w:sz="2" w:space="0"/>
                    <w:right w:val="single" w:color="auto" w:sz="4" w:space="0"/>
                  </w:tcBorders>
                  <w:vAlign w:val="center"/>
                </w:tcPr>
                <w:p w14:paraId="11BCABDC">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2类</w:t>
                  </w:r>
                </w:p>
              </w:tc>
              <w:tc>
                <w:tcPr>
                  <w:tcW w:w="3074" w:type="dxa"/>
                  <w:tcBorders>
                    <w:top w:val="single" w:color="auto" w:sz="2" w:space="0"/>
                    <w:left w:val="single" w:color="auto" w:sz="4" w:space="0"/>
                    <w:bottom w:val="single" w:color="auto" w:sz="2" w:space="0"/>
                    <w:right w:val="single" w:color="auto" w:sz="2" w:space="0"/>
                  </w:tcBorders>
                  <w:vAlign w:val="center"/>
                </w:tcPr>
                <w:p w14:paraId="1BBAFB56">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项目区</w:t>
                  </w:r>
                </w:p>
              </w:tc>
              <w:tc>
                <w:tcPr>
                  <w:tcW w:w="1903" w:type="dxa"/>
                  <w:tcBorders>
                    <w:top w:val="single" w:color="auto" w:sz="2" w:space="0"/>
                    <w:left w:val="single" w:color="auto" w:sz="2" w:space="0"/>
                    <w:bottom w:val="single" w:color="auto" w:sz="2" w:space="0"/>
                    <w:right w:val="single" w:color="auto" w:sz="2" w:space="0"/>
                  </w:tcBorders>
                  <w:vAlign w:val="center"/>
                </w:tcPr>
                <w:p w14:paraId="2FAF84D9">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60</w:t>
                  </w:r>
                </w:p>
              </w:tc>
              <w:tc>
                <w:tcPr>
                  <w:tcW w:w="1933" w:type="dxa"/>
                  <w:tcBorders>
                    <w:top w:val="single" w:color="auto" w:sz="2" w:space="0"/>
                    <w:left w:val="single" w:color="auto" w:sz="2" w:space="0"/>
                    <w:bottom w:val="single" w:color="auto" w:sz="2" w:space="0"/>
                    <w:right w:val="single" w:color="auto" w:sz="2" w:space="0"/>
                  </w:tcBorders>
                  <w:vAlign w:val="center"/>
                </w:tcPr>
                <w:p w14:paraId="7960E383">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50</w:t>
                  </w:r>
                </w:p>
              </w:tc>
            </w:tr>
          </w:tbl>
          <w:p w14:paraId="02356E4C">
            <w:pPr>
              <w:adjustRightInd w:val="0"/>
              <w:snapToGrid w:val="0"/>
              <w:spacing w:line="360" w:lineRule="auto"/>
              <w:ind w:firstLine="482" w:firstLineChars="200"/>
              <w:rPr>
                <w:rFonts w:hint="default" w:ascii="Times New Roman" w:hAnsi="Times New Roman" w:cs="Times New Roman"/>
                <w:b/>
                <w:bCs/>
                <w:color w:val="auto"/>
                <w:sz w:val="24"/>
                <w:szCs w:val="21"/>
                <w:lang w:eastAsia="zh-CN"/>
              </w:rPr>
            </w:pPr>
            <w:r>
              <w:rPr>
                <w:rFonts w:hint="default" w:ascii="Times New Roman" w:hAnsi="Times New Roman" w:cs="Times New Roman"/>
                <w:b/>
                <w:bCs/>
                <w:color w:val="auto"/>
                <w:sz w:val="24"/>
                <w:szCs w:val="21"/>
                <w:lang w:eastAsia="zh-CN"/>
              </w:rPr>
              <w:t>三、废水排放标准</w:t>
            </w:r>
          </w:p>
          <w:p w14:paraId="74ACE0E7">
            <w:pPr>
              <w:adjustRightInd w:val="0"/>
              <w:snapToGrid w:val="0"/>
              <w:spacing w:line="360" w:lineRule="auto"/>
              <w:ind w:firstLine="482" w:firstLineChars="200"/>
              <w:rPr>
                <w:rFonts w:hint="default" w:ascii="Times New Roman" w:hAnsi="Times New Roman" w:cs="Times New Roman"/>
                <w:b/>
                <w:color w:val="auto"/>
                <w:sz w:val="24"/>
                <w:szCs w:val="21"/>
                <w:lang w:eastAsia="zh-CN"/>
              </w:rPr>
            </w:pPr>
            <w:r>
              <w:rPr>
                <w:rFonts w:hint="default" w:ascii="Times New Roman" w:hAnsi="Times New Roman" w:cs="Times New Roman"/>
                <w:b/>
                <w:color w:val="auto"/>
                <w:sz w:val="24"/>
                <w:lang w:eastAsia="zh-CN"/>
              </w:rPr>
              <w:t>1、</w:t>
            </w:r>
            <w:r>
              <w:rPr>
                <w:rFonts w:hint="default" w:ascii="Times New Roman" w:hAnsi="Times New Roman" w:cs="Times New Roman"/>
                <w:b/>
                <w:color w:val="auto"/>
                <w:sz w:val="24"/>
                <w:szCs w:val="21"/>
                <w:lang w:eastAsia="zh-CN"/>
              </w:rPr>
              <w:t>施工期</w:t>
            </w:r>
          </w:p>
          <w:p w14:paraId="7D830642">
            <w:pPr>
              <w:snapToGrid w:val="0"/>
              <w:spacing w:line="360" w:lineRule="auto"/>
              <w:ind w:firstLine="480" w:firstLineChars="200"/>
              <w:rPr>
                <w:rFonts w:hint="default" w:ascii="Times New Roman" w:hAnsi="Times New Roman" w:cs="Times New Roman"/>
                <w:color w:val="auto"/>
                <w:sz w:val="24"/>
                <w:szCs w:val="21"/>
                <w:lang w:eastAsia="zh-CN"/>
              </w:rPr>
            </w:pPr>
            <w:r>
              <w:rPr>
                <w:rFonts w:hint="default" w:ascii="Times New Roman" w:hAnsi="Times New Roman" w:cs="Times New Roman"/>
                <w:color w:val="auto"/>
                <w:sz w:val="24"/>
                <w:szCs w:val="21"/>
                <w:lang w:eastAsia="zh-CN"/>
              </w:rPr>
              <w:t>项目施工期废水设置临时沉淀处理后回用，废水主要为施工人员的洗手废水</w:t>
            </w:r>
            <w:r>
              <w:rPr>
                <w:rFonts w:hint="default" w:ascii="Times New Roman" w:hAnsi="Times New Roman" w:cs="Times New Roman"/>
                <w:color w:val="auto"/>
                <w:sz w:val="24"/>
                <w:lang w:eastAsia="zh-CN"/>
              </w:rPr>
              <w:t>，经过沉淀池沉淀后用于项目区洒水降尘，不外排</w:t>
            </w:r>
            <w:r>
              <w:rPr>
                <w:rFonts w:hint="default" w:ascii="Times New Roman" w:hAnsi="Times New Roman" w:cs="Times New Roman"/>
                <w:color w:val="auto"/>
                <w:sz w:val="24"/>
                <w:szCs w:val="21"/>
                <w:lang w:eastAsia="zh-CN"/>
              </w:rPr>
              <w:t>。因此项目施工期不设废水排放标准。</w:t>
            </w:r>
          </w:p>
          <w:p w14:paraId="01178ACF">
            <w:pPr>
              <w:adjustRightInd w:val="0"/>
              <w:snapToGrid w:val="0"/>
              <w:spacing w:line="360" w:lineRule="auto"/>
              <w:ind w:left="440" w:leftChars="200"/>
              <w:rPr>
                <w:rFonts w:hint="default" w:ascii="Times New Roman" w:hAnsi="Times New Roman" w:cs="Times New Roman"/>
                <w:b/>
                <w:bCs/>
                <w:color w:val="auto"/>
                <w:sz w:val="24"/>
                <w:szCs w:val="21"/>
                <w:lang w:eastAsia="zh-CN"/>
              </w:rPr>
            </w:pPr>
            <w:r>
              <w:rPr>
                <w:rFonts w:hint="default" w:ascii="Times New Roman" w:hAnsi="Times New Roman" w:cs="Times New Roman"/>
                <w:b/>
                <w:bCs/>
                <w:color w:val="auto"/>
                <w:sz w:val="24"/>
                <w:szCs w:val="21"/>
                <w:lang w:eastAsia="zh-CN"/>
              </w:rPr>
              <w:t>2</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szCs w:val="21"/>
                <w:lang w:eastAsia="zh-CN"/>
              </w:rPr>
              <w:t>运营期</w:t>
            </w:r>
          </w:p>
          <w:p w14:paraId="4E9F9491">
            <w:p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kern w:val="2"/>
                <w:sz w:val="24"/>
                <w:szCs w:val="24"/>
                <w:lang w:val="en-US" w:eastAsia="zh-CN"/>
              </w:rPr>
              <w:t>本项目运营期产生的生活污水经化粪池（容积3m</w:t>
            </w:r>
            <w:r>
              <w:rPr>
                <w:rFonts w:hint="default" w:ascii="Times New Roman" w:hAnsi="Times New Roman" w:cs="Times New Roman"/>
                <w:color w:val="auto"/>
                <w:kern w:val="2"/>
                <w:sz w:val="24"/>
                <w:szCs w:val="24"/>
                <w:vertAlign w:val="superscript"/>
                <w:lang w:val="en-US" w:eastAsia="zh-CN"/>
              </w:rPr>
              <w:t>3</w:t>
            </w:r>
            <w:r>
              <w:rPr>
                <w:rFonts w:hint="default" w:ascii="Times New Roman" w:hAnsi="Times New Roman" w:cs="Times New Roman"/>
                <w:color w:val="auto"/>
                <w:kern w:val="2"/>
                <w:sz w:val="24"/>
                <w:szCs w:val="24"/>
                <w:lang w:val="en-US" w:eastAsia="zh-CN"/>
              </w:rPr>
              <w:t>）预处理后进1个规模为2m</w:t>
            </w:r>
            <w:r>
              <w:rPr>
                <w:rFonts w:hint="default" w:ascii="Times New Roman" w:hAnsi="Times New Roman" w:cs="Times New Roman"/>
                <w:color w:val="auto"/>
                <w:kern w:val="2"/>
                <w:sz w:val="24"/>
                <w:szCs w:val="24"/>
                <w:vertAlign w:val="superscript"/>
                <w:lang w:val="en-US" w:eastAsia="zh-CN"/>
              </w:rPr>
              <w:t>3</w:t>
            </w:r>
            <w:r>
              <w:rPr>
                <w:rFonts w:hint="default" w:ascii="Times New Roman" w:hAnsi="Times New Roman" w:cs="Times New Roman"/>
                <w:color w:val="auto"/>
                <w:kern w:val="2"/>
                <w:sz w:val="24"/>
                <w:szCs w:val="24"/>
                <w:lang w:val="en-US" w:eastAsia="zh-CN"/>
              </w:rPr>
              <w:t>/d的一体化污水处理站处理达《城市污水再生利用 城市杂用水水质》（GB/T 18920-2020）中城市绿化、道路清扫、消防、建筑施工标准后回用于项目区洒水降尘。</w:t>
            </w:r>
            <w:r>
              <w:rPr>
                <w:rFonts w:hint="default" w:ascii="Times New Roman" w:hAnsi="Times New Roman" w:cs="Times New Roman"/>
                <w:color w:val="auto"/>
                <w:sz w:val="24"/>
                <w:lang w:eastAsia="zh-CN"/>
              </w:rPr>
              <w:t>标准见表3-</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lang w:eastAsia="zh-CN"/>
              </w:rPr>
              <w:t>。</w:t>
            </w:r>
          </w:p>
          <w:p w14:paraId="2B68DF8A">
            <w:pPr>
              <w:autoSpaceDE/>
              <w:autoSpaceDN/>
              <w:adjustRightInd w:val="0"/>
              <w:snapToGrid w:val="0"/>
              <w:spacing w:before="156" w:beforeLines="5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rPr>
              <w:t>表3-</w:t>
            </w:r>
            <w:r>
              <w:rPr>
                <w:rFonts w:hint="default" w:ascii="Times New Roman" w:hAnsi="Times New Roman" w:cs="Times New Roman"/>
                <w:b/>
                <w:color w:val="auto"/>
                <w:kern w:val="2"/>
                <w:sz w:val="21"/>
                <w:szCs w:val="21"/>
                <w:lang w:val="en-US" w:eastAsia="zh-CN"/>
              </w:rPr>
              <w:t>10</w:t>
            </w:r>
            <w:r>
              <w:rPr>
                <w:rFonts w:hint="default" w:ascii="Times New Roman" w:hAnsi="Times New Roman" w:cs="Times New Roman"/>
                <w:b/>
                <w:color w:val="auto"/>
                <w:kern w:val="2"/>
                <w:sz w:val="21"/>
                <w:szCs w:val="21"/>
                <w:lang w:eastAsia="zh-CN"/>
              </w:rPr>
              <w:t xml:space="preserve">  城市污水再生利用 城市杂用水水质  </w:t>
            </w:r>
          </w:p>
          <w:tbl>
            <w:tblPr>
              <w:tblStyle w:val="2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179"/>
              <w:gridCol w:w="1183"/>
              <w:gridCol w:w="1123"/>
              <w:gridCol w:w="1123"/>
              <w:gridCol w:w="1124"/>
              <w:gridCol w:w="1125"/>
            </w:tblGrid>
            <w:tr w14:paraId="1A07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420" w:type="dxa"/>
                  <w:tcBorders>
                    <w:tl2br w:val="single" w:color="auto" w:sz="4" w:space="0"/>
                  </w:tcBorders>
                  <w:shd w:val="clear" w:color="auto" w:fill="auto"/>
                </w:tcPr>
                <w:p w14:paraId="4A90AA35">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 xml:space="preserve">    控制项目</w:t>
                  </w:r>
                </w:p>
                <w:p w14:paraId="4253330D">
                  <w:pPr>
                    <w:jc w:val="both"/>
                    <w:rPr>
                      <w:rFonts w:hint="default" w:ascii="Times New Roman" w:hAnsi="Times New Roman" w:cs="Times New Roman"/>
                      <w:b/>
                      <w:bCs/>
                      <w:color w:val="auto"/>
                      <w:kern w:val="2"/>
                      <w:sz w:val="21"/>
                      <w:szCs w:val="21"/>
                      <w:lang w:eastAsia="zh-CN"/>
                    </w:rPr>
                  </w:pPr>
                </w:p>
                <w:p w14:paraId="6327D4BA">
                  <w:pPr>
                    <w:jc w:val="both"/>
                    <w:rPr>
                      <w:rFonts w:hint="default" w:ascii="Times New Roman" w:hAnsi="Times New Roman" w:cs="Times New Roman"/>
                      <w:b/>
                      <w:bCs/>
                      <w:color w:val="auto"/>
                      <w:kern w:val="2"/>
                      <w:sz w:val="21"/>
                      <w:szCs w:val="21"/>
                      <w:lang w:eastAsia="zh-CN"/>
                    </w:rPr>
                  </w:pPr>
                </w:p>
                <w:p w14:paraId="426D666C">
                  <w:pPr>
                    <w:jc w:val="both"/>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标准类别</w:t>
                  </w:r>
                </w:p>
              </w:tc>
              <w:tc>
                <w:tcPr>
                  <w:tcW w:w="1179" w:type="dxa"/>
                  <w:shd w:val="clear" w:color="auto" w:fill="auto"/>
                  <w:vAlign w:val="center"/>
                </w:tcPr>
                <w:p w14:paraId="39BF3DBE">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b/>
                      <w:bCs/>
                      <w:color w:val="auto"/>
                      <w:kern w:val="2"/>
                      <w:sz w:val="21"/>
                      <w:szCs w:val="21"/>
                      <w:lang w:eastAsia="zh-CN"/>
                    </w:rPr>
                    <w:t>pH</w:t>
                  </w:r>
                </w:p>
              </w:tc>
              <w:tc>
                <w:tcPr>
                  <w:tcW w:w="1183" w:type="dxa"/>
                  <w:shd w:val="clear" w:color="auto" w:fill="auto"/>
                  <w:vAlign w:val="center"/>
                </w:tcPr>
                <w:p w14:paraId="4D57E9C4">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色度</w:t>
                  </w:r>
                </w:p>
                <w:p w14:paraId="50B07BDD">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（铂钴色度单位）</w:t>
                  </w:r>
                </w:p>
              </w:tc>
              <w:tc>
                <w:tcPr>
                  <w:tcW w:w="1123" w:type="dxa"/>
                  <w:shd w:val="clear" w:color="auto" w:fill="auto"/>
                  <w:vAlign w:val="center"/>
                </w:tcPr>
                <w:p w14:paraId="4D2BBBD7">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嗅</w:t>
                  </w:r>
                </w:p>
                <w:p w14:paraId="08B85AC0">
                  <w:pPr>
                    <w:jc w:val="center"/>
                    <w:rPr>
                      <w:rFonts w:hint="default" w:ascii="Times New Roman" w:hAnsi="Times New Roman" w:cs="Times New Roman"/>
                      <w:b/>
                      <w:bCs/>
                      <w:color w:val="auto"/>
                      <w:kern w:val="2"/>
                      <w:sz w:val="21"/>
                      <w:szCs w:val="21"/>
                      <w:lang w:eastAsia="zh-CN"/>
                    </w:rPr>
                  </w:pPr>
                </w:p>
              </w:tc>
              <w:tc>
                <w:tcPr>
                  <w:tcW w:w="1123" w:type="dxa"/>
                  <w:shd w:val="clear" w:color="auto" w:fill="auto"/>
                  <w:vAlign w:val="center"/>
                </w:tcPr>
                <w:p w14:paraId="1C721B55">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浊度</w:t>
                  </w:r>
                </w:p>
                <w:p w14:paraId="4AB09722">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color w:val="auto"/>
                      <w:kern w:val="2"/>
                      <w:sz w:val="21"/>
                      <w:szCs w:val="21"/>
                      <w:lang w:eastAsia="zh-CN"/>
                    </w:rPr>
                    <w:t>NTU</w:t>
                  </w:r>
                  <w:r>
                    <w:rPr>
                      <w:rFonts w:hint="default" w:ascii="Times New Roman" w:hAnsi="Times New Roman" w:cs="Times New Roman"/>
                      <w:b/>
                      <w:bCs/>
                      <w:color w:val="auto"/>
                      <w:kern w:val="2"/>
                      <w:sz w:val="21"/>
                      <w:szCs w:val="21"/>
                      <w:lang w:eastAsia="zh-CN"/>
                    </w:rPr>
                    <w:t>）</w:t>
                  </w:r>
                </w:p>
              </w:tc>
              <w:tc>
                <w:tcPr>
                  <w:tcW w:w="1124" w:type="dxa"/>
                  <w:shd w:val="clear" w:color="auto" w:fill="auto"/>
                  <w:vAlign w:val="center"/>
                </w:tcPr>
                <w:p w14:paraId="746A1CF6">
                  <w:pPr>
                    <w:jc w:val="center"/>
                    <w:rPr>
                      <w:rFonts w:hint="default" w:ascii="Times New Roman" w:hAnsi="Times New Roman" w:cs="Times New Roman"/>
                      <w:b/>
                      <w:bCs/>
                      <w:color w:val="auto"/>
                      <w:kern w:val="2"/>
                      <w:sz w:val="21"/>
                      <w:szCs w:val="21"/>
                      <w:vertAlign w:val="subscript"/>
                      <w:lang w:eastAsia="zh-CN"/>
                    </w:rPr>
                  </w:pPr>
                  <w:r>
                    <w:rPr>
                      <w:rFonts w:hint="default" w:ascii="Times New Roman" w:hAnsi="Times New Roman" w:cs="Times New Roman"/>
                      <w:b/>
                      <w:bCs/>
                      <w:color w:val="auto"/>
                      <w:kern w:val="2"/>
                      <w:sz w:val="21"/>
                      <w:szCs w:val="21"/>
                      <w:lang w:eastAsia="zh-CN"/>
                    </w:rPr>
                    <w:t>BOD</w:t>
                  </w:r>
                  <w:r>
                    <w:rPr>
                      <w:rFonts w:hint="default" w:ascii="Times New Roman" w:hAnsi="Times New Roman" w:cs="Times New Roman"/>
                      <w:b/>
                      <w:bCs/>
                      <w:color w:val="auto"/>
                      <w:kern w:val="2"/>
                      <w:sz w:val="21"/>
                      <w:szCs w:val="21"/>
                      <w:vertAlign w:val="subscript"/>
                      <w:lang w:eastAsia="zh-CN"/>
                    </w:rPr>
                    <w:t>5</w:t>
                  </w:r>
                </w:p>
                <w:p w14:paraId="343AF1DF">
                  <w:pPr>
                    <w:jc w:val="center"/>
                    <w:rPr>
                      <w:rFonts w:hint="default" w:ascii="Times New Roman" w:hAnsi="Times New Roman" w:cs="Times New Roman"/>
                      <w:b/>
                      <w:bCs/>
                      <w:color w:val="auto"/>
                      <w:kern w:val="2"/>
                      <w:sz w:val="21"/>
                      <w:szCs w:val="21"/>
                      <w:vertAlign w:val="subscript"/>
                      <w:lang w:eastAsia="zh-CN"/>
                    </w:rPr>
                  </w:pP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color w:val="auto"/>
                      <w:kern w:val="2"/>
                      <w:sz w:val="21"/>
                      <w:szCs w:val="21"/>
                      <w:lang w:eastAsia="zh-CN"/>
                    </w:rPr>
                    <w:t>mg/L</w:t>
                  </w:r>
                  <w:r>
                    <w:rPr>
                      <w:rFonts w:hint="default" w:ascii="Times New Roman" w:hAnsi="Times New Roman" w:cs="Times New Roman"/>
                      <w:b/>
                      <w:bCs/>
                      <w:color w:val="auto"/>
                      <w:kern w:val="2"/>
                      <w:sz w:val="21"/>
                      <w:szCs w:val="21"/>
                      <w:lang w:eastAsia="zh-CN"/>
                    </w:rPr>
                    <w:t>）</w:t>
                  </w:r>
                </w:p>
              </w:tc>
              <w:tc>
                <w:tcPr>
                  <w:tcW w:w="1125" w:type="dxa"/>
                  <w:shd w:val="clear" w:color="auto" w:fill="auto"/>
                  <w:vAlign w:val="center"/>
                </w:tcPr>
                <w:p w14:paraId="0B720601">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氨氮</w:t>
                  </w:r>
                </w:p>
                <w:p w14:paraId="33489DA4">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color w:val="auto"/>
                      <w:kern w:val="2"/>
                      <w:sz w:val="21"/>
                      <w:szCs w:val="21"/>
                      <w:lang w:eastAsia="zh-CN"/>
                    </w:rPr>
                    <w:t>mg/L</w:t>
                  </w:r>
                  <w:r>
                    <w:rPr>
                      <w:rFonts w:hint="default" w:ascii="Times New Roman" w:hAnsi="Times New Roman" w:cs="Times New Roman"/>
                      <w:b/>
                      <w:bCs/>
                      <w:color w:val="auto"/>
                      <w:kern w:val="2"/>
                      <w:sz w:val="21"/>
                      <w:szCs w:val="21"/>
                      <w:lang w:eastAsia="zh-CN"/>
                    </w:rPr>
                    <w:t>）</w:t>
                  </w:r>
                </w:p>
              </w:tc>
            </w:tr>
            <w:tr w14:paraId="7148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0" w:type="dxa"/>
                  <w:shd w:val="clear" w:color="auto" w:fill="auto"/>
                </w:tcPr>
                <w:p w14:paraId="7997F8DD">
                  <w:pPr>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Cs/>
                      <w:color w:val="auto"/>
                      <w:kern w:val="2"/>
                      <w:sz w:val="21"/>
                      <w:szCs w:val="21"/>
                      <w:lang w:eastAsia="zh-CN"/>
                    </w:rPr>
                    <w:t>城市绿化、道路清扫、消防、建筑施工</w:t>
                  </w:r>
                </w:p>
              </w:tc>
              <w:tc>
                <w:tcPr>
                  <w:tcW w:w="1179" w:type="dxa"/>
                  <w:shd w:val="clear" w:color="auto" w:fill="auto"/>
                  <w:vAlign w:val="center"/>
                </w:tcPr>
                <w:p w14:paraId="76A2566F">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6.0~9.0</w:t>
                  </w:r>
                </w:p>
              </w:tc>
              <w:tc>
                <w:tcPr>
                  <w:tcW w:w="1183" w:type="dxa"/>
                  <w:shd w:val="clear" w:color="auto" w:fill="auto"/>
                  <w:vAlign w:val="center"/>
                </w:tcPr>
                <w:p w14:paraId="0DBC0E3E">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≤30</w:t>
                  </w:r>
                </w:p>
              </w:tc>
              <w:tc>
                <w:tcPr>
                  <w:tcW w:w="1123" w:type="dxa"/>
                  <w:shd w:val="clear" w:color="auto" w:fill="auto"/>
                  <w:vAlign w:val="center"/>
                </w:tcPr>
                <w:p w14:paraId="1D907EFB">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无不</w:t>
                  </w:r>
                </w:p>
                <w:p w14:paraId="1C2FAA54">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快感</w:t>
                  </w:r>
                </w:p>
              </w:tc>
              <w:tc>
                <w:tcPr>
                  <w:tcW w:w="1123" w:type="dxa"/>
                  <w:shd w:val="clear" w:color="auto" w:fill="auto"/>
                  <w:vAlign w:val="center"/>
                </w:tcPr>
                <w:p w14:paraId="0E6731E7">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w:t>
                  </w:r>
                </w:p>
              </w:tc>
              <w:tc>
                <w:tcPr>
                  <w:tcW w:w="1124" w:type="dxa"/>
                  <w:shd w:val="clear" w:color="auto" w:fill="auto"/>
                  <w:vAlign w:val="center"/>
                </w:tcPr>
                <w:p w14:paraId="455DE14A">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w:t>
                  </w:r>
                </w:p>
              </w:tc>
              <w:tc>
                <w:tcPr>
                  <w:tcW w:w="1125" w:type="dxa"/>
                  <w:shd w:val="clear" w:color="auto" w:fill="auto"/>
                  <w:vAlign w:val="center"/>
                </w:tcPr>
                <w:p w14:paraId="7AB39337">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≤8</w:t>
                  </w:r>
                </w:p>
              </w:tc>
            </w:tr>
            <w:tr w14:paraId="6EC3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0" w:type="dxa"/>
                  <w:tcBorders>
                    <w:tl2br w:val="single" w:color="auto" w:sz="4" w:space="0"/>
                  </w:tcBorders>
                  <w:shd w:val="clear" w:color="auto" w:fill="auto"/>
                </w:tcPr>
                <w:p w14:paraId="3C157165">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 xml:space="preserve">    控制项目</w:t>
                  </w:r>
                </w:p>
                <w:p w14:paraId="4ADEC6DE">
                  <w:pPr>
                    <w:jc w:val="both"/>
                    <w:rPr>
                      <w:rFonts w:hint="default" w:ascii="Times New Roman" w:hAnsi="Times New Roman" w:cs="Times New Roman"/>
                      <w:b/>
                      <w:bCs/>
                      <w:color w:val="auto"/>
                      <w:kern w:val="2"/>
                      <w:sz w:val="21"/>
                      <w:szCs w:val="21"/>
                      <w:lang w:eastAsia="zh-CN"/>
                    </w:rPr>
                  </w:pPr>
                </w:p>
                <w:p w14:paraId="257BE1CB">
                  <w:pPr>
                    <w:jc w:val="both"/>
                    <w:rPr>
                      <w:rFonts w:hint="default" w:ascii="Times New Roman" w:hAnsi="Times New Roman" w:cs="Times New Roman"/>
                      <w:b/>
                      <w:bCs/>
                      <w:color w:val="auto"/>
                      <w:kern w:val="2"/>
                      <w:sz w:val="21"/>
                      <w:szCs w:val="21"/>
                      <w:lang w:eastAsia="zh-CN"/>
                    </w:rPr>
                  </w:pPr>
                </w:p>
                <w:p w14:paraId="2A5EFF8B">
                  <w:pPr>
                    <w:jc w:val="both"/>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标准类别</w:t>
                  </w:r>
                </w:p>
              </w:tc>
              <w:tc>
                <w:tcPr>
                  <w:tcW w:w="1179" w:type="dxa"/>
                  <w:shd w:val="clear" w:color="auto" w:fill="auto"/>
                  <w:vAlign w:val="center"/>
                </w:tcPr>
                <w:p w14:paraId="5C9ECA49">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阴离子表面活性剂</w:t>
                  </w:r>
                </w:p>
                <w:p w14:paraId="1C2E84B9">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color w:val="auto"/>
                      <w:kern w:val="2"/>
                      <w:sz w:val="21"/>
                      <w:szCs w:val="21"/>
                      <w:lang w:eastAsia="zh-CN"/>
                    </w:rPr>
                    <w:t>mg/L</w:t>
                  </w:r>
                  <w:r>
                    <w:rPr>
                      <w:rFonts w:hint="default" w:ascii="Times New Roman" w:hAnsi="Times New Roman" w:cs="Times New Roman"/>
                      <w:b/>
                      <w:bCs/>
                      <w:color w:val="auto"/>
                      <w:kern w:val="2"/>
                      <w:sz w:val="21"/>
                      <w:szCs w:val="21"/>
                      <w:lang w:eastAsia="zh-CN"/>
                    </w:rPr>
                    <w:t>）</w:t>
                  </w:r>
                </w:p>
              </w:tc>
              <w:tc>
                <w:tcPr>
                  <w:tcW w:w="1183" w:type="dxa"/>
                  <w:shd w:val="clear" w:color="auto" w:fill="auto"/>
                  <w:vAlign w:val="center"/>
                </w:tcPr>
                <w:p w14:paraId="0FC3B5FF">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溶解性总固体</w:t>
                  </w:r>
                </w:p>
                <w:p w14:paraId="1EFE94D5">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color w:val="auto"/>
                      <w:kern w:val="2"/>
                      <w:sz w:val="21"/>
                      <w:szCs w:val="21"/>
                      <w:lang w:eastAsia="zh-CN"/>
                    </w:rPr>
                    <w:t>mg/L</w:t>
                  </w:r>
                  <w:r>
                    <w:rPr>
                      <w:rFonts w:hint="default" w:ascii="Times New Roman" w:hAnsi="Times New Roman" w:cs="Times New Roman"/>
                      <w:b/>
                      <w:bCs/>
                      <w:color w:val="auto"/>
                      <w:kern w:val="2"/>
                      <w:sz w:val="21"/>
                      <w:szCs w:val="21"/>
                      <w:lang w:eastAsia="zh-CN"/>
                    </w:rPr>
                    <w:t>）</w:t>
                  </w:r>
                </w:p>
              </w:tc>
              <w:tc>
                <w:tcPr>
                  <w:tcW w:w="1123" w:type="dxa"/>
                  <w:shd w:val="clear" w:color="auto" w:fill="auto"/>
                  <w:vAlign w:val="center"/>
                </w:tcPr>
                <w:p w14:paraId="1386F049">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溶解氧</w:t>
                  </w:r>
                </w:p>
                <w:p w14:paraId="2C24ABE8">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color w:val="auto"/>
                      <w:kern w:val="2"/>
                      <w:sz w:val="21"/>
                      <w:szCs w:val="21"/>
                      <w:lang w:eastAsia="zh-CN"/>
                    </w:rPr>
                    <w:t>mg/L</w:t>
                  </w:r>
                  <w:r>
                    <w:rPr>
                      <w:rFonts w:hint="default" w:ascii="Times New Roman" w:hAnsi="Times New Roman" w:cs="Times New Roman"/>
                      <w:b/>
                      <w:bCs/>
                      <w:color w:val="auto"/>
                      <w:kern w:val="2"/>
                      <w:sz w:val="21"/>
                      <w:szCs w:val="21"/>
                      <w:lang w:eastAsia="zh-CN"/>
                    </w:rPr>
                    <w:t>）</w:t>
                  </w:r>
                </w:p>
              </w:tc>
              <w:tc>
                <w:tcPr>
                  <w:tcW w:w="1123" w:type="dxa"/>
                  <w:shd w:val="clear" w:color="auto" w:fill="auto"/>
                  <w:vAlign w:val="center"/>
                </w:tcPr>
                <w:p w14:paraId="645507E7">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总氯</w:t>
                  </w:r>
                </w:p>
                <w:p w14:paraId="041995C3">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color w:val="auto"/>
                      <w:kern w:val="2"/>
                      <w:sz w:val="21"/>
                      <w:szCs w:val="21"/>
                      <w:lang w:eastAsia="zh-CN"/>
                    </w:rPr>
                    <w:t>mg/L</w:t>
                  </w:r>
                  <w:r>
                    <w:rPr>
                      <w:rFonts w:hint="default" w:ascii="Times New Roman" w:hAnsi="Times New Roman" w:cs="Times New Roman"/>
                      <w:b/>
                      <w:bCs/>
                      <w:color w:val="auto"/>
                      <w:kern w:val="2"/>
                      <w:sz w:val="21"/>
                      <w:szCs w:val="21"/>
                      <w:lang w:eastAsia="zh-CN"/>
                    </w:rPr>
                    <w:t>）</w:t>
                  </w:r>
                </w:p>
              </w:tc>
              <w:tc>
                <w:tcPr>
                  <w:tcW w:w="2249" w:type="dxa"/>
                  <w:gridSpan w:val="2"/>
                  <w:shd w:val="clear" w:color="auto" w:fill="auto"/>
                  <w:vAlign w:val="center"/>
                </w:tcPr>
                <w:p w14:paraId="52FBD3FC">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大肠埃希氏菌</w:t>
                  </w:r>
                </w:p>
                <w:p w14:paraId="42AD9DF4">
                  <w:pPr>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（MPN/100</w:t>
                  </w:r>
                  <w:r>
                    <w:rPr>
                      <w:rFonts w:hint="default" w:ascii="Times New Roman" w:hAnsi="Times New Roman" w:cs="Times New Roman"/>
                      <w:b/>
                      <w:color w:val="auto"/>
                      <w:kern w:val="2"/>
                      <w:sz w:val="21"/>
                      <w:szCs w:val="21"/>
                      <w:lang w:eastAsia="zh-CN"/>
                    </w:rPr>
                    <w:t>mL或CPU</w:t>
                  </w:r>
                  <w:r>
                    <w:rPr>
                      <w:rFonts w:hint="default" w:ascii="Times New Roman" w:hAnsi="Times New Roman" w:cs="Times New Roman"/>
                      <w:b/>
                      <w:bCs/>
                      <w:color w:val="auto"/>
                      <w:kern w:val="2"/>
                      <w:sz w:val="21"/>
                      <w:szCs w:val="21"/>
                      <w:lang w:eastAsia="zh-CN"/>
                    </w:rPr>
                    <w:t>/100</w:t>
                  </w:r>
                  <w:r>
                    <w:rPr>
                      <w:rFonts w:hint="default" w:ascii="Times New Roman" w:hAnsi="Times New Roman" w:cs="Times New Roman"/>
                      <w:b/>
                      <w:color w:val="auto"/>
                      <w:kern w:val="2"/>
                      <w:sz w:val="21"/>
                      <w:szCs w:val="21"/>
                      <w:lang w:eastAsia="zh-CN"/>
                    </w:rPr>
                    <w:t>mL</w:t>
                  </w:r>
                  <w:r>
                    <w:rPr>
                      <w:rFonts w:hint="default" w:ascii="Times New Roman" w:hAnsi="Times New Roman" w:cs="Times New Roman"/>
                      <w:b/>
                      <w:bCs/>
                      <w:color w:val="auto"/>
                      <w:kern w:val="2"/>
                      <w:sz w:val="21"/>
                      <w:szCs w:val="21"/>
                      <w:lang w:eastAsia="zh-CN"/>
                    </w:rPr>
                    <w:t>）</w:t>
                  </w:r>
                </w:p>
              </w:tc>
            </w:tr>
            <w:tr w14:paraId="75B7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0" w:type="dxa"/>
                  <w:shd w:val="clear" w:color="auto" w:fill="auto"/>
                </w:tcPr>
                <w:p w14:paraId="67F34BCE">
                  <w:pPr>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Cs/>
                      <w:color w:val="auto"/>
                      <w:kern w:val="2"/>
                      <w:sz w:val="21"/>
                      <w:szCs w:val="21"/>
                      <w:lang w:eastAsia="zh-CN"/>
                    </w:rPr>
                    <w:t>城市绿化、道路清扫、消防、建筑施工</w:t>
                  </w:r>
                </w:p>
              </w:tc>
              <w:tc>
                <w:tcPr>
                  <w:tcW w:w="1179" w:type="dxa"/>
                  <w:shd w:val="clear" w:color="auto" w:fill="auto"/>
                  <w:vAlign w:val="center"/>
                </w:tcPr>
                <w:p w14:paraId="2B1A3FA2">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≤0.5</w:t>
                  </w:r>
                </w:p>
              </w:tc>
              <w:tc>
                <w:tcPr>
                  <w:tcW w:w="1183" w:type="dxa"/>
                  <w:shd w:val="clear" w:color="auto" w:fill="auto"/>
                  <w:vAlign w:val="center"/>
                </w:tcPr>
                <w:p w14:paraId="4CCC37A7">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≤1000</w:t>
                  </w:r>
                </w:p>
              </w:tc>
              <w:tc>
                <w:tcPr>
                  <w:tcW w:w="1123" w:type="dxa"/>
                  <w:shd w:val="clear" w:color="auto" w:fill="auto"/>
                  <w:vAlign w:val="center"/>
                </w:tcPr>
                <w:p w14:paraId="41C83798">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w:t>
                  </w:r>
                </w:p>
              </w:tc>
              <w:tc>
                <w:tcPr>
                  <w:tcW w:w="1123" w:type="dxa"/>
                  <w:shd w:val="clear" w:color="auto" w:fill="auto"/>
                  <w:vAlign w:val="center"/>
                </w:tcPr>
                <w:p w14:paraId="30AE3DA0">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w:t>
                  </w:r>
                </w:p>
              </w:tc>
              <w:tc>
                <w:tcPr>
                  <w:tcW w:w="2249" w:type="dxa"/>
                  <w:gridSpan w:val="2"/>
                  <w:shd w:val="clear" w:color="auto" w:fill="auto"/>
                  <w:vAlign w:val="center"/>
                </w:tcPr>
                <w:p w14:paraId="4C9C4165">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无</w:t>
                  </w:r>
                </w:p>
              </w:tc>
            </w:tr>
          </w:tbl>
          <w:p w14:paraId="1BCB573B">
            <w:pPr>
              <w:spacing w:line="360" w:lineRule="auto"/>
              <w:ind w:firstLine="482" w:firstLineChars="200"/>
              <w:rPr>
                <w:rFonts w:hint="default" w:ascii="Times New Roman" w:hAnsi="Times New Roman" w:cs="Times New Roman"/>
                <w:b/>
                <w:bCs/>
                <w:color w:val="auto"/>
                <w:sz w:val="24"/>
                <w:szCs w:val="21"/>
                <w:lang w:eastAsia="zh-CN"/>
              </w:rPr>
            </w:pPr>
            <w:r>
              <w:rPr>
                <w:rFonts w:hint="default" w:ascii="Times New Roman" w:hAnsi="Times New Roman" w:cs="Times New Roman"/>
                <w:b/>
                <w:bCs/>
                <w:color w:val="auto"/>
                <w:sz w:val="24"/>
                <w:szCs w:val="21"/>
                <w:lang w:eastAsia="zh-CN"/>
              </w:rPr>
              <w:t>四、固体废弃物</w:t>
            </w:r>
          </w:p>
          <w:p w14:paraId="658194AE">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项目一般固体废物排放执行《一般工业固体废弃物贮存和填埋污染控制标准》（GB18599-2020）中的相关规定。</w:t>
            </w:r>
          </w:p>
          <w:p w14:paraId="14F96F74">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bidi="ar"/>
              </w:rPr>
              <w:t>危险废物暂存、转移执行《危险废物贮存污染控制标准》（GB18597-2023）；</w:t>
            </w:r>
            <w:r>
              <w:rPr>
                <w:rFonts w:hint="default" w:ascii="Times New Roman" w:hAnsi="Times New Roman" w:cs="Times New Roman"/>
                <w:color w:val="auto"/>
                <w:sz w:val="24"/>
                <w:lang w:eastAsia="zh-CN"/>
              </w:rPr>
              <w:t>危险废物台账执行《危险废物管理计划和管理台账制定技术导则》</w:t>
            </w:r>
            <w:r>
              <w:rPr>
                <w:rFonts w:hint="default" w:ascii="Times New Roman" w:hAnsi="Times New Roman" w:cs="Times New Roman"/>
                <w:color w:val="auto"/>
                <w:kern w:val="2"/>
                <w:sz w:val="24"/>
                <w:lang w:eastAsia="zh-CN" w:bidi="ar"/>
              </w:rPr>
              <w:t>（JH1259-2022）；</w:t>
            </w:r>
            <w:r>
              <w:rPr>
                <w:rFonts w:hint="default" w:ascii="Times New Roman" w:hAnsi="Times New Roman" w:cs="Times New Roman"/>
                <w:color w:val="auto"/>
                <w:sz w:val="24"/>
                <w:lang w:eastAsia="zh-CN"/>
              </w:rPr>
              <w:t>危废豁免执行《国家危险废物名录（2025年版）》豁免清单</w:t>
            </w:r>
            <w:r>
              <w:rPr>
                <w:rFonts w:hint="default" w:ascii="Times New Roman" w:hAnsi="Times New Roman" w:cs="Times New Roman"/>
                <w:color w:val="auto"/>
                <w:kern w:val="2"/>
                <w:sz w:val="24"/>
                <w:lang w:eastAsia="zh-CN" w:bidi="ar"/>
              </w:rPr>
              <w:t>。</w:t>
            </w:r>
          </w:p>
        </w:tc>
      </w:tr>
      <w:tr w14:paraId="246C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1862830A">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总</w:t>
            </w:r>
          </w:p>
          <w:p w14:paraId="010929BE">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量</w:t>
            </w:r>
          </w:p>
          <w:p w14:paraId="28A73C35">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控</w:t>
            </w:r>
          </w:p>
          <w:p w14:paraId="394E8E16">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制</w:t>
            </w:r>
          </w:p>
          <w:p w14:paraId="260873EC">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指</w:t>
            </w:r>
          </w:p>
          <w:p w14:paraId="7AFACD4F">
            <w:pPr>
              <w:jc w:val="center"/>
              <w:rPr>
                <w:rFonts w:hint="default" w:ascii="Times New Roman" w:hAnsi="Times New Roman" w:cs="Times New Roman"/>
                <w:color w:val="auto"/>
                <w:kern w:val="2"/>
                <w:sz w:val="24"/>
                <w:szCs w:val="52"/>
                <w:lang w:eastAsia="zh-CN"/>
              </w:rPr>
            </w:pPr>
            <w:r>
              <w:rPr>
                <w:rFonts w:hint="default" w:ascii="Times New Roman" w:hAnsi="Times New Roman" w:cs="Times New Roman"/>
                <w:color w:val="auto"/>
                <w:kern w:val="2"/>
                <w:sz w:val="24"/>
                <w:szCs w:val="52"/>
                <w:lang w:eastAsia="zh-CN"/>
              </w:rPr>
              <w:t>标</w:t>
            </w:r>
          </w:p>
          <w:p w14:paraId="092BB768">
            <w:pPr>
              <w:jc w:val="center"/>
              <w:rPr>
                <w:rFonts w:hint="default" w:ascii="Times New Roman" w:hAnsi="Times New Roman" w:cs="Times New Roman"/>
                <w:color w:val="auto"/>
                <w:kern w:val="2"/>
                <w:sz w:val="24"/>
                <w:szCs w:val="52"/>
                <w:lang w:eastAsia="zh-CN"/>
              </w:rPr>
            </w:pPr>
          </w:p>
          <w:p w14:paraId="0CBCE532">
            <w:pPr>
              <w:jc w:val="center"/>
              <w:rPr>
                <w:rFonts w:hint="default" w:ascii="Times New Roman" w:hAnsi="Times New Roman" w:cs="Times New Roman"/>
                <w:color w:val="auto"/>
                <w:kern w:val="2"/>
                <w:sz w:val="24"/>
                <w:szCs w:val="52"/>
                <w:lang w:eastAsia="zh-CN"/>
              </w:rPr>
            </w:pPr>
          </w:p>
          <w:p w14:paraId="51AE6B7D">
            <w:pPr>
              <w:jc w:val="center"/>
              <w:rPr>
                <w:rFonts w:hint="default" w:ascii="Times New Roman" w:hAnsi="Times New Roman" w:cs="Times New Roman"/>
                <w:color w:val="auto"/>
                <w:kern w:val="2"/>
                <w:sz w:val="24"/>
                <w:szCs w:val="52"/>
                <w:lang w:eastAsia="zh-CN"/>
              </w:rPr>
            </w:pPr>
          </w:p>
          <w:p w14:paraId="592D2BB2">
            <w:pPr>
              <w:jc w:val="center"/>
              <w:rPr>
                <w:rFonts w:hint="default" w:ascii="Times New Roman" w:hAnsi="Times New Roman" w:cs="Times New Roman"/>
                <w:color w:val="auto"/>
                <w:kern w:val="2"/>
                <w:sz w:val="24"/>
                <w:szCs w:val="52"/>
                <w:lang w:eastAsia="zh-CN"/>
              </w:rPr>
            </w:pPr>
          </w:p>
          <w:p w14:paraId="4A424C46">
            <w:pPr>
              <w:jc w:val="center"/>
              <w:rPr>
                <w:rFonts w:hint="default" w:ascii="Times New Roman" w:hAnsi="Times New Roman" w:cs="Times New Roman"/>
                <w:color w:val="auto"/>
                <w:kern w:val="2"/>
                <w:sz w:val="24"/>
                <w:szCs w:val="52"/>
                <w:lang w:eastAsia="zh-CN"/>
              </w:rPr>
            </w:pPr>
          </w:p>
          <w:p w14:paraId="76896E39">
            <w:pPr>
              <w:jc w:val="center"/>
              <w:rPr>
                <w:rFonts w:hint="default" w:ascii="Times New Roman" w:hAnsi="Times New Roman" w:cs="Times New Roman"/>
                <w:color w:val="auto"/>
                <w:kern w:val="2"/>
                <w:sz w:val="24"/>
                <w:szCs w:val="52"/>
                <w:lang w:eastAsia="zh-CN"/>
              </w:rPr>
            </w:pPr>
          </w:p>
          <w:p w14:paraId="6ED65C50">
            <w:pPr>
              <w:jc w:val="center"/>
              <w:rPr>
                <w:rFonts w:hint="default" w:ascii="Times New Roman" w:hAnsi="Times New Roman" w:cs="Times New Roman"/>
                <w:color w:val="auto"/>
                <w:kern w:val="2"/>
                <w:sz w:val="24"/>
                <w:szCs w:val="52"/>
                <w:lang w:eastAsia="zh-CN"/>
              </w:rPr>
            </w:pPr>
          </w:p>
          <w:p w14:paraId="692127E8">
            <w:pPr>
              <w:jc w:val="center"/>
              <w:rPr>
                <w:rFonts w:hint="default" w:ascii="Times New Roman" w:hAnsi="Times New Roman" w:cs="Times New Roman"/>
                <w:color w:val="auto"/>
                <w:kern w:val="2"/>
                <w:sz w:val="24"/>
                <w:szCs w:val="52"/>
                <w:lang w:eastAsia="zh-CN"/>
              </w:rPr>
            </w:pPr>
          </w:p>
          <w:p w14:paraId="2385311B">
            <w:pPr>
              <w:jc w:val="both"/>
              <w:rPr>
                <w:rFonts w:hint="default" w:ascii="Times New Roman" w:hAnsi="Times New Roman" w:cs="Times New Roman"/>
                <w:color w:val="auto"/>
                <w:kern w:val="2"/>
                <w:sz w:val="24"/>
                <w:szCs w:val="52"/>
                <w:lang w:eastAsia="zh-CN"/>
              </w:rPr>
            </w:pPr>
          </w:p>
        </w:tc>
        <w:tc>
          <w:tcPr>
            <w:tcW w:w="8190" w:type="dxa"/>
            <w:vAlign w:val="center"/>
          </w:tcPr>
          <w:p w14:paraId="12F39CB2">
            <w:pPr>
              <w:spacing w:line="360" w:lineRule="auto"/>
              <w:ind w:firstLine="482" w:firstLineChars="200"/>
              <w:rPr>
                <w:rFonts w:hint="default" w:ascii="Times New Roman" w:hAnsi="Times New Roman" w:cs="Times New Roman"/>
                <w:b/>
                <w:color w:val="auto"/>
                <w:kern w:val="2"/>
                <w:sz w:val="24"/>
                <w:szCs w:val="24"/>
                <w:lang w:eastAsia="zh-CN"/>
              </w:rPr>
            </w:pPr>
            <w:r>
              <w:rPr>
                <w:rFonts w:hint="default" w:ascii="Times New Roman" w:hAnsi="Times New Roman" w:cs="Times New Roman"/>
                <w:b/>
                <w:color w:val="auto"/>
                <w:kern w:val="2"/>
                <w:sz w:val="24"/>
                <w:szCs w:val="24"/>
                <w:lang w:eastAsia="zh-CN"/>
              </w:rPr>
              <w:t>1、水污染物</w:t>
            </w:r>
          </w:p>
          <w:p w14:paraId="15C36502">
            <w:pPr>
              <w:spacing w:line="360" w:lineRule="auto"/>
              <w:ind w:firstLine="480" w:firstLineChars="200"/>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val="en-US" w:eastAsia="zh-CN"/>
              </w:rPr>
              <w:t>本项目运营期员工均不在厂区内食宿，</w:t>
            </w:r>
            <w:r>
              <w:rPr>
                <w:rFonts w:hint="default" w:ascii="Times New Roman" w:hAnsi="Times New Roman" w:cs="Times New Roman"/>
                <w:color w:val="auto"/>
                <w:sz w:val="24"/>
                <w:lang w:eastAsia="zh-CN"/>
              </w:rPr>
              <w:t>项目运营期搅拌机冲洗废水和运输车辆冲洗废水经三级沉淀池处理后循环使用，不外排，不设生产废水排放标准</w:t>
            </w:r>
            <w:r>
              <w:rPr>
                <w:rFonts w:hint="default" w:ascii="Times New Roman" w:hAnsi="Times New Roman" w:cs="Times New Roman"/>
                <w:color w:val="auto"/>
                <w:kern w:val="2"/>
                <w:sz w:val="24"/>
                <w:lang w:eastAsia="zh-CN"/>
              </w:rPr>
              <w:t>。本次评价项目不设废水总量控制指标。</w:t>
            </w:r>
          </w:p>
          <w:p w14:paraId="70C0EAE6">
            <w:pPr>
              <w:spacing w:line="360" w:lineRule="auto"/>
              <w:ind w:firstLine="482" w:firstLineChars="200"/>
              <w:rPr>
                <w:rFonts w:hint="default" w:ascii="Times New Roman" w:hAnsi="Times New Roman" w:cs="Times New Roman"/>
                <w:b/>
                <w:color w:val="auto"/>
                <w:kern w:val="2"/>
                <w:sz w:val="24"/>
                <w:szCs w:val="24"/>
                <w:lang w:eastAsia="zh-CN"/>
              </w:rPr>
            </w:pPr>
            <w:r>
              <w:rPr>
                <w:rFonts w:hint="default" w:ascii="Times New Roman" w:hAnsi="Times New Roman" w:cs="Times New Roman"/>
                <w:b/>
                <w:color w:val="auto"/>
                <w:kern w:val="2"/>
                <w:sz w:val="24"/>
                <w:szCs w:val="24"/>
                <w:lang w:eastAsia="zh-CN"/>
              </w:rPr>
              <w:t>2、大气污染物</w:t>
            </w:r>
          </w:p>
          <w:p w14:paraId="2444FB39">
            <w:pPr>
              <w:adjustRightInd w:val="0"/>
              <w:snapToGrid w:val="0"/>
              <w:spacing w:line="360" w:lineRule="auto"/>
              <w:ind w:firstLine="504"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pacing w:val="6"/>
                <w:sz w:val="24"/>
                <w:lang w:eastAsia="zh-CN"/>
              </w:rPr>
              <w:t>本项目运营期废气主要为</w:t>
            </w:r>
            <w:r>
              <w:rPr>
                <w:rFonts w:hint="default" w:ascii="Times New Roman" w:hAnsi="Times New Roman" w:cs="Times New Roman"/>
                <w:color w:val="auto"/>
                <w:spacing w:val="6"/>
                <w:sz w:val="24"/>
                <w:lang w:val="en-US" w:eastAsia="zh-CN"/>
              </w:rPr>
              <w:t>装载机上料粉尘、</w:t>
            </w:r>
            <w:r>
              <w:rPr>
                <w:rFonts w:hint="default" w:ascii="Times New Roman" w:hAnsi="Times New Roman" w:cs="Times New Roman"/>
                <w:color w:val="auto"/>
                <w:spacing w:val="6"/>
                <w:sz w:val="24"/>
                <w:lang w:eastAsia="zh-CN"/>
              </w:rPr>
              <w:t>运输</w:t>
            </w:r>
            <w:r>
              <w:rPr>
                <w:rFonts w:hint="default" w:ascii="Times New Roman" w:hAnsi="Times New Roman" w:cs="Times New Roman"/>
                <w:color w:val="auto"/>
                <w:spacing w:val="6"/>
                <w:sz w:val="24"/>
                <w:lang w:val="en-US" w:eastAsia="zh-CN"/>
              </w:rPr>
              <w:t>过程扬尘</w:t>
            </w:r>
            <w:r>
              <w:rPr>
                <w:rFonts w:hint="default" w:ascii="Times New Roman" w:hAnsi="Times New Roman" w:cs="Times New Roman"/>
                <w:color w:val="auto"/>
                <w:spacing w:val="6"/>
                <w:sz w:val="24"/>
                <w:lang w:eastAsia="zh-CN"/>
              </w:rPr>
              <w:t>、</w:t>
            </w:r>
            <w:r>
              <w:rPr>
                <w:rFonts w:hint="default" w:ascii="Times New Roman" w:hAnsi="Times New Roman" w:cs="Times New Roman"/>
                <w:color w:val="auto"/>
                <w:spacing w:val="6"/>
                <w:sz w:val="24"/>
                <w:lang w:val="en-US" w:eastAsia="zh-CN"/>
              </w:rPr>
              <w:t>原料堆场</w:t>
            </w:r>
            <w:r>
              <w:rPr>
                <w:rFonts w:hint="default" w:ascii="Times New Roman" w:hAnsi="Times New Roman" w:cs="Times New Roman"/>
                <w:color w:val="auto"/>
                <w:spacing w:val="6"/>
                <w:sz w:val="24"/>
                <w:lang w:eastAsia="zh-CN"/>
              </w:rPr>
              <w:t>粉尘、搅拌机粉尘。经计算，全厂</w:t>
            </w:r>
            <w:r>
              <w:rPr>
                <w:rFonts w:hint="default" w:ascii="Times New Roman" w:hAnsi="Times New Roman" w:cs="Times New Roman"/>
                <w:color w:val="auto"/>
                <w:spacing w:val="6"/>
                <w:sz w:val="24"/>
                <w:lang w:val="en-US" w:eastAsia="zh-CN"/>
              </w:rPr>
              <w:t>废气均为无组织排放，全厂</w:t>
            </w:r>
            <w:r>
              <w:rPr>
                <w:rFonts w:hint="default" w:ascii="Times New Roman" w:hAnsi="Times New Roman" w:cs="Times New Roman"/>
                <w:color w:val="auto"/>
                <w:spacing w:val="6"/>
                <w:sz w:val="24"/>
                <w:lang w:eastAsia="zh-CN"/>
              </w:rPr>
              <w:t>颗粒物排放量</w:t>
            </w:r>
            <w:r>
              <w:rPr>
                <w:rFonts w:hint="default" w:ascii="Times New Roman" w:hAnsi="Times New Roman" w:cs="Times New Roman"/>
                <w:color w:val="auto"/>
                <w:spacing w:val="6"/>
                <w:sz w:val="24"/>
                <w:lang w:val="en-US" w:eastAsia="zh-CN"/>
              </w:rPr>
              <w:t>5.5107</w:t>
            </w:r>
            <w:r>
              <w:rPr>
                <w:rFonts w:hint="default" w:ascii="Times New Roman" w:hAnsi="Times New Roman" w:cs="Times New Roman"/>
                <w:color w:val="auto"/>
                <w:spacing w:val="6"/>
                <w:sz w:val="24"/>
                <w:lang w:eastAsia="zh-CN"/>
              </w:rPr>
              <w:t>t/a</w:t>
            </w:r>
            <w:r>
              <w:rPr>
                <w:rFonts w:hint="default" w:ascii="Times New Roman" w:hAnsi="Times New Roman" w:cs="Times New Roman"/>
                <w:color w:val="auto"/>
                <w:sz w:val="24"/>
                <w:lang w:eastAsia="zh-CN"/>
              </w:rPr>
              <w:t>。</w:t>
            </w:r>
          </w:p>
          <w:p w14:paraId="118FD78B">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3、固体废物</w:t>
            </w:r>
          </w:p>
          <w:p w14:paraId="4E29EF6F">
            <w:pPr>
              <w:spacing w:line="360" w:lineRule="auto"/>
              <w:ind w:firstLine="480" w:firstLineChars="200"/>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1"/>
                <w:lang w:eastAsia="zh-CN"/>
              </w:rPr>
              <w:t>本项目固体废物处置率达100%。</w:t>
            </w:r>
          </w:p>
        </w:tc>
      </w:tr>
    </w:tbl>
    <w:p w14:paraId="03E9251C">
      <w:pPr>
        <w:jc w:val="center"/>
        <w:rPr>
          <w:rFonts w:hint="default" w:ascii="Times New Roman" w:hAnsi="Times New Roman" w:cs="Times New Roman"/>
          <w:color w:val="auto"/>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6BB0D20">
      <w:pPr>
        <w:pStyle w:val="4"/>
        <w:ind w:left="0"/>
        <w:jc w:val="center"/>
        <w:rPr>
          <w:rFonts w:hint="default" w:ascii="Times New Roman" w:hAnsi="Times New Roman" w:cs="Times New Roman"/>
          <w:snapToGrid w:val="0"/>
          <w:color w:val="auto"/>
          <w:lang w:eastAsia="zh-CN"/>
        </w:rPr>
      </w:pPr>
      <w:bookmarkStart w:id="35" w:name="_Toc28931"/>
      <w:r>
        <w:rPr>
          <w:rFonts w:hint="default" w:ascii="Times New Roman" w:hAnsi="Times New Roman" w:cs="Times New Roman"/>
          <w:snapToGrid w:val="0"/>
          <w:color w:val="auto"/>
          <w:lang w:eastAsia="zh-CN"/>
        </w:rPr>
        <w:t>四、主要环境影响和保护措施</w:t>
      </w:r>
      <w:bookmarkEnd w:id="35"/>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487"/>
      </w:tblGrid>
      <w:tr w14:paraId="1F14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84" w:type="dxa"/>
            <w:tcMar>
              <w:left w:w="28" w:type="dxa"/>
              <w:right w:w="28" w:type="dxa"/>
            </w:tcMar>
            <w:vAlign w:val="center"/>
          </w:tcPr>
          <w:p w14:paraId="412855DD">
            <w:pPr>
              <w:pStyle w:val="27"/>
              <w:rPr>
                <w:rFonts w:hint="default" w:ascii="Times New Roman" w:hAnsi="Times New Roman" w:cs="Times New Roman"/>
                <w:color w:val="auto"/>
                <w:sz w:val="24"/>
              </w:rPr>
            </w:pPr>
            <w:r>
              <w:rPr>
                <w:rFonts w:hint="default" w:ascii="Times New Roman" w:hAnsi="Times New Roman" w:cs="Times New Roman"/>
                <w:color w:val="auto"/>
                <w:sz w:val="24"/>
              </w:rPr>
              <w:t>施</w:t>
            </w:r>
          </w:p>
          <w:p w14:paraId="6D10CB07">
            <w:pPr>
              <w:pStyle w:val="27"/>
              <w:rPr>
                <w:rFonts w:hint="default" w:ascii="Times New Roman" w:hAnsi="Times New Roman" w:cs="Times New Roman"/>
                <w:color w:val="auto"/>
                <w:sz w:val="24"/>
              </w:rPr>
            </w:pPr>
            <w:r>
              <w:rPr>
                <w:rFonts w:hint="default" w:ascii="Times New Roman" w:hAnsi="Times New Roman" w:cs="Times New Roman"/>
                <w:color w:val="auto"/>
                <w:sz w:val="24"/>
              </w:rPr>
              <w:t>工</w:t>
            </w:r>
          </w:p>
          <w:p w14:paraId="652C1668">
            <w:pPr>
              <w:pStyle w:val="27"/>
              <w:rPr>
                <w:rFonts w:hint="default" w:ascii="Times New Roman" w:hAnsi="Times New Roman" w:cs="Times New Roman"/>
                <w:color w:val="auto"/>
                <w:sz w:val="24"/>
              </w:rPr>
            </w:pPr>
            <w:r>
              <w:rPr>
                <w:rFonts w:hint="default" w:ascii="Times New Roman" w:hAnsi="Times New Roman" w:cs="Times New Roman"/>
                <w:color w:val="auto"/>
                <w:sz w:val="24"/>
              </w:rPr>
              <w:t>期</w:t>
            </w:r>
          </w:p>
          <w:p w14:paraId="0516D55F">
            <w:pPr>
              <w:pStyle w:val="27"/>
              <w:rPr>
                <w:rFonts w:hint="default" w:ascii="Times New Roman" w:hAnsi="Times New Roman" w:cs="Times New Roman"/>
                <w:color w:val="auto"/>
                <w:sz w:val="24"/>
              </w:rPr>
            </w:pPr>
            <w:r>
              <w:rPr>
                <w:rFonts w:hint="default" w:ascii="Times New Roman" w:hAnsi="Times New Roman" w:cs="Times New Roman"/>
                <w:color w:val="auto"/>
                <w:sz w:val="24"/>
              </w:rPr>
              <w:t>环</w:t>
            </w:r>
          </w:p>
          <w:p w14:paraId="4C0C3C7A">
            <w:pPr>
              <w:pStyle w:val="27"/>
              <w:rPr>
                <w:rFonts w:hint="default" w:ascii="Times New Roman" w:hAnsi="Times New Roman" w:cs="Times New Roman"/>
                <w:color w:val="auto"/>
                <w:sz w:val="24"/>
              </w:rPr>
            </w:pPr>
            <w:r>
              <w:rPr>
                <w:rFonts w:hint="default" w:ascii="Times New Roman" w:hAnsi="Times New Roman" w:cs="Times New Roman"/>
                <w:color w:val="auto"/>
                <w:sz w:val="24"/>
              </w:rPr>
              <w:t>境</w:t>
            </w:r>
          </w:p>
          <w:p w14:paraId="78677E4D">
            <w:pPr>
              <w:pStyle w:val="27"/>
              <w:rPr>
                <w:rFonts w:hint="default" w:ascii="Times New Roman" w:hAnsi="Times New Roman" w:cs="Times New Roman"/>
                <w:color w:val="auto"/>
                <w:sz w:val="24"/>
              </w:rPr>
            </w:pPr>
            <w:r>
              <w:rPr>
                <w:rFonts w:hint="default" w:ascii="Times New Roman" w:hAnsi="Times New Roman" w:cs="Times New Roman"/>
                <w:color w:val="auto"/>
                <w:sz w:val="24"/>
              </w:rPr>
              <w:t>保</w:t>
            </w:r>
          </w:p>
          <w:p w14:paraId="41664F3E">
            <w:pPr>
              <w:pStyle w:val="27"/>
              <w:rPr>
                <w:rFonts w:hint="default" w:ascii="Times New Roman" w:hAnsi="Times New Roman" w:cs="Times New Roman"/>
                <w:color w:val="auto"/>
                <w:sz w:val="24"/>
              </w:rPr>
            </w:pPr>
            <w:r>
              <w:rPr>
                <w:rFonts w:hint="default" w:ascii="Times New Roman" w:hAnsi="Times New Roman" w:cs="Times New Roman"/>
                <w:color w:val="auto"/>
                <w:sz w:val="24"/>
              </w:rPr>
              <w:t>护</w:t>
            </w:r>
          </w:p>
          <w:p w14:paraId="326BE99D">
            <w:pPr>
              <w:pStyle w:val="27"/>
              <w:rPr>
                <w:rFonts w:hint="default" w:ascii="Times New Roman" w:hAnsi="Times New Roman" w:cs="Times New Roman"/>
                <w:color w:val="auto"/>
                <w:sz w:val="24"/>
              </w:rPr>
            </w:pPr>
            <w:r>
              <w:rPr>
                <w:rFonts w:hint="default" w:ascii="Times New Roman" w:hAnsi="Times New Roman" w:cs="Times New Roman"/>
                <w:color w:val="auto"/>
                <w:sz w:val="24"/>
              </w:rPr>
              <w:t>措</w:t>
            </w:r>
          </w:p>
          <w:p w14:paraId="1F405579">
            <w:pPr>
              <w:pStyle w:val="27"/>
              <w:rPr>
                <w:rFonts w:hint="default" w:ascii="Times New Roman" w:hAnsi="Times New Roman" w:cs="Times New Roman"/>
                <w:bCs/>
                <w:color w:val="auto"/>
              </w:rPr>
            </w:pPr>
            <w:r>
              <w:rPr>
                <w:rFonts w:hint="default" w:ascii="Times New Roman" w:hAnsi="Times New Roman" w:cs="Times New Roman"/>
                <w:color w:val="auto"/>
                <w:sz w:val="24"/>
              </w:rPr>
              <w:t>施</w:t>
            </w:r>
          </w:p>
        </w:tc>
        <w:tc>
          <w:tcPr>
            <w:tcW w:w="8487" w:type="dxa"/>
            <w:vAlign w:val="center"/>
          </w:tcPr>
          <w:p w14:paraId="5FE669EB">
            <w:pPr>
              <w:spacing w:line="360" w:lineRule="auto"/>
              <w:ind w:firstLine="482" w:firstLineChars="200"/>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一、施工期废气治理措施</w:t>
            </w:r>
          </w:p>
          <w:p w14:paraId="48B60581">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项目施工期废气主要是施工扬尘、焊接烟尘、装修废气、车辆及机械尾气等，针对项目施工期废气产污特点，项目施工期采取以下措施进行废气防治：</w:t>
            </w:r>
          </w:p>
          <w:p w14:paraId="2AEC79D2">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（1）在施工场地安排专门员工对施工场地洒水以减少扬尘量，若遇到大风或干燥天气要适当增加洒水次数且停止土方作业；</w:t>
            </w:r>
          </w:p>
          <w:p w14:paraId="0B22815D">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（2）施工过程中使用水泥、石灰、砂石、涂料等易产生扬尘的建筑材料不应露天堆放，应采取加盖篷布遮盖；</w:t>
            </w:r>
          </w:p>
          <w:p w14:paraId="2F41AFBD">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（3）施工过程中产生的弃土、弃料及其它建筑垃圾应及时清运，若在工地内堆置超过一周的，则应采取覆盖防尘布、防尘网，定期喷水降尘等措施；</w:t>
            </w:r>
          </w:p>
          <w:p w14:paraId="67700B4F">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（4）加强进出工地的物料、渣土、垃圾运输车辆管理，尽可能采用密闭车斗或加盖篷布遮盖；</w:t>
            </w:r>
          </w:p>
          <w:p w14:paraId="35CF4540">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（5）在施工装修阶段，选择市场上合法、合规厂家生产的装修材料（包括腻子粉、涂料等）。</w:t>
            </w:r>
          </w:p>
          <w:p w14:paraId="6F16860C">
            <w:pPr>
              <w:spacing w:line="360" w:lineRule="auto"/>
              <w:ind w:firstLine="482" w:firstLineChars="200"/>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二、施工期废水防治措施</w:t>
            </w:r>
          </w:p>
          <w:p w14:paraId="7EE25ED0">
            <w:pPr>
              <w:spacing w:line="360"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zh-CN" w:eastAsia="zh-CN"/>
              </w:rPr>
              <w:t>施工废水来源于现场施工机械冲洗废水和施工阶段产生的泥浆废水。施工机械冲洗废水排放量小，冲洗废水主要是</w:t>
            </w:r>
            <w:r>
              <w:rPr>
                <w:rFonts w:hint="default" w:ascii="Times New Roman" w:hAnsi="Times New Roman" w:cs="Times New Roman"/>
                <w:color w:val="auto"/>
                <w:sz w:val="24"/>
                <w:szCs w:val="24"/>
                <w:lang w:val="en-US" w:eastAsia="zh-CN"/>
              </w:rPr>
              <w:t>砂石</w:t>
            </w:r>
            <w:r>
              <w:rPr>
                <w:rFonts w:hint="default" w:ascii="Times New Roman" w:hAnsi="Times New Roman" w:cs="Times New Roman"/>
                <w:color w:val="auto"/>
                <w:sz w:val="24"/>
                <w:szCs w:val="24"/>
                <w:lang w:val="zh-CN" w:eastAsia="zh-CN"/>
              </w:rPr>
              <w:t>碎粒、沙土构成的悬浮物污染。泥浆废水是一种含有微细颗粒的悬浮混浊液体，外观呈土灰色，比重1.20-1.46，含泥量30-50%，pH值约6-7，如果施工阶段不进行严格管理，将对施工场产生一定影响。为减少施工期间废水的污染，施工人员进入到现场后，在建设临时设施后，应设置临时沉淀池处理设施。将施工废水收集进</w:t>
            </w:r>
            <w:r>
              <w:rPr>
                <w:rFonts w:hint="default" w:ascii="Times New Roman" w:hAnsi="Times New Roman" w:cs="Times New Roman"/>
                <w:color w:val="auto"/>
                <w:sz w:val="24"/>
                <w:szCs w:val="24"/>
                <w:lang w:val="en-US" w:eastAsia="zh-CN"/>
              </w:rPr>
              <w:t>临时</w:t>
            </w:r>
            <w:r>
              <w:rPr>
                <w:rFonts w:hint="default" w:ascii="Times New Roman" w:hAnsi="Times New Roman" w:cs="Times New Roman"/>
                <w:color w:val="auto"/>
                <w:sz w:val="24"/>
                <w:szCs w:val="24"/>
                <w:lang w:val="zh-CN" w:eastAsia="zh-CN"/>
              </w:rPr>
              <w:t>沉淀池中，施工机械冲洗水经沉淀池处理后回用与洒水、降尘等，不外排。</w:t>
            </w:r>
            <w:r>
              <w:rPr>
                <w:rFonts w:hint="default" w:ascii="Times New Roman" w:hAnsi="Times New Roman" w:cs="Times New Roman"/>
                <w:color w:val="auto"/>
                <w:sz w:val="24"/>
                <w:szCs w:val="24"/>
                <w:lang w:val="en-US" w:eastAsia="zh-CN"/>
              </w:rPr>
              <w:t>施工期施工人员产生的生活污水经临时沉淀池沉淀处理后</w:t>
            </w:r>
            <w:r>
              <w:rPr>
                <w:rFonts w:hint="default" w:ascii="Times New Roman" w:hAnsi="Times New Roman" w:cs="Times New Roman"/>
                <w:color w:val="auto"/>
                <w:sz w:val="24"/>
                <w:szCs w:val="24"/>
                <w:lang w:val="zh-CN" w:eastAsia="zh-CN"/>
              </w:rPr>
              <w:t>回用与洒水、降尘等，不外排。</w:t>
            </w:r>
          </w:p>
          <w:p w14:paraId="7DE4276F">
            <w:pPr>
              <w:spacing w:line="360" w:lineRule="auto"/>
              <w:ind w:firstLine="482" w:firstLineChars="200"/>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三、施工期噪声防治措施</w:t>
            </w:r>
          </w:p>
          <w:p w14:paraId="342C7B54">
            <w:pPr>
              <w:spacing w:line="360" w:lineRule="auto"/>
              <w:ind w:firstLine="480" w:firstLineChars="200"/>
              <w:jc w:val="both"/>
              <w:rPr>
                <w:rFonts w:hint="default" w:ascii="Times New Roman" w:hAnsi="Times New Roman" w:cs="Times New Roman"/>
                <w:color w:val="auto"/>
                <w:sz w:val="24"/>
                <w:szCs w:val="24"/>
                <w:lang w:val="zh-CN" w:eastAsia="zh-CN"/>
              </w:rPr>
            </w:pPr>
            <w:r>
              <w:rPr>
                <w:rFonts w:hint="default" w:ascii="Times New Roman" w:hAnsi="Times New Roman" w:cs="Times New Roman"/>
                <w:color w:val="auto"/>
                <w:sz w:val="24"/>
                <w:szCs w:val="24"/>
                <w:lang w:val="zh-CN" w:eastAsia="zh-CN"/>
              </w:rPr>
              <w:t>项目施工期噪声主要为运输车辆噪声及设备安装调试时产生的噪声，噪声具有间歇性且持续时间较短，且施工期较短，随着施工期的结束，施工期噪声的影响也随之消失，对周围环境的影响不大。为减缓施工噪声的影响，本环评提出如下措施：</w:t>
            </w:r>
          </w:p>
          <w:p w14:paraId="710F2BEA">
            <w:pPr>
              <w:spacing w:line="360" w:lineRule="auto"/>
              <w:ind w:firstLine="480" w:firstLineChars="200"/>
              <w:jc w:val="both"/>
              <w:rPr>
                <w:rFonts w:hint="default" w:ascii="Times New Roman" w:hAnsi="Times New Roman" w:cs="Times New Roman"/>
                <w:color w:val="auto"/>
                <w:sz w:val="24"/>
                <w:szCs w:val="24"/>
                <w:lang w:val="zh-CN" w:eastAsia="zh-CN"/>
              </w:rPr>
            </w:pPr>
            <w:r>
              <w:rPr>
                <w:rFonts w:hint="default" w:ascii="Times New Roman" w:hAnsi="Times New Roman" w:cs="Times New Roman"/>
                <w:color w:val="auto"/>
                <w:sz w:val="24"/>
                <w:szCs w:val="24"/>
                <w:lang w:eastAsia="zh-CN"/>
              </w:rPr>
              <w:t>（1）</w:t>
            </w:r>
            <w:r>
              <w:rPr>
                <w:rFonts w:hint="default" w:ascii="Times New Roman" w:hAnsi="Times New Roman" w:cs="Times New Roman"/>
                <w:color w:val="auto"/>
                <w:sz w:val="24"/>
                <w:szCs w:val="24"/>
                <w:lang w:val="zh-CN" w:eastAsia="zh-CN"/>
              </w:rPr>
              <w:t>合理布置施工现场，应尽量避免在施工现场的同一地点安排大量的高噪声设备，造成局部声级过高；</w:t>
            </w:r>
          </w:p>
          <w:p w14:paraId="341B0288">
            <w:pPr>
              <w:spacing w:line="360" w:lineRule="auto"/>
              <w:ind w:firstLine="480" w:firstLineChars="200"/>
              <w:jc w:val="both"/>
              <w:rPr>
                <w:rFonts w:hint="default" w:ascii="Times New Roman" w:hAnsi="Times New Roman" w:cs="Times New Roman"/>
                <w:color w:val="auto"/>
                <w:sz w:val="24"/>
                <w:szCs w:val="24"/>
                <w:lang w:val="zh-CN" w:eastAsia="zh-CN"/>
              </w:rPr>
            </w:pPr>
            <w:r>
              <w:rPr>
                <w:rFonts w:hint="default" w:ascii="Times New Roman" w:hAnsi="Times New Roman" w:cs="Times New Roman"/>
                <w:color w:val="auto"/>
                <w:sz w:val="24"/>
                <w:szCs w:val="24"/>
                <w:lang w:val="zh-CN" w:eastAsia="zh-CN"/>
              </w:rPr>
              <w:t>（2）施工方应对物件装卸、搬运轻拿轻放，严禁抛掷；</w:t>
            </w:r>
          </w:p>
          <w:p w14:paraId="4A12BB2F">
            <w:pPr>
              <w:spacing w:line="360" w:lineRule="auto"/>
              <w:ind w:firstLine="480" w:firstLineChars="200"/>
              <w:jc w:val="both"/>
              <w:rPr>
                <w:rFonts w:hint="default" w:ascii="Times New Roman" w:hAnsi="Times New Roman" w:cs="Times New Roman"/>
                <w:color w:val="auto"/>
                <w:sz w:val="24"/>
                <w:szCs w:val="24"/>
                <w:lang w:val="zh-CN" w:eastAsia="zh-CN"/>
              </w:rPr>
            </w:pPr>
            <w:r>
              <w:rPr>
                <w:rFonts w:hint="default" w:ascii="Times New Roman" w:hAnsi="Times New Roman" w:cs="Times New Roman"/>
                <w:color w:val="auto"/>
                <w:sz w:val="24"/>
                <w:szCs w:val="24"/>
                <w:lang w:val="zh-CN" w:eastAsia="zh-CN"/>
              </w:rPr>
              <w:t>（3）施工方应合理安排施工时间（禁止在昼间12:00～14:00、夜间22:00～6:00施工）；</w:t>
            </w:r>
          </w:p>
          <w:p w14:paraId="2B509B43">
            <w:pPr>
              <w:spacing w:line="360" w:lineRule="auto"/>
              <w:ind w:firstLine="480" w:firstLineChars="200"/>
              <w:jc w:val="both"/>
              <w:rPr>
                <w:rFonts w:hint="default" w:ascii="Times New Roman" w:hAnsi="Times New Roman" w:cs="Times New Roman"/>
                <w:color w:val="auto"/>
                <w:sz w:val="24"/>
                <w:szCs w:val="24"/>
                <w:lang w:val="zh-CN" w:eastAsia="zh-CN"/>
              </w:rPr>
            </w:pPr>
            <w:r>
              <w:rPr>
                <w:rFonts w:hint="default" w:ascii="Times New Roman" w:hAnsi="Times New Roman" w:cs="Times New Roman"/>
                <w:color w:val="auto"/>
                <w:sz w:val="24"/>
                <w:szCs w:val="24"/>
                <w:lang w:val="zh-CN" w:eastAsia="zh-CN"/>
              </w:rPr>
              <w:t>（4）对动力机械设备定期进行维修和养护，避免因松动部件振动或消声器损坏而加大设备工作时的声级。</w:t>
            </w:r>
          </w:p>
          <w:p w14:paraId="7EF335B1">
            <w:pPr>
              <w:spacing w:line="360" w:lineRule="auto"/>
              <w:ind w:firstLine="482" w:firstLineChars="200"/>
              <w:jc w:val="both"/>
              <w:rPr>
                <w:rFonts w:hint="default" w:ascii="Times New Roman" w:hAnsi="Times New Roman" w:cs="Times New Roman"/>
                <w:b/>
                <w:bCs/>
                <w:color w:val="auto"/>
                <w:sz w:val="24"/>
                <w:szCs w:val="24"/>
                <w:lang w:val="zh-CN" w:eastAsia="zh-CN"/>
              </w:rPr>
            </w:pPr>
            <w:r>
              <w:rPr>
                <w:rFonts w:hint="default" w:ascii="Times New Roman" w:hAnsi="Times New Roman" w:cs="Times New Roman"/>
                <w:b/>
                <w:bCs/>
                <w:color w:val="auto"/>
                <w:sz w:val="24"/>
                <w:szCs w:val="24"/>
                <w:lang w:val="zh-CN" w:eastAsia="zh-CN"/>
              </w:rPr>
              <w:t>四、施工期固废防治措施</w:t>
            </w:r>
          </w:p>
          <w:p w14:paraId="1B9297A1">
            <w:pPr>
              <w:pStyle w:val="29"/>
              <w:ind w:firstLine="480"/>
              <w:rPr>
                <w:rFonts w:hint="default" w:ascii="Times New Roman" w:hAnsi="Times New Roman" w:cs="Times New Roman"/>
                <w:color w:val="auto"/>
              </w:rPr>
            </w:pPr>
            <w:r>
              <w:rPr>
                <w:rFonts w:hint="default" w:ascii="Times New Roman" w:hAnsi="Times New Roman" w:cs="Times New Roman"/>
                <w:color w:val="auto"/>
              </w:rPr>
              <w:t>项目施工期固体废弃物主要有施工人员生活垃圾、建筑垃圾和废包装材料。</w:t>
            </w:r>
          </w:p>
          <w:p w14:paraId="509A1E2A">
            <w:pPr>
              <w:pStyle w:val="29"/>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GB2 </w:instrText>
            </w:r>
            <w:r>
              <w:rPr>
                <w:rFonts w:hint="default" w:ascii="Times New Roman" w:hAnsi="Times New Roman" w:cs="Times New Roman"/>
                <w:color w:val="auto"/>
              </w:rPr>
              <w:fldChar w:fldCharType="separate"/>
            </w:r>
            <w:r>
              <w:rPr>
                <w:rFonts w:hint="default" w:ascii="Times New Roman" w:hAnsi="Times New Roman" w:cs="Times New Roman"/>
                <w:color w:val="auto"/>
              </w:rPr>
              <w:t>⑴</w:t>
            </w:r>
            <w:r>
              <w:rPr>
                <w:rFonts w:hint="default" w:ascii="Times New Roman" w:hAnsi="Times New Roman" w:cs="Times New Roman"/>
                <w:color w:val="auto"/>
              </w:rPr>
              <w:fldChar w:fldCharType="end"/>
            </w:r>
            <w:r>
              <w:rPr>
                <w:rFonts w:hint="default" w:ascii="Times New Roman" w:hAnsi="Times New Roman" w:cs="Times New Roman"/>
                <w:color w:val="auto"/>
              </w:rPr>
              <w:t>生活垃圾</w:t>
            </w:r>
          </w:p>
          <w:p w14:paraId="7DB40A34">
            <w:pPr>
              <w:pStyle w:val="29"/>
              <w:ind w:firstLine="480"/>
              <w:rPr>
                <w:rFonts w:hint="default" w:ascii="Times New Roman" w:hAnsi="Times New Roman" w:cs="Times New Roman"/>
                <w:color w:val="auto"/>
              </w:rPr>
            </w:pPr>
            <w:r>
              <w:rPr>
                <w:rFonts w:hint="default" w:ascii="Times New Roman" w:hAnsi="Times New Roman" w:cs="Times New Roman"/>
                <w:color w:val="auto"/>
              </w:rPr>
              <w:t>项目施工人员共</w:t>
            </w:r>
            <w:r>
              <w:rPr>
                <w:rFonts w:hint="default" w:ascii="Times New Roman" w:hAnsi="Times New Roman" w:cs="Times New Roman"/>
                <w:color w:val="auto"/>
                <w:lang w:val="en-US" w:eastAsia="zh-CN"/>
              </w:rPr>
              <w:t>30</w:t>
            </w:r>
            <w:r>
              <w:rPr>
                <w:rFonts w:hint="default" w:ascii="Times New Roman" w:hAnsi="Times New Roman" w:cs="Times New Roman"/>
                <w:color w:val="auto"/>
              </w:rPr>
              <w:t>人，生活垃圾产生量按人均0.2kg/d 计，则生活垃圾产生量为</w:t>
            </w:r>
            <w:r>
              <w:rPr>
                <w:rFonts w:hint="default" w:ascii="Times New Roman" w:hAnsi="Times New Roman" w:cs="Times New Roman"/>
                <w:color w:val="auto"/>
                <w:lang w:val="en-US" w:eastAsia="zh-CN"/>
              </w:rPr>
              <w:t>6</w:t>
            </w:r>
            <w:r>
              <w:rPr>
                <w:rFonts w:hint="default" w:ascii="Times New Roman" w:hAnsi="Times New Roman" w:cs="Times New Roman"/>
                <w:color w:val="auto"/>
              </w:rPr>
              <w:t>kg/d， 经厂区垃圾桶收集后清运至附近村庄生活垃圾收集点，由当地环卫部门清运处置。</w:t>
            </w:r>
          </w:p>
          <w:p w14:paraId="40B73C03">
            <w:pPr>
              <w:pStyle w:val="29"/>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GB2 </w:instrText>
            </w:r>
            <w:r>
              <w:rPr>
                <w:rFonts w:hint="default" w:ascii="Times New Roman" w:hAnsi="Times New Roman" w:cs="Times New Roman"/>
                <w:color w:val="auto"/>
              </w:rPr>
              <w:fldChar w:fldCharType="separate"/>
            </w:r>
            <w:r>
              <w:rPr>
                <w:rFonts w:hint="default" w:ascii="Times New Roman" w:hAnsi="Times New Roman" w:cs="Times New Roman"/>
                <w:color w:val="auto"/>
              </w:rPr>
              <w:t>⑵</w:t>
            </w:r>
            <w:r>
              <w:rPr>
                <w:rFonts w:hint="default" w:ascii="Times New Roman" w:hAnsi="Times New Roman" w:cs="Times New Roman"/>
                <w:color w:val="auto"/>
              </w:rPr>
              <w:fldChar w:fldCharType="end"/>
            </w:r>
            <w:r>
              <w:rPr>
                <w:rFonts w:hint="default" w:ascii="Times New Roman" w:hAnsi="Times New Roman" w:cs="Times New Roman"/>
                <w:color w:val="auto"/>
              </w:rPr>
              <w:t>建筑垃圾</w:t>
            </w:r>
          </w:p>
          <w:p w14:paraId="0C9DD5AF">
            <w:pPr>
              <w:pStyle w:val="29"/>
              <w:ind w:firstLine="480"/>
              <w:rPr>
                <w:rFonts w:hint="default" w:ascii="Times New Roman" w:hAnsi="Times New Roman" w:cs="Times New Roman"/>
                <w:color w:val="auto"/>
              </w:rPr>
            </w:pPr>
            <w:r>
              <w:rPr>
                <w:rFonts w:hint="default" w:ascii="Times New Roman" w:hAnsi="Times New Roman" w:cs="Times New Roman"/>
                <w:color w:val="auto"/>
              </w:rPr>
              <w:t>项目施工期建筑垃圾主要为装修生活办公区、新建污水处理站、雨水收集池等过程产生，施工期建筑垃圾主要有钢架、板材边角料和废弃砖块等。项目施工期建筑垃圾产生量约为0.5t，将建筑垃圾进行统一收集后进行分类处理，分别捡出具有回收价值的建筑材料，送废品收购站回收利用；无回收价值的，运往新平县建筑垃圾填埋场处理。</w:t>
            </w:r>
          </w:p>
          <w:p w14:paraId="30BC5178">
            <w:pPr>
              <w:pStyle w:val="29"/>
              <w:ind w:firstLine="480"/>
              <w:rPr>
                <w:rFonts w:hint="default" w:ascii="Times New Roman" w:hAnsi="Times New Roman" w:cs="Times New Roman"/>
                <w:color w:val="auto"/>
              </w:rPr>
            </w:pPr>
            <w:r>
              <w:rPr>
                <w:rFonts w:hint="default" w:ascii="Times New Roman" w:hAnsi="Times New Roman" w:cs="Times New Roman"/>
                <w:color w:val="auto"/>
              </w:rPr>
              <w:t>3、废包装材料</w:t>
            </w:r>
          </w:p>
          <w:p w14:paraId="6C2EC642">
            <w:pPr>
              <w:pStyle w:val="29"/>
              <w:ind w:firstLine="480"/>
              <w:rPr>
                <w:rFonts w:hint="default" w:ascii="Times New Roman" w:hAnsi="Times New Roman" w:cs="Times New Roman"/>
                <w:color w:val="auto"/>
              </w:rPr>
            </w:pPr>
            <w:r>
              <w:rPr>
                <w:rFonts w:hint="default" w:ascii="Times New Roman" w:hAnsi="Times New Roman" w:cs="Times New Roman"/>
                <w:color w:val="auto"/>
              </w:rPr>
              <w:t>施工期设备安装会产生少量的废弃包装材料，产生量约为0.2t。废弃包装材料能回收利用的回收利用，不可回收的清运至附近村庄垃圾收集点，由环卫部门清运处置。</w:t>
            </w:r>
          </w:p>
          <w:p w14:paraId="21E6E843">
            <w:pPr>
              <w:pStyle w:val="29"/>
              <w:ind w:firstLine="480"/>
              <w:rPr>
                <w:rFonts w:hint="default" w:ascii="Times New Roman" w:hAnsi="Times New Roman" w:cs="Times New Roman"/>
                <w:color w:val="auto"/>
                <w:lang w:val="zh-CN"/>
              </w:rPr>
            </w:pPr>
            <w:r>
              <w:rPr>
                <w:rFonts w:hint="default" w:ascii="Times New Roman" w:hAnsi="Times New Roman" w:cs="Times New Roman"/>
                <w:color w:val="auto"/>
              </w:rPr>
              <w:t>综上，项目施工期产生的固体废弃物通过回收利用、集中收集处置，固废处置率100%，对周边环境的影响可接受，且随施工结束而终止。</w:t>
            </w:r>
          </w:p>
          <w:p w14:paraId="753B625D">
            <w:pPr>
              <w:spacing w:line="360" w:lineRule="auto"/>
              <w:ind w:firstLine="482" w:firstLineChars="200"/>
              <w:jc w:val="both"/>
              <w:rPr>
                <w:rFonts w:hint="default" w:ascii="Times New Roman" w:hAnsi="Times New Roman" w:cs="Times New Roman"/>
                <w:b/>
                <w:bCs/>
                <w:color w:val="auto"/>
                <w:sz w:val="24"/>
                <w:szCs w:val="24"/>
                <w:lang w:val="zh-CN" w:eastAsia="zh-CN"/>
              </w:rPr>
            </w:pPr>
            <w:r>
              <w:rPr>
                <w:rFonts w:hint="default" w:ascii="Times New Roman" w:hAnsi="Times New Roman" w:cs="Times New Roman"/>
                <w:b/>
                <w:bCs/>
                <w:color w:val="auto"/>
                <w:sz w:val="24"/>
                <w:szCs w:val="24"/>
                <w:lang w:val="zh-CN" w:eastAsia="zh-CN"/>
              </w:rPr>
              <w:t>五、生态影响分析</w:t>
            </w:r>
          </w:p>
          <w:p w14:paraId="4F060540">
            <w:pPr>
              <w:spacing w:line="360" w:lineRule="auto"/>
              <w:ind w:firstLine="480" w:firstLineChars="200"/>
              <w:jc w:val="both"/>
              <w:rPr>
                <w:rFonts w:hint="default" w:ascii="Times New Roman" w:hAnsi="Times New Roman" w:cs="Times New Roman"/>
                <w:color w:val="auto"/>
                <w:kern w:val="2"/>
                <w:sz w:val="24"/>
                <w:szCs w:val="24"/>
                <w:lang w:val="zh-CN" w:eastAsia="zh-CN"/>
              </w:rPr>
            </w:pPr>
            <w:r>
              <w:rPr>
                <w:rFonts w:hint="default" w:ascii="Times New Roman" w:hAnsi="Times New Roman" w:cs="Times New Roman"/>
                <w:color w:val="auto"/>
                <w:kern w:val="2"/>
                <w:sz w:val="24"/>
                <w:szCs w:val="24"/>
                <w:lang w:eastAsia="zh-CN"/>
              </w:rPr>
              <w:t>根据现场踏勘，项目区呈不规则的多边形。现状占地类型主要为</w:t>
            </w:r>
            <w:r>
              <w:rPr>
                <w:rFonts w:hint="default" w:ascii="Times New Roman" w:hAnsi="Times New Roman" w:cs="Times New Roman"/>
                <w:color w:val="auto"/>
                <w:kern w:val="2"/>
                <w:sz w:val="24"/>
                <w:szCs w:val="24"/>
                <w:lang w:val="en-US" w:eastAsia="zh-CN"/>
              </w:rPr>
              <w:t>建设用地</w:t>
            </w:r>
            <w:r>
              <w:rPr>
                <w:rFonts w:hint="default" w:ascii="Times New Roman" w:hAnsi="Times New Roman" w:cs="Times New Roman"/>
                <w:color w:val="auto"/>
                <w:kern w:val="2"/>
                <w:sz w:val="24"/>
                <w:szCs w:val="24"/>
                <w:lang w:eastAsia="zh-CN"/>
              </w:rPr>
              <w:t>，项目的建设不会导致区域的生态环境质量下降，影响较小</w:t>
            </w:r>
            <w:r>
              <w:rPr>
                <w:rFonts w:hint="default" w:ascii="Times New Roman" w:hAnsi="Times New Roman" w:cs="Times New Roman"/>
                <w:color w:val="auto"/>
                <w:kern w:val="2"/>
                <w:sz w:val="24"/>
                <w:szCs w:val="24"/>
                <w:lang w:val="zh-CN" w:eastAsia="zh-CN"/>
              </w:rPr>
              <w:t>。</w:t>
            </w:r>
          </w:p>
          <w:p w14:paraId="6EF014F9">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3E008CB2">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5AB661AD">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040ED057">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29FE204D">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67E31E5D">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7D914822">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6F5A3FA9">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3FA51324">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088E2F4F">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6F2F817A">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1EBC18E7">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4D9D485E">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489631B1">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626FC9E6">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316F74A6">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2207E8CA">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7C4B0B28">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640FAD00">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1CEBCC07">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4139D401">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4B38B0AB">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2FF5B128">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6A6181CA">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74575455">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24460D33">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7D8DB90A">
            <w:pPr>
              <w:spacing w:line="360" w:lineRule="auto"/>
              <w:ind w:firstLine="480" w:firstLineChars="200"/>
              <w:jc w:val="both"/>
              <w:rPr>
                <w:rFonts w:hint="default" w:ascii="Times New Roman" w:hAnsi="Times New Roman" w:cs="Times New Roman"/>
                <w:color w:val="auto"/>
                <w:kern w:val="2"/>
                <w:sz w:val="24"/>
                <w:szCs w:val="24"/>
                <w:lang w:val="zh-CN" w:eastAsia="zh-CN"/>
              </w:rPr>
            </w:pPr>
          </w:p>
          <w:p w14:paraId="7FC0F5D0">
            <w:pPr>
              <w:spacing w:line="360" w:lineRule="auto"/>
              <w:ind w:firstLine="480" w:firstLineChars="200"/>
              <w:jc w:val="both"/>
              <w:rPr>
                <w:rFonts w:hint="default" w:ascii="Times New Roman" w:hAnsi="Times New Roman" w:cs="Times New Roman"/>
                <w:color w:val="auto"/>
                <w:kern w:val="2"/>
                <w:sz w:val="24"/>
                <w:szCs w:val="24"/>
                <w:lang w:val="zh-CN" w:eastAsia="zh-CN"/>
              </w:rPr>
            </w:pPr>
          </w:p>
        </w:tc>
      </w:tr>
    </w:tbl>
    <w:p w14:paraId="293A7B12">
      <w:pPr>
        <w:pStyle w:val="27"/>
        <w:rPr>
          <w:rFonts w:hint="default" w:ascii="Times New Roman" w:hAnsi="Times New Roman" w:cs="Times New Roman"/>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12860"/>
      </w:tblGrid>
      <w:tr w14:paraId="76B4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 w:type="pct"/>
            <w:shd w:val="clear" w:color="auto" w:fill="auto"/>
          </w:tcPr>
          <w:p w14:paraId="3AE0CC78">
            <w:pPr>
              <w:pStyle w:val="27"/>
              <w:rPr>
                <w:rFonts w:hint="default" w:ascii="Times New Roman" w:hAnsi="Times New Roman" w:cs="Times New Roman"/>
                <w:bCs/>
                <w:color w:val="auto"/>
                <w:sz w:val="24"/>
              </w:rPr>
            </w:pPr>
          </w:p>
          <w:p w14:paraId="3C3EAF67">
            <w:pPr>
              <w:pStyle w:val="27"/>
              <w:rPr>
                <w:rFonts w:hint="default" w:ascii="Times New Roman" w:hAnsi="Times New Roman" w:cs="Times New Roman"/>
                <w:bCs/>
                <w:color w:val="auto"/>
                <w:sz w:val="24"/>
              </w:rPr>
            </w:pPr>
          </w:p>
          <w:p w14:paraId="3F856782">
            <w:pPr>
              <w:pStyle w:val="27"/>
              <w:rPr>
                <w:rFonts w:hint="default" w:ascii="Times New Roman" w:hAnsi="Times New Roman" w:cs="Times New Roman"/>
                <w:bCs/>
                <w:color w:val="auto"/>
                <w:sz w:val="24"/>
              </w:rPr>
            </w:pPr>
          </w:p>
          <w:p w14:paraId="57C3F878">
            <w:pPr>
              <w:pStyle w:val="27"/>
              <w:rPr>
                <w:rFonts w:hint="default" w:ascii="Times New Roman" w:hAnsi="Times New Roman" w:cs="Times New Roman"/>
                <w:bCs/>
                <w:color w:val="auto"/>
                <w:sz w:val="24"/>
              </w:rPr>
            </w:pPr>
          </w:p>
          <w:p w14:paraId="7EA4339D">
            <w:pPr>
              <w:pStyle w:val="27"/>
              <w:rPr>
                <w:rFonts w:hint="default" w:ascii="Times New Roman" w:hAnsi="Times New Roman" w:cs="Times New Roman"/>
                <w:bCs/>
                <w:color w:val="auto"/>
                <w:sz w:val="24"/>
              </w:rPr>
            </w:pPr>
          </w:p>
          <w:p w14:paraId="084DEDEE">
            <w:pPr>
              <w:pStyle w:val="27"/>
              <w:rPr>
                <w:rFonts w:hint="default" w:ascii="Times New Roman" w:hAnsi="Times New Roman" w:cs="Times New Roman"/>
                <w:bCs/>
                <w:color w:val="auto"/>
                <w:sz w:val="24"/>
              </w:rPr>
            </w:pPr>
          </w:p>
          <w:p w14:paraId="6D5A01AF">
            <w:pPr>
              <w:pStyle w:val="27"/>
              <w:rPr>
                <w:rFonts w:hint="default" w:ascii="Times New Roman" w:hAnsi="Times New Roman" w:cs="Times New Roman"/>
                <w:bCs/>
                <w:color w:val="auto"/>
                <w:sz w:val="24"/>
              </w:rPr>
            </w:pPr>
          </w:p>
          <w:p w14:paraId="2DD54F2C">
            <w:pPr>
              <w:pStyle w:val="27"/>
              <w:rPr>
                <w:rFonts w:hint="default" w:ascii="Times New Roman" w:hAnsi="Times New Roman" w:cs="Times New Roman"/>
                <w:bCs/>
                <w:color w:val="auto"/>
                <w:sz w:val="24"/>
              </w:rPr>
            </w:pPr>
          </w:p>
          <w:p w14:paraId="1A77EE34">
            <w:pPr>
              <w:pStyle w:val="27"/>
              <w:rPr>
                <w:rFonts w:hint="default" w:ascii="Times New Roman" w:hAnsi="Times New Roman" w:cs="Times New Roman"/>
                <w:bCs/>
                <w:color w:val="auto"/>
                <w:sz w:val="24"/>
              </w:rPr>
            </w:pPr>
          </w:p>
          <w:p w14:paraId="6150C1F0">
            <w:pPr>
              <w:pStyle w:val="27"/>
              <w:rPr>
                <w:rFonts w:hint="default" w:ascii="Times New Roman" w:hAnsi="Times New Roman" w:cs="Times New Roman"/>
                <w:bCs/>
                <w:color w:val="auto"/>
                <w:sz w:val="24"/>
              </w:rPr>
            </w:pPr>
          </w:p>
          <w:p w14:paraId="27DA841A">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运</w:t>
            </w:r>
          </w:p>
          <w:p w14:paraId="048521DE">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营</w:t>
            </w:r>
          </w:p>
          <w:p w14:paraId="61D3728F">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期</w:t>
            </w:r>
          </w:p>
          <w:p w14:paraId="24807A32">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环</w:t>
            </w:r>
          </w:p>
          <w:p w14:paraId="7210CF1D">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境</w:t>
            </w:r>
          </w:p>
          <w:p w14:paraId="2F4B734C">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影</w:t>
            </w:r>
          </w:p>
          <w:p w14:paraId="0ACC8438">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响</w:t>
            </w:r>
          </w:p>
          <w:p w14:paraId="1B862E77">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和</w:t>
            </w:r>
          </w:p>
          <w:p w14:paraId="313F377F">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保</w:t>
            </w:r>
          </w:p>
          <w:p w14:paraId="55995CEE">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护</w:t>
            </w:r>
          </w:p>
          <w:p w14:paraId="3F4BB912">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措</w:t>
            </w:r>
          </w:p>
          <w:p w14:paraId="668E6EED">
            <w:pPr>
              <w:pStyle w:val="27"/>
              <w:rPr>
                <w:rFonts w:hint="default" w:ascii="Times New Roman" w:hAnsi="Times New Roman" w:cs="Times New Roman"/>
                <w:bCs/>
                <w:color w:val="auto"/>
                <w:sz w:val="24"/>
              </w:rPr>
            </w:pPr>
            <w:r>
              <w:rPr>
                <w:rFonts w:hint="default" w:ascii="Times New Roman" w:hAnsi="Times New Roman" w:cs="Times New Roman"/>
                <w:bCs/>
                <w:color w:val="auto"/>
                <w:sz w:val="24"/>
              </w:rPr>
              <w:t>施</w:t>
            </w:r>
          </w:p>
        </w:tc>
        <w:tc>
          <w:tcPr>
            <w:tcW w:w="4861" w:type="pct"/>
            <w:shd w:val="clear" w:color="auto" w:fill="auto"/>
          </w:tcPr>
          <w:p w14:paraId="51DD683F">
            <w:pPr>
              <w:spacing w:line="360" w:lineRule="auto"/>
              <w:jc w:val="both"/>
              <w:rPr>
                <w:rFonts w:hint="default" w:ascii="Times New Roman" w:hAnsi="Times New Roman" w:cs="Times New Roman"/>
                <w:b/>
                <w:bCs/>
                <w:color w:val="auto"/>
                <w:sz w:val="24"/>
                <w:szCs w:val="24"/>
                <w:lang w:val="zh-CN" w:eastAsia="zh-CN"/>
              </w:rPr>
            </w:pPr>
            <w:r>
              <w:rPr>
                <w:rFonts w:hint="default" w:ascii="Times New Roman" w:hAnsi="Times New Roman" w:cs="Times New Roman"/>
                <w:b/>
                <w:bCs/>
                <w:color w:val="auto"/>
                <w:sz w:val="24"/>
                <w:szCs w:val="24"/>
                <w:lang w:val="zh-CN" w:eastAsia="zh-CN"/>
              </w:rPr>
              <w:t>一、运营期废气环境影响和保护措施</w:t>
            </w:r>
          </w:p>
          <w:p w14:paraId="1ECF344F">
            <w:pPr>
              <w:spacing w:line="360" w:lineRule="auto"/>
              <w:ind w:firstLine="482" w:firstLineChars="200"/>
              <w:jc w:val="both"/>
              <w:rPr>
                <w:rFonts w:hint="default" w:ascii="Times New Roman" w:hAnsi="Times New Roman" w:cs="Times New Roman"/>
                <w:b/>
                <w:bCs/>
                <w:color w:val="auto"/>
                <w:sz w:val="24"/>
                <w:szCs w:val="24"/>
                <w:lang w:val="zh-CN" w:eastAsia="zh-CN"/>
              </w:rPr>
            </w:pPr>
            <w:r>
              <w:rPr>
                <w:rFonts w:hint="default" w:ascii="Times New Roman" w:hAnsi="Times New Roman" w:cs="Times New Roman"/>
                <w:b/>
                <w:bCs/>
                <w:color w:val="auto"/>
                <w:sz w:val="24"/>
                <w:szCs w:val="24"/>
                <w:lang w:val="zh-CN" w:eastAsia="zh-CN"/>
              </w:rPr>
              <w:t>（一）废气污染源源强核算及相关参数</w:t>
            </w:r>
          </w:p>
          <w:p w14:paraId="4D3C31E2">
            <w:pPr>
              <w:spacing w:line="360" w:lineRule="auto"/>
              <w:ind w:firstLine="480" w:firstLineChars="200"/>
              <w:jc w:val="both"/>
              <w:rPr>
                <w:rFonts w:hint="default" w:ascii="Times New Roman" w:hAnsi="Times New Roman" w:cs="Times New Roman"/>
                <w:color w:val="auto"/>
                <w:sz w:val="24"/>
                <w:szCs w:val="24"/>
                <w:lang w:val="zh-CN" w:eastAsia="zh-CN"/>
              </w:rPr>
            </w:pPr>
            <w:r>
              <w:rPr>
                <w:rFonts w:hint="default" w:ascii="Times New Roman" w:hAnsi="Times New Roman" w:cs="Times New Roman"/>
                <w:color w:val="auto"/>
                <w:sz w:val="24"/>
                <w:szCs w:val="24"/>
                <w:lang w:val="zh-CN" w:eastAsia="zh-CN"/>
              </w:rPr>
              <w:t>项目废气污染源强源核算结果及相关参数见表 4-1。</w:t>
            </w:r>
          </w:p>
          <w:p w14:paraId="2BC418D4">
            <w:pPr>
              <w:widowControl/>
              <w:ind w:firstLine="422"/>
              <w:jc w:val="center"/>
              <w:rPr>
                <w:rFonts w:hint="default" w:ascii="Times New Roman" w:hAnsi="Times New Roman" w:cs="Times New Roman"/>
                <w:color w:val="auto"/>
                <w:sz w:val="21"/>
                <w:szCs w:val="21"/>
                <w:lang w:eastAsia="zh-CN"/>
              </w:rPr>
            </w:pPr>
            <w:r>
              <w:rPr>
                <w:rFonts w:hint="default" w:ascii="Times New Roman" w:hAnsi="Times New Roman" w:cs="Times New Roman"/>
                <w:b/>
                <w:bCs/>
                <w:color w:val="auto"/>
                <w:sz w:val="21"/>
                <w:szCs w:val="21"/>
                <w:lang w:eastAsia="zh-CN" w:bidi="ar"/>
              </w:rPr>
              <w:t>表4-1  项目废气污染源强源核算结果及相关参数一览表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684"/>
              <w:gridCol w:w="636"/>
              <w:gridCol w:w="685"/>
              <w:gridCol w:w="916"/>
              <w:gridCol w:w="790"/>
              <w:gridCol w:w="1354"/>
              <w:gridCol w:w="798"/>
              <w:gridCol w:w="1057"/>
              <w:gridCol w:w="807"/>
              <w:gridCol w:w="909"/>
              <w:gridCol w:w="864"/>
              <w:gridCol w:w="680"/>
              <w:gridCol w:w="851"/>
              <w:gridCol w:w="1199"/>
            </w:tblGrid>
            <w:tr w14:paraId="63DA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59" w:type="pct"/>
                  <w:vMerge w:val="restart"/>
                  <w:shd w:val="clear" w:color="auto" w:fill="auto"/>
                  <w:vAlign w:val="center"/>
                </w:tcPr>
                <w:p w14:paraId="0823F14A">
                  <w:pPr>
                    <w:pStyle w:val="27"/>
                    <w:rPr>
                      <w:rFonts w:hint="default" w:ascii="Times New Roman" w:hAnsi="Times New Roman" w:cs="Times New Roman"/>
                      <w:b/>
                      <w:color w:val="auto"/>
                      <w:szCs w:val="21"/>
                    </w:rPr>
                  </w:pPr>
                </w:p>
                <w:p w14:paraId="6153BF1D">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70" w:type="pct"/>
                  <w:vMerge w:val="restart"/>
                  <w:shd w:val="clear" w:color="auto" w:fill="auto"/>
                  <w:vAlign w:val="center"/>
                </w:tcPr>
                <w:p w14:paraId="3E932D09">
                  <w:pPr>
                    <w:pStyle w:val="27"/>
                    <w:rPr>
                      <w:rFonts w:hint="default" w:ascii="Times New Roman" w:hAnsi="Times New Roman" w:cs="Times New Roman"/>
                      <w:b/>
                      <w:color w:val="auto"/>
                      <w:szCs w:val="21"/>
                    </w:rPr>
                  </w:pPr>
                </w:p>
                <w:p w14:paraId="72871BE5">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产排污环节</w:t>
                  </w:r>
                </w:p>
                <w:p w14:paraId="42991DBA">
                  <w:pPr>
                    <w:pStyle w:val="27"/>
                    <w:rPr>
                      <w:rFonts w:hint="default" w:ascii="Times New Roman" w:hAnsi="Times New Roman" w:cs="Times New Roman"/>
                      <w:b/>
                      <w:color w:val="auto"/>
                      <w:szCs w:val="21"/>
                    </w:rPr>
                  </w:pPr>
                </w:p>
              </w:tc>
              <w:tc>
                <w:tcPr>
                  <w:tcW w:w="251" w:type="pct"/>
                  <w:vMerge w:val="restart"/>
                  <w:shd w:val="clear" w:color="auto" w:fill="auto"/>
                  <w:vAlign w:val="center"/>
                </w:tcPr>
                <w:p w14:paraId="4F614492">
                  <w:pPr>
                    <w:widowControl/>
                    <w:jc w:val="center"/>
                    <w:rPr>
                      <w:rFonts w:hint="default" w:ascii="Times New Roman" w:hAnsi="Times New Roman" w:cs="Times New Roman"/>
                      <w:b/>
                      <w:color w:val="auto"/>
                      <w:sz w:val="21"/>
                      <w:szCs w:val="21"/>
                      <w:lang w:bidi="ar"/>
                    </w:rPr>
                  </w:pPr>
                </w:p>
                <w:p w14:paraId="084BC43E">
                  <w:pPr>
                    <w:widowControl/>
                    <w:jc w:val="center"/>
                    <w:rPr>
                      <w:rFonts w:hint="default" w:ascii="Times New Roman" w:hAnsi="Times New Roman" w:cs="Times New Roman"/>
                      <w:b/>
                      <w:color w:val="auto"/>
                      <w:sz w:val="21"/>
                      <w:szCs w:val="21"/>
                      <w:lang w:bidi="ar"/>
                    </w:rPr>
                  </w:pPr>
                </w:p>
                <w:p w14:paraId="0D95198B">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污染物</w:t>
                  </w:r>
                </w:p>
              </w:tc>
              <w:tc>
                <w:tcPr>
                  <w:tcW w:w="633" w:type="pct"/>
                  <w:gridSpan w:val="2"/>
                  <w:tcBorders>
                    <w:bottom w:val="single" w:color="000000" w:sz="4" w:space="0"/>
                  </w:tcBorders>
                  <w:shd w:val="clear" w:color="auto" w:fill="auto"/>
                  <w:vAlign w:val="center"/>
                </w:tcPr>
                <w:p w14:paraId="003E5B0E">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污染物产生</w:t>
                  </w:r>
                </w:p>
              </w:tc>
              <w:tc>
                <w:tcPr>
                  <w:tcW w:w="312" w:type="pct"/>
                  <w:vMerge w:val="restart"/>
                  <w:shd w:val="clear" w:color="auto" w:fill="auto"/>
                  <w:vAlign w:val="center"/>
                </w:tcPr>
                <w:p w14:paraId="4EFFEA2D">
                  <w:pPr>
                    <w:widowControl/>
                    <w:jc w:val="center"/>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排放</w:t>
                  </w:r>
                </w:p>
                <w:p w14:paraId="29DC55A5">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形式</w:t>
                  </w:r>
                </w:p>
              </w:tc>
              <w:tc>
                <w:tcPr>
                  <w:tcW w:w="1589" w:type="pct"/>
                  <w:gridSpan w:val="4"/>
                  <w:tcBorders>
                    <w:bottom w:val="single" w:color="000000" w:sz="4" w:space="0"/>
                  </w:tcBorders>
                  <w:shd w:val="clear" w:color="auto" w:fill="auto"/>
                  <w:vAlign w:val="center"/>
                </w:tcPr>
                <w:p w14:paraId="1851A26F">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治理设施</w:t>
                  </w:r>
                </w:p>
              </w:tc>
              <w:tc>
                <w:tcPr>
                  <w:tcW w:w="359" w:type="pct"/>
                  <w:vMerge w:val="restart"/>
                  <w:shd w:val="clear" w:color="auto" w:fill="auto"/>
                  <w:vAlign w:val="center"/>
                </w:tcPr>
                <w:p w14:paraId="78249CFD">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是否</w:t>
                  </w:r>
                </w:p>
                <w:p w14:paraId="4F3C708B">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为可</w:t>
                  </w:r>
                </w:p>
                <w:p w14:paraId="28843C39">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行性</w:t>
                  </w:r>
                </w:p>
                <w:p w14:paraId="6C22CDF7">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技术</w:t>
                  </w:r>
                </w:p>
              </w:tc>
              <w:tc>
                <w:tcPr>
                  <w:tcW w:w="947" w:type="pct"/>
                  <w:gridSpan w:val="3"/>
                  <w:tcBorders>
                    <w:bottom w:val="single" w:color="000000" w:sz="4" w:space="0"/>
                  </w:tcBorders>
                  <w:shd w:val="clear" w:color="auto" w:fill="auto"/>
                  <w:vAlign w:val="center"/>
                </w:tcPr>
                <w:p w14:paraId="02438B5B">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污染物排放</w:t>
                  </w:r>
                </w:p>
              </w:tc>
              <w:tc>
                <w:tcPr>
                  <w:tcW w:w="474" w:type="pct"/>
                  <w:vMerge w:val="restart"/>
                  <w:shd w:val="clear" w:color="auto" w:fill="auto"/>
                  <w:vAlign w:val="center"/>
                </w:tcPr>
                <w:p w14:paraId="3F3882AA">
                  <w:pPr>
                    <w:pStyle w:val="27"/>
                    <w:rPr>
                      <w:rFonts w:hint="default" w:ascii="Times New Roman" w:hAnsi="Times New Roman" w:cs="Times New Roman"/>
                      <w:b/>
                      <w:color w:val="auto"/>
                      <w:spacing w:val="-10"/>
                      <w:szCs w:val="21"/>
                    </w:rPr>
                  </w:pPr>
                </w:p>
                <w:p w14:paraId="5350996F">
                  <w:pPr>
                    <w:pStyle w:val="27"/>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w:t>
                  </w:r>
                </w:p>
                <w:p w14:paraId="5A5A0897">
                  <w:pPr>
                    <w:pStyle w:val="27"/>
                    <w:rPr>
                      <w:rFonts w:hint="default" w:ascii="Times New Roman" w:hAnsi="Times New Roman" w:cs="Times New Roman"/>
                      <w:bCs/>
                      <w:color w:val="auto"/>
                      <w:szCs w:val="21"/>
                    </w:rPr>
                  </w:pPr>
                  <w:r>
                    <w:rPr>
                      <w:rFonts w:hint="default" w:ascii="Times New Roman" w:hAnsi="Times New Roman" w:cs="Times New Roman"/>
                      <w:b/>
                      <w:color w:val="auto"/>
                      <w:spacing w:val="-10"/>
                      <w:szCs w:val="21"/>
                    </w:rPr>
                    <w:t>标准</w:t>
                  </w:r>
                </w:p>
              </w:tc>
            </w:tr>
            <w:tr w14:paraId="5A5A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59" w:type="pct"/>
                  <w:vMerge w:val="continue"/>
                  <w:shd w:val="clear" w:color="auto" w:fill="auto"/>
                  <w:vAlign w:val="center"/>
                </w:tcPr>
                <w:p w14:paraId="754B7576">
                  <w:pPr>
                    <w:pStyle w:val="27"/>
                    <w:rPr>
                      <w:rFonts w:hint="default" w:ascii="Times New Roman" w:hAnsi="Times New Roman" w:cs="Times New Roman"/>
                      <w:b/>
                      <w:color w:val="auto"/>
                      <w:szCs w:val="21"/>
                    </w:rPr>
                  </w:pPr>
                </w:p>
              </w:tc>
              <w:tc>
                <w:tcPr>
                  <w:tcW w:w="270" w:type="pct"/>
                  <w:vMerge w:val="continue"/>
                  <w:shd w:val="clear" w:color="auto" w:fill="auto"/>
                  <w:vAlign w:val="center"/>
                </w:tcPr>
                <w:p w14:paraId="7DF8279C">
                  <w:pPr>
                    <w:pStyle w:val="27"/>
                    <w:rPr>
                      <w:rFonts w:hint="default" w:ascii="Times New Roman" w:hAnsi="Times New Roman" w:cs="Times New Roman"/>
                      <w:b/>
                      <w:color w:val="auto"/>
                      <w:szCs w:val="21"/>
                    </w:rPr>
                  </w:pPr>
                </w:p>
              </w:tc>
              <w:tc>
                <w:tcPr>
                  <w:tcW w:w="251" w:type="pct"/>
                  <w:vMerge w:val="continue"/>
                  <w:shd w:val="clear" w:color="auto" w:fill="auto"/>
                  <w:vAlign w:val="center"/>
                </w:tcPr>
                <w:p w14:paraId="77C970B7">
                  <w:pPr>
                    <w:pStyle w:val="27"/>
                    <w:rPr>
                      <w:rFonts w:hint="default" w:ascii="Times New Roman" w:hAnsi="Times New Roman" w:cs="Times New Roman"/>
                      <w:b/>
                      <w:color w:val="auto"/>
                      <w:szCs w:val="21"/>
                    </w:rPr>
                  </w:pPr>
                </w:p>
              </w:tc>
              <w:tc>
                <w:tcPr>
                  <w:tcW w:w="271" w:type="pct"/>
                  <w:tcBorders>
                    <w:top w:val="single" w:color="000000" w:sz="4" w:space="0"/>
                  </w:tcBorders>
                  <w:shd w:val="clear" w:color="auto" w:fill="auto"/>
                  <w:vAlign w:val="center"/>
                </w:tcPr>
                <w:p w14:paraId="37A6B407">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产生量</w:t>
                  </w:r>
                </w:p>
                <w:p w14:paraId="3BDAA3DC">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（t/a）</w:t>
                  </w:r>
                </w:p>
              </w:tc>
              <w:tc>
                <w:tcPr>
                  <w:tcW w:w="362" w:type="pct"/>
                  <w:tcBorders>
                    <w:top w:val="single" w:color="000000" w:sz="4" w:space="0"/>
                  </w:tcBorders>
                  <w:shd w:val="clear" w:color="auto" w:fill="auto"/>
                  <w:vAlign w:val="center"/>
                </w:tcPr>
                <w:p w14:paraId="21CBCF65">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排放速率</w:t>
                  </w:r>
                </w:p>
                <w:p w14:paraId="315CE79A">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（kg/h）</w:t>
                  </w:r>
                </w:p>
              </w:tc>
              <w:tc>
                <w:tcPr>
                  <w:tcW w:w="312" w:type="pct"/>
                  <w:vMerge w:val="continue"/>
                  <w:shd w:val="clear" w:color="auto" w:fill="auto"/>
                  <w:vAlign w:val="center"/>
                </w:tcPr>
                <w:p w14:paraId="668E5B93">
                  <w:pPr>
                    <w:pStyle w:val="27"/>
                    <w:rPr>
                      <w:rFonts w:hint="default" w:ascii="Times New Roman" w:hAnsi="Times New Roman" w:cs="Times New Roman"/>
                      <w:b/>
                      <w:color w:val="auto"/>
                      <w:szCs w:val="21"/>
                    </w:rPr>
                  </w:pPr>
                </w:p>
              </w:tc>
              <w:tc>
                <w:tcPr>
                  <w:tcW w:w="535" w:type="pct"/>
                  <w:tcBorders>
                    <w:top w:val="single" w:color="000000" w:sz="4" w:space="0"/>
                  </w:tcBorders>
                  <w:shd w:val="clear" w:color="auto" w:fill="auto"/>
                  <w:vAlign w:val="center"/>
                </w:tcPr>
                <w:p w14:paraId="1E3B0A8D">
                  <w:pPr>
                    <w:widowControl/>
                    <w:jc w:val="center"/>
                    <w:rPr>
                      <w:rFonts w:hint="default" w:ascii="Times New Roman" w:hAnsi="Times New Roman" w:cs="Times New Roman"/>
                      <w:b/>
                      <w:color w:val="auto"/>
                      <w:sz w:val="21"/>
                      <w:szCs w:val="21"/>
                      <w:lang w:bidi="ar"/>
                    </w:rPr>
                  </w:pPr>
                </w:p>
                <w:p w14:paraId="27BEFB41">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工艺</w:t>
                  </w:r>
                </w:p>
                <w:p w14:paraId="24D600E5">
                  <w:pPr>
                    <w:pStyle w:val="27"/>
                    <w:rPr>
                      <w:rFonts w:hint="default" w:ascii="Times New Roman" w:hAnsi="Times New Roman" w:cs="Times New Roman"/>
                      <w:b/>
                      <w:color w:val="auto"/>
                      <w:szCs w:val="21"/>
                    </w:rPr>
                  </w:pPr>
                </w:p>
              </w:tc>
              <w:tc>
                <w:tcPr>
                  <w:tcW w:w="315" w:type="pct"/>
                  <w:tcBorders>
                    <w:top w:val="single" w:color="000000" w:sz="4" w:space="0"/>
                  </w:tcBorders>
                  <w:shd w:val="clear" w:color="auto" w:fill="auto"/>
                  <w:vAlign w:val="center"/>
                </w:tcPr>
                <w:p w14:paraId="4158826D">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收集效率</w:t>
                  </w:r>
                </w:p>
                <w:p w14:paraId="5294DFF8">
                  <w:pPr>
                    <w:pStyle w:val="27"/>
                    <w:rPr>
                      <w:rFonts w:hint="default" w:ascii="Times New Roman" w:hAnsi="Times New Roman" w:cs="Times New Roman"/>
                      <w:b/>
                      <w:color w:val="auto"/>
                      <w:szCs w:val="21"/>
                    </w:rPr>
                  </w:pPr>
                  <w:r>
                    <w:rPr>
                      <w:rFonts w:hint="default" w:ascii="Times New Roman" w:hAnsi="Times New Roman" w:cs="Times New Roman"/>
                      <w:b/>
                      <w:color w:val="auto"/>
                      <w:kern w:val="0"/>
                      <w:szCs w:val="21"/>
                      <w:lang w:bidi="ar"/>
                    </w:rPr>
                    <w:t>（%）</w:t>
                  </w:r>
                </w:p>
              </w:tc>
              <w:tc>
                <w:tcPr>
                  <w:tcW w:w="418" w:type="pct"/>
                  <w:tcBorders>
                    <w:top w:val="single" w:color="000000" w:sz="4" w:space="0"/>
                  </w:tcBorders>
                  <w:shd w:val="clear" w:color="auto" w:fill="auto"/>
                  <w:vAlign w:val="center"/>
                </w:tcPr>
                <w:p w14:paraId="042C0018">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除尘效率</w:t>
                  </w:r>
                </w:p>
                <w:p w14:paraId="2C3BE176">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w:t>
                  </w:r>
                </w:p>
                <w:p w14:paraId="79000E3B">
                  <w:pPr>
                    <w:pStyle w:val="27"/>
                    <w:rPr>
                      <w:rFonts w:hint="default" w:ascii="Times New Roman" w:hAnsi="Times New Roman" w:cs="Times New Roman"/>
                      <w:b/>
                      <w:color w:val="auto"/>
                      <w:szCs w:val="21"/>
                    </w:rPr>
                  </w:pPr>
                </w:p>
              </w:tc>
              <w:tc>
                <w:tcPr>
                  <w:tcW w:w="319" w:type="pct"/>
                  <w:tcBorders>
                    <w:top w:val="single" w:color="000000" w:sz="4" w:space="0"/>
                  </w:tcBorders>
                  <w:shd w:val="clear" w:color="auto" w:fill="auto"/>
                  <w:vAlign w:val="center"/>
                </w:tcPr>
                <w:p w14:paraId="2DA514DC">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风量</w:t>
                  </w:r>
                </w:p>
                <w:p w14:paraId="1C4752CF">
                  <w:pPr>
                    <w:widowControl/>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（m</w:t>
                  </w:r>
                  <w:r>
                    <w:rPr>
                      <w:rFonts w:hint="default" w:ascii="Times New Roman" w:hAnsi="Times New Roman" w:cs="Times New Roman"/>
                      <w:b/>
                      <w:color w:val="auto"/>
                      <w:sz w:val="21"/>
                      <w:szCs w:val="21"/>
                      <w:vertAlign w:val="superscript"/>
                      <w:lang w:bidi="ar"/>
                    </w:rPr>
                    <w:t>3</w:t>
                  </w:r>
                  <w:r>
                    <w:rPr>
                      <w:rFonts w:hint="default" w:ascii="Times New Roman" w:hAnsi="Times New Roman" w:cs="Times New Roman"/>
                      <w:b/>
                      <w:color w:val="auto"/>
                      <w:sz w:val="21"/>
                      <w:szCs w:val="21"/>
                      <w:lang w:bidi="ar"/>
                    </w:rPr>
                    <w:t>/h）</w:t>
                  </w:r>
                </w:p>
                <w:p w14:paraId="1381AD1A">
                  <w:pPr>
                    <w:pStyle w:val="27"/>
                    <w:rPr>
                      <w:rFonts w:hint="default" w:ascii="Times New Roman" w:hAnsi="Times New Roman" w:cs="Times New Roman"/>
                      <w:b/>
                      <w:color w:val="auto"/>
                      <w:szCs w:val="21"/>
                    </w:rPr>
                  </w:pPr>
                </w:p>
              </w:tc>
              <w:tc>
                <w:tcPr>
                  <w:tcW w:w="359" w:type="pct"/>
                  <w:vMerge w:val="continue"/>
                  <w:shd w:val="clear" w:color="auto" w:fill="auto"/>
                  <w:vAlign w:val="center"/>
                </w:tcPr>
                <w:p w14:paraId="0A105B99">
                  <w:pPr>
                    <w:pStyle w:val="27"/>
                    <w:rPr>
                      <w:rFonts w:hint="default" w:ascii="Times New Roman" w:hAnsi="Times New Roman" w:cs="Times New Roman"/>
                      <w:b/>
                      <w:color w:val="auto"/>
                      <w:szCs w:val="21"/>
                    </w:rPr>
                  </w:pPr>
                </w:p>
              </w:tc>
              <w:tc>
                <w:tcPr>
                  <w:tcW w:w="341" w:type="pct"/>
                  <w:tcBorders>
                    <w:top w:val="single" w:color="000000" w:sz="4" w:space="0"/>
                  </w:tcBorders>
                  <w:shd w:val="clear" w:color="auto" w:fill="auto"/>
                  <w:vAlign w:val="center"/>
                </w:tcPr>
                <w:p w14:paraId="0CBFF2CC">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排放量</w:t>
                  </w:r>
                </w:p>
                <w:p w14:paraId="6971D565">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（t/a）</w:t>
                  </w:r>
                </w:p>
                <w:p w14:paraId="1309245C">
                  <w:pPr>
                    <w:pStyle w:val="27"/>
                    <w:rPr>
                      <w:rFonts w:hint="default" w:ascii="Times New Roman" w:hAnsi="Times New Roman" w:cs="Times New Roman"/>
                      <w:b/>
                      <w:color w:val="auto"/>
                      <w:szCs w:val="21"/>
                    </w:rPr>
                  </w:pPr>
                </w:p>
              </w:tc>
              <w:tc>
                <w:tcPr>
                  <w:tcW w:w="269" w:type="pct"/>
                  <w:tcBorders>
                    <w:top w:val="single" w:color="000000" w:sz="4" w:space="0"/>
                  </w:tcBorders>
                  <w:shd w:val="clear" w:color="auto" w:fill="auto"/>
                  <w:vAlign w:val="center"/>
                </w:tcPr>
                <w:p w14:paraId="37C9B730">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排放</w:t>
                  </w:r>
                </w:p>
                <w:p w14:paraId="4C9453FA">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浓度（mg/m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c>
                <w:tcPr>
                  <w:tcW w:w="336" w:type="pct"/>
                  <w:tcBorders>
                    <w:top w:val="single" w:color="000000" w:sz="4" w:space="0"/>
                  </w:tcBorders>
                  <w:shd w:val="clear" w:color="auto" w:fill="auto"/>
                  <w:vAlign w:val="center"/>
                </w:tcPr>
                <w:p w14:paraId="38D7EB15">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排放</w:t>
                  </w:r>
                </w:p>
                <w:p w14:paraId="2ED93366">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速率</w:t>
                  </w:r>
                </w:p>
                <w:p w14:paraId="2DDB161D">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（kg/h）</w:t>
                  </w:r>
                </w:p>
                <w:p w14:paraId="59C8674E">
                  <w:pPr>
                    <w:pStyle w:val="27"/>
                    <w:rPr>
                      <w:rFonts w:hint="default" w:ascii="Times New Roman" w:hAnsi="Times New Roman" w:cs="Times New Roman"/>
                      <w:b/>
                      <w:color w:val="auto"/>
                      <w:szCs w:val="21"/>
                    </w:rPr>
                  </w:pPr>
                </w:p>
              </w:tc>
              <w:tc>
                <w:tcPr>
                  <w:tcW w:w="474" w:type="pct"/>
                  <w:vMerge w:val="continue"/>
                  <w:shd w:val="clear" w:color="auto" w:fill="auto"/>
                  <w:vAlign w:val="center"/>
                </w:tcPr>
                <w:p w14:paraId="7C471D9C">
                  <w:pPr>
                    <w:pStyle w:val="27"/>
                    <w:rPr>
                      <w:rFonts w:hint="default" w:ascii="Times New Roman" w:hAnsi="Times New Roman" w:cs="Times New Roman"/>
                      <w:bCs/>
                      <w:color w:val="auto"/>
                      <w:szCs w:val="21"/>
                    </w:rPr>
                  </w:pPr>
                </w:p>
              </w:tc>
            </w:tr>
            <w:tr w14:paraId="1CCC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9" w:type="pct"/>
                  <w:shd w:val="clear" w:color="auto" w:fill="auto"/>
                  <w:vAlign w:val="center"/>
                </w:tcPr>
                <w:p w14:paraId="4A2A287C">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270" w:type="pct"/>
                  <w:shd w:val="clear" w:color="auto" w:fill="auto"/>
                  <w:vAlign w:val="center"/>
                </w:tcPr>
                <w:p w14:paraId="2ECFFB4E">
                  <w:pPr>
                    <w:pStyle w:val="27"/>
                    <w:rPr>
                      <w:rFonts w:hint="default" w:ascii="Times New Roman" w:hAnsi="Times New Roman" w:cs="Times New Roman"/>
                      <w:bCs/>
                      <w:color w:val="auto"/>
                      <w:szCs w:val="21"/>
                    </w:rPr>
                  </w:pPr>
                  <w:r>
                    <w:rPr>
                      <w:rFonts w:hint="default" w:ascii="Times New Roman" w:hAnsi="Times New Roman" w:cs="Times New Roman"/>
                      <w:bCs/>
                      <w:color w:val="auto"/>
                      <w:sz w:val="21"/>
                      <w:szCs w:val="21"/>
                      <w:lang w:val="en-US" w:eastAsia="zh-CN"/>
                    </w:rPr>
                    <w:t>装载机上料</w:t>
                  </w:r>
                  <w:r>
                    <w:rPr>
                      <w:rFonts w:hint="default" w:ascii="Times New Roman" w:hAnsi="Times New Roman" w:cs="Times New Roman"/>
                      <w:bCs/>
                      <w:color w:val="auto"/>
                      <w:szCs w:val="21"/>
                    </w:rPr>
                    <w:t>粉尘</w:t>
                  </w:r>
                </w:p>
              </w:tc>
              <w:tc>
                <w:tcPr>
                  <w:tcW w:w="251" w:type="pct"/>
                  <w:shd w:val="clear" w:color="auto" w:fill="auto"/>
                  <w:vAlign w:val="center"/>
                </w:tcPr>
                <w:p w14:paraId="6D81C823">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271" w:type="pct"/>
                  <w:shd w:val="clear" w:color="auto" w:fill="auto"/>
                  <w:vAlign w:val="center"/>
                </w:tcPr>
                <w:p w14:paraId="1984D105">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12.48</w:t>
                  </w:r>
                </w:p>
              </w:tc>
              <w:tc>
                <w:tcPr>
                  <w:tcW w:w="362" w:type="pct"/>
                  <w:shd w:val="clear" w:color="auto" w:fill="auto"/>
                  <w:vAlign w:val="center"/>
                </w:tcPr>
                <w:p w14:paraId="3699F96C">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5.2</w:t>
                  </w:r>
                </w:p>
              </w:tc>
              <w:tc>
                <w:tcPr>
                  <w:tcW w:w="312" w:type="pct"/>
                  <w:shd w:val="clear" w:color="auto" w:fill="auto"/>
                  <w:vAlign w:val="center"/>
                </w:tcPr>
                <w:p w14:paraId="360ED9C9">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无</w:t>
                  </w:r>
                  <w:r>
                    <w:rPr>
                      <w:rFonts w:hint="default" w:ascii="Times New Roman" w:hAnsi="Times New Roman" w:cs="Times New Roman"/>
                      <w:bCs/>
                      <w:color w:val="auto"/>
                      <w:szCs w:val="21"/>
                    </w:rPr>
                    <w:t>组织</w:t>
                  </w:r>
                </w:p>
              </w:tc>
              <w:tc>
                <w:tcPr>
                  <w:tcW w:w="535" w:type="pct"/>
                  <w:shd w:val="clear" w:color="auto" w:fill="auto"/>
                  <w:vAlign w:val="center"/>
                </w:tcPr>
                <w:p w14:paraId="36DBC200">
                  <w:pPr>
                    <w:pStyle w:val="27"/>
                    <w:rPr>
                      <w:rFonts w:hint="default" w:ascii="Times New Roman" w:hAnsi="Times New Roman" w:cs="Times New Roman"/>
                      <w:bCs/>
                      <w:color w:val="auto"/>
                      <w:szCs w:val="21"/>
                    </w:rPr>
                  </w:pPr>
                  <w:r>
                    <w:rPr>
                      <w:rFonts w:hint="default" w:ascii="Times New Roman" w:hAnsi="Times New Roman" w:cs="Times New Roman"/>
                      <w:color w:val="auto"/>
                      <w:szCs w:val="21"/>
                      <w:lang w:val="en-US" w:eastAsia="zh-CN"/>
                    </w:rPr>
                    <w:t>封闭料棚+洒水降尘</w:t>
                  </w:r>
                </w:p>
              </w:tc>
              <w:tc>
                <w:tcPr>
                  <w:tcW w:w="315" w:type="pct"/>
                  <w:shd w:val="clear" w:color="auto" w:fill="auto"/>
                  <w:vAlign w:val="center"/>
                </w:tcPr>
                <w:p w14:paraId="71BB475C">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418" w:type="pct"/>
                  <w:shd w:val="clear" w:color="auto" w:fill="auto"/>
                  <w:vAlign w:val="center"/>
                </w:tcPr>
                <w:p w14:paraId="166936DA">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80</w:t>
                  </w:r>
                </w:p>
              </w:tc>
              <w:tc>
                <w:tcPr>
                  <w:tcW w:w="319" w:type="pct"/>
                  <w:shd w:val="clear" w:color="auto" w:fill="auto"/>
                  <w:vAlign w:val="center"/>
                </w:tcPr>
                <w:p w14:paraId="567E5A42">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w:t>
                  </w:r>
                </w:p>
              </w:tc>
              <w:tc>
                <w:tcPr>
                  <w:tcW w:w="359" w:type="pct"/>
                  <w:shd w:val="clear" w:color="auto" w:fill="auto"/>
                  <w:vAlign w:val="center"/>
                </w:tcPr>
                <w:p w14:paraId="51E465F9">
                  <w:pPr>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是</w:t>
                  </w:r>
                </w:p>
              </w:tc>
              <w:tc>
                <w:tcPr>
                  <w:tcW w:w="341" w:type="pct"/>
                  <w:shd w:val="clear" w:color="auto" w:fill="auto"/>
                  <w:vAlign w:val="center"/>
                </w:tcPr>
                <w:p w14:paraId="31DD82E5">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2.496</w:t>
                  </w:r>
                </w:p>
              </w:tc>
              <w:tc>
                <w:tcPr>
                  <w:tcW w:w="269" w:type="pct"/>
                  <w:shd w:val="clear" w:color="auto" w:fill="auto"/>
                  <w:vAlign w:val="center"/>
                </w:tcPr>
                <w:p w14:paraId="07A845D4">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w:t>
                  </w:r>
                </w:p>
              </w:tc>
              <w:tc>
                <w:tcPr>
                  <w:tcW w:w="336" w:type="pct"/>
                  <w:shd w:val="clear" w:color="auto" w:fill="auto"/>
                  <w:vAlign w:val="center"/>
                </w:tcPr>
                <w:p w14:paraId="06867E66">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1.04</w:t>
                  </w:r>
                </w:p>
              </w:tc>
              <w:tc>
                <w:tcPr>
                  <w:tcW w:w="474" w:type="pct"/>
                  <w:vMerge w:val="restart"/>
                  <w:shd w:val="clear" w:color="auto" w:fill="auto"/>
                  <w:vAlign w:val="center"/>
                </w:tcPr>
                <w:p w14:paraId="470AF907">
                  <w:pPr>
                    <w:pStyle w:val="27"/>
                    <w:jc w:val="center"/>
                    <w:rPr>
                      <w:rFonts w:hint="default" w:ascii="Times New Roman" w:hAnsi="Times New Roman" w:cs="Times New Roman"/>
                      <w:bCs/>
                      <w:color w:val="auto"/>
                      <w:szCs w:val="21"/>
                    </w:rPr>
                  </w:pPr>
                  <w:r>
                    <w:rPr>
                      <w:rFonts w:hint="default" w:ascii="Times New Roman" w:hAnsi="Times New Roman" w:cs="Times New Roman"/>
                      <w:color w:val="auto"/>
                    </w:rPr>
                    <w:t>《水泥工业大气污染物排放标准》（GB4915-2013）表3</w:t>
                  </w:r>
                </w:p>
              </w:tc>
            </w:tr>
            <w:tr w14:paraId="7A66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 w:type="pct"/>
                  <w:shd w:val="clear" w:color="auto" w:fill="auto"/>
                  <w:vAlign w:val="center"/>
                </w:tcPr>
                <w:p w14:paraId="404A636C">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w:t>
                  </w:r>
                </w:p>
              </w:tc>
              <w:tc>
                <w:tcPr>
                  <w:tcW w:w="270" w:type="pct"/>
                  <w:shd w:val="clear" w:color="auto" w:fill="auto"/>
                  <w:vAlign w:val="center"/>
                </w:tcPr>
                <w:p w14:paraId="47DB6BFE">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运输过程扬尘</w:t>
                  </w:r>
                </w:p>
              </w:tc>
              <w:tc>
                <w:tcPr>
                  <w:tcW w:w="251" w:type="pct"/>
                  <w:shd w:val="clear" w:color="auto" w:fill="auto"/>
                  <w:vAlign w:val="center"/>
                </w:tcPr>
                <w:p w14:paraId="2C120C67">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tc>
              <w:tc>
                <w:tcPr>
                  <w:tcW w:w="271" w:type="pct"/>
                  <w:shd w:val="clear" w:color="auto" w:fill="auto"/>
                  <w:vAlign w:val="center"/>
                </w:tcPr>
                <w:p w14:paraId="5A683964">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2.769</w:t>
                  </w:r>
                </w:p>
              </w:tc>
              <w:tc>
                <w:tcPr>
                  <w:tcW w:w="362" w:type="pct"/>
                  <w:shd w:val="clear" w:color="auto" w:fill="auto"/>
                  <w:vAlign w:val="center"/>
                </w:tcPr>
                <w:p w14:paraId="5188BC65">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1.154</w:t>
                  </w:r>
                </w:p>
              </w:tc>
              <w:tc>
                <w:tcPr>
                  <w:tcW w:w="312" w:type="pct"/>
                  <w:shd w:val="clear" w:color="auto" w:fill="auto"/>
                  <w:vAlign w:val="center"/>
                </w:tcPr>
                <w:p w14:paraId="1EC89D4D">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无组织</w:t>
                  </w:r>
                </w:p>
              </w:tc>
              <w:tc>
                <w:tcPr>
                  <w:tcW w:w="535" w:type="pct"/>
                  <w:shd w:val="clear" w:color="auto" w:fill="auto"/>
                  <w:vAlign w:val="center"/>
                </w:tcPr>
                <w:p w14:paraId="6A05CA7C">
                  <w:pPr>
                    <w:pStyle w:val="27"/>
                    <w:rPr>
                      <w:rFonts w:hint="default" w:ascii="Times New Roman" w:hAnsi="Times New Roman" w:cs="Times New Roman"/>
                      <w:color w:val="auto"/>
                      <w:szCs w:val="21"/>
                    </w:rPr>
                  </w:pPr>
                  <w:r>
                    <w:rPr>
                      <w:rFonts w:hint="default" w:ascii="Times New Roman" w:hAnsi="Times New Roman" w:cs="Times New Roman"/>
                      <w:color w:val="auto"/>
                      <w:szCs w:val="21"/>
                    </w:rPr>
                    <w:t>洒水降尘</w:t>
                  </w:r>
                </w:p>
              </w:tc>
              <w:tc>
                <w:tcPr>
                  <w:tcW w:w="315" w:type="pct"/>
                  <w:shd w:val="clear" w:color="auto" w:fill="auto"/>
                  <w:vAlign w:val="center"/>
                </w:tcPr>
                <w:p w14:paraId="4D4ED675">
                  <w:pPr>
                    <w:pStyle w:val="2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18" w:type="pct"/>
                  <w:shd w:val="clear" w:color="auto" w:fill="auto"/>
                  <w:vAlign w:val="center"/>
                </w:tcPr>
                <w:p w14:paraId="19F54186">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80</w:t>
                  </w:r>
                </w:p>
              </w:tc>
              <w:tc>
                <w:tcPr>
                  <w:tcW w:w="319" w:type="pct"/>
                  <w:shd w:val="clear" w:color="auto" w:fill="auto"/>
                  <w:vAlign w:val="center"/>
                </w:tcPr>
                <w:p w14:paraId="740484D1">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59" w:type="pct"/>
                  <w:shd w:val="clear" w:color="auto" w:fill="auto"/>
                  <w:vAlign w:val="center"/>
                </w:tcPr>
                <w:p w14:paraId="745AA922">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是</w:t>
                  </w:r>
                </w:p>
              </w:tc>
              <w:tc>
                <w:tcPr>
                  <w:tcW w:w="341" w:type="pct"/>
                  <w:shd w:val="clear" w:color="auto" w:fill="auto"/>
                  <w:vAlign w:val="center"/>
                </w:tcPr>
                <w:p w14:paraId="43B18946">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0.</w:t>
                  </w:r>
                  <w:r>
                    <w:rPr>
                      <w:rFonts w:hint="default" w:ascii="Times New Roman" w:hAnsi="Times New Roman" w:cs="Times New Roman"/>
                      <w:bCs/>
                      <w:color w:val="auto"/>
                      <w:szCs w:val="21"/>
                      <w:lang w:val="en-US" w:eastAsia="zh-CN"/>
                    </w:rPr>
                    <w:t>5538</w:t>
                  </w:r>
                </w:p>
              </w:tc>
              <w:tc>
                <w:tcPr>
                  <w:tcW w:w="269" w:type="pct"/>
                  <w:shd w:val="clear" w:color="auto" w:fill="auto"/>
                  <w:vAlign w:val="center"/>
                </w:tcPr>
                <w:p w14:paraId="30287E43">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36" w:type="pct"/>
                  <w:shd w:val="clear" w:color="auto" w:fill="auto"/>
                  <w:vAlign w:val="center"/>
                </w:tcPr>
                <w:p w14:paraId="07BE9CEF">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0.23</w:t>
                  </w:r>
                </w:p>
              </w:tc>
              <w:tc>
                <w:tcPr>
                  <w:tcW w:w="474" w:type="pct"/>
                  <w:vMerge w:val="continue"/>
                  <w:shd w:val="clear" w:color="auto" w:fill="auto"/>
                  <w:vAlign w:val="center"/>
                </w:tcPr>
                <w:p w14:paraId="56C84D0E">
                  <w:pPr>
                    <w:pStyle w:val="27"/>
                    <w:rPr>
                      <w:rFonts w:hint="default" w:ascii="Times New Roman" w:hAnsi="Times New Roman" w:cs="Times New Roman"/>
                      <w:bCs/>
                      <w:color w:val="auto"/>
                      <w:szCs w:val="21"/>
                    </w:rPr>
                  </w:pPr>
                </w:p>
              </w:tc>
            </w:tr>
            <w:tr w14:paraId="526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 w:type="pct"/>
                  <w:shd w:val="clear" w:color="auto" w:fill="auto"/>
                  <w:vAlign w:val="center"/>
                </w:tcPr>
                <w:p w14:paraId="0263B4D2">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w:t>
                  </w:r>
                </w:p>
              </w:tc>
              <w:tc>
                <w:tcPr>
                  <w:tcW w:w="270" w:type="pct"/>
                  <w:shd w:val="clear" w:color="auto" w:fill="auto"/>
                  <w:vAlign w:val="center"/>
                </w:tcPr>
                <w:p w14:paraId="3007A99C">
                  <w:pPr>
                    <w:pStyle w:val="2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原料堆场</w:t>
                  </w:r>
                  <w:r>
                    <w:rPr>
                      <w:rFonts w:hint="default" w:ascii="Times New Roman" w:hAnsi="Times New Roman" w:cs="Times New Roman"/>
                      <w:color w:val="auto"/>
                      <w:szCs w:val="21"/>
                    </w:rPr>
                    <w:t>粉尘</w:t>
                  </w:r>
                </w:p>
              </w:tc>
              <w:tc>
                <w:tcPr>
                  <w:tcW w:w="251" w:type="pct"/>
                  <w:shd w:val="clear" w:color="auto" w:fill="auto"/>
                  <w:vAlign w:val="center"/>
                </w:tcPr>
                <w:p w14:paraId="09AD4413">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tc>
              <w:tc>
                <w:tcPr>
                  <w:tcW w:w="271" w:type="pct"/>
                  <w:shd w:val="clear" w:color="auto" w:fill="auto"/>
                  <w:vAlign w:val="center"/>
                </w:tcPr>
                <w:p w14:paraId="05D5C9EF">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6.24</w:t>
                  </w:r>
                </w:p>
              </w:tc>
              <w:tc>
                <w:tcPr>
                  <w:tcW w:w="362" w:type="pct"/>
                  <w:shd w:val="clear" w:color="auto" w:fill="auto"/>
                  <w:vAlign w:val="center"/>
                </w:tcPr>
                <w:p w14:paraId="0B27CA1E">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2.6</w:t>
                  </w:r>
                </w:p>
              </w:tc>
              <w:tc>
                <w:tcPr>
                  <w:tcW w:w="312" w:type="pct"/>
                  <w:shd w:val="clear" w:color="auto" w:fill="auto"/>
                  <w:vAlign w:val="center"/>
                </w:tcPr>
                <w:p w14:paraId="0C4F3B16">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无组织</w:t>
                  </w:r>
                </w:p>
              </w:tc>
              <w:tc>
                <w:tcPr>
                  <w:tcW w:w="535" w:type="pct"/>
                  <w:shd w:val="clear" w:color="auto" w:fill="auto"/>
                  <w:vAlign w:val="center"/>
                </w:tcPr>
                <w:p w14:paraId="72D8E18C">
                  <w:pPr>
                    <w:pStyle w:val="27"/>
                    <w:rPr>
                      <w:rFonts w:hint="default" w:ascii="Times New Roman" w:hAnsi="Times New Roman" w:cs="Times New Roman"/>
                      <w:color w:val="auto"/>
                      <w:szCs w:val="21"/>
                    </w:rPr>
                  </w:pPr>
                  <w:r>
                    <w:rPr>
                      <w:rFonts w:hint="default" w:ascii="Times New Roman" w:hAnsi="Times New Roman" w:cs="Times New Roman"/>
                      <w:color w:val="auto"/>
                    </w:rPr>
                    <w:t>三面围挡+顶棚＋苫布遮盖措施以及洒水降尘</w:t>
                  </w:r>
                </w:p>
              </w:tc>
              <w:tc>
                <w:tcPr>
                  <w:tcW w:w="315" w:type="pct"/>
                  <w:shd w:val="clear" w:color="auto" w:fill="auto"/>
                  <w:vAlign w:val="center"/>
                </w:tcPr>
                <w:p w14:paraId="7439BF7E">
                  <w:pPr>
                    <w:pStyle w:val="2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18" w:type="pct"/>
                  <w:shd w:val="clear" w:color="auto" w:fill="auto"/>
                  <w:vAlign w:val="center"/>
                </w:tcPr>
                <w:p w14:paraId="4019FCC3">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74</w:t>
                  </w:r>
                </w:p>
              </w:tc>
              <w:tc>
                <w:tcPr>
                  <w:tcW w:w="319" w:type="pct"/>
                  <w:shd w:val="clear" w:color="auto" w:fill="auto"/>
                  <w:vAlign w:val="center"/>
                </w:tcPr>
                <w:p w14:paraId="14F60A36">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59" w:type="pct"/>
                  <w:shd w:val="clear" w:color="auto" w:fill="auto"/>
                  <w:vAlign w:val="center"/>
                </w:tcPr>
                <w:p w14:paraId="2C023C44">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是</w:t>
                  </w:r>
                </w:p>
              </w:tc>
              <w:tc>
                <w:tcPr>
                  <w:tcW w:w="341" w:type="pct"/>
                  <w:shd w:val="clear" w:color="auto" w:fill="auto"/>
                  <w:vAlign w:val="center"/>
                </w:tcPr>
                <w:p w14:paraId="7B6595F2">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1.6224</w:t>
                  </w:r>
                </w:p>
              </w:tc>
              <w:tc>
                <w:tcPr>
                  <w:tcW w:w="269" w:type="pct"/>
                  <w:shd w:val="clear" w:color="auto" w:fill="auto"/>
                  <w:vAlign w:val="center"/>
                </w:tcPr>
                <w:p w14:paraId="35DAEA6B">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36" w:type="pct"/>
                  <w:shd w:val="clear" w:color="auto" w:fill="auto"/>
                  <w:vAlign w:val="center"/>
                </w:tcPr>
                <w:p w14:paraId="7994C2DD">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0.676</w:t>
                  </w:r>
                </w:p>
              </w:tc>
              <w:tc>
                <w:tcPr>
                  <w:tcW w:w="474" w:type="pct"/>
                  <w:vMerge w:val="continue"/>
                  <w:shd w:val="clear" w:color="auto" w:fill="auto"/>
                  <w:vAlign w:val="center"/>
                </w:tcPr>
                <w:p w14:paraId="083EF170">
                  <w:pPr>
                    <w:pStyle w:val="27"/>
                    <w:rPr>
                      <w:rFonts w:hint="default" w:ascii="Times New Roman" w:hAnsi="Times New Roman" w:cs="Times New Roman"/>
                      <w:bCs/>
                      <w:color w:val="auto"/>
                      <w:szCs w:val="21"/>
                    </w:rPr>
                  </w:pPr>
                </w:p>
              </w:tc>
            </w:tr>
            <w:tr w14:paraId="7EEE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59" w:type="pct"/>
                  <w:shd w:val="clear" w:color="auto" w:fill="auto"/>
                  <w:vAlign w:val="center"/>
                </w:tcPr>
                <w:p w14:paraId="241997A7">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4</w:t>
                  </w:r>
                </w:p>
              </w:tc>
              <w:tc>
                <w:tcPr>
                  <w:tcW w:w="270" w:type="pct"/>
                  <w:shd w:val="clear" w:color="auto" w:fill="auto"/>
                  <w:vAlign w:val="center"/>
                </w:tcPr>
                <w:p w14:paraId="3DC9CCEB">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搅拌机粉尘</w:t>
                  </w:r>
                </w:p>
              </w:tc>
              <w:tc>
                <w:tcPr>
                  <w:tcW w:w="251" w:type="pct"/>
                  <w:shd w:val="clear" w:color="auto" w:fill="auto"/>
                  <w:vAlign w:val="center"/>
                </w:tcPr>
                <w:p w14:paraId="609D8668">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颗粒物</w:t>
                  </w:r>
                </w:p>
              </w:tc>
              <w:tc>
                <w:tcPr>
                  <w:tcW w:w="271" w:type="pct"/>
                  <w:shd w:val="clear" w:color="auto" w:fill="auto"/>
                  <w:vAlign w:val="center"/>
                </w:tcPr>
                <w:p w14:paraId="30646107">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83.85</w:t>
                  </w:r>
                </w:p>
              </w:tc>
              <w:tc>
                <w:tcPr>
                  <w:tcW w:w="362" w:type="pct"/>
                  <w:shd w:val="clear" w:color="auto" w:fill="auto"/>
                  <w:vAlign w:val="center"/>
                </w:tcPr>
                <w:p w14:paraId="50BB0115">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34.94</w:t>
                  </w:r>
                </w:p>
              </w:tc>
              <w:tc>
                <w:tcPr>
                  <w:tcW w:w="312" w:type="pct"/>
                  <w:shd w:val="clear" w:color="auto" w:fill="auto"/>
                  <w:vAlign w:val="center"/>
                </w:tcPr>
                <w:p w14:paraId="4C2D25F7">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无组织</w:t>
                  </w:r>
                </w:p>
              </w:tc>
              <w:tc>
                <w:tcPr>
                  <w:tcW w:w="535" w:type="pct"/>
                  <w:shd w:val="clear" w:color="auto" w:fill="auto"/>
                  <w:vAlign w:val="center"/>
                </w:tcPr>
                <w:p w14:paraId="24D33B4F">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搅拌机和投料口进行整体封闭</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洒水降尘。</w:t>
                  </w:r>
                </w:p>
              </w:tc>
              <w:tc>
                <w:tcPr>
                  <w:tcW w:w="315" w:type="pct"/>
                  <w:shd w:val="clear" w:color="auto" w:fill="auto"/>
                  <w:vAlign w:val="center"/>
                </w:tcPr>
                <w:p w14:paraId="3B7050C2">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418" w:type="pct"/>
                  <w:shd w:val="clear" w:color="auto" w:fill="auto"/>
                  <w:vAlign w:val="center"/>
                </w:tcPr>
                <w:p w14:paraId="2765A71C">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99</w:t>
                  </w:r>
                </w:p>
              </w:tc>
              <w:tc>
                <w:tcPr>
                  <w:tcW w:w="319" w:type="pct"/>
                  <w:shd w:val="clear" w:color="auto" w:fill="auto"/>
                  <w:vAlign w:val="center"/>
                </w:tcPr>
                <w:p w14:paraId="4E6839D8">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w:t>
                  </w:r>
                </w:p>
              </w:tc>
              <w:tc>
                <w:tcPr>
                  <w:tcW w:w="359" w:type="pct"/>
                  <w:shd w:val="clear" w:color="auto" w:fill="auto"/>
                  <w:vAlign w:val="center"/>
                </w:tcPr>
                <w:p w14:paraId="7909D922">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是</w:t>
                  </w:r>
                </w:p>
              </w:tc>
              <w:tc>
                <w:tcPr>
                  <w:tcW w:w="341" w:type="pct"/>
                  <w:shd w:val="clear" w:color="auto" w:fill="auto"/>
                  <w:vAlign w:val="center"/>
                </w:tcPr>
                <w:p w14:paraId="30F51AD8">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0.8385</w:t>
                  </w:r>
                </w:p>
              </w:tc>
              <w:tc>
                <w:tcPr>
                  <w:tcW w:w="269" w:type="pct"/>
                  <w:shd w:val="clear" w:color="auto" w:fill="auto"/>
                  <w:vAlign w:val="center"/>
                </w:tcPr>
                <w:p w14:paraId="7638DBA7">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w:t>
                  </w:r>
                </w:p>
              </w:tc>
              <w:tc>
                <w:tcPr>
                  <w:tcW w:w="336" w:type="pct"/>
                  <w:shd w:val="clear" w:color="auto" w:fill="auto"/>
                  <w:vAlign w:val="center"/>
                </w:tcPr>
                <w:p w14:paraId="11C6530D">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0.35</w:t>
                  </w:r>
                </w:p>
              </w:tc>
              <w:tc>
                <w:tcPr>
                  <w:tcW w:w="474" w:type="pct"/>
                  <w:vMerge w:val="continue"/>
                  <w:shd w:val="clear" w:color="auto" w:fill="auto"/>
                  <w:vAlign w:val="center"/>
                </w:tcPr>
                <w:p w14:paraId="76B44E2D">
                  <w:pPr>
                    <w:pStyle w:val="27"/>
                    <w:rPr>
                      <w:rFonts w:hint="default" w:ascii="Times New Roman" w:hAnsi="Times New Roman" w:cs="Times New Roman"/>
                      <w:bCs/>
                      <w:color w:val="auto"/>
                      <w:szCs w:val="21"/>
                    </w:rPr>
                  </w:pPr>
                </w:p>
              </w:tc>
            </w:tr>
            <w:tr w14:paraId="1EA4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59" w:type="pct"/>
                  <w:tcBorders>
                    <w:bottom w:val="single" w:color="000000" w:sz="4" w:space="0"/>
                  </w:tcBorders>
                  <w:shd w:val="clear" w:color="auto" w:fill="auto"/>
                  <w:vAlign w:val="center"/>
                </w:tcPr>
                <w:p w14:paraId="69A0C204">
                  <w:pPr>
                    <w:pStyle w:val="27"/>
                    <w:ind w:firstLine="0" w:firstLineChars="0"/>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w:t>
                  </w:r>
                </w:p>
              </w:tc>
              <w:tc>
                <w:tcPr>
                  <w:tcW w:w="270" w:type="pct"/>
                  <w:tcBorders>
                    <w:bottom w:val="single" w:color="000000" w:sz="4" w:space="0"/>
                  </w:tcBorders>
                  <w:shd w:val="clear" w:color="auto" w:fill="auto"/>
                  <w:vAlign w:val="center"/>
                </w:tcPr>
                <w:p w14:paraId="636EAEDD">
                  <w:pPr>
                    <w:pStyle w:val="27"/>
                    <w:rPr>
                      <w:rFonts w:hint="default" w:ascii="Times New Roman" w:hAnsi="Times New Roman" w:cs="Times New Roman"/>
                      <w:color w:val="auto"/>
                      <w:szCs w:val="21"/>
                    </w:rPr>
                  </w:pPr>
                  <w:r>
                    <w:rPr>
                      <w:rFonts w:hint="default" w:ascii="Times New Roman" w:hAnsi="Times New Roman" w:cs="Times New Roman"/>
                      <w:color w:val="auto"/>
                      <w:szCs w:val="21"/>
                    </w:rPr>
                    <w:t>汽车</w:t>
                  </w:r>
                </w:p>
                <w:p w14:paraId="4FC48AF2">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color w:val="auto"/>
                      <w:szCs w:val="21"/>
                    </w:rPr>
                    <w:t>尾气</w:t>
                  </w:r>
                </w:p>
              </w:tc>
              <w:tc>
                <w:tcPr>
                  <w:tcW w:w="251" w:type="pct"/>
                  <w:tcBorders>
                    <w:bottom w:val="single" w:color="000000" w:sz="4" w:space="0"/>
                  </w:tcBorders>
                  <w:shd w:val="clear" w:color="auto" w:fill="auto"/>
                  <w:vAlign w:val="center"/>
                </w:tcPr>
                <w:p w14:paraId="2DA9040D">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CO、THC和NOx</w:t>
                  </w:r>
                </w:p>
              </w:tc>
              <w:tc>
                <w:tcPr>
                  <w:tcW w:w="271" w:type="pct"/>
                  <w:tcBorders>
                    <w:bottom w:val="single" w:color="000000" w:sz="4" w:space="0"/>
                  </w:tcBorders>
                  <w:shd w:val="clear" w:color="auto" w:fill="auto"/>
                  <w:vAlign w:val="center"/>
                </w:tcPr>
                <w:p w14:paraId="13BF4EA3">
                  <w:pPr>
                    <w:pStyle w:val="27"/>
                    <w:rPr>
                      <w:rFonts w:hint="default" w:ascii="Times New Roman" w:hAnsi="Times New Roman" w:cs="Times New Roman"/>
                      <w:bCs/>
                      <w:color w:val="auto"/>
                      <w:szCs w:val="21"/>
                    </w:rPr>
                  </w:pPr>
                </w:p>
                <w:p w14:paraId="50BB21F3">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62" w:type="pct"/>
                  <w:tcBorders>
                    <w:bottom w:val="single" w:color="000000" w:sz="4" w:space="0"/>
                  </w:tcBorders>
                  <w:shd w:val="clear" w:color="auto" w:fill="auto"/>
                  <w:vAlign w:val="center"/>
                </w:tcPr>
                <w:p w14:paraId="76260588">
                  <w:pPr>
                    <w:pStyle w:val="27"/>
                    <w:rPr>
                      <w:rFonts w:hint="default" w:ascii="Times New Roman" w:hAnsi="Times New Roman" w:cs="Times New Roman"/>
                      <w:bCs/>
                      <w:color w:val="auto"/>
                      <w:szCs w:val="21"/>
                    </w:rPr>
                  </w:pPr>
                </w:p>
                <w:p w14:paraId="334E567E">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12" w:type="pct"/>
                  <w:tcBorders>
                    <w:bottom w:val="single" w:color="000000" w:sz="4" w:space="0"/>
                  </w:tcBorders>
                  <w:shd w:val="clear" w:color="auto" w:fill="auto"/>
                  <w:vAlign w:val="center"/>
                </w:tcPr>
                <w:p w14:paraId="5F3676E3">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无组织</w:t>
                  </w:r>
                </w:p>
              </w:tc>
              <w:tc>
                <w:tcPr>
                  <w:tcW w:w="535" w:type="pct"/>
                  <w:tcBorders>
                    <w:bottom w:val="single" w:color="000000" w:sz="4" w:space="0"/>
                  </w:tcBorders>
                  <w:shd w:val="clear" w:color="auto" w:fill="auto"/>
                  <w:vAlign w:val="center"/>
                </w:tcPr>
                <w:p w14:paraId="079A6CE7">
                  <w:pPr>
                    <w:pStyle w:val="27"/>
                    <w:rPr>
                      <w:rFonts w:hint="default" w:ascii="Times New Roman" w:hAnsi="Times New Roman" w:cs="Times New Roman"/>
                      <w:bCs/>
                      <w:color w:val="auto"/>
                      <w:szCs w:val="21"/>
                    </w:rPr>
                  </w:pPr>
                </w:p>
                <w:p w14:paraId="6941A467">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color w:val="auto"/>
                      <w:szCs w:val="21"/>
                    </w:rPr>
                    <w:t>绿化、空气扩散</w:t>
                  </w:r>
                </w:p>
              </w:tc>
              <w:tc>
                <w:tcPr>
                  <w:tcW w:w="315" w:type="pct"/>
                  <w:tcBorders>
                    <w:bottom w:val="single" w:color="000000" w:sz="4" w:space="0"/>
                  </w:tcBorders>
                  <w:shd w:val="clear" w:color="auto" w:fill="auto"/>
                  <w:vAlign w:val="center"/>
                </w:tcPr>
                <w:p w14:paraId="3B7180FF">
                  <w:pPr>
                    <w:pStyle w:val="27"/>
                    <w:rPr>
                      <w:rFonts w:hint="default" w:ascii="Times New Roman" w:hAnsi="Times New Roman" w:cs="Times New Roman"/>
                      <w:color w:val="auto"/>
                      <w:szCs w:val="21"/>
                    </w:rPr>
                  </w:pPr>
                </w:p>
                <w:p w14:paraId="226366BD">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color w:val="auto"/>
                      <w:szCs w:val="21"/>
                    </w:rPr>
                    <w:t>/</w:t>
                  </w:r>
                </w:p>
              </w:tc>
              <w:tc>
                <w:tcPr>
                  <w:tcW w:w="418" w:type="pct"/>
                  <w:tcBorders>
                    <w:bottom w:val="single" w:color="000000" w:sz="4" w:space="0"/>
                  </w:tcBorders>
                  <w:shd w:val="clear" w:color="auto" w:fill="auto"/>
                  <w:vAlign w:val="center"/>
                </w:tcPr>
                <w:p w14:paraId="362AAA05">
                  <w:pPr>
                    <w:pStyle w:val="27"/>
                    <w:rPr>
                      <w:rFonts w:hint="default" w:ascii="Times New Roman" w:hAnsi="Times New Roman" w:cs="Times New Roman"/>
                      <w:bCs/>
                      <w:color w:val="auto"/>
                      <w:szCs w:val="21"/>
                    </w:rPr>
                  </w:pPr>
                </w:p>
                <w:p w14:paraId="02751D5F">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19" w:type="pct"/>
                  <w:tcBorders>
                    <w:bottom w:val="single" w:color="000000" w:sz="4" w:space="0"/>
                  </w:tcBorders>
                  <w:shd w:val="clear" w:color="auto" w:fill="auto"/>
                  <w:vAlign w:val="center"/>
                </w:tcPr>
                <w:p w14:paraId="2B6BF486">
                  <w:pPr>
                    <w:pStyle w:val="27"/>
                    <w:rPr>
                      <w:rFonts w:hint="default" w:ascii="Times New Roman" w:hAnsi="Times New Roman" w:cs="Times New Roman"/>
                      <w:bCs/>
                      <w:color w:val="auto"/>
                      <w:szCs w:val="21"/>
                    </w:rPr>
                  </w:pPr>
                </w:p>
                <w:p w14:paraId="15949156">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59" w:type="pct"/>
                  <w:tcBorders>
                    <w:bottom w:val="single" w:color="000000" w:sz="4" w:space="0"/>
                  </w:tcBorders>
                  <w:shd w:val="clear" w:color="auto" w:fill="auto"/>
                  <w:vAlign w:val="center"/>
                </w:tcPr>
                <w:p w14:paraId="3F8BE7D7">
                  <w:pPr>
                    <w:pStyle w:val="27"/>
                    <w:rPr>
                      <w:rFonts w:hint="default" w:ascii="Times New Roman" w:hAnsi="Times New Roman" w:cs="Times New Roman"/>
                      <w:bCs/>
                      <w:color w:val="auto"/>
                      <w:szCs w:val="21"/>
                    </w:rPr>
                  </w:pPr>
                </w:p>
                <w:p w14:paraId="23649FD2">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41" w:type="pct"/>
                  <w:tcBorders>
                    <w:bottom w:val="single" w:color="000000" w:sz="4" w:space="0"/>
                  </w:tcBorders>
                  <w:shd w:val="clear" w:color="auto" w:fill="auto"/>
                  <w:vAlign w:val="center"/>
                </w:tcPr>
                <w:p w14:paraId="2A98A45A">
                  <w:pPr>
                    <w:pStyle w:val="27"/>
                    <w:rPr>
                      <w:rFonts w:hint="default" w:ascii="Times New Roman" w:hAnsi="Times New Roman" w:cs="Times New Roman"/>
                      <w:bCs/>
                      <w:color w:val="auto"/>
                      <w:szCs w:val="21"/>
                    </w:rPr>
                  </w:pPr>
                </w:p>
                <w:p w14:paraId="3C820991">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269" w:type="pct"/>
                  <w:tcBorders>
                    <w:bottom w:val="single" w:color="000000" w:sz="4" w:space="0"/>
                  </w:tcBorders>
                  <w:shd w:val="clear" w:color="auto" w:fill="auto"/>
                  <w:vAlign w:val="center"/>
                </w:tcPr>
                <w:p w14:paraId="399A7500">
                  <w:pPr>
                    <w:pStyle w:val="27"/>
                    <w:rPr>
                      <w:rFonts w:hint="default" w:ascii="Times New Roman" w:hAnsi="Times New Roman" w:cs="Times New Roman"/>
                      <w:bCs/>
                      <w:color w:val="auto"/>
                      <w:szCs w:val="21"/>
                    </w:rPr>
                  </w:pPr>
                </w:p>
                <w:p w14:paraId="4BE904FE">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336" w:type="pct"/>
                  <w:tcBorders>
                    <w:bottom w:val="single" w:color="000000" w:sz="4" w:space="0"/>
                  </w:tcBorders>
                  <w:shd w:val="clear" w:color="auto" w:fill="auto"/>
                  <w:vAlign w:val="center"/>
                </w:tcPr>
                <w:p w14:paraId="028B16A2">
                  <w:pPr>
                    <w:pStyle w:val="27"/>
                    <w:rPr>
                      <w:rFonts w:hint="default" w:ascii="Times New Roman" w:hAnsi="Times New Roman" w:cs="Times New Roman"/>
                      <w:bCs/>
                      <w:color w:val="auto"/>
                      <w:szCs w:val="21"/>
                    </w:rPr>
                  </w:pPr>
                </w:p>
                <w:p w14:paraId="27043768">
                  <w:pPr>
                    <w:pStyle w:val="27"/>
                    <w:ind w:firstLine="0" w:firstLineChars="0"/>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bCs/>
                      <w:color w:val="auto"/>
                      <w:szCs w:val="21"/>
                    </w:rPr>
                    <w:t>/</w:t>
                  </w:r>
                </w:p>
              </w:tc>
              <w:tc>
                <w:tcPr>
                  <w:tcW w:w="474" w:type="pct"/>
                  <w:tcBorders>
                    <w:bottom w:val="single" w:color="000000" w:sz="4" w:space="0"/>
                  </w:tcBorders>
                  <w:shd w:val="clear" w:color="auto" w:fill="auto"/>
                  <w:vAlign w:val="center"/>
                </w:tcPr>
                <w:p w14:paraId="4B724DBB">
                  <w:pPr>
                    <w:pStyle w:val="27"/>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14:paraId="5946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7" w:type="pct"/>
                  <w:gridSpan w:val="11"/>
                  <w:shd w:val="clear" w:color="auto" w:fill="auto"/>
                  <w:vAlign w:val="center"/>
                </w:tcPr>
                <w:p w14:paraId="7552330C">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合计</w:t>
                  </w:r>
                </w:p>
              </w:tc>
              <w:tc>
                <w:tcPr>
                  <w:tcW w:w="341" w:type="pct"/>
                  <w:shd w:val="clear" w:color="auto" w:fill="auto"/>
                  <w:vAlign w:val="center"/>
                </w:tcPr>
                <w:p w14:paraId="13E5EEF0">
                  <w:pPr>
                    <w:pStyle w:val="27"/>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5.5107</w:t>
                  </w:r>
                </w:p>
              </w:tc>
              <w:tc>
                <w:tcPr>
                  <w:tcW w:w="269" w:type="pct"/>
                  <w:shd w:val="clear" w:color="auto" w:fill="auto"/>
                  <w:vAlign w:val="center"/>
                </w:tcPr>
                <w:p w14:paraId="1A55AF1A">
                  <w:pPr>
                    <w:pStyle w:val="27"/>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w:t>
                  </w:r>
                </w:p>
              </w:tc>
              <w:tc>
                <w:tcPr>
                  <w:tcW w:w="336" w:type="pct"/>
                  <w:shd w:val="clear" w:color="auto" w:fill="auto"/>
                  <w:vAlign w:val="center"/>
                </w:tcPr>
                <w:p w14:paraId="61BC5EF5">
                  <w:pPr>
                    <w:pStyle w:val="27"/>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2.296</w:t>
                  </w:r>
                </w:p>
              </w:tc>
              <w:tc>
                <w:tcPr>
                  <w:tcW w:w="474" w:type="pct"/>
                  <w:shd w:val="clear" w:color="auto" w:fill="auto"/>
                  <w:vAlign w:val="center"/>
                </w:tcPr>
                <w:p w14:paraId="69BA2BC5">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w:t>
                  </w:r>
                </w:p>
              </w:tc>
            </w:tr>
          </w:tbl>
          <w:p w14:paraId="2DEDAB86">
            <w:pPr>
              <w:spacing w:line="360" w:lineRule="auto"/>
              <w:ind w:firstLine="440" w:firstLineChars="200"/>
              <w:jc w:val="both"/>
              <w:rPr>
                <w:rFonts w:hint="default" w:ascii="Times New Roman" w:hAnsi="Times New Roman" w:cs="Times New Roman"/>
                <w:color w:val="auto"/>
              </w:rPr>
            </w:pPr>
          </w:p>
        </w:tc>
      </w:tr>
    </w:tbl>
    <w:p w14:paraId="758F3F7C">
      <w:pPr>
        <w:pStyle w:val="27"/>
        <w:rPr>
          <w:rFonts w:hint="default" w:ascii="Times New Roman" w:hAnsi="Times New Roman" w:cs="Times New Roman"/>
          <w:bCs/>
          <w:color w:val="auto"/>
          <w:sz w:val="24"/>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
        <w:gridCol w:w="8768"/>
      </w:tblGrid>
      <w:tr w14:paraId="7036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4" w:hRule="atLeast"/>
          <w:jc w:val="center"/>
        </w:trPr>
        <w:tc>
          <w:tcPr>
            <w:tcW w:w="369" w:type="dxa"/>
            <w:shd w:val="clear" w:color="auto" w:fill="auto"/>
          </w:tcPr>
          <w:p w14:paraId="5B008701">
            <w:pPr>
              <w:pStyle w:val="27"/>
              <w:rPr>
                <w:rFonts w:hint="default" w:ascii="Times New Roman" w:hAnsi="Times New Roman" w:cs="Times New Roman"/>
                <w:bCs/>
                <w:color w:val="auto"/>
              </w:rPr>
            </w:pPr>
          </w:p>
        </w:tc>
        <w:tc>
          <w:tcPr>
            <w:tcW w:w="8702" w:type="dxa"/>
            <w:shd w:val="clear" w:color="auto" w:fill="auto"/>
          </w:tcPr>
          <w:p w14:paraId="0E156815">
            <w:pPr>
              <w:spacing w:line="360" w:lineRule="auto"/>
              <w:ind w:firstLine="482" w:firstLineChars="200"/>
              <w:jc w:val="both"/>
              <w:rPr>
                <w:rFonts w:hint="default" w:ascii="Times New Roman" w:hAnsi="Times New Roman" w:cs="Times New Roman"/>
                <w:b/>
                <w:bCs/>
                <w:color w:val="auto"/>
                <w:sz w:val="24"/>
                <w:szCs w:val="24"/>
                <w:lang w:val="zh-CN" w:eastAsia="zh-CN"/>
              </w:rPr>
            </w:pPr>
            <w:r>
              <w:rPr>
                <w:rFonts w:hint="default" w:ascii="Times New Roman" w:hAnsi="Times New Roman" w:cs="Times New Roman"/>
                <w:b/>
                <w:bCs/>
                <w:color w:val="auto"/>
                <w:sz w:val="24"/>
                <w:szCs w:val="24"/>
                <w:lang w:val="zh-CN" w:eastAsia="zh-CN"/>
              </w:rPr>
              <w:t>（二）主要污染工序及强源分析</w:t>
            </w:r>
          </w:p>
          <w:p w14:paraId="71E95C46">
            <w:pPr>
              <w:pStyle w:val="29"/>
              <w:ind w:firstLine="460"/>
              <w:jc w:val="both"/>
              <w:rPr>
                <w:rFonts w:hint="default" w:ascii="Times New Roman" w:hAnsi="Times New Roman" w:cs="Times New Roman"/>
                <w:b/>
                <w:bCs/>
                <w:color w:val="auto"/>
                <w:kern w:val="0"/>
                <w:lang w:val="zh-CN"/>
              </w:rPr>
            </w:pPr>
            <w:r>
              <w:rPr>
                <w:rFonts w:hint="default" w:ascii="Times New Roman" w:hAnsi="Times New Roman" w:cs="Times New Roman"/>
                <w:color w:val="auto"/>
                <w:spacing w:val="-5"/>
              </w:rPr>
              <w:t>根据前文工艺流程及产污环节分析，本项目运营期</w:t>
            </w:r>
            <w:r>
              <w:rPr>
                <w:rFonts w:hint="default" w:ascii="Times New Roman" w:hAnsi="Times New Roman" w:cs="Times New Roman"/>
                <w:color w:val="auto"/>
              </w:rPr>
              <w:t>废气主要为</w:t>
            </w:r>
            <w:r>
              <w:rPr>
                <w:rFonts w:hint="default" w:ascii="Times New Roman" w:hAnsi="Times New Roman" w:cs="Times New Roman"/>
                <w:color w:val="auto"/>
                <w:lang w:val="en-US" w:eastAsia="zh-CN"/>
              </w:rPr>
              <w:t>装载机上料粉尘、</w:t>
            </w:r>
            <w:r>
              <w:rPr>
                <w:rFonts w:hint="default" w:ascii="Times New Roman" w:hAnsi="Times New Roman" w:cs="Times New Roman"/>
                <w:color w:val="auto"/>
              </w:rPr>
              <w:t>运输</w:t>
            </w:r>
            <w:r>
              <w:rPr>
                <w:rFonts w:hint="default" w:ascii="Times New Roman" w:hAnsi="Times New Roman" w:cs="Times New Roman"/>
                <w:color w:val="auto"/>
                <w:lang w:val="en-US" w:eastAsia="zh-CN"/>
              </w:rPr>
              <w:t>过程扬尘</w:t>
            </w:r>
            <w:r>
              <w:rPr>
                <w:rFonts w:hint="default" w:ascii="Times New Roman" w:hAnsi="Times New Roman" w:cs="Times New Roman"/>
                <w:color w:val="auto"/>
              </w:rPr>
              <w:t>、</w:t>
            </w:r>
            <w:r>
              <w:rPr>
                <w:rFonts w:hint="default" w:ascii="Times New Roman" w:hAnsi="Times New Roman" w:cs="Times New Roman"/>
                <w:color w:val="auto"/>
                <w:lang w:val="en-US" w:eastAsia="zh-CN"/>
              </w:rPr>
              <w:t>原料堆场</w:t>
            </w:r>
            <w:r>
              <w:rPr>
                <w:rFonts w:hint="default" w:ascii="Times New Roman" w:hAnsi="Times New Roman" w:cs="Times New Roman"/>
                <w:color w:val="auto"/>
              </w:rPr>
              <w:t>粉尘</w:t>
            </w:r>
            <w:r>
              <w:rPr>
                <w:rFonts w:hint="default" w:ascii="Times New Roman" w:hAnsi="Times New Roman" w:cs="Times New Roman"/>
                <w:color w:val="auto"/>
                <w:lang w:eastAsia="zh-CN"/>
              </w:rPr>
              <w:t>、</w:t>
            </w:r>
            <w:r>
              <w:rPr>
                <w:rFonts w:hint="default" w:ascii="Times New Roman" w:hAnsi="Times New Roman" w:cs="Times New Roman"/>
                <w:color w:val="auto"/>
              </w:rPr>
              <w:t>搅拌机粉尘</w:t>
            </w:r>
            <w:r>
              <w:rPr>
                <w:rFonts w:hint="default" w:ascii="Times New Roman" w:hAnsi="Times New Roman" w:cs="Times New Roman"/>
                <w:color w:val="auto"/>
                <w:spacing w:val="-10"/>
              </w:rPr>
              <w:t>。</w:t>
            </w:r>
          </w:p>
          <w:p w14:paraId="5009C01F">
            <w:pPr>
              <w:pStyle w:val="29"/>
              <w:numPr>
                <w:ilvl w:val="0"/>
                <w:numId w:val="0"/>
              </w:numPr>
              <w:adjustRightInd w:val="0"/>
              <w:snapToGrid w:val="0"/>
              <w:ind w:firstLine="482" w:firstLineChars="200"/>
              <w:jc w:val="both"/>
              <w:rPr>
                <w:rFonts w:hint="default" w:ascii="Times New Roman" w:hAnsi="Times New Roman" w:cs="Times New Roman"/>
                <w:b/>
                <w:color w:val="auto"/>
                <w:szCs w:val="21"/>
              </w:rPr>
            </w:pPr>
            <w:r>
              <w:rPr>
                <w:rFonts w:hint="default" w:ascii="Times New Roman" w:hAnsi="Times New Roman" w:cs="Times New Roman"/>
                <w:b/>
                <w:bCs/>
                <w:color w:val="auto"/>
                <w:kern w:val="0"/>
                <w:lang w:val="zh-CN"/>
              </w:rPr>
              <w:t>各个废气产生环节产生量核算如下：</w:t>
            </w:r>
          </w:p>
          <w:p w14:paraId="7A125D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color w:val="auto"/>
                <w:kern w:val="2"/>
                <w:sz w:val="24"/>
                <w:szCs w:val="24"/>
                <w:lang w:val="en-US" w:eastAsia="zh-CN"/>
              </w:rPr>
            </w:pPr>
            <w:r>
              <w:rPr>
                <w:rFonts w:hint="default" w:ascii="Times New Roman" w:hAnsi="Times New Roman" w:cs="Times New Roman"/>
                <w:b/>
                <w:bCs w:val="0"/>
                <w:color w:val="auto"/>
                <w:kern w:val="2"/>
                <w:sz w:val="24"/>
                <w:szCs w:val="24"/>
                <w:lang w:val="en-US" w:eastAsia="zh-CN"/>
              </w:rPr>
              <w:t>（1）生产废气</w:t>
            </w:r>
          </w:p>
          <w:p w14:paraId="0F36BC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kern w:val="2"/>
                <w:sz w:val="24"/>
                <w:szCs w:val="24"/>
                <w:lang w:val="en-US" w:eastAsia="zh-CN"/>
              </w:rPr>
            </w:pPr>
            <w:r>
              <w:rPr>
                <w:rFonts w:hint="default" w:ascii="Times New Roman" w:hAnsi="Times New Roman" w:cs="Times New Roman"/>
                <w:b w:val="0"/>
                <w:bCs/>
                <w:color w:val="auto"/>
                <w:kern w:val="2"/>
                <w:sz w:val="24"/>
                <w:szCs w:val="24"/>
                <w:lang w:val="en-US" w:eastAsia="zh-CN"/>
              </w:rPr>
              <w:t>1、装载机上料粉尘</w:t>
            </w:r>
          </w:p>
          <w:p w14:paraId="62AABC85">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smallCaps w:val="0"/>
                <w:color w:val="auto"/>
                <w:spacing w:val="0"/>
                <w:kern w:val="2"/>
                <w:sz w:val="24"/>
                <w:szCs w:val="24"/>
                <w:highlight w:val="none"/>
                <w:u w:val="none" w:color="auto"/>
                <w:lang w:val="en-US" w:eastAsia="zh-CN" w:bidi="ar-SA"/>
              </w:rPr>
              <w:t>骨料上料工序：</w:t>
            </w:r>
            <w:r>
              <w:rPr>
                <w:rFonts w:hint="default" w:ascii="Times New Roman" w:hAnsi="Times New Roman" w:eastAsia="宋体" w:cs="Times New Roman"/>
                <w:b w:val="0"/>
                <w:bCs w:val="0"/>
                <w:color w:val="auto"/>
                <w:sz w:val="24"/>
                <w:szCs w:val="24"/>
                <w:highlight w:val="none"/>
                <w:u w:val="none" w:color="auto"/>
                <w:lang w:val="en-US" w:eastAsia="zh-CN"/>
              </w:rPr>
              <w:t>本项目骨料先通过装载车铲入料斗内，然后通过料斗落入料斗下方的皮带输送机上，由皮带输送机将骨料输送到搅拌机中。本项目骨料</w:t>
            </w:r>
            <w:r>
              <w:rPr>
                <w:rFonts w:hint="default" w:ascii="Times New Roman" w:hAnsi="Times New Roman" w:cs="Times New Roman"/>
                <w:b w:val="0"/>
                <w:bCs w:val="0"/>
                <w:color w:val="auto"/>
                <w:sz w:val="24"/>
                <w:szCs w:val="24"/>
                <w:highlight w:val="none"/>
                <w:u w:val="none" w:color="auto"/>
                <w:lang w:val="en-US" w:eastAsia="zh-CN"/>
              </w:rPr>
              <w:t>是公分石、土方和砂，共计</w:t>
            </w:r>
            <w:r>
              <w:rPr>
                <w:rFonts w:hint="default" w:ascii="Times New Roman" w:hAnsi="Times New Roman" w:eastAsia="宋体" w:cs="Times New Roman"/>
                <w:b w:val="0"/>
                <w:bCs w:val="0"/>
                <w:color w:val="auto"/>
                <w:sz w:val="24"/>
                <w:szCs w:val="24"/>
                <w:highlight w:val="none"/>
                <w:u w:val="none" w:color="auto"/>
                <w:lang w:val="en-US" w:eastAsia="zh-CN"/>
              </w:rPr>
              <w:t>用量约为</w:t>
            </w:r>
            <w:r>
              <w:rPr>
                <w:rFonts w:hint="default" w:ascii="Times New Roman" w:hAnsi="Times New Roman" w:cs="Times New Roman"/>
                <w:b w:val="0"/>
                <w:bCs w:val="0"/>
                <w:color w:val="auto"/>
                <w:sz w:val="24"/>
                <w:szCs w:val="24"/>
                <w:highlight w:val="none"/>
                <w:u w:val="none" w:color="auto"/>
                <w:lang w:val="en-US" w:eastAsia="zh-CN"/>
              </w:rPr>
              <w:t>39万m</w:t>
            </w:r>
            <w:r>
              <w:rPr>
                <w:rFonts w:hint="default" w:ascii="Times New Roman" w:hAnsi="Times New Roman"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sz w:val="24"/>
                <w:szCs w:val="24"/>
                <w:highlight w:val="none"/>
                <w:u w:val="none" w:color="auto"/>
                <w:lang w:val="en-US" w:eastAsia="zh-CN"/>
              </w:rPr>
              <w:t>/a</w:t>
            </w:r>
            <w:r>
              <w:rPr>
                <w:rFonts w:hint="default" w:ascii="Times New Roman" w:hAnsi="Times New Roman" w:cs="Times New Roman"/>
                <w:b w:val="0"/>
                <w:bCs w:val="0"/>
                <w:color w:val="auto"/>
                <w:sz w:val="24"/>
                <w:szCs w:val="24"/>
                <w:highlight w:val="none"/>
                <w:u w:val="none" w:color="auto"/>
                <w:lang w:val="en-US" w:eastAsia="zh-CN"/>
              </w:rPr>
              <w:t>（约624000</w:t>
            </w:r>
            <w:r>
              <w:rPr>
                <w:rFonts w:hint="default" w:ascii="Times New Roman" w:hAnsi="Times New Roman" w:eastAsia="宋体" w:cs="Times New Roman"/>
                <w:b w:val="0"/>
                <w:bCs w:val="0"/>
                <w:color w:val="auto"/>
                <w:sz w:val="24"/>
                <w:szCs w:val="24"/>
                <w:highlight w:val="none"/>
                <w:u w:val="none" w:color="auto"/>
                <w:lang w:val="en-US" w:eastAsia="zh-CN"/>
              </w:rPr>
              <w:t>t/a</w:t>
            </w:r>
            <w:r>
              <w:rPr>
                <w:rFonts w:hint="default" w:ascii="Times New Roman" w:hAnsi="Times New Roman" w:cs="Times New Roman"/>
                <w:b w:val="0"/>
                <w:bCs w:val="0"/>
                <w:color w:val="auto"/>
                <w:sz w:val="24"/>
                <w:szCs w:val="24"/>
                <w:highlight w:val="none"/>
                <w:u w:val="none" w:color="auto"/>
                <w:lang w:val="en-US" w:eastAsia="zh-CN"/>
              </w:rPr>
              <w:t>）。</w:t>
            </w:r>
            <w:r>
              <w:rPr>
                <w:rFonts w:hint="default" w:ascii="Times New Roman" w:hAnsi="Times New Roman" w:eastAsia="宋体" w:cs="Times New Roman"/>
                <w:b w:val="0"/>
                <w:bCs w:val="0"/>
                <w:color w:val="auto"/>
                <w:sz w:val="24"/>
                <w:szCs w:val="24"/>
                <w:highlight w:val="none"/>
                <w:u w:val="none" w:color="auto"/>
                <w:lang w:val="en-US" w:eastAsia="zh-CN"/>
              </w:rPr>
              <w:t>根据《逸散性工业粉尘控制技术》可知，石子入料斗粉尘产污系数按0.02kg/t-原料计</w:t>
            </w:r>
            <w:r>
              <w:rPr>
                <w:rFonts w:hint="default" w:ascii="Times New Roman" w:hAnsi="Times New Roman" w:cs="Times New Roman"/>
                <w:b w:val="0"/>
                <w:bCs w:val="0"/>
                <w:color w:val="auto"/>
                <w:sz w:val="24"/>
                <w:szCs w:val="24"/>
                <w:highlight w:val="none"/>
                <w:u w:val="none" w:color="auto"/>
                <w:lang w:val="en-US" w:eastAsia="zh-CN"/>
              </w:rPr>
              <w:t>。</w:t>
            </w:r>
            <w:r>
              <w:rPr>
                <w:rFonts w:hint="default" w:ascii="Times New Roman" w:hAnsi="Times New Roman" w:eastAsia="宋体" w:cs="Times New Roman"/>
                <w:b w:val="0"/>
                <w:bCs w:val="0"/>
                <w:color w:val="auto"/>
                <w:sz w:val="24"/>
                <w:szCs w:val="24"/>
                <w:highlight w:val="none"/>
                <w:u w:val="none" w:color="auto"/>
                <w:lang w:val="en-US" w:eastAsia="zh-CN"/>
              </w:rPr>
              <w:t>则上料工序产尘量为</w:t>
            </w:r>
            <w:r>
              <w:rPr>
                <w:rFonts w:hint="default" w:ascii="Times New Roman" w:hAnsi="Times New Roman" w:cs="Times New Roman"/>
                <w:b w:val="0"/>
                <w:bCs w:val="0"/>
                <w:color w:val="auto"/>
                <w:sz w:val="24"/>
                <w:szCs w:val="24"/>
                <w:highlight w:val="none"/>
                <w:u w:val="none" w:color="auto"/>
                <w:lang w:val="en-US" w:eastAsia="zh-CN"/>
              </w:rPr>
              <w:t>12.48</w:t>
            </w:r>
            <w:r>
              <w:rPr>
                <w:rFonts w:hint="default" w:ascii="Times New Roman" w:hAnsi="Times New Roman" w:eastAsia="宋体" w:cs="Times New Roman"/>
                <w:b w:val="0"/>
                <w:bCs w:val="0"/>
                <w:color w:val="auto"/>
                <w:sz w:val="24"/>
                <w:szCs w:val="24"/>
                <w:highlight w:val="none"/>
                <w:u w:val="none" w:color="auto"/>
                <w:lang w:val="en-US" w:eastAsia="zh-CN"/>
              </w:rPr>
              <w:t>t/a。</w:t>
            </w:r>
            <w:r>
              <w:rPr>
                <w:rFonts w:hint="default" w:ascii="Times New Roman" w:hAnsi="Times New Roman" w:cs="Times New Roman"/>
                <w:color w:val="auto"/>
                <w:sz w:val="24"/>
                <w:szCs w:val="24"/>
              </w:rPr>
              <w:t>通过</w:t>
            </w:r>
            <w:r>
              <w:rPr>
                <w:rFonts w:hint="default" w:ascii="Times New Roman" w:hAnsi="Times New Roman" w:cs="Times New Roman"/>
                <w:color w:val="auto"/>
                <w:sz w:val="24"/>
                <w:szCs w:val="24"/>
                <w:lang w:val="en-US" w:eastAsia="zh-CN"/>
              </w:rPr>
              <w:t>半封闭料棚+</w:t>
            </w:r>
            <w:r>
              <w:rPr>
                <w:rFonts w:hint="default" w:ascii="Times New Roman" w:hAnsi="Times New Roman" w:cs="Times New Roman"/>
                <w:color w:val="auto"/>
                <w:sz w:val="24"/>
                <w:szCs w:val="24"/>
              </w:rPr>
              <w:t>洒水降尘可使粉尘排放量降低80%，则原料装卸排放的粉尘量为</w:t>
            </w:r>
            <w:r>
              <w:rPr>
                <w:rFonts w:hint="default" w:ascii="Times New Roman" w:hAnsi="Times New Roman" w:cs="Times New Roman"/>
                <w:color w:val="auto"/>
                <w:sz w:val="24"/>
                <w:szCs w:val="24"/>
                <w:lang w:val="en-US" w:eastAsia="zh-CN"/>
              </w:rPr>
              <w:t>2.496</w:t>
            </w:r>
            <w:r>
              <w:rPr>
                <w:rFonts w:hint="default" w:ascii="Times New Roman" w:hAnsi="Times New Roman" w:cs="Times New Roman"/>
                <w:color w:val="auto"/>
                <w:sz w:val="24"/>
                <w:szCs w:val="24"/>
              </w:rPr>
              <w:t>t/a。</w:t>
            </w:r>
          </w:p>
          <w:p w14:paraId="43E0121A">
            <w:pPr>
              <w:keepNext w:val="0"/>
              <w:keepLines w:val="0"/>
              <w:pageBreakBefore w:val="0"/>
              <w:widowControl w:val="0"/>
              <w:kinsoku/>
              <w:wordWrap/>
              <w:overflowPunct/>
              <w:topLinePunct w:val="0"/>
              <w:autoSpaceDE/>
              <w:autoSpaceDN/>
              <w:bidi w:val="0"/>
              <w:adjustRightInd/>
              <w:snapToGrid/>
              <w:spacing w:line="360" w:lineRule="auto"/>
              <w:ind w:firstLine="480"/>
              <w:contextualSpacing/>
              <w:textAlignment w:val="auto"/>
              <w:rPr>
                <w:rStyle w:val="36"/>
                <w:rFonts w:hint="default" w:ascii="Times New Roman" w:hAnsi="Times New Roman" w:cs="Times New Roman"/>
                <w:color w:val="auto"/>
                <w:sz w:val="24"/>
                <w:szCs w:val="24"/>
                <w:lang w:val="en-US" w:eastAsia="zh-CN"/>
              </w:rPr>
            </w:pPr>
            <w:r>
              <w:rPr>
                <w:rStyle w:val="36"/>
                <w:rFonts w:hint="default" w:ascii="Times New Roman" w:hAnsi="Times New Roman" w:cs="Times New Roman"/>
                <w:color w:val="auto"/>
                <w:sz w:val="24"/>
                <w:szCs w:val="24"/>
              </w:rPr>
              <w:t>2</w:t>
            </w:r>
            <w:r>
              <w:rPr>
                <w:rStyle w:val="36"/>
                <w:rFonts w:hint="default" w:ascii="Times New Roman" w:hAnsi="Times New Roman" w:cs="Times New Roman"/>
                <w:color w:val="auto"/>
                <w:sz w:val="24"/>
                <w:szCs w:val="24"/>
                <w:lang w:eastAsia="zh-CN"/>
              </w:rPr>
              <w:t>、</w:t>
            </w:r>
            <w:r>
              <w:rPr>
                <w:rStyle w:val="36"/>
                <w:rFonts w:hint="default" w:ascii="Times New Roman" w:hAnsi="Times New Roman" w:cs="Times New Roman"/>
                <w:color w:val="auto"/>
                <w:sz w:val="24"/>
                <w:szCs w:val="24"/>
                <w:lang w:val="en-US" w:eastAsia="zh-CN"/>
              </w:rPr>
              <w:t>运输过程扬尘</w:t>
            </w:r>
          </w:p>
          <w:p w14:paraId="72B749CF">
            <w:pPr>
              <w:pStyle w:val="3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根据同类型报告表计算方法，</w:t>
            </w:r>
            <w:r>
              <w:rPr>
                <w:rFonts w:hint="default" w:ascii="Times New Roman" w:hAnsi="Times New Roman" w:cs="Times New Roman"/>
                <w:color w:val="auto"/>
                <w:sz w:val="24"/>
                <w:szCs w:val="24"/>
              </w:rPr>
              <w:t>运输场地道路产生的粉尘按照上海环境保护中心和武汉水运工程学院提出的经验公式计算：</w:t>
            </w:r>
          </w:p>
          <w:p w14:paraId="52B42768">
            <w:pPr>
              <w:pStyle w:val="38"/>
              <w:keepNext w:val="0"/>
              <w:keepLines w:val="0"/>
              <w:pageBreakBefore w:val="0"/>
              <w:widowControl w:val="0"/>
              <w:kinsoku/>
              <w:wordWrap/>
              <w:overflowPunct/>
              <w:topLinePunct w:val="0"/>
              <w:autoSpaceDE/>
              <w:autoSpaceDN/>
              <w:bidi w:val="0"/>
              <w:adjustRightInd/>
              <w:snapToGrid/>
              <w:spacing w:line="360" w:lineRule="auto"/>
              <w:ind w:firstLine="2160" w:firstLineChars="900"/>
              <w:jc w:val="both"/>
              <w:textAlignment w:val="auto"/>
              <w:rPr>
                <w:rFonts w:hint="default" w:ascii="Times New Roman" w:hAnsi="Times New Roman" w:cs="Times New Roman"/>
                <w:color w:val="auto"/>
                <w:sz w:val="24"/>
                <w:szCs w:val="24"/>
                <w:vertAlign w:val="superscript"/>
              </w:rPr>
            </w:pPr>
            <w:r>
              <w:rPr>
                <w:rFonts w:hint="default" w:ascii="Times New Roman" w:hAnsi="Times New Roman" w:cs="Times New Roman"/>
                <w:color w:val="auto"/>
                <w:sz w:val="24"/>
                <w:szCs w:val="24"/>
              </w:rPr>
              <w:t>Q=0.123（V/5）（M/6.8）</w:t>
            </w:r>
            <w:r>
              <w:rPr>
                <w:rFonts w:hint="default" w:ascii="Times New Roman" w:hAnsi="Times New Roman" w:cs="Times New Roman"/>
                <w:color w:val="auto"/>
                <w:sz w:val="24"/>
                <w:szCs w:val="24"/>
                <w:vertAlign w:val="superscript"/>
              </w:rPr>
              <w:t>0.85</w:t>
            </w:r>
            <w:r>
              <w:rPr>
                <w:rFonts w:hint="default" w:ascii="Times New Roman" w:hAnsi="Times New Roman" w:cs="Times New Roman"/>
                <w:color w:val="auto"/>
                <w:sz w:val="24"/>
                <w:szCs w:val="24"/>
              </w:rPr>
              <w:t>（P/0.5）</w:t>
            </w:r>
            <w:r>
              <w:rPr>
                <w:rFonts w:hint="default" w:ascii="Times New Roman" w:hAnsi="Times New Roman" w:cs="Times New Roman"/>
                <w:color w:val="auto"/>
                <w:sz w:val="24"/>
                <w:szCs w:val="24"/>
                <w:vertAlign w:val="superscript"/>
              </w:rPr>
              <w:t>0.72</w:t>
            </w:r>
          </w:p>
          <w:p w14:paraId="7EB576E0">
            <w:pPr>
              <w:pStyle w:val="38"/>
              <w:keepNext w:val="0"/>
              <w:keepLines w:val="0"/>
              <w:pageBreakBefore w:val="0"/>
              <w:widowControl w:val="0"/>
              <w:kinsoku/>
              <w:wordWrap/>
              <w:overflowPunct/>
              <w:topLinePunct w:val="0"/>
              <w:autoSpaceDE/>
              <w:autoSpaceDN/>
              <w:bidi w:val="0"/>
              <w:adjustRightInd/>
              <w:snapToGrid/>
              <w:spacing w:line="360" w:lineRule="auto"/>
              <w:ind w:left="1160" w:leftChars="200" w:hanging="720" w:hangingChars="3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式中：Q—汽车行驶的扬尘，kg/ km·辆；</w:t>
            </w:r>
            <w:r>
              <w:rPr>
                <w:rFonts w:hint="default" w:ascii="Times New Roman" w:hAnsi="Times New Roman" w:cs="Times New Roman"/>
                <w:color w:val="auto"/>
                <w:sz w:val="24"/>
                <w:szCs w:val="24"/>
              </w:rPr>
              <w:br w:type="textWrapping"/>
            </w:r>
            <w:r>
              <w:rPr>
                <w:rFonts w:hint="default" w:ascii="Times New Roman" w:hAnsi="Times New Roman" w:cs="Times New Roman"/>
                <w:color w:val="auto"/>
                <w:sz w:val="24"/>
                <w:szCs w:val="24"/>
              </w:rPr>
              <w:t>V—汽车速度，km/h，本项目为15km/h；</w:t>
            </w:r>
            <w:r>
              <w:rPr>
                <w:rFonts w:hint="default" w:ascii="Times New Roman" w:hAnsi="Times New Roman" w:cs="Times New Roman"/>
                <w:color w:val="auto"/>
                <w:sz w:val="24"/>
                <w:szCs w:val="24"/>
              </w:rPr>
              <w:br w:type="textWrapping"/>
            </w:r>
            <w:r>
              <w:rPr>
                <w:rFonts w:hint="default" w:ascii="Times New Roman" w:hAnsi="Times New Roman" w:cs="Times New Roman"/>
                <w:color w:val="auto"/>
                <w:sz w:val="24"/>
                <w:szCs w:val="24"/>
              </w:rPr>
              <w:t>M—汽车载重量，吨，本项目采用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0t载重汽车；</w:t>
            </w:r>
            <w:r>
              <w:rPr>
                <w:rFonts w:hint="default" w:ascii="Times New Roman" w:hAnsi="Times New Roman" w:cs="Times New Roman"/>
                <w:color w:val="auto"/>
                <w:sz w:val="24"/>
                <w:szCs w:val="24"/>
              </w:rPr>
              <w:br w:type="textWrapping"/>
            </w:r>
            <w:r>
              <w:rPr>
                <w:rFonts w:hint="default" w:ascii="Times New Roman" w:hAnsi="Times New Roman" w:cs="Times New Roman"/>
                <w:color w:val="auto"/>
                <w:sz w:val="24"/>
                <w:szCs w:val="24"/>
              </w:rPr>
              <w:t>P—道路表面粉尘量，kg/m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，本项目按0.5kg/m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计</w:t>
            </w:r>
          </w:p>
          <w:p w14:paraId="3732A1C4">
            <w:pPr>
              <w:pStyle w:val="38"/>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经计算，汽车形式扬尘产生源强为</w:t>
            </w:r>
            <w:r>
              <w:rPr>
                <w:rFonts w:hint="default" w:ascii="Times New Roman" w:hAnsi="Times New Roman" w:cs="Times New Roman"/>
                <w:color w:val="auto"/>
                <w:sz w:val="24"/>
                <w:szCs w:val="24"/>
                <w:lang w:val="en-US" w:eastAsia="zh-CN"/>
              </w:rPr>
              <w:t>0.923</w:t>
            </w:r>
            <w:r>
              <w:rPr>
                <w:rFonts w:hint="default" w:ascii="Times New Roman" w:hAnsi="Times New Roman" w:cs="Times New Roman"/>
                <w:color w:val="auto"/>
                <w:sz w:val="24"/>
                <w:szCs w:val="24"/>
              </w:rPr>
              <w:t>kg/km·辆，原料运输次数（往返）约为</w:t>
            </w:r>
            <w:r>
              <w:rPr>
                <w:rFonts w:hint="default" w:ascii="Times New Roman" w:hAnsi="Times New Roman" w:cs="Times New Roman"/>
                <w:color w:val="auto"/>
                <w:sz w:val="24"/>
                <w:szCs w:val="24"/>
                <w:lang w:val="en-US" w:eastAsia="zh-CN"/>
              </w:rPr>
              <w:t>6000</w:t>
            </w:r>
            <w:r>
              <w:rPr>
                <w:rFonts w:hint="default" w:ascii="Times New Roman" w:hAnsi="Times New Roman" w:cs="Times New Roman"/>
                <w:color w:val="auto"/>
                <w:sz w:val="24"/>
                <w:szCs w:val="24"/>
              </w:rPr>
              <w:t>次/a，本项目运输道路长约为</w:t>
            </w:r>
            <w:r>
              <w:rPr>
                <w:rFonts w:hint="default" w:ascii="Times New Roman" w:hAnsi="Times New Roman" w:cs="Times New Roman"/>
                <w:color w:val="auto"/>
                <w:sz w:val="24"/>
                <w:szCs w:val="24"/>
                <w:lang w:val="en-US" w:eastAsia="zh-CN"/>
              </w:rPr>
              <w:t>500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eastAsia="zh-CN"/>
              </w:rPr>
              <w:t>则</w:t>
            </w:r>
            <w:r>
              <w:rPr>
                <w:rFonts w:hint="default" w:ascii="Times New Roman" w:hAnsi="Times New Roman" w:cs="Times New Roman"/>
                <w:color w:val="auto"/>
                <w:sz w:val="24"/>
                <w:szCs w:val="24"/>
              </w:rPr>
              <w:t>产生道路扬尘</w:t>
            </w:r>
            <w:r>
              <w:rPr>
                <w:rFonts w:hint="default" w:ascii="Times New Roman" w:hAnsi="Times New Roman" w:cs="Times New Roman"/>
                <w:color w:val="auto"/>
                <w:sz w:val="24"/>
                <w:szCs w:val="24"/>
                <w:lang w:val="en-US" w:eastAsia="zh-CN"/>
              </w:rPr>
              <w:t>2.769</w:t>
            </w:r>
            <w:r>
              <w:rPr>
                <w:rFonts w:hint="default" w:ascii="Times New Roman" w:hAnsi="Times New Roman" w:cs="Times New Roman"/>
                <w:color w:val="auto"/>
                <w:sz w:val="24"/>
                <w:szCs w:val="24"/>
              </w:rPr>
              <w:t>t/a；原料采用卡车运输，卡车用苫布苫盖，原料的运输过程产生的扬尘通过定期洒水进行降尘、限速行驶等措施，可使粉尘排放量降低80%，因此运输过程中无组织排放的粉尘量为</w:t>
            </w:r>
            <w:r>
              <w:rPr>
                <w:rFonts w:hint="default" w:ascii="Times New Roman" w:hAnsi="Times New Roman" w:cs="Times New Roman"/>
                <w:color w:val="auto"/>
                <w:sz w:val="24"/>
                <w:szCs w:val="24"/>
                <w:lang w:val="en-US" w:eastAsia="zh-CN"/>
              </w:rPr>
              <w:t>0.5538</w:t>
            </w:r>
            <w:r>
              <w:rPr>
                <w:rFonts w:hint="default" w:ascii="Times New Roman" w:hAnsi="Times New Roman" w:cs="Times New Roman"/>
                <w:color w:val="auto"/>
                <w:sz w:val="24"/>
                <w:szCs w:val="24"/>
              </w:rPr>
              <w:t>t/a</w:t>
            </w:r>
            <w:r>
              <w:rPr>
                <w:rFonts w:hint="default" w:ascii="Times New Roman" w:hAnsi="Times New Roman" w:cs="Times New Roman"/>
                <w:bCs/>
                <w:color w:val="auto"/>
                <w:sz w:val="24"/>
                <w:szCs w:val="24"/>
              </w:rPr>
              <w:t>。</w:t>
            </w:r>
          </w:p>
          <w:p w14:paraId="65C5E00A">
            <w:pPr>
              <w:pStyle w:val="37"/>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原料堆场</w:t>
            </w:r>
            <w:r>
              <w:rPr>
                <w:rFonts w:hint="default" w:ascii="Times New Roman" w:hAnsi="Times New Roman" w:cs="Times New Roman"/>
                <w:color w:val="auto"/>
                <w:sz w:val="24"/>
                <w:szCs w:val="24"/>
              </w:rPr>
              <w:t>粉尘</w:t>
            </w:r>
          </w:p>
          <w:p w14:paraId="13FA690F">
            <w:pPr>
              <w:pStyle w:val="37"/>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项目生产过程中使用的</w:t>
            </w:r>
            <w:r>
              <w:rPr>
                <w:rFonts w:hint="default" w:ascii="Times New Roman" w:hAnsi="Times New Roman" w:cs="Times New Roman"/>
                <w:bCs/>
                <w:color w:val="auto"/>
                <w:sz w:val="24"/>
                <w:lang w:val="en-US" w:eastAsia="zh-CN"/>
              </w:rPr>
              <w:t>公分石、土方和尾矿</w:t>
            </w:r>
            <w:r>
              <w:rPr>
                <w:rFonts w:hint="default" w:ascii="Times New Roman" w:hAnsi="Times New Roman" w:eastAsia="宋体" w:cs="Times New Roman"/>
                <w:bCs/>
                <w:color w:val="auto"/>
                <w:sz w:val="24"/>
                <w:lang w:val="en-US" w:eastAsia="zh-CN"/>
              </w:rPr>
              <w:t>主要</w:t>
            </w:r>
            <w:r>
              <w:rPr>
                <w:rFonts w:hint="default" w:ascii="Times New Roman" w:hAnsi="Times New Roman" w:cs="Times New Roman"/>
                <w:bCs/>
                <w:color w:val="auto"/>
                <w:sz w:val="24"/>
                <w:lang w:val="en-US" w:eastAsia="zh-CN"/>
              </w:rPr>
              <w:t>堆放在原料堆场</w:t>
            </w:r>
            <w:r>
              <w:rPr>
                <w:rFonts w:hint="default" w:ascii="Times New Roman" w:hAnsi="Times New Roman" w:eastAsia="宋体" w:cs="Times New Roman"/>
                <w:bCs/>
                <w:color w:val="auto"/>
                <w:sz w:val="24"/>
                <w:lang w:val="en-US" w:eastAsia="zh-CN"/>
              </w:rPr>
              <w:t>，</w:t>
            </w:r>
            <w:r>
              <w:rPr>
                <w:rFonts w:hint="default" w:ascii="Times New Roman" w:hAnsi="Times New Roman" w:cs="Times New Roman"/>
                <w:bCs/>
                <w:color w:val="auto"/>
                <w:sz w:val="24"/>
                <w:lang w:val="en-US" w:eastAsia="zh-CN"/>
              </w:rPr>
              <w:t>项目进入厂区的所有物料均进入料棚内堆存，同时采用篷布遮盖，此外，原料堆场应定时洒水降尘。</w:t>
            </w:r>
            <w:r>
              <w:rPr>
                <w:rFonts w:hint="default" w:ascii="Times New Roman" w:hAnsi="Times New Roman" w:eastAsia="宋体" w:cs="Times New Roman"/>
                <w:bCs/>
                <w:color w:val="auto"/>
                <w:sz w:val="24"/>
                <w:lang w:val="en-US" w:eastAsia="zh-CN"/>
              </w:rPr>
              <w:t>因此本项目原料堆放扬尘仅考虑石料堆放时产生的扬尘。根据有关调研资料分析，石料堆放主要的大气环境问题是</w:t>
            </w:r>
            <w:r>
              <w:rPr>
                <w:rFonts w:hint="default" w:ascii="Times New Roman" w:hAnsi="Times New Roman" w:cs="Times New Roman"/>
                <w:bCs/>
                <w:color w:val="auto"/>
                <w:sz w:val="24"/>
                <w:lang w:val="en-US" w:eastAsia="zh-CN"/>
              </w:rPr>
              <w:t>：</w:t>
            </w:r>
            <w:r>
              <w:rPr>
                <w:rFonts w:hint="default" w:ascii="Times New Roman" w:hAnsi="Times New Roman" w:eastAsia="宋体" w:cs="Times New Roman"/>
                <w:bCs/>
                <w:color w:val="auto"/>
                <w:sz w:val="24"/>
                <w:lang w:val="en-US" w:eastAsia="zh-CN"/>
              </w:rPr>
              <w:t>粒径较小的颗粒物在风力作用下起动输送，对下风向大气环境造成的污染。</w:t>
            </w:r>
          </w:p>
          <w:p w14:paraId="2042143D">
            <w:pPr>
              <w:pStyle w:val="37"/>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项目石料年用量为</w:t>
            </w:r>
            <w:r>
              <w:rPr>
                <w:rFonts w:hint="default" w:ascii="Times New Roman" w:hAnsi="Times New Roman" w:cs="Times New Roman"/>
                <w:bCs/>
                <w:color w:val="auto"/>
                <w:sz w:val="24"/>
                <w:lang w:val="en-US" w:eastAsia="zh-CN"/>
              </w:rPr>
              <w:t>39</w:t>
            </w:r>
            <w:r>
              <w:rPr>
                <w:rFonts w:hint="default" w:ascii="Times New Roman" w:hAnsi="Times New Roman" w:cs="Times New Roman"/>
                <w:b w:val="0"/>
                <w:bCs w:val="0"/>
                <w:color w:val="auto"/>
                <w:sz w:val="24"/>
                <w:szCs w:val="24"/>
                <w:highlight w:val="none"/>
                <w:u w:val="none" w:color="auto"/>
                <w:lang w:val="en-US" w:eastAsia="zh-CN"/>
              </w:rPr>
              <w:t>万m</w:t>
            </w:r>
            <w:r>
              <w:rPr>
                <w:rFonts w:hint="default" w:ascii="Times New Roman" w:hAnsi="Times New Roman"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sz w:val="24"/>
                <w:szCs w:val="24"/>
                <w:highlight w:val="none"/>
                <w:u w:val="none" w:color="auto"/>
                <w:lang w:val="en-US" w:eastAsia="zh-CN"/>
              </w:rPr>
              <w:t>/a</w:t>
            </w:r>
            <w:r>
              <w:rPr>
                <w:rFonts w:hint="default" w:ascii="Times New Roman" w:hAnsi="Times New Roman" w:cs="Times New Roman"/>
                <w:b w:val="0"/>
                <w:bCs w:val="0"/>
                <w:color w:val="auto"/>
                <w:sz w:val="24"/>
                <w:szCs w:val="24"/>
                <w:highlight w:val="none"/>
                <w:u w:val="none" w:color="auto"/>
                <w:lang w:val="en-US" w:eastAsia="zh-CN"/>
              </w:rPr>
              <w:t>（约624000</w:t>
            </w:r>
            <w:r>
              <w:rPr>
                <w:rFonts w:hint="default" w:ascii="Times New Roman" w:hAnsi="Times New Roman" w:eastAsia="宋体" w:cs="Times New Roman"/>
                <w:b w:val="0"/>
                <w:bCs w:val="0"/>
                <w:color w:val="auto"/>
                <w:sz w:val="24"/>
                <w:szCs w:val="24"/>
                <w:highlight w:val="none"/>
                <w:u w:val="none" w:color="auto"/>
                <w:lang w:val="en-US" w:eastAsia="zh-CN"/>
              </w:rPr>
              <w:t>t/a</w:t>
            </w:r>
            <w:r>
              <w:rPr>
                <w:rFonts w:hint="default" w:ascii="Times New Roman" w:hAnsi="Times New Roman" w:cs="Times New Roman"/>
                <w:b w:val="0"/>
                <w:bCs w:val="0"/>
                <w:color w:val="auto"/>
                <w:sz w:val="24"/>
                <w:szCs w:val="24"/>
                <w:highlight w:val="none"/>
                <w:u w:val="none" w:color="auto"/>
                <w:lang w:val="en-US" w:eastAsia="zh-CN"/>
              </w:rPr>
              <w:t>）</w:t>
            </w:r>
            <w:r>
              <w:rPr>
                <w:rFonts w:hint="default" w:ascii="Times New Roman" w:hAnsi="Times New Roman" w:eastAsia="宋体" w:cs="Times New Roman"/>
                <w:bCs/>
                <w:color w:val="auto"/>
                <w:sz w:val="24"/>
                <w:lang w:val="en-US" w:eastAsia="zh-CN"/>
              </w:rPr>
              <w:t>，</w:t>
            </w:r>
            <w:r>
              <w:rPr>
                <w:rFonts w:hint="default" w:ascii="Times New Roman" w:hAnsi="Times New Roman" w:cs="Times New Roman"/>
                <w:bCs/>
                <w:color w:val="auto"/>
                <w:sz w:val="24"/>
                <w:lang w:val="en-US" w:eastAsia="zh-CN"/>
              </w:rPr>
              <w:t>项目年生产300天。</w:t>
            </w:r>
            <w:r>
              <w:rPr>
                <w:rFonts w:hint="default" w:ascii="Times New Roman" w:hAnsi="Times New Roman" w:eastAsia="宋体" w:cs="Times New Roman"/>
                <w:bCs/>
                <w:color w:val="auto"/>
                <w:sz w:val="24"/>
                <w:lang w:val="en-US" w:eastAsia="zh-CN"/>
              </w:rPr>
              <w:t>根据类比同类型项目资料的分析，</w:t>
            </w:r>
            <w:r>
              <w:rPr>
                <w:rFonts w:hint="default" w:ascii="Times New Roman" w:hAnsi="Times New Roman" w:cs="Times New Roman"/>
                <w:bCs/>
                <w:color w:val="auto"/>
                <w:sz w:val="24"/>
                <w:lang w:val="en-US" w:eastAsia="zh-CN"/>
              </w:rPr>
              <w:t>且石料为大颗粒不易起尘，因此</w:t>
            </w:r>
            <w:r>
              <w:rPr>
                <w:rFonts w:hint="default" w:ascii="Times New Roman" w:hAnsi="Times New Roman" w:eastAsia="宋体" w:cs="Times New Roman"/>
                <w:bCs/>
                <w:color w:val="auto"/>
                <w:sz w:val="24"/>
                <w:lang w:val="en-US" w:eastAsia="zh-CN"/>
              </w:rPr>
              <w:t>扬尘量约为堆存量的0.0</w:t>
            </w:r>
            <w:r>
              <w:rPr>
                <w:rFonts w:hint="default" w:ascii="Times New Roman" w:hAnsi="Times New Roman" w:cs="Times New Roman"/>
                <w:bCs/>
                <w:color w:val="auto"/>
                <w:sz w:val="24"/>
                <w:lang w:val="en-US" w:eastAsia="zh-CN"/>
              </w:rPr>
              <w:t>0</w:t>
            </w:r>
            <w:r>
              <w:rPr>
                <w:rFonts w:hint="default" w:ascii="Times New Roman" w:hAnsi="Times New Roman" w:eastAsia="宋体" w:cs="Times New Roman"/>
                <w:bCs/>
                <w:color w:val="auto"/>
                <w:sz w:val="24"/>
                <w:lang w:val="en-US" w:eastAsia="zh-CN"/>
              </w:rPr>
              <w:t>1%，则此部分扬尘产生量预计约为</w:t>
            </w:r>
            <w:r>
              <w:rPr>
                <w:rFonts w:hint="default" w:ascii="Times New Roman" w:hAnsi="Times New Roman" w:cs="Times New Roman"/>
                <w:bCs/>
                <w:color w:val="auto"/>
                <w:sz w:val="24"/>
                <w:lang w:val="en-US" w:eastAsia="zh-CN"/>
              </w:rPr>
              <w:t>0.0208</w:t>
            </w:r>
            <w:r>
              <w:rPr>
                <w:rFonts w:hint="default" w:ascii="Times New Roman" w:hAnsi="Times New Roman" w:eastAsia="宋体" w:cs="Times New Roman"/>
                <w:bCs/>
                <w:color w:val="auto"/>
                <w:sz w:val="24"/>
                <w:lang w:val="en-US" w:eastAsia="zh-CN"/>
              </w:rPr>
              <w:t>t/d，</w:t>
            </w:r>
            <w:r>
              <w:rPr>
                <w:rFonts w:hint="default" w:ascii="Times New Roman" w:hAnsi="Times New Roman" w:cs="Times New Roman"/>
                <w:bCs/>
                <w:color w:val="auto"/>
                <w:sz w:val="24"/>
                <w:lang w:val="en-US" w:eastAsia="zh-CN"/>
              </w:rPr>
              <w:t>6.24</w:t>
            </w:r>
            <w:r>
              <w:rPr>
                <w:rFonts w:hint="default" w:ascii="Times New Roman" w:hAnsi="Times New Roman" w:eastAsia="宋体" w:cs="Times New Roman"/>
                <w:bCs/>
                <w:color w:val="auto"/>
                <w:sz w:val="24"/>
                <w:lang w:val="en-US" w:eastAsia="zh-CN"/>
              </w:rPr>
              <w:t>t/a。</w:t>
            </w:r>
            <w:r>
              <w:rPr>
                <w:rFonts w:hint="default" w:ascii="Times New Roman" w:hAnsi="Times New Roman" w:cs="Times New Roman"/>
                <w:color w:val="auto"/>
                <w:spacing w:val="-2"/>
              </w:rPr>
              <w:t>原料堆场</w:t>
            </w:r>
            <w:r>
              <w:rPr>
                <w:rFonts w:hint="default" w:ascii="Times New Roman" w:hAnsi="Times New Roman" w:cs="Times New Roman"/>
                <w:color w:val="auto"/>
                <w:spacing w:val="-2"/>
                <w:lang w:eastAsia="zh-CN"/>
              </w:rPr>
              <w:t>需</w:t>
            </w:r>
            <w:r>
              <w:rPr>
                <w:rFonts w:hint="default" w:ascii="Times New Roman" w:hAnsi="Times New Roman" w:cs="Times New Roman"/>
                <w:color w:val="auto"/>
                <w:spacing w:val="-2"/>
              </w:rPr>
              <w:t>每日定时洒水降尘</w:t>
            </w:r>
            <w:r>
              <w:rPr>
                <w:rFonts w:hint="default" w:ascii="Times New Roman" w:hAnsi="Times New Roman" w:cs="Times New Roman"/>
                <w:color w:val="auto"/>
                <w:spacing w:val="-2"/>
                <w:lang w:eastAsia="zh-CN"/>
              </w:rPr>
              <w:t>。</w:t>
            </w:r>
            <w:r>
              <w:rPr>
                <w:rFonts w:hint="default" w:ascii="Times New Roman" w:hAnsi="Times New Roman" w:cs="Times New Roman"/>
                <w:color w:val="auto"/>
              </w:rPr>
              <w:t>根据《工业源固体物料堆场颗粒物核算系数手册》附录4粉尘控制措施控制效率，喷雾粉尘控制效率取74%计，则原料堆场无组织粉尘颗粒物的排放量为</w:t>
            </w:r>
            <w:r>
              <w:rPr>
                <w:rFonts w:hint="default" w:ascii="Times New Roman" w:hAnsi="Times New Roman" w:cs="Times New Roman"/>
                <w:color w:val="auto"/>
                <w:lang w:val="en-US" w:eastAsia="zh-CN"/>
              </w:rPr>
              <w:t>1.6224</w:t>
            </w:r>
            <w:r>
              <w:rPr>
                <w:rFonts w:hint="default" w:ascii="Times New Roman" w:hAnsi="Times New Roman" w:cs="Times New Roman"/>
                <w:color w:val="auto"/>
              </w:rPr>
              <w:t>t/a，</w:t>
            </w:r>
            <w:r>
              <w:rPr>
                <w:rFonts w:hint="default" w:ascii="Times New Roman" w:hAnsi="Times New Roman" w:cs="Times New Roman"/>
                <w:color w:val="auto"/>
                <w:lang w:val="en-US" w:eastAsia="zh-CN"/>
              </w:rPr>
              <w:t>0.676</w:t>
            </w:r>
            <w:r>
              <w:rPr>
                <w:rFonts w:hint="default" w:ascii="Times New Roman" w:hAnsi="Times New Roman" w:cs="Times New Roman"/>
                <w:color w:val="auto"/>
              </w:rPr>
              <w:t>kg/h。（项目年生产300天，8h/d）。</w:t>
            </w:r>
          </w:p>
          <w:p w14:paraId="66F7F0D1">
            <w:pPr>
              <w:pStyle w:val="3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、搅拌机粉尘</w:t>
            </w:r>
          </w:p>
          <w:p w14:paraId="50DE62F6">
            <w:pPr>
              <w:pStyle w:val="37"/>
              <w:ind w:firstLine="480"/>
              <w:jc w:val="both"/>
              <w:rPr>
                <w:rFonts w:hint="default" w:ascii="Times New Roman" w:hAnsi="Times New Roman" w:cs="Times New Roman"/>
                <w:color w:val="auto"/>
              </w:rPr>
            </w:pPr>
            <w:r>
              <w:rPr>
                <w:rFonts w:hint="default" w:ascii="Times New Roman" w:hAnsi="Times New Roman" w:cs="Times New Roman"/>
                <w:color w:val="auto"/>
              </w:rPr>
              <w:t>各种物料进入混凝土搅拌机时，小粒径颗粒物会飘散形成粉尘，尤其是加入搅拌机内的</w:t>
            </w:r>
            <w:r>
              <w:rPr>
                <w:rFonts w:hint="default" w:ascii="Times New Roman" w:hAnsi="Times New Roman" w:cs="Times New Roman"/>
                <w:color w:val="auto"/>
                <w:lang w:val="en-US" w:eastAsia="zh-CN"/>
              </w:rPr>
              <w:t>细颗粒原料</w:t>
            </w:r>
            <w:r>
              <w:rPr>
                <w:rFonts w:hint="default" w:ascii="Times New Roman" w:hAnsi="Times New Roman" w:cs="Times New Roman"/>
                <w:color w:val="auto"/>
              </w:rPr>
              <w:t>。虽由于水的加入在一定程度上可抑制粉尘的产生。物料通过密闭管道输送及收集，搅拌机搅拌过程中为密闭状态。搅拌粉尘</w:t>
            </w:r>
            <w:r>
              <w:rPr>
                <w:rFonts w:hint="default" w:ascii="Times New Roman" w:hAnsi="Times New Roman" w:cs="Times New Roman"/>
                <w:color w:val="auto"/>
                <w:lang w:val="en-US" w:eastAsia="zh-CN"/>
              </w:rPr>
              <w:t>参考《排放源统计调查产排污核算方法和系数手册》中“3021水泥制品制造（含3022砼结构构件制造、3029其他水泥类似制品制造）行业系数手册中的系数</w:t>
            </w:r>
            <w:r>
              <w:rPr>
                <w:rFonts w:hint="default" w:ascii="Times New Roman" w:hAnsi="Times New Roman" w:cs="Times New Roman"/>
                <w:color w:val="auto"/>
              </w:rPr>
              <w:t>，混合机装载水泥、</w:t>
            </w:r>
            <w:r>
              <w:rPr>
                <w:rFonts w:hint="default" w:ascii="Times New Roman" w:hAnsi="Times New Roman" w:cs="Times New Roman"/>
                <w:color w:val="auto"/>
                <w:szCs w:val="21"/>
              </w:rPr>
              <w:t>碎石</w:t>
            </w:r>
            <w:r>
              <w:rPr>
                <w:rFonts w:hint="default" w:ascii="Times New Roman" w:hAnsi="Times New Roman" w:cs="Times New Roman"/>
                <w:color w:val="auto"/>
              </w:rPr>
              <w:t>等原料投入搅拌机进料口时的产尘系数为</w:t>
            </w:r>
            <w:r>
              <w:rPr>
                <w:rFonts w:hint="default" w:ascii="Times New Roman" w:hAnsi="Times New Roman" w:cs="Times New Roman"/>
                <w:color w:val="auto"/>
                <w:lang w:val="en-US" w:eastAsia="zh-CN"/>
              </w:rPr>
              <w:t>0.13</w:t>
            </w:r>
            <w:r>
              <w:rPr>
                <w:rFonts w:hint="default" w:ascii="Times New Roman" w:hAnsi="Times New Roman" w:cs="Times New Roman"/>
                <w:color w:val="auto"/>
              </w:rPr>
              <w:t>kg/t</w:t>
            </w:r>
            <w:r>
              <w:rPr>
                <w:rFonts w:hint="default" w:ascii="Times New Roman" w:hAnsi="Times New Roman" w:cs="Times New Roman"/>
                <w:color w:val="auto"/>
                <w:lang w:val="en-US" w:eastAsia="zh-CN"/>
              </w:rPr>
              <w:t>产品</w:t>
            </w:r>
            <w:r>
              <w:rPr>
                <w:rFonts w:hint="default" w:ascii="Times New Roman" w:hAnsi="Times New Roman" w:cs="Times New Roman"/>
                <w:color w:val="auto"/>
              </w:rPr>
              <w:t>。</w:t>
            </w:r>
          </w:p>
          <w:p w14:paraId="7E874A76">
            <w:pPr>
              <w:pStyle w:val="37"/>
              <w:ind w:firstLine="480"/>
              <w:jc w:val="both"/>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拌合料产量为40万</w:t>
            </w:r>
            <w:r>
              <w:rPr>
                <w:rFonts w:hint="default" w:ascii="Times New Roman" w:hAnsi="Times New Roman" w:cs="Times New Roman"/>
                <w:b w:val="0"/>
                <w:bCs w:val="0"/>
                <w:color w:val="auto"/>
                <w:sz w:val="24"/>
                <w:szCs w:val="24"/>
                <w:highlight w:val="none"/>
                <w:u w:val="none" w:color="auto"/>
                <w:lang w:val="en-US" w:eastAsia="zh-CN"/>
              </w:rPr>
              <w:t>m</w:t>
            </w:r>
            <w:r>
              <w:rPr>
                <w:rFonts w:hint="default" w:ascii="Times New Roman" w:hAnsi="Times New Roman"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sz w:val="24"/>
                <w:szCs w:val="24"/>
                <w:highlight w:val="none"/>
                <w:u w:val="none" w:color="auto"/>
                <w:lang w:val="en-US" w:eastAsia="zh-CN"/>
              </w:rPr>
              <w:t>/a</w:t>
            </w:r>
            <w:r>
              <w:rPr>
                <w:rFonts w:hint="default" w:ascii="Times New Roman" w:hAnsi="Times New Roman" w:cs="Times New Roman"/>
                <w:color w:val="auto"/>
                <w:lang w:val="en-US" w:eastAsia="zh-CN"/>
              </w:rPr>
              <w:t>（约645000t/a）</w:t>
            </w:r>
            <w:r>
              <w:rPr>
                <w:rFonts w:hint="default" w:ascii="Times New Roman" w:hAnsi="Times New Roman" w:cs="Times New Roman"/>
                <w:color w:val="auto"/>
              </w:rPr>
              <w:t>。本项目设有</w:t>
            </w:r>
            <w:r>
              <w:rPr>
                <w:rFonts w:hint="default" w:ascii="Times New Roman" w:hAnsi="Times New Roman" w:cs="Times New Roman"/>
                <w:color w:val="auto"/>
                <w:lang w:val="en-US" w:eastAsia="zh-CN"/>
              </w:rPr>
              <w:t>6</w:t>
            </w:r>
            <w:r>
              <w:rPr>
                <w:rFonts w:hint="default" w:ascii="Times New Roman" w:hAnsi="Times New Roman" w:cs="Times New Roman"/>
                <w:color w:val="auto"/>
              </w:rPr>
              <w:t>台搅拌机</w:t>
            </w:r>
            <w:r>
              <w:rPr>
                <w:rFonts w:hint="default" w:ascii="Times New Roman" w:hAnsi="Times New Roman" w:eastAsia="宋体" w:cs="Times New Roman"/>
                <w:bCs/>
                <w:color w:val="auto"/>
                <w:sz w:val="24"/>
              </w:rPr>
              <w:t>，</w:t>
            </w:r>
            <w:r>
              <w:rPr>
                <w:rFonts w:hint="default" w:ascii="Times New Roman" w:hAnsi="Times New Roman" w:cs="Times New Roman"/>
                <w:color w:val="auto"/>
              </w:rPr>
              <w:t>经计算，搅拌过程搅拌机粉尘产生量为</w:t>
            </w:r>
            <w:r>
              <w:rPr>
                <w:rFonts w:hint="default" w:ascii="Times New Roman" w:hAnsi="Times New Roman" w:cs="Times New Roman"/>
                <w:color w:val="auto"/>
                <w:lang w:val="en-US" w:eastAsia="zh-CN"/>
              </w:rPr>
              <w:t>83.85</w:t>
            </w:r>
            <w:r>
              <w:rPr>
                <w:rFonts w:hint="default" w:ascii="Times New Roman" w:hAnsi="Times New Roman" w:cs="Times New Roman"/>
                <w:color w:val="auto"/>
              </w:rPr>
              <w:t>t/a，产生速率为</w:t>
            </w:r>
            <w:r>
              <w:rPr>
                <w:rFonts w:hint="default" w:ascii="Times New Roman" w:hAnsi="Times New Roman" w:cs="Times New Roman"/>
                <w:color w:val="auto"/>
                <w:lang w:val="en-US" w:eastAsia="zh-CN"/>
              </w:rPr>
              <w:t>34.94</w:t>
            </w:r>
            <w:r>
              <w:rPr>
                <w:rFonts w:hint="default" w:ascii="Times New Roman" w:hAnsi="Times New Roman" w:cs="Times New Roman"/>
                <w:color w:val="auto"/>
              </w:rPr>
              <w:t>kg/h。</w:t>
            </w:r>
          </w:p>
          <w:p w14:paraId="694F3BFF">
            <w:pPr>
              <w:pStyle w:val="29"/>
              <w:adjustRightInd w:val="0"/>
              <w:snapToGrid w:val="0"/>
              <w:ind w:firstLine="482"/>
              <w:rPr>
                <w:rFonts w:hint="default" w:ascii="Times New Roman" w:hAnsi="Times New Roman" w:cs="Times New Roman"/>
                <w:bCs/>
                <w:color w:val="auto"/>
              </w:rPr>
            </w:pPr>
            <w:r>
              <w:rPr>
                <w:rFonts w:hint="default" w:ascii="Times New Roman" w:hAnsi="Times New Roman" w:cs="Times New Roman"/>
                <w:color w:val="auto"/>
              </w:rPr>
              <w:t>本项目对搅拌机和投料口进行整体</w:t>
            </w:r>
            <w:r>
              <w:rPr>
                <w:rFonts w:hint="default" w:ascii="Times New Roman" w:hAnsi="Times New Roman" w:cs="Times New Roman"/>
                <w:color w:val="auto"/>
                <w:szCs w:val="21"/>
              </w:rPr>
              <w:t>封闭，</w:t>
            </w:r>
            <w:r>
              <w:rPr>
                <w:rFonts w:hint="default" w:ascii="Times New Roman" w:hAnsi="Times New Roman" w:cs="Times New Roman"/>
                <w:bCs/>
                <w:color w:val="auto"/>
                <w:szCs w:val="21"/>
              </w:rPr>
              <w:t>抑尘效率为99%</w:t>
            </w:r>
            <w:r>
              <w:rPr>
                <w:rFonts w:hint="default" w:ascii="Times New Roman" w:hAnsi="Times New Roman" w:cs="Times New Roman"/>
                <w:color w:val="auto"/>
              </w:rPr>
              <w:t>，经计算，搅拌过程搅拌机</w:t>
            </w:r>
            <w:r>
              <w:rPr>
                <w:rFonts w:hint="default" w:ascii="Times New Roman" w:hAnsi="Times New Roman" w:cs="Times New Roman"/>
                <w:bCs/>
                <w:color w:val="auto"/>
              </w:rPr>
              <w:t>无组织粉尘排放量为</w:t>
            </w:r>
            <w:r>
              <w:rPr>
                <w:rFonts w:hint="default" w:ascii="Times New Roman" w:hAnsi="Times New Roman" w:cs="Times New Roman"/>
                <w:bCs/>
                <w:color w:val="auto"/>
                <w:lang w:val="en-US" w:eastAsia="zh-CN"/>
              </w:rPr>
              <w:t>0.8385</w:t>
            </w:r>
            <w:r>
              <w:rPr>
                <w:rFonts w:hint="default" w:ascii="Times New Roman" w:hAnsi="Times New Roman" w:cs="Times New Roman"/>
                <w:bCs/>
                <w:color w:val="auto"/>
              </w:rPr>
              <w:t>t/a，排放速率为</w:t>
            </w:r>
            <w:r>
              <w:rPr>
                <w:rFonts w:hint="default" w:ascii="Times New Roman" w:hAnsi="Times New Roman" w:cs="Times New Roman"/>
                <w:bCs/>
                <w:color w:val="auto"/>
                <w:lang w:val="en-US" w:eastAsia="zh-CN"/>
              </w:rPr>
              <w:t>0.35</w:t>
            </w:r>
            <w:r>
              <w:rPr>
                <w:rFonts w:hint="default" w:ascii="Times New Roman" w:hAnsi="Times New Roman" w:cs="Times New Roman"/>
                <w:bCs/>
                <w:color w:val="auto"/>
              </w:rPr>
              <w:t>kg/h。</w:t>
            </w:r>
          </w:p>
          <w:p w14:paraId="04E8CFD9">
            <w:pPr>
              <w:pStyle w:val="29"/>
              <w:ind w:firstLine="482"/>
              <w:jc w:val="both"/>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）汽车尾气</w:t>
            </w:r>
          </w:p>
          <w:p w14:paraId="03BAE0BD">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本项目运营期间，进出厂区的运输车辆会产生汽车尾气。尾气主要在汽车怠速状态或启动时产生，汽车尾气中主要含有CO、THC和NOx等有害成分，对周围空气质量会产生一定的影响。但由于汽车尾气的污染物量较少，项目汽车发车频次较</w:t>
            </w:r>
            <w:r>
              <w:rPr>
                <w:rFonts w:hint="default" w:ascii="Times New Roman" w:hAnsi="Times New Roman" w:cs="Times New Roman"/>
                <w:color w:val="auto"/>
                <w:lang w:val="en-US" w:eastAsia="zh-CN"/>
              </w:rPr>
              <w:t>少</w:t>
            </w:r>
            <w:r>
              <w:rPr>
                <w:rFonts w:hint="default" w:ascii="Times New Roman" w:hAnsi="Times New Roman" w:cs="Times New Roman"/>
                <w:color w:val="auto"/>
              </w:rPr>
              <w:t>，项目占地面积较大，全部为露天排放，有利于空气的扩散，且项目临路和临山周边种植有植物，对大气环境也有一定的净化作用。对周边空气环境影响较小。</w:t>
            </w:r>
          </w:p>
          <w:p w14:paraId="32B23B8F">
            <w:pPr>
              <w:pStyle w:val="29"/>
              <w:ind w:firstLine="482"/>
              <w:jc w:val="both"/>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）废气防治措施</w:t>
            </w:r>
          </w:p>
          <w:p w14:paraId="7ECB049D">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①</w:t>
            </w:r>
            <w:r>
              <w:rPr>
                <w:rFonts w:hint="default" w:ascii="Times New Roman" w:hAnsi="Times New Roman" w:cs="Times New Roman"/>
                <w:color w:val="auto"/>
                <w:szCs w:val="21"/>
              </w:rPr>
              <w:t>装载机上料粉尘</w:t>
            </w:r>
            <w:r>
              <w:rPr>
                <w:rFonts w:hint="default" w:ascii="Times New Roman" w:hAnsi="Times New Roman" w:cs="Times New Roman"/>
                <w:color w:val="auto"/>
              </w:rPr>
              <w:t>：</w:t>
            </w:r>
            <w:r>
              <w:rPr>
                <w:rFonts w:hint="default" w:ascii="Times New Roman" w:hAnsi="Times New Roman" w:cs="Times New Roman"/>
                <w:color w:val="auto"/>
                <w:spacing w:val="-7"/>
              </w:rPr>
              <w:t>本项目</w:t>
            </w:r>
            <w:r>
              <w:rPr>
                <w:rFonts w:hint="default" w:ascii="Times New Roman" w:hAnsi="Times New Roman" w:cs="Times New Roman"/>
                <w:color w:val="auto"/>
                <w:spacing w:val="-7"/>
                <w:lang w:val="en-US" w:eastAsia="zh-CN"/>
              </w:rPr>
              <w:t>骨料上料过程</w:t>
            </w:r>
            <w:r>
              <w:rPr>
                <w:rFonts w:hint="default" w:ascii="Times New Roman" w:hAnsi="Times New Roman" w:cs="Times New Roman"/>
                <w:color w:val="auto"/>
                <w:sz w:val="24"/>
                <w:szCs w:val="24"/>
              </w:rPr>
              <w:t>通过洒水降尘</w:t>
            </w:r>
            <w:r>
              <w:rPr>
                <w:rFonts w:hint="default" w:ascii="Times New Roman" w:hAnsi="Times New Roman" w:cs="Times New Roman"/>
                <w:color w:val="auto"/>
                <w:sz w:val="24"/>
                <w:szCs w:val="24"/>
                <w:lang w:val="en-US" w:eastAsia="zh-CN"/>
              </w:rPr>
              <w:t>可以有效减少粉尘产生量</w:t>
            </w:r>
            <w:r>
              <w:rPr>
                <w:rFonts w:hint="default" w:ascii="Times New Roman" w:hAnsi="Times New Roman" w:cs="Times New Roman"/>
                <w:color w:val="auto"/>
              </w:rPr>
              <w:t>；</w:t>
            </w:r>
          </w:p>
          <w:p w14:paraId="55D05793">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②运输过程扬尘：</w:t>
            </w:r>
            <w:r>
              <w:rPr>
                <w:rFonts w:hint="default" w:ascii="Times New Roman" w:hAnsi="Times New Roman" w:cs="Times New Roman"/>
                <w:color w:val="auto"/>
                <w:sz w:val="24"/>
                <w:szCs w:val="24"/>
              </w:rPr>
              <w:t>原料采用卡车运输，卡车用苫布苫盖，原料的运输过程产生的扬尘通过定期洒水进行降尘、限速行驶等措施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可有效降低粉尘产生</w:t>
            </w:r>
            <w:r>
              <w:rPr>
                <w:rFonts w:hint="default" w:ascii="Times New Roman" w:hAnsi="Times New Roman" w:cs="Times New Roman"/>
                <w:color w:val="auto"/>
              </w:rPr>
              <w:t>；</w:t>
            </w:r>
          </w:p>
          <w:p w14:paraId="0B2255DC">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③原料堆场粉尘：</w:t>
            </w:r>
            <w:r>
              <w:rPr>
                <w:rFonts w:hint="default" w:ascii="Times New Roman" w:hAnsi="Times New Roman" w:cs="Times New Roman"/>
                <w:color w:val="auto"/>
                <w:lang w:val="en-US" w:eastAsia="zh-CN"/>
              </w:rPr>
              <w:t>本项目原料周转较快，因此，本项目原料堆场设置一个面积约500m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的原料堆场，堆场设置三面围挡+顶棚措施，所有物料均进入料棚内堆存，同时采用篷布遮盖，此外，原料堆场应定时洒水降尘</w:t>
            </w:r>
            <w:r>
              <w:rPr>
                <w:rFonts w:hint="default" w:ascii="Times New Roman" w:hAnsi="Times New Roman" w:cs="Times New Roman"/>
                <w:color w:val="auto"/>
              </w:rPr>
              <w:t>；</w:t>
            </w:r>
          </w:p>
          <w:p w14:paraId="1F6BBAFF">
            <w:pPr>
              <w:pStyle w:val="29"/>
              <w:ind w:firstLine="480"/>
              <w:jc w:val="both"/>
              <w:rPr>
                <w:rFonts w:hint="default" w:ascii="Times New Roman" w:hAnsi="Times New Roman" w:cs="Times New Roman"/>
                <w:color w:val="auto"/>
              </w:rPr>
            </w:pPr>
            <w:r>
              <w:rPr>
                <w:rFonts w:hint="default" w:ascii="Times New Roman" w:hAnsi="Times New Roman" w:cs="Times New Roman"/>
                <w:color w:val="auto"/>
              </w:rPr>
              <w:t>④车间无组织粉尘：</w:t>
            </w:r>
            <w:r>
              <w:rPr>
                <w:rFonts w:hint="default" w:ascii="Times New Roman" w:hAnsi="Times New Roman" w:cs="Times New Roman"/>
                <w:color w:val="auto"/>
                <w:spacing w:val="-3"/>
                <w:lang w:val="en-US" w:eastAsia="zh-CN"/>
              </w:rPr>
              <w:t>生产工段</w:t>
            </w:r>
            <w:r>
              <w:rPr>
                <w:rFonts w:hint="default" w:ascii="Times New Roman" w:hAnsi="Times New Roman" w:cs="Times New Roman"/>
                <w:color w:val="auto"/>
                <w:spacing w:val="-3"/>
              </w:rPr>
              <w:t>为半封闭车间</w:t>
            </w:r>
            <w:r>
              <w:rPr>
                <w:rFonts w:hint="default" w:ascii="Times New Roman" w:hAnsi="Times New Roman" w:cs="Times New Roman"/>
                <w:color w:val="auto"/>
              </w:rPr>
              <w:t>（</w:t>
            </w:r>
            <w:r>
              <w:rPr>
                <w:rFonts w:hint="default" w:ascii="Times New Roman" w:hAnsi="Times New Roman" w:cs="Times New Roman"/>
                <w:color w:val="auto"/>
                <w:spacing w:val="-1"/>
              </w:rPr>
              <w:t>三面封闭，其中一面预留物料出入口大门</w:t>
            </w:r>
            <w:r>
              <w:rPr>
                <w:rFonts w:hint="default" w:ascii="Times New Roman" w:hAnsi="Times New Roman" w:cs="Times New Roman"/>
                <w:color w:val="auto"/>
                <w:spacing w:val="-11"/>
              </w:rPr>
              <w:t>）</w:t>
            </w:r>
            <w:r>
              <w:rPr>
                <w:rFonts w:hint="default" w:ascii="Times New Roman" w:hAnsi="Times New Roman" w:cs="Times New Roman"/>
                <w:color w:val="auto"/>
                <w:spacing w:val="-6"/>
              </w:rPr>
              <w:t>，约</w:t>
            </w:r>
            <w:r>
              <w:rPr>
                <w:rFonts w:hint="default" w:ascii="Times New Roman" w:hAnsi="Times New Roman" w:eastAsia="Times New Roman" w:cs="Times New Roman"/>
                <w:color w:val="auto"/>
              </w:rPr>
              <w:t>60%</w:t>
            </w:r>
            <w:r>
              <w:rPr>
                <w:rFonts w:hint="default" w:ascii="Times New Roman" w:hAnsi="Times New Roman" w:cs="Times New Roman"/>
                <w:color w:val="auto"/>
                <w:spacing w:val="-1"/>
              </w:rPr>
              <w:t>的粉尘在生产车间内自然沉降</w:t>
            </w:r>
            <w:r>
              <w:rPr>
                <w:rFonts w:hint="default" w:ascii="Times New Roman" w:hAnsi="Times New Roman" w:cs="Times New Roman"/>
                <w:color w:val="auto"/>
              </w:rPr>
              <w:t>；</w:t>
            </w:r>
          </w:p>
          <w:p w14:paraId="2415E63D">
            <w:pPr>
              <w:pStyle w:val="29"/>
              <w:ind w:firstLine="480"/>
              <w:jc w:val="both"/>
              <w:rPr>
                <w:rFonts w:hint="default" w:ascii="Times New Roman" w:hAnsi="Times New Roman" w:eastAsia="宋体" w:cs="Times New Roman"/>
                <w:color w:val="auto"/>
                <w:lang w:eastAsia="zh-CN"/>
              </w:rPr>
            </w:pPr>
            <w:r>
              <w:rPr>
                <w:rFonts w:hint="default" w:ascii="Times New Roman" w:hAnsi="Times New Roman" w:cs="Times New Roman"/>
                <w:color w:val="auto"/>
              </w:rPr>
              <w:t>⑤</w:t>
            </w:r>
            <w:r>
              <w:rPr>
                <w:rFonts w:hint="default" w:ascii="Times New Roman" w:hAnsi="Times New Roman" w:cs="Times New Roman"/>
                <w:color w:val="auto"/>
                <w:lang w:val="en-US" w:eastAsia="zh-CN"/>
              </w:rPr>
              <w:t>搅拌机粉尘：</w:t>
            </w:r>
            <w:r>
              <w:rPr>
                <w:rFonts w:hint="default" w:ascii="Times New Roman" w:hAnsi="Times New Roman" w:cs="Times New Roman"/>
                <w:color w:val="auto"/>
              </w:rPr>
              <w:t>本项目对搅拌机和投料口进行整体</w:t>
            </w:r>
            <w:r>
              <w:rPr>
                <w:rFonts w:hint="default" w:ascii="Times New Roman" w:hAnsi="Times New Roman" w:cs="Times New Roman"/>
                <w:color w:val="auto"/>
                <w:szCs w:val="21"/>
              </w:rPr>
              <w:t>封闭，</w:t>
            </w:r>
            <w:r>
              <w:rPr>
                <w:rFonts w:hint="default" w:ascii="Times New Roman" w:hAnsi="Times New Roman" w:cs="Times New Roman"/>
                <w:color w:val="auto"/>
                <w:szCs w:val="21"/>
                <w:lang w:val="en-US" w:eastAsia="zh-CN"/>
              </w:rPr>
              <w:t>定时洒水降尘；</w:t>
            </w:r>
          </w:p>
          <w:p w14:paraId="502B5C2C">
            <w:pPr>
              <w:pStyle w:val="29"/>
              <w:adjustRightInd w:val="0"/>
              <w:snapToGrid w:val="0"/>
              <w:ind w:firstLine="480"/>
              <w:jc w:val="both"/>
              <w:rPr>
                <w:rFonts w:hint="default" w:ascii="Times New Roman" w:hAnsi="Times New Roman" w:cs="Times New Roman"/>
                <w:color w:val="auto"/>
              </w:rPr>
            </w:pPr>
            <w:r>
              <w:rPr>
                <w:rFonts w:hint="default" w:ascii="Times New Roman" w:hAnsi="Times New Roman" w:cs="Times New Roman"/>
                <w:color w:val="auto"/>
              </w:rPr>
              <w:t>⑥汽车尾气：项目汽车发车频次较</w:t>
            </w:r>
            <w:r>
              <w:rPr>
                <w:rFonts w:hint="default" w:ascii="Times New Roman" w:hAnsi="Times New Roman" w:cs="Times New Roman"/>
                <w:color w:val="auto"/>
                <w:lang w:val="en-US" w:eastAsia="zh-CN"/>
              </w:rPr>
              <w:t>少</w:t>
            </w:r>
            <w:r>
              <w:rPr>
                <w:rFonts w:hint="default" w:ascii="Times New Roman" w:hAnsi="Times New Roman" w:cs="Times New Roman"/>
                <w:color w:val="auto"/>
              </w:rPr>
              <w:t>，项目占地面积较大，全部为露天排放，有利于空气的扩散，且项目临路和临山周边种植有植物，对大气环境也有一定的净化作用。对周边空气环境影响较小。</w:t>
            </w:r>
          </w:p>
          <w:p w14:paraId="1D7377B9">
            <w:pPr>
              <w:pStyle w:val="29"/>
              <w:adjustRightInd w:val="0"/>
              <w:snapToGrid w:val="0"/>
              <w:ind w:firstLine="480"/>
              <w:jc w:val="both"/>
              <w:rPr>
                <w:rFonts w:hint="default" w:ascii="Times New Roman" w:hAnsi="Times New Roman" w:eastAsia="宋体" w:cs="Times New Roman"/>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无组织废气环境影响预测分析</w:t>
            </w:r>
          </w:p>
          <w:p w14:paraId="179259C7">
            <w:pPr>
              <w:pStyle w:val="29"/>
              <w:ind w:firstLine="480"/>
              <w:jc w:val="both"/>
              <w:rPr>
                <w:rFonts w:hint="default" w:ascii="Times New Roman" w:hAnsi="Times New Roman" w:cs="Times New Roman"/>
                <w:color w:val="auto"/>
                <w:spacing w:val="-1"/>
                <w:lang w:val="en-US" w:eastAsia="zh-CN"/>
              </w:rPr>
            </w:pPr>
            <w:r>
              <w:rPr>
                <w:rFonts w:hint="default" w:ascii="Times New Roman" w:hAnsi="Times New Roman" w:cs="Times New Roman"/>
                <w:color w:val="auto"/>
                <w:spacing w:val="-1"/>
                <w:lang w:val="en-US" w:eastAsia="zh-CN"/>
              </w:rPr>
              <w:t>本项目无组织粉尘主要产生于</w:t>
            </w:r>
            <w:r>
              <w:rPr>
                <w:rFonts w:hint="default" w:ascii="Times New Roman" w:hAnsi="Times New Roman" w:cs="Times New Roman"/>
                <w:color w:val="auto"/>
                <w:spacing w:val="-1"/>
              </w:rPr>
              <w:t>装载机上料粉尘</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运输过程扬尘</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原料堆场粉尘</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车间无组织粉尘</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搅拌机粉尘。</w:t>
            </w:r>
            <w:r>
              <w:rPr>
                <w:rFonts w:hint="default" w:ascii="Times New Roman" w:hAnsi="Times New Roman" w:cs="Times New Roman"/>
                <w:color w:val="auto"/>
                <w:spacing w:val="-1"/>
                <w:lang w:eastAsia="zh-CN"/>
              </w:rPr>
              <w:t>根据AERSCREEN3模型对项目无组织颗粒物厂界达标情况进行预测，</w:t>
            </w:r>
            <w:r>
              <w:rPr>
                <w:rFonts w:hint="default" w:ascii="Times New Roman" w:hAnsi="Times New Roman" w:cs="Times New Roman"/>
                <w:color w:val="auto"/>
                <w:spacing w:val="-1"/>
                <w:lang w:val="en-US" w:eastAsia="zh-CN"/>
              </w:rPr>
              <w:t>预测结果取最大值进行分析，具体详见下表。</w:t>
            </w:r>
          </w:p>
          <w:p w14:paraId="0A82A866">
            <w:pPr>
              <w:pStyle w:val="29"/>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ascii="Times New Roman" w:hAnsi="Times New Roman" w:cs="Times New Roman"/>
                <w:b/>
                <w:bCs/>
                <w:color w:val="auto"/>
                <w:spacing w:val="-1"/>
                <w:sz w:val="21"/>
                <w:szCs w:val="21"/>
                <w:lang w:val="en-US" w:eastAsia="zh-CN"/>
              </w:rPr>
            </w:pPr>
            <w:r>
              <w:rPr>
                <w:rFonts w:hint="default" w:ascii="Times New Roman" w:hAnsi="Times New Roman" w:cs="Times New Roman"/>
                <w:b/>
                <w:bCs/>
                <w:color w:val="auto"/>
                <w:spacing w:val="-1"/>
                <w:sz w:val="21"/>
                <w:szCs w:val="21"/>
                <w:lang w:val="en-US" w:eastAsia="zh-CN"/>
              </w:rPr>
              <w:t>表4-2  厂界无组织废气预测结果汇总表</w:t>
            </w:r>
          </w:p>
          <w:tbl>
            <w:tblPr>
              <w:tblStyle w:val="20"/>
              <w:tblW w:w="499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83"/>
              <w:gridCol w:w="1700"/>
              <w:gridCol w:w="1473"/>
              <w:gridCol w:w="1526"/>
              <w:gridCol w:w="1528"/>
              <w:gridCol w:w="1528"/>
            </w:tblGrid>
            <w:tr w14:paraId="3EFC81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6" w:hRule="atLeast"/>
              </w:trPr>
              <w:tc>
                <w:tcPr>
                  <w:tcW w:w="458" w:type="pct"/>
                  <w:noWrap w:val="0"/>
                  <w:vAlign w:val="center"/>
                </w:tcPr>
                <w:p w14:paraId="338A10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995" w:type="pct"/>
                  <w:noWrap w:val="0"/>
                  <w:vAlign w:val="center"/>
                </w:tcPr>
                <w:p w14:paraId="29A623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厂界</w:t>
                  </w:r>
                </w:p>
              </w:tc>
              <w:tc>
                <w:tcPr>
                  <w:tcW w:w="862" w:type="pct"/>
                  <w:noWrap w:val="0"/>
                  <w:vAlign w:val="center"/>
                </w:tcPr>
                <w:p w14:paraId="278AC1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距离（</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bCs/>
                      <w:color w:val="auto"/>
                      <w:sz w:val="21"/>
                      <w:szCs w:val="21"/>
                      <w:lang w:eastAsia="zh-CN"/>
                    </w:rPr>
                    <w:t>）</w:t>
                  </w:r>
                </w:p>
              </w:tc>
              <w:tc>
                <w:tcPr>
                  <w:tcW w:w="893" w:type="pct"/>
                  <w:noWrap w:val="0"/>
                  <w:vAlign w:val="center"/>
                </w:tcPr>
                <w:p w14:paraId="3E5A0D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预测结果（</w:t>
                  </w:r>
                  <w:r>
                    <w:rPr>
                      <w:rFonts w:hint="default" w:ascii="Times New Roman" w:hAnsi="Times New Roman" w:cs="Times New Roman"/>
                      <w:b/>
                      <w:bCs/>
                      <w:color w:val="auto"/>
                      <w:sz w:val="21"/>
                      <w:szCs w:val="21"/>
                      <w:lang w:val="en-US" w:eastAsia="zh-CN"/>
                    </w:rPr>
                    <w:t>m</w:t>
                  </w:r>
                  <w:r>
                    <w:rPr>
                      <w:rFonts w:hint="default" w:ascii="Times New Roman" w:hAnsi="Times New Roman" w:eastAsia="宋体" w:cs="Times New Roman"/>
                      <w:b/>
                      <w:bCs/>
                      <w:color w:val="auto"/>
                      <w:sz w:val="21"/>
                      <w:szCs w:val="21"/>
                      <w:lang w:val="en-US" w:eastAsia="zh-CN"/>
                    </w:rPr>
                    <w:t>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eastAsia="zh-CN"/>
                    </w:rPr>
                    <w:t>）</w:t>
                  </w:r>
                </w:p>
              </w:tc>
              <w:tc>
                <w:tcPr>
                  <w:tcW w:w="894" w:type="pct"/>
                  <w:noWrap w:val="0"/>
                  <w:vAlign w:val="center"/>
                </w:tcPr>
                <w:p w14:paraId="7607D8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标准限值</w:t>
                  </w:r>
                  <w:r>
                    <w:rPr>
                      <w:rFonts w:hint="default" w:ascii="Times New Roman" w:hAnsi="Times New Roman" w:eastAsia="宋体" w:cs="Times New Roman"/>
                      <w:b/>
                      <w:bCs/>
                      <w:color w:val="auto"/>
                      <w:sz w:val="21"/>
                      <w:szCs w:val="21"/>
                      <w:lang w:eastAsia="zh-CN"/>
                    </w:rPr>
                    <w:t>（</w:t>
                  </w:r>
                  <w:r>
                    <w:rPr>
                      <w:rFonts w:hint="default" w:ascii="Times New Roman" w:hAnsi="Times New Roman" w:cs="Times New Roman"/>
                      <w:b/>
                      <w:bCs/>
                      <w:color w:val="auto"/>
                      <w:sz w:val="21"/>
                      <w:szCs w:val="21"/>
                      <w:lang w:val="en-US" w:eastAsia="zh-CN"/>
                    </w:rPr>
                    <w:t>m</w:t>
                  </w:r>
                  <w:r>
                    <w:rPr>
                      <w:rFonts w:hint="default" w:ascii="Times New Roman" w:hAnsi="Times New Roman" w:eastAsia="宋体" w:cs="Times New Roman"/>
                      <w:b/>
                      <w:bCs/>
                      <w:color w:val="auto"/>
                      <w:sz w:val="21"/>
                      <w:szCs w:val="21"/>
                      <w:lang w:val="en-US" w:eastAsia="zh-CN"/>
                    </w:rPr>
                    <w:t>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eastAsia="zh-CN"/>
                    </w:rPr>
                    <w:t>）</w:t>
                  </w:r>
                </w:p>
              </w:tc>
              <w:tc>
                <w:tcPr>
                  <w:tcW w:w="894" w:type="pct"/>
                  <w:noWrap w:val="0"/>
                  <w:vAlign w:val="center"/>
                </w:tcPr>
                <w:p w14:paraId="1F755B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达标情况</w:t>
                  </w:r>
                </w:p>
              </w:tc>
            </w:tr>
            <w:tr w14:paraId="7753F7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458" w:type="pct"/>
                  <w:noWrap w:val="0"/>
                  <w:vAlign w:val="center"/>
                </w:tcPr>
                <w:p w14:paraId="737E77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w:t>
                  </w:r>
                </w:p>
              </w:tc>
              <w:tc>
                <w:tcPr>
                  <w:tcW w:w="995" w:type="pct"/>
                  <w:noWrap w:val="0"/>
                  <w:vAlign w:val="center"/>
                </w:tcPr>
                <w:p w14:paraId="387C69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color w:val="auto"/>
                      <w:sz w:val="21"/>
                      <w:szCs w:val="21"/>
                      <w:lang w:eastAsia="zh-CN"/>
                    </w:rPr>
                    <w:t>厂界南</w:t>
                  </w:r>
                </w:p>
              </w:tc>
              <w:tc>
                <w:tcPr>
                  <w:tcW w:w="862" w:type="pct"/>
                  <w:noWrap w:val="0"/>
                  <w:vAlign w:val="center"/>
                </w:tcPr>
                <w:p w14:paraId="34F06F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25.4</w:t>
                  </w:r>
                </w:p>
              </w:tc>
              <w:tc>
                <w:tcPr>
                  <w:tcW w:w="893" w:type="pct"/>
                  <w:noWrap w:val="0"/>
                  <w:vAlign w:val="center"/>
                </w:tcPr>
                <w:p w14:paraId="56C315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0.4189</w:t>
                  </w:r>
                </w:p>
              </w:tc>
              <w:tc>
                <w:tcPr>
                  <w:tcW w:w="894" w:type="pct"/>
                  <w:vMerge w:val="restart"/>
                  <w:noWrap w:val="0"/>
                  <w:vAlign w:val="center"/>
                </w:tcPr>
                <w:p w14:paraId="40C751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0.5</w:t>
                  </w:r>
                </w:p>
              </w:tc>
              <w:tc>
                <w:tcPr>
                  <w:tcW w:w="894" w:type="pct"/>
                  <w:noWrap w:val="0"/>
                  <w:vAlign w:val="center"/>
                </w:tcPr>
                <w:p w14:paraId="00E7B2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达标</w:t>
                  </w:r>
                </w:p>
              </w:tc>
            </w:tr>
            <w:tr w14:paraId="7DB2BB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458" w:type="pct"/>
                  <w:noWrap w:val="0"/>
                  <w:vAlign w:val="center"/>
                </w:tcPr>
                <w:p w14:paraId="257DE9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w:t>
                  </w:r>
                </w:p>
              </w:tc>
              <w:tc>
                <w:tcPr>
                  <w:tcW w:w="995" w:type="pct"/>
                  <w:noWrap w:val="0"/>
                  <w:vAlign w:val="center"/>
                </w:tcPr>
                <w:p w14:paraId="0E8C32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厂界北</w:t>
                  </w:r>
                </w:p>
              </w:tc>
              <w:tc>
                <w:tcPr>
                  <w:tcW w:w="862" w:type="pct"/>
                  <w:noWrap w:val="0"/>
                  <w:vAlign w:val="center"/>
                </w:tcPr>
                <w:p w14:paraId="3F6D71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102.3</w:t>
                  </w:r>
                </w:p>
              </w:tc>
              <w:tc>
                <w:tcPr>
                  <w:tcW w:w="893" w:type="pct"/>
                  <w:noWrap w:val="0"/>
                  <w:vAlign w:val="center"/>
                </w:tcPr>
                <w:p w14:paraId="15B031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0.2954</w:t>
                  </w:r>
                </w:p>
              </w:tc>
              <w:tc>
                <w:tcPr>
                  <w:tcW w:w="894" w:type="pct"/>
                  <w:vMerge w:val="continue"/>
                  <w:noWrap w:val="0"/>
                  <w:vAlign w:val="center"/>
                </w:tcPr>
                <w:p w14:paraId="7B2607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rPr>
                  </w:pPr>
                </w:p>
              </w:tc>
              <w:tc>
                <w:tcPr>
                  <w:tcW w:w="894" w:type="pct"/>
                  <w:noWrap w:val="0"/>
                  <w:vAlign w:val="center"/>
                </w:tcPr>
                <w:p w14:paraId="0156C3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rPr>
                  </w:pPr>
                  <w:r>
                    <w:rPr>
                      <w:rFonts w:hint="default" w:ascii="Times New Roman" w:hAnsi="Times New Roman" w:cs="Times New Roman"/>
                      <w:b w:val="0"/>
                      <w:color w:val="auto"/>
                      <w:sz w:val="21"/>
                      <w:szCs w:val="21"/>
                      <w:lang w:val="en-US" w:eastAsia="zh-CN"/>
                    </w:rPr>
                    <w:t>达标</w:t>
                  </w:r>
                </w:p>
              </w:tc>
            </w:tr>
            <w:tr w14:paraId="3EF7CA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458" w:type="pct"/>
                  <w:noWrap w:val="0"/>
                  <w:vAlign w:val="center"/>
                </w:tcPr>
                <w:p w14:paraId="5A5445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3</w:t>
                  </w:r>
                </w:p>
              </w:tc>
              <w:tc>
                <w:tcPr>
                  <w:tcW w:w="995" w:type="pct"/>
                  <w:noWrap w:val="0"/>
                  <w:vAlign w:val="center"/>
                </w:tcPr>
                <w:p w14:paraId="6F386F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厂界西</w:t>
                  </w:r>
                </w:p>
              </w:tc>
              <w:tc>
                <w:tcPr>
                  <w:tcW w:w="862" w:type="pct"/>
                  <w:noWrap w:val="0"/>
                  <w:vAlign w:val="center"/>
                </w:tcPr>
                <w:p w14:paraId="587F4C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60.8</w:t>
                  </w:r>
                </w:p>
              </w:tc>
              <w:tc>
                <w:tcPr>
                  <w:tcW w:w="893" w:type="pct"/>
                  <w:noWrap w:val="0"/>
                  <w:vAlign w:val="center"/>
                </w:tcPr>
                <w:p w14:paraId="0325D6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0.4125</w:t>
                  </w:r>
                </w:p>
              </w:tc>
              <w:tc>
                <w:tcPr>
                  <w:tcW w:w="894" w:type="pct"/>
                  <w:vMerge w:val="continue"/>
                  <w:noWrap w:val="0"/>
                  <w:vAlign w:val="center"/>
                </w:tcPr>
                <w:p w14:paraId="615282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rPr>
                  </w:pPr>
                </w:p>
              </w:tc>
              <w:tc>
                <w:tcPr>
                  <w:tcW w:w="894" w:type="pct"/>
                  <w:noWrap w:val="0"/>
                  <w:vAlign w:val="center"/>
                </w:tcPr>
                <w:p w14:paraId="3877BC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rPr>
                  </w:pPr>
                  <w:r>
                    <w:rPr>
                      <w:rFonts w:hint="default" w:ascii="Times New Roman" w:hAnsi="Times New Roman" w:cs="Times New Roman"/>
                      <w:b w:val="0"/>
                      <w:color w:val="auto"/>
                      <w:sz w:val="21"/>
                      <w:szCs w:val="21"/>
                      <w:lang w:val="en-US" w:eastAsia="zh-CN"/>
                    </w:rPr>
                    <w:t>达标</w:t>
                  </w:r>
                </w:p>
              </w:tc>
            </w:tr>
            <w:tr w14:paraId="2A2562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458" w:type="pct"/>
                  <w:noWrap w:val="0"/>
                  <w:vAlign w:val="center"/>
                </w:tcPr>
                <w:p w14:paraId="07B730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4</w:t>
                  </w:r>
                </w:p>
              </w:tc>
              <w:tc>
                <w:tcPr>
                  <w:tcW w:w="995" w:type="pct"/>
                  <w:noWrap w:val="0"/>
                  <w:vAlign w:val="center"/>
                </w:tcPr>
                <w:p w14:paraId="098313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厂界东</w:t>
                  </w:r>
                </w:p>
              </w:tc>
              <w:tc>
                <w:tcPr>
                  <w:tcW w:w="862" w:type="pct"/>
                  <w:noWrap w:val="0"/>
                  <w:vAlign w:val="center"/>
                </w:tcPr>
                <w:p w14:paraId="5AF68F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92.4</w:t>
                  </w:r>
                </w:p>
              </w:tc>
              <w:tc>
                <w:tcPr>
                  <w:tcW w:w="893" w:type="pct"/>
                  <w:noWrap w:val="0"/>
                  <w:vAlign w:val="center"/>
                </w:tcPr>
                <w:p w14:paraId="7B8F76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0.3071</w:t>
                  </w:r>
                </w:p>
              </w:tc>
              <w:tc>
                <w:tcPr>
                  <w:tcW w:w="894" w:type="pct"/>
                  <w:vMerge w:val="continue"/>
                  <w:noWrap w:val="0"/>
                  <w:vAlign w:val="center"/>
                </w:tcPr>
                <w:p w14:paraId="483276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rPr>
                  </w:pPr>
                </w:p>
              </w:tc>
              <w:tc>
                <w:tcPr>
                  <w:tcW w:w="894" w:type="pct"/>
                  <w:noWrap w:val="0"/>
                  <w:vAlign w:val="center"/>
                </w:tcPr>
                <w:p w14:paraId="4C89AB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auto"/>
                      <w:sz w:val="21"/>
                      <w:szCs w:val="21"/>
                    </w:rPr>
                  </w:pPr>
                  <w:r>
                    <w:rPr>
                      <w:rFonts w:hint="default" w:ascii="Times New Roman" w:hAnsi="Times New Roman" w:cs="Times New Roman"/>
                      <w:b w:val="0"/>
                      <w:color w:val="auto"/>
                      <w:sz w:val="21"/>
                      <w:szCs w:val="21"/>
                      <w:lang w:val="en-US" w:eastAsia="zh-CN"/>
                    </w:rPr>
                    <w:t>达标</w:t>
                  </w:r>
                </w:p>
              </w:tc>
            </w:tr>
          </w:tbl>
          <w:p w14:paraId="79F89FCD">
            <w:pPr>
              <w:keepNext w:val="0"/>
              <w:keepLines w:val="0"/>
              <w:pageBreakBefore w:val="0"/>
              <w:widowControl w:val="0"/>
              <w:kinsoku/>
              <w:wordWrap/>
              <w:overflowPunct/>
              <w:topLinePunct/>
              <w:autoSpaceDE w:val="0"/>
              <w:autoSpaceDN w:val="0"/>
              <w:bidi w:val="0"/>
              <w:adjustRightInd w:val="0"/>
              <w:snapToGrid w:val="0"/>
              <w:spacing w:line="360" w:lineRule="auto"/>
              <w:ind w:firstLine="522"/>
              <w:textAlignment w:val="baseline"/>
              <w:rPr>
                <w:rFonts w:hint="default" w:ascii="Times New Roman" w:hAnsi="Times New Roman" w:eastAsia="宋体" w:cs="Times New Roman"/>
                <w:color w:val="auto"/>
                <w:sz w:val="24"/>
                <w:szCs w:val="22"/>
                <w:lang w:val="en-US" w:eastAsia="en-US" w:bidi="ar-SA"/>
              </w:rPr>
            </w:pPr>
            <w:r>
              <w:rPr>
                <w:rFonts w:hint="default" w:ascii="Times New Roman" w:hAnsi="Times New Roman" w:eastAsia="宋体" w:cs="Times New Roman"/>
                <w:color w:val="auto"/>
                <w:sz w:val="24"/>
                <w:szCs w:val="22"/>
                <w:lang w:val="en-US" w:eastAsia="zh-CN" w:bidi="ar-SA"/>
              </w:rPr>
              <w:t>由上表可知，本项目原料堆场采取三面围挡＋顶棚措施以及洒水降尘等措施；原料采用卡车运输，卡车用苫布苫盖，原料的道路运输过程产生的扬尘通过定期洒水进行降尘、限速行驶等措施；物料通过密闭管道输送及收集，搅拌机搅拌过程中为密闭状态。</w:t>
            </w:r>
            <w:r>
              <w:rPr>
                <w:rFonts w:hint="default" w:ascii="Times New Roman" w:hAnsi="Times New Roman" w:eastAsia="宋体" w:cs="Times New Roman"/>
                <w:color w:val="auto"/>
                <w:sz w:val="24"/>
                <w:szCs w:val="22"/>
                <w:lang w:val="en-US" w:eastAsia="en-US" w:bidi="ar-SA"/>
              </w:rPr>
              <w:t>项目无组织排放的颗粒物通过</w:t>
            </w:r>
            <w:r>
              <w:rPr>
                <w:rFonts w:hint="default" w:ascii="Times New Roman" w:hAnsi="Times New Roman" w:cs="Times New Roman"/>
                <w:color w:val="auto"/>
                <w:sz w:val="24"/>
                <w:szCs w:val="22"/>
                <w:lang w:val="en-US" w:eastAsia="zh-CN" w:bidi="ar-SA"/>
              </w:rPr>
              <w:t>环保治理</w:t>
            </w:r>
            <w:r>
              <w:rPr>
                <w:rFonts w:hint="default" w:ascii="Times New Roman" w:hAnsi="Times New Roman" w:eastAsia="宋体" w:cs="Times New Roman"/>
                <w:color w:val="auto"/>
                <w:sz w:val="24"/>
                <w:szCs w:val="22"/>
                <w:lang w:val="en-US" w:eastAsia="en-US" w:bidi="ar-SA"/>
              </w:rPr>
              <w:t>措施后在厂界处排放浓度满足</w:t>
            </w:r>
            <w:r>
              <w:rPr>
                <w:rFonts w:hint="default" w:ascii="Times New Roman" w:hAnsi="Times New Roman" w:cs="Times New Roman"/>
                <w:color w:val="auto"/>
                <w:sz w:val="24"/>
                <w:szCs w:val="22"/>
                <w:lang w:val="en-US" w:eastAsia="zh-CN" w:bidi="ar-SA"/>
              </w:rPr>
              <w:t>《</w:t>
            </w:r>
            <w:r>
              <w:rPr>
                <w:rFonts w:hint="default" w:ascii="Times New Roman" w:hAnsi="Times New Roman" w:eastAsia="宋体" w:cs="Times New Roman"/>
                <w:color w:val="auto"/>
                <w:sz w:val="24"/>
                <w:szCs w:val="22"/>
                <w:lang w:val="en-US" w:eastAsia="en-US" w:bidi="ar-SA"/>
              </w:rPr>
              <w:t>水泥工业大气污染物排放标准》（GB4915-2013（含2025年修改单））表3</w:t>
            </w:r>
            <w:r>
              <w:rPr>
                <w:rFonts w:hint="default" w:ascii="Times New Roman" w:hAnsi="Times New Roman" w:cs="Times New Roman"/>
                <w:color w:val="auto"/>
                <w:sz w:val="24"/>
                <w:szCs w:val="22"/>
                <w:lang w:val="en-US" w:eastAsia="zh-CN" w:bidi="ar-SA"/>
              </w:rPr>
              <w:t>限值</w:t>
            </w:r>
            <w:r>
              <w:rPr>
                <w:rFonts w:hint="default" w:ascii="Times New Roman" w:hAnsi="Times New Roman" w:eastAsia="宋体" w:cs="Times New Roman"/>
                <w:color w:val="auto"/>
                <w:sz w:val="24"/>
                <w:szCs w:val="22"/>
                <w:lang w:val="en-US" w:eastAsia="en-US" w:bidi="ar-SA"/>
              </w:rPr>
              <w:t>要求。</w:t>
            </w:r>
          </w:p>
          <w:p w14:paraId="56EB3485">
            <w:pPr>
              <w:pStyle w:val="29"/>
              <w:adjustRightInd w:val="0"/>
              <w:snapToGrid w:val="0"/>
              <w:ind w:firstLine="482"/>
              <w:jc w:val="both"/>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）废气防治措施可行性分析</w:t>
            </w:r>
          </w:p>
          <w:p w14:paraId="6CCE8C45">
            <w:pPr>
              <w:pStyle w:val="37"/>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原料堆场粉尘</w:t>
            </w:r>
          </w:p>
          <w:p w14:paraId="5686E779">
            <w:pPr>
              <w:pStyle w:val="37"/>
              <w:ind w:firstLine="480"/>
              <w:jc w:val="both"/>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原料</w:t>
            </w:r>
            <w:r>
              <w:rPr>
                <w:rFonts w:hint="default" w:ascii="Times New Roman" w:hAnsi="Times New Roman" w:cs="Times New Roman"/>
                <w:color w:val="auto"/>
              </w:rPr>
              <w:t>外购进场卸料到指定堆场时会产生无组织粉尘，</w:t>
            </w:r>
            <w:r>
              <w:rPr>
                <w:rFonts w:hint="default" w:ascii="Times New Roman" w:hAnsi="Times New Roman" w:cs="Times New Roman"/>
                <w:color w:val="auto"/>
                <w:lang w:val="en-US" w:eastAsia="zh-CN"/>
              </w:rPr>
              <w:t>本项目堆场采取三面围挡＋顶棚措施以及洒水降尘等措施，</w:t>
            </w:r>
            <w:r>
              <w:rPr>
                <w:rFonts w:hint="default" w:ascii="Times New Roman" w:hAnsi="Times New Roman" w:cs="Times New Roman"/>
                <w:bCs/>
                <w:color w:val="auto"/>
              </w:rPr>
              <w:t>开关仓门时，造成少量粉尘外溢，</w:t>
            </w:r>
            <w:r>
              <w:rPr>
                <w:rFonts w:hint="default" w:ascii="Times New Roman" w:hAnsi="Times New Roman" w:cs="Times New Roman"/>
                <w:color w:val="auto"/>
              </w:rPr>
              <w:t>根据《工业源固体物料堆场颗粒物核算系数手册》附录4粉尘控制措施控制效率，喷雾粉尘控制效率取74%计。本项目</w:t>
            </w:r>
            <w:r>
              <w:rPr>
                <w:rFonts w:hint="default" w:ascii="Times New Roman" w:hAnsi="Times New Roman" w:cs="Times New Roman"/>
                <w:color w:val="auto"/>
                <w:lang w:val="en-US" w:eastAsia="zh-CN"/>
              </w:rPr>
              <w:t>堆场</w:t>
            </w:r>
            <w:r>
              <w:rPr>
                <w:rFonts w:hint="default" w:ascii="Times New Roman" w:hAnsi="Times New Roman" w:cs="Times New Roman"/>
                <w:color w:val="auto"/>
              </w:rPr>
              <w:t>无组织粉尘排放浓度满足《水泥工业大气污染物排放标准》</w:t>
            </w:r>
            <w:r>
              <w:rPr>
                <w:rFonts w:hint="default" w:ascii="Times New Roman" w:hAnsi="Times New Roman" w:cs="Times New Roman"/>
                <w:color w:val="auto"/>
                <w:lang w:eastAsia="zh-CN"/>
              </w:rPr>
              <w:t>（</w:t>
            </w:r>
            <w:r>
              <w:rPr>
                <w:rFonts w:hint="default" w:ascii="Times New Roman" w:hAnsi="Times New Roman" w:cs="Times New Roman"/>
                <w:color w:val="auto"/>
              </w:rPr>
              <w:t>GB4915-2013</w:t>
            </w:r>
            <w:r>
              <w:rPr>
                <w:rFonts w:hint="default" w:ascii="Times New Roman" w:hAnsi="Times New Roman" w:cs="Times New Roman"/>
                <w:color w:val="auto"/>
                <w:lang w:eastAsia="zh-CN"/>
              </w:rPr>
              <w:t>）</w:t>
            </w:r>
            <w:r>
              <w:rPr>
                <w:rFonts w:hint="default" w:ascii="Times New Roman" w:hAnsi="Times New Roman" w:cs="Times New Roman"/>
                <w:color w:val="auto"/>
              </w:rPr>
              <w:t>表3中颗粒物无组织排放浓度限值。采取措施为可行性技术。</w:t>
            </w:r>
          </w:p>
          <w:p w14:paraId="6D483C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kern w:val="2"/>
                <w:sz w:val="24"/>
                <w:szCs w:val="24"/>
                <w:lang w:val="en-US" w:eastAsia="zh-CN"/>
              </w:rPr>
            </w:pPr>
            <w:r>
              <w:rPr>
                <w:rFonts w:hint="default" w:ascii="Times New Roman" w:hAnsi="Times New Roman" w:cs="Times New Roman"/>
                <w:b w:val="0"/>
                <w:bCs/>
                <w:color w:val="auto"/>
                <w:kern w:val="2"/>
                <w:sz w:val="24"/>
                <w:szCs w:val="24"/>
                <w:lang w:val="en-US" w:eastAsia="zh-CN"/>
              </w:rPr>
              <w:t>2、装载机上料粉尘</w:t>
            </w:r>
          </w:p>
          <w:p w14:paraId="4A3966D9">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smallCaps w:val="0"/>
                <w:color w:val="auto"/>
                <w:spacing w:val="0"/>
                <w:kern w:val="2"/>
                <w:sz w:val="24"/>
                <w:szCs w:val="24"/>
                <w:highlight w:val="none"/>
                <w:u w:val="none" w:color="auto"/>
                <w:lang w:val="en-US" w:eastAsia="zh-CN" w:bidi="ar-SA"/>
              </w:rPr>
              <w:t>骨料上料工序：</w:t>
            </w:r>
            <w:r>
              <w:rPr>
                <w:rFonts w:hint="default" w:ascii="Times New Roman" w:hAnsi="Times New Roman" w:eastAsia="宋体" w:cs="Times New Roman"/>
                <w:b w:val="0"/>
                <w:bCs w:val="0"/>
                <w:color w:val="auto"/>
                <w:sz w:val="24"/>
                <w:szCs w:val="24"/>
                <w:highlight w:val="none"/>
                <w:u w:val="none" w:color="auto"/>
                <w:lang w:val="en-US" w:eastAsia="zh-CN"/>
              </w:rPr>
              <w:t>本项目骨料先通过装载车铲入料斗内，然后通过料斗落入料斗下方的皮带输送机上，由皮带输送机将骨料输送到搅拌机中。</w:t>
            </w:r>
            <w:r>
              <w:rPr>
                <w:rFonts w:hint="default" w:ascii="Times New Roman" w:hAnsi="Times New Roman" w:cs="Times New Roman"/>
                <w:color w:val="auto"/>
              </w:rPr>
              <w:t>原料的输送、计量及投料均为封闭式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并洒水降尘，可</w:t>
            </w:r>
            <w:r>
              <w:rPr>
                <w:rFonts w:hint="default" w:ascii="Times New Roman" w:hAnsi="Times New Roman" w:cs="Times New Roman"/>
                <w:color w:val="auto"/>
              </w:rPr>
              <w:t>避免扬尘现象发生</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本项目采用的粉尘控制措施为《排污许可证申请与核发技术规范 水泥工业》推荐的可行性技术。</w:t>
            </w:r>
          </w:p>
          <w:p w14:paraId="5C6F7E6D">
            <w:pPr>
              <w:keepNext w:val="0"/>
              <w:keepLines w:val="0"/>
              <w:pageBreakBefore w:val="0"/>
              <w:widowControl w:val="0"/>
              <w:kinsoku/>
              <w:wordWrap/>
              <w:overflowPunct/>
              <w:topLinePunct w:val="0"/>
              <w:autoSpaceDE/>
              <w:autoSpaceDN/>
              <w:bidi w:val="0"/>
              <w:adjustRightInd/>
              <w:snapToGrid/>
              <w:spacing w:line="360" w:lineRule="auto"/>
              <w:ind w:firstLine="480"/>
              <w:contextualSpacing/>
              <w:textAlignment w:val="auto"/>
              <w:rPr>
                <w:rStyle w:val="36"/>
                <w:rFonts w:hint="default" w:ascii="Times New Roman" w:hAnsi="Times New Roman" w:cs="Times New Roman"/>
                <w:color w:val="auto"/>
                <w:lang w:val="en-US" w:eastAsia="zh-CN"/>
              </w:rPr>
            </w:pPr>
            <w:r>
              <w:rPr>
                <w:rStyle w:val="36"/>
                <w:rFonts w:hint="default" w:ascii="Times New Roman" w:hAnsi="Times New Roman" w:cs="Times New Roman"/>
                <w:color w:val="auto"/>
                <w:lang w:val="en-US" w:eastAsia="zh-CN"/>
              </w:rPr>
              <w:t>3、运输过程扬尘</w:t>
            </w:r>
          </w:p>
          <w:p w14:paraId="0A1C3F06">
            <w:pPr>
              <w:pStyle w:val="46"/>
              <w:ind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原料采用卡车运输，卡车用苫布苫盖，原料的</w:t>
            </w:r>
            <w:r>
              <w:rPr>
                <w:rFonts w:hint="default" w:ascii="Times New Roman" w:hAnsi="Times New Roman" w:cs="Times New Roman"/>
                <w:color w:val="auto"/>
                <w:sz w:val="24"/>
                <w:szCs w:val="24"/>
                <w:lang w:val="en-US" w:eastAsia="zh-CN"/>
              </w:rPr>
              <w:t>道路</w:t>
            </w:r>
            <w:r>
              <w:rPr>
                <w:rFonts w:hint="default" w:ascii="Times New Roman" w:hAnsi="Times New Roman" w:cs="Times New Roman"/>
                <w:color w:val="auto"/>
                <w:sz w:val="24"/>
                <w:szCs w:val="24"/>
              </w:rPr>
              <w:t>运输过程产生的扬尘通过定期洒水进行降尘、限速行驶等措施，本项目运输过程中排放的粉尘</w:t>
            </w:r>
            <w:r>
              <w:rPr>
                <w:rFonts w:hint="default" w:ascii="Times New Roman" w:hAnsi="Times New Roman" w:cs="Times New Roman"/>
                <w:bCs/>
                <w:color w:val="auto"/>
                <w:sz w:val="24"/>
                <w:szCs w:val="24"/>
              </w:rPr>
              <w:t>无组织扩散后</w:t>
            </w:r>
            <w:r>
              <w:rPr>
                <w:rFonts w:hint="default" w:ascii="Times New Roman" w:hAnsi="Times New Roman" w:cs="Times New Roman"/>
                <w:color w:val="auto"/>
                <w:sz w:val="24"/>
                <w:szCs w:val="24"/>
              </w:rPr>
              <w:t>满足</w:t>
            </w:r>
            <w:r>
              <w:rPr>
                <w:rFonts w:hint="default" w:ascii="Times New Roman" w:hAnsi="Times New Roman" w:cs="Times New Roman"/>
                <w:bCs/>
                <w:color w:val="auto"/>
                <w:sz w:val="24"/>
              </w:rPr>
              <w:t>《水泥工业大气污染物排放标准》（GB4915-2013）表3中标准</w:t>
            </w:r>
            <w:r>
              <w:rPr>
                <w:rFonts w:hint="default" w:ascii="Times New Roman" w:hAnsi="Times New Roman" w:cs="Times New Roman"/>
                <w:color w:val="auto"/>
                <w:sz w:val="24"/>
              </w:rPr>
              <w:t>（颗粒物≤0.5mg/m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rPr>
              <w:t>对周围大气环境影响较小。</w:t>
            </w:r>
          </w:p>
          <w:p w14:paraId="1903100C">
            <w:pPr>
              <w:pStyle w:val="3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、搅拌机粉尘</w:t>
            </w:r>
          </w:p>
          <w:p w14:paraId="5EDD0868">
            <w:pPr>
              <w:pStyle w:val="37"/>
              <w:ind w:firstLine="480"/>
              <w:jc w:val="both"/>
              <w:rPr>
                <w:rFonts w:hint="default" w:ascii="Times New Roman" w:hAnsi="Times New Roman" w:cs="Times New Roman"/>
                <w:color w:val="auto"/>
              </w:rPr>
            </w:pPr>
            <w:r>
              <w:rPr>
                <w:rFonts w:hint="default" w:ascii="Times New Roman" w:hAnsi="Times New Roman" w:cs="Times New Roman"/>
                <w:color w:val="auto"/>
              </w:rPr>
              <w:t>各种物料进入搅拌机时，小粒径颗粒物会飘散形成粉尘，尤其是加入搅拌机内的</w:t>
            </w:r>
            <w:r>
              <w:rPr>
                <w:rFonts w:hint="default" w:ascii="Times New Roman" w:hAnsi="Times New Roman" w:cs="Times New Roman"/>
                <w:color w:val="auto"/>
                <w:lang w:val="en-US" w:eastAsia="zh-CN"/>
              </w:rPr>
              <w:t>细颗粒原料</w:t>
            </w:r>
            <w:r>
              <w:rPr>
                <w:rFonts w:hint="default" w:ascii="Times New Roman" w:hAnsi="Times New Roman" w:cs="Times New Roman"/>
                <w:color w:val="auto"/>
              </w:rPr>
              <w:t>。物料通过密闭管道输送及收集，搅拌机搅拌过程中为密闭状态。本项目对搅拌机和投料口进行整体封闭。粉尘排放满足《水泥工业大气污染物排放标准》</w:t>
            </w:r>
            <w:r>
              <w:rPr>
                <w:rFonts w:hint="default" w:ascii="Times New Roman" w:hAnsi="Times New Roman" w:cs="Times New Roman"/>
                <w:color w:val="auto"/>
                <w:lang w:eastAsia="zh-CN"/>
              </w:rPr>
              <w:t>（</w:t>
            </w:r>
            <w:r>
              <w:rPr>
                <w:rFonts w:hint="default" w:ascii="Times New Roman" w:hAnsi="Times New Roman" w:cs="Times New Roman"/>
                <w:color w:val="auto"/>
              </w:rPr>
              <w:t>GB4915-2013</w:t>
            </w:r>
            <w:r>
              <w:rPr>
                <w:rFonts w:hint="default" w:ascii="Times New Roman" w:hAnsi="Times New Roman" w:cs="Times New Roman"/>
                <w:color w:val="auto"/>
                <w:lang w:eastAsia="zh-CN"/>
              </w:rPr>
              <w:t>）</w:t>
            </w:r>
            <w:r>
              <w:rPr>
                <w:rFonts w:hint="default" w:ascii="Times New Roman" w:hAnsi="Times New Roman" w:cs="Times New Roman"/>
                <w:color w:val="auto"/>
              </w:rPr>
              <w:t>表3中颗粒物无组织排放浓度限值。</w:t>
            </w:r>
          </w:p>
          <w:p w14:paraId="354D9CE9">
            <w:pPr>
              <w:pStyle w:val="30"/>
              <w:adjustRightInd w:val="0"/>
              <w:snapToGrid w:val="0"/>
              <w:spacing w:line="360" w:lineRule="auto"/>
              <w:ind w:firstLine="480" w:firstLineChars="200"/>
              <w:jc w:val="both"/>
              <w:rPr>
                <w:rFonts w:hint="default" w:ascii="Times New Roman" w:hAnsi="Times New Roman" w:cs="Times New Roman"/>
                <w:b/>
                <w:color w:val="auto"/>
                <w:sz w:val="21"/>
                <w:lang w:eastAsia="zh-CN"/>
              </w:rPr>
            </w:pPr>
            <w:r>
              <w:rPr>
                <w:rFonts w:hint="default" w:ascii="Times New Roman" w:hAnsi="Times New Roman" w:cs="Times New Roman"/>
                <w:color w:val="auto"/>
                <w:sz w:val="24"/>
                <w:szCs w:val="24"/>
              </w:rPr>
              <w:t>综上，本项目采取的环保措施</w:t>
            </w:r>
            <w:r>
              <w:rPr>
                <w:rFonts w:hint="default" w:ascii="Times New Roman" w:hAnsi="Times New Roman" w:cs="Times New Roman"/>
                <w:color w:val="auto"/>
                <w:sz w:val="24"/>
                <w:szCs w:val="24"/>
                <w:lang w:val="en-US" w:eastAsia="zh-CN"/>
              </w:rPr>
              <w:t>均</w:t>
            </w:r>
            <w:r>
              <w:rPr>
                <w:rFonts w:hint="default" w:ascii="Times New Roman" w:hAnsi="Times New Roman" w:cs="Times New Roman"/>
                <w:color w:val="auto"/>
                <w:sz w:val="24"/>
                <w:szCs w:val="24"/>
              </w:rPr>
              <w:t>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pacing w:val="-8"/>
                <w:sz w:val="24"/>
                <w:szCs w:val="24"/>
                <w:lang w:eastAsia="zh-CN"/>
              </w:rPr>
              <w:t>对</w:t>
            </w:r>
            <w:r>
              <w:rPr>
                <w:rFonts w:hint="default" w:ascii="Times New Roman" w:hAnsi="Times New Roman" w:cs="Times New Roman"/>
                <w:color w:val="auto"/>
                <w:spacing w:val="-8"/>
                <w:sz w:val="24"/>
                <w:lang w:eastAsia="zh-CN"/>
              </w:rPr>
              <w:t>周围大气环境的影响小。</w:t>
            </w:r>
          </w:p>
          <w:p w14:paraId="70242066">
            <w:pPr>
              <w:pStyle w:val="29"/>
              <w:ind w:firstLine="482"/>
              <w:jc w:val="both"/>
              <w:rPr>
                <w:rFonts w:hint="default" w:ascii="Times New Roman" w:hAnsi="Times New Roman" w:cs="Times New Roman"/>
                <w:b/>
                <w:bCs/>
                <w:color w:val="auto"/>
              </w:rPr>
            </w:pPr>
            <w:r>
              <w:rPr>
                <w:rFonts w:hint="default" w:ascii="Times New Roman" w:hAnsi="Times New Roman" w:cs="Times New Roman"/>
                <w:b/>
                <w:bCs/>
                <w:color w:val="auto"/>
              </w:rPr>
              <w:t>（五）废气环境影响分析</w:t>
            </w:r>
          </w:p>
          <w:p w14:paraId="5B9048FE">
            <w:pPr>
              <w:pStyle w:val="29"/>
              <w:ind w:firstLine="480"/>
              <w:jc w:val="both"/>
              <w:rPr>
                <w:rFonts w:hint="default" w:ascii="Times New Roman" w:hAnsi="Times New Roman" w:cs="Times New Roman"/>
                <w:b/>
                <w:bCs/>
                <w:color w:val="auto"/>
              </w:rPr>
            </w:pPr>
            <w:r>
              <w:rPr>
                <w:rFonts w:hint="default" w:ascii="Times New Roman" w:hAnsi="Times New Roman" w:cs="Times New Roman"/>
                <w:color w:val="auto"/>
              </w:rPr>
              <w:t>根据前文分析，本项目</w:t>
            </w:r>
            <w:r>
              <w:rPr>
                <w:rFonts w:hint="default" w:ascii="Times New Roman" w:hAnsi="Times New Roman" w:cs="Times New Roman"/>
                <w:color w:val="auto"/>
                <w:lang w:val="en-US" w:eastAsia="zh-CN"/>
              </w:rPr>
              <w:t>原料</w:t>
            </w:r>
            <w:r>
              <w:rPr>
                <w:rFonts w:hint="default" w:ascii="Times New Roman" w:hAnsi="Times New Roman" w:cs="Times New Roman"/>
                <w:color w:val="auto"/>
              </w:rPr>
              <w:t>外购进场卸料到指定堆场时会产生无组织粉尘，</w:t>
            </w:r>
            <w:r>
              <w:rPr>
                <w:rFonts w:hint="default" w:ascii="Times New Roman" w:hAnsi="Times New Roman" w:cs="Times New Roman"/>
                <w:color w:val="auto"/>
                <w:lang w:val="en-US" w:eastAsia="zh-CN"/>
              </w:rPr>
              <w:t>本项目原料堆场采取三面围挡＋顶棚措施以及洒水降尘等措施，</w:t>
            </w:r>
            <w:r>
              <w:rPr>
                <w:rFonts w:hint="default" w:ascii="Times New Roman" w:hAnsi="Times New Roman" w:cs="Times New Roman"/>
                <w:bCs/>
                <w:color w:val="auto"/>
              </w:rPr>
              <w:t>开关仓门时，造成少量粉尘外溢，</w:t>
            </w:r>
            <w:r>
              <w:rPr>
                <w:rFonts w:hint="default" w:ascii="Times New Roman" w:hAnsi="Times New Roman" w:cs="Times New Roman"/>
                <w:color w:val="auto"/>
              </w:rPr>
              <w:t>根据《工业源固体物料堆场颗粒物核算系数手册》附录4粉尘控制措施控制效率，喷雾粉尘控制效率取74%计。本项目</w:t>
            </w:r>
            <w:r>
              <w:rPr>
                <w:rFonts w:hint="default" w:ascii="Times New Roman" w:hAnsi="Times New Roman" w:cs="Times New Roman"/>
                <w:color w:val="auto"/>
                <w:lang w:val="en-US" w:eastAsia="zh-CN"/>
              </w:rPr>
              <w:t>堆场</w:t>
            </w:r>
            <w:r>
              <w:rPr>
                <w:rFonts w:hint="default" w:ascii="Times New Roman" w:hAnsi="Times New Roman" w:cs="Times New Roman"/>
                <w:color w:val="auto"/>
              </w:rPr>
              <w:t>无组织粉尘排放浓度满足《水泥工业大气污染物排放标准》</w:t>
            </w:r>
            <w:r>
              <w:rPr>
                <w:rFonts w:hint="default" w:ascii="Times New Roman" w:hAnsi="Times New Roman" w:cs="Times New Roman"/>
                <w:color w:val="auto"/>
                <w:lang w:eastAsia="zh-CN"/>
              </w:rPr>
              <w:t>（</w:t>
            </w:r>
            <w:r>
              <w:rPr>
                <w:rFonts w:hint="default" w:ascii="Times New Roman" w:hAnsi="Times New Roman" w:cs="Times New Roman"/>
                <w:color w:val="auto"/>
              </w:rPr>
              <w:t>GB4915-2013</w:t>
            </w:r>
            <w:r>
              <w:rPr>
                <w:rFonts w:hint="default" w:ascii="Times New Roman" w:hAnsi="Times New Roman" w:cs="Times New Roman"/>
                <w:color w:val="auto"/>
                <w:lang w:eastAsia="zh-CN"/>
              </w:rPr>
              <w:t>）</w:t>
            </w:r>
            <w:r>
              <w:rPr>
                <w:rFonts w:hint="default" w:ascii="Times New Roman" w:hAnsi="Times New Roman" w:cs="Times New Roman"/>
                <w:color w:val="auto"/>
              </w:rPr>
              <w:t>表3中颗粒物无组织排放浓度限值。采取措施为可行性技术；</w:t>
            </w:r>
            <w:r>
              <w:rPr>
                <w:rFonts w:hint="default" w:ascii="Times New Roman" w:hAnsi="Times New Roman" w:cs="Times New Roman"/>
                <w:color w:val="auto"/>
                <w:sz w:val="24"/>
                <w:szCs w:val="24"/>
              </w:rPr>
              <w:t>原料采用卡车运输，卡车用苫布苫盖，原料的</w:t>
            </w:r>
            <w:r>
              <w:rPr>
                <w:rFonts w:hint="default" w:ascii="Times New Roman" w:hAnsi="Times New Roman" w:cs="Times New Roman"/>
                <w:color w:val="auto"/>
                <w:sz w:val="24"/>
                <w:szCs w:val="24"/>
                <w:lang w:val="en-US" w:eastAsia="zh-CN"/>
              </w:rPr>
              <w:t>道路</w:t>
            </w:r>
            <w:r>
              <w:rPr>
                <w:rFonts w:hint="default" w:ascii="Times New Roman" w:hAnsi="Times New Roman" w:cs="Times New Roman"/>
                <w:color w:val="auto"/>
                <w:sz w:val="24"/>
                <w:szCs w:val="24"/>
              </w:rPr>
              <w:t>运输过程产生的扬尘通过定期洒水进行降尘、限速行驶等措施，本项目运输过程中排放的粉尘</w:t>
            </w:r>
            <w:r>
              <w:rPr>
                <w:rFonts w:hint="default" w:ascii="Times New Roman" w:hAnsi="Times New Roman" w:cs="Times New Roman"/>
                <w:bCs/>
                <w:color w:val="auto"/>
                <w:sz w:val="24"/>
                <w:szCs w:val="24"/>
              </w:rPr>
              <w:t>无组织扩散后</w:t>
            </w:r>
            <w:r>
              <w:rPr>
                <w:rFonts w:hint="default" w:ascii="Times New Roman" w:hAnsi="Times New Roman" w:cs="Times New Roman"/>
                <w:color w:val="auto"/>
                <w:sz w:val="24"/>
                <w:szCs w:val="24"/>
              </w:rPr>
              <w:t>满足</w:t>
            </w:r>
            <w:r>
              <w:rPr>
                <w:rFonts w:hint="default" w:ascii="Times New Roman" w:hAnsi="Times New Roman" w:cs="Times New Roman"/>
                <w:bCs/>
                <w:color w:val="auto"/>
                <w:sz w:val="24"/>
              </w:rPr>
              <w:t>《水泥工业大气污染物排放标准》（GB4915-2013）表3中标准</w:t>
            </w:r>
            <w:r>
              <w:rPr>
                <w:rFonts w:hint="default" w:ascii="Times New Roman" w:hAnsi="Times New Roman" w:cs="Times New Roman"/>
                <w:color w:val="auto"/>
                <w:sz w:val="24"/>
              </w:rPr>
              <w:t>（颗粒物≤0.5mg/m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rPr>
              <w:t>对周围大气环境影响较小</w:t>
            </w:r>
            <w:r>
              <w:rPr>
                <w:rFonts w:hint="default" w:ascii="Times New Roman" w:hAnsi="Times New Roman" w:cs="Times New Roman"/>
                <w:bCs/>
                <w:color w:val="auto"/>
                <w:sz w:val="24"/>
                <w:szCs w:val="24"/>
                <w:lang w:eastAsia="zh-CN"/>
              </w:rPr>
              <w:t>；</w:t>
            </w:r>
            <w:r>
              <w:rPr>
                <w:rFonts w:hint="default" w:ascii="Times New Roman" w:hAnsi="Times New Roman" w:cs="Times New Roman"/>
                <w:color w:val="auto"/>
              </w:rPr>
              <w:t>各种物料进入搅拌机时，小粒径颗粒物会飘散形成粉尘，尤其是加入搅拌机内的</w:t>
            </w:r>
            <w:r>
              <w:rPr>
                <w:rFonts w:hint="default" w:ascii="Times New Roman" w:hAnsi="Times New Roman" w:cs="Times New Roman"/>
                <w:color w:val="auto"/>
                <w:lang w:val="en-US" w:eastAsia="zh-CN"/>
              </w:rPr>
              <w:t>细颗粒原料</w:t>
            </w:r>
            <w:r>
              <w:rPr>
                <w:rFonts w:hint="default" w:ascii="Times New Roman" w:hAnsi="Times New Roman" w:cs="Times New Roman"/>
                <w:color w:val="auto"/>
              </w:rPr>
              <w:t>。物料通过密闭管道输送及收集，搅拌机搅拌过程中为密闭状态。本项目对搅拌机和投料口进行整体封闭。粉尘排放满足《水泥工业大气污染物排放标准》</w:t>
            </w:r>
            <w:r>
              <w:rPr>
                <w:rFonts w:hint="default" w:ascii="Times New Roman" w:hAnsi="Times New Roman" w:cs="Times New Roman"/>
                <w:color w:val="auto"/>
                <w:lang w:eastAsia="zh-CN"/>
              </w:rPr>
              <w:t>（</w:t>
            </w:r>
            <w:r>
              <w:rPr>
                <w:rFonts w:hint="default" w:ascii="Times New Roman" w:hAnsi="Times New Roman" w:cs="Times New Roman"/>
                <w:color w:val="auto"/>
              </w:rPr>
              <w:t>GB4915-2013</w:t>
            </w:r>
            <w:r>
              <w:rPr>
                <w:rFonts w:hint="default" w:ascii="Times New Roman" w:hAnsi="Times New Roman" w:cs="Times New Roman"/>
                <w:color w:val="auto"/>
                <w:lang w:eastAsia="zh-CN"/>
              </w:rPr>
              <w:t>）</w:t>
            </w:r>
            <w:r>
              <w:rPr>
                <w:rFonts w:hint="default" w:ascii="Times New Roman" w:hAnsi="Times New Roman" w:cs="Times New Roman"/>
                <w:color w:val="auto"/>
              </w:rPr>
              <w:t>表3中颗粒物无组织排放浓度限值。项目在采取以上污染防治措施后，项目</w:t>
            </w:r>
            <w:r>
              <w:rPr>
                <w:rFonts w:hint="default" w:ascii="Times New Roman" w:hAnsi="Times New Roman" w:cs="Times New Roman"/>
                <w:bCs/>
                <w:color w:val="auto"/>
                <w:sz w:val="24"/>
              </w:rPr>
              <w:t>废气排放满足《水泥工业大气污染物排放标准》</w:t>
            </w:r>
            <w:r>
              <w:rPr>
                <w:rFonts w:hint="default" w:ascii="Times New Roman" w:hAnsi="Times New Roman" w:cs="Times New Roman"/>
                <w:color w:val="auto"/>
                <w:lang w:eastAsia="zh-CN"/>
              </w:rPr>
              <w:t>（</w:t>
            </w:r>
            <w:r>
              <w:rPr>
                <w:rFonts w:hint="default" w:ascii="Times New Roman" w:hAnsi="Times New Roman" w:cs="Times New Roman"/>
                <w:color w:val="auto"/>
              </w:rPr>
              <w:t>GB4915-2013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限值要求</w:t>
            </w:r>
            <w:r>
              <w:rPr>
                <w:rFonts w:hint="default" w:ascii="Times New Roman" w:hAnsi="Times New Roman" w:cs="Times New Roman"/>
                <w:color w:val="auto"/>
              </w:rPr>
              <w:t>，对</w:t>
            </w:r>
            <w:r>
              <w:rPr>
                <w:rFonts w:hint="default" w:ascii="Times New Roman" w:hAnsi="Times New Roman" w:cs="Times New Roman"/>
                <w:color w:val="auto"/>
                <w:lang w:val="en-US" w:eastAsia="zh-CN"/>
              </w:rPr>
              <w:t>周围老厂乡、</w:t>
            </w:r>
            <w:r>
              <w:rPr>
                <w:rFonts w:hint="default" w:ascii="Times New Roman" w:hAnsi="Times New Roman" w:cs="Times New Roman"/>
                <w:color w:val="auto"/>
              </w:rPr>
              <w:t>旧糖房村环境影响不大。</w:t>
            </w:r>
          </w:p>
          <w:p w14:paraId="6C0CC704">
            <w:pPr>
              <w:pStyle w:val="29"/>
              <w:ind w:firstLine="482"/>
              <w:jc w:val="both"/>
              <w:rPr>
                <w:rFonts w:hint="default" w:ascii="Times New Roman" w:hAnsi="Times New Roman" w:cs="Times New Roman"/>
                <w:b/>
                <w:bCs/>
                <w:color w:val="auto"/>
              </w:rPr>
            </w:pPr>
            <w:r>
              <w:rPr>
                <w:rFonts w:hint="default" w:ascii="Times New Roman" w:hAnsi="Times New Roman" w:cs="Times New Roman"/>
                <w:b/>
                <w:bCs/>
                <w:color w:val="auto"/>
              </w:rPr>
              <w:t>（六）废气非正常排放情况分析</w:t>
            </w:r>
          </w:p>
          <w:p w14:paraId="04E871AC">
            <w:pPr>
              <w:pStyle w:val="30"/>
              <w:spacing w:before="1" w:line="364" w:lineRule="auto"/>
              <w:ind w:left="108" w:right="95" w:firstLine="480"/>
              <w:jc w:val="both"/>
              <w:rPr>
                <w:rFonts w:hint="default" w:ascii="Times New Roman" w:hAnsi="Times New Roman" w:cs="Times New Roman"/>
                <w:color w:val="auto"/>
                <w:sz w:val="24"/>
                <w:lang w:eastAsia="zh-CN"/>
              </w:rPr>
            </w:pPr>
            <w:r>
              <w:rPr>
                <w:rFonts w:hint="default" w:ascii="Times New Roman" w:hAnsi="Times New Roman" w:cs="Times New Roman"/>
                <w:color w:val="auto"/>
                <w:spacing w:val="-5"/>
                <w:sz w:val="24"/>
                <w:lang w:eastAsia="zh-CN"/>
              </w:rPr>
              <w:t>非正常生产与事故状况是指开车、停车、机械设备故障、设备管道不正</w:t>
            </w:r>
            <w:r>
              <w:rPr>
                <w:rFonts w:hint="default" w:ascii="Times New Roman" w:hAnsi="Times New Roman" w:cs="Times New Roman"/>
                <w:color w:val="auto"/>
                <w:spacing w:val="-10"/>
                <w:sz w:val="24"/>
                <w:lang w:eastAsia="zh-CN"/>
              </w:rPr>
              <w:t>常泄露及设备检修时的粉尘、有机污染物流失等因素所排放的废气对大气环</w:t>
            </w:r>
            <w:r>
              <w:rPr>
                <w:rFonts w:hint="default" w:ascii="Times New Roman" w:hAnsi="Times New Roman" w:cs="Times New Roman"/>
                <w:color w:val="auto"/>
                <w:spacing w:val="-11"/>
                <w:sz w:val="24"/>
                <w:lang w:eastAsia="zh-CN"/>
              </w:rPr>
              <w:t>境造成的影响，以及对人身安全的影响，因此，必须重视非正常生产与事故</w:t>
            </w:r>
            <w:r>
              <w:rPr>
                <w:rFonts w:hint="default" w:ascii="Times New Roman" w:hAnsi="Times New Roman" w:cs="Times New Roman"/>
                <w:color w:val="auto"/>
                <w:spacing w:val="-13"/>
                <w:sz w:val="24"/>
                <w:lang w:eastAsia="zh-CN"/>
              </w:rPr>
              <w:t>状况的污染防治措施。具体可采取措施：制定完善的操作规程、加强职工培</w:t>
            </w:r>
            <w:r>
              <w:rPr>
                <w:rFonts w:hint="default" w:ascii="Times New Roman" w:hAnsi="Times New Roman" w:cs="Times New Roman"/>
                <w:color w:val="auto"/>
                <w:spacing w:val="-9"/>
                <w:sz w:val="24"/>
                <w:lang w:eastAsia="zh-CN"/>
              </w:rPr>
              <w:t>训，严格按照工艺规程组织生产。安装必要的自动控制以及报警装置。环保设备必须处在完好状态，定期检查，排除事故隐患。</w:t>
            </w:r>
          </w:p>
          <w:p w14:paraId="287A61D2">
            <w:pPr>
              <w:pStyle w:val="29"/>
              <w:adjustRightInd w:val="0"/>
              <w:snapToGrid w:val="0"/>
              <w:ind w:firstLine="480"/>
              <w:jc w:val="both"/>
              <w:rPr>
                <w:rFonts w:hint="default" w:ascii="Times New Roman" w:hAnsi="Times New Roman" w:cs="Times New Roman"/>
                <w:color w:val="auto"/>
              </w:rPr>
            </w:pPr>
            <w:r>
              <w:rPr>
                <w:rFonts w:hint="default" w:ascii="Times New Roman" w:hAnsi="Times New Roman" w:cs="Times New Roman"/>
                <w:color w:val="auto"/>
              </w:rPr>
              <w:t>非正常工况的预防和监控措施</w:t>
            </w:r>
          </w:p>
          <w:p w14:paraId="13DAA2E7">
            <w:pPr>
              <w:pStyle w:val="30"/>
              <w:adjustRightInd w:val="0"/>
              <w:snapToGrid w:val="0"/>
              <w:spacing w:line="360" w:lineRule="auto"/>
              <w:ind w:firstLine="480"/>
              <w:jc w:val="both"/>
              <w:rPr>
                <w:rFonts w:hint="default" w:ascii="Times New Roman" w:hAnsi="Times New Roman" w:cs="Times New Roman"/>
                <w:color w:val="auto"/>
                <w:spacing w:val="-7"/>
                <w:sz w:val="24"/>
                <w:lang w:eastAsia="zh-CN"/>
              </w:rPr>
            </w:pPr>
            <w:r>
              <w:rPr>
                <w:rFonts w:hint="default" w:ascii="Times New Roman" w:hAnsi="Times New Roman" w:cs="Times New Roman"/>
                <w:color w:val="auto"/>
                <w:sz w:val="24"/>
                <w:lang w:eastAsia="zh-CN"/>
              </w:rPr>
              <w:t>为防止生产废气非正常工况排放，企业必须加强废气处理措施的管理，</w:t>
            </w:r>
            <w:r>
              <w:rPr>
                <w:rFonts w:hint="default" w:ascii="Times New Roman" w:hAnsi="Times New Roman" w:cs="Times New Roman"/>
                <w:color w:val="auto"/>
                <w:spacing w:val="-8"/>
                <w:sz w:val="24"/>
                <w:lang w:eastAsia="zh-CN"/>
              </w:rPr>
              <w:t>定期检修，确保废气处理措施正常运行。为杜绝废气非正常排放，应采取以下措施确保废气达标排</w:t>
            </w:r>
            <w:r>
              <w:rPr>
                <w:rFonts w:hint="default" w:ascii="Times New Roman" w:hAnsi="Times New Roman" w:cs="Times New Roman"/>
                <w:color w:val="auto"/>
                <w:spacing w:val="-7"/>
                <w:sz w:val="24"/>
                <w:lang w:eastAsia="zh-CN"/>
              </w:rPr>
              <w:t>放：</w:t>
            </w:r>
          </w:p>
          <w:p w14:paraId="39C00CB0">
            <w:pPr>
              <w:pStyle w:val="30"/>
              <w:adjustRightInd w:val="0"/>
              <w:snapToGrid w:val="0"/>
              <w:spacing w:line="360" w:lineRule="auto"/>
              <w:ind w:firstLine="480"/>
              <w:jc w:val="both"/>
              <w:rPr>
                <w:rFonts w:hint="default" w:ascii="Times New Roman" w:hAnsi="Times New Roman" w:cs="Times New Roman"/>
                <w:color w:val="auto"/>
                <w:spacing w:val="-7"/>
                <w:sz w:val="24"/>
                <w:lang w:eastAsia="zh-CN"/>
              </w:rPr>
            </w:pPr>
            <w:r>
              <w:rPr>
                <w:rFonts w:hint="default" w:ascii="Times New Roman" w:hAnsi="Times New Roman" w:cs="Times New Roman"/>
                <w:color w:val="auto"/>
                <w:spacing w:val="-7"/>
                <w:sz w:val="24"/>
                <w:lang w:eastAsia="zh-CN"/>
              </w:rPr>
              <w:t>A.各生产环节严格执行生产管理的有关规定，加强设备的检修及保养， 提高管理人员素质，并设置机器事故应急措施及管理制度，确保设备长期处于良好状态，使设备达到预期的处理效果；</w:t>
            </w:r>
          </w:p>
          <w:p w14:paraId="4BE83FDE">
            <w:pPr>
              <w:pStyle w:val="30"/>
              <w:adjustRightInd w:val="0"/>
              <w:snapToGrid w:val="0"/>
              <w:spacing w:line="360" w:lineRule="auto"/>
              <w:ind w:firstLine="480"/>
              <w:jc w:val="both"/>
              <w:rPr>
                <w:rFonts w:hint="default" w:ascii="Times New Roman" w:hAnsi="Times New Roman" w:cs="Times New Roman"/>
                <w:color w:val="auto"/>
                <w:spacing w:val="-7"/>
                <w:sz w:val="24"/>
                <w:lang w:eastAsia="zh-CN"/>
              </w:rPr>
            </w:pPr>
            <w:r>
              <w:rPr>
                <w:rFonts w:hint="default" w:ascii="Times New Roman" w:hAnsi="Times New Roman" w:cs="Times New Roman"/>
                <w:color w:val="auto"/>
                <w:spacing w:val="-7"/>
                <w:sz w:val="24"/>
                <w:lang w:eastAsia="zh-CN"/>
              </w:rPr>
              <w:t>B.现场作业人员定时记录废气处理状况，如对废气处理</w:t>
            </w:r>
            <w:r>
              <w:rPr>
                <w:rFonts w:hint="default" w:ascii="Times New Roman" w:hAnsi="Times New Roman" w:cs="Times New Roman"/>
                <w:color w:val="auto"/>
                <w:spacing w:val="-7"/>
                <w:sz w:val="24"/>
                <w:lang w:val="en-US" w:eastAsia="zh-CN"/>
              </w:rPr>
              <w:t>措施</w:t>
            </w:r>
            <w:r>
              <w:rPr>
                <w:rFonts w:hint="default" w:ascii="Times New Roman" w:hAnsi="Times New Roman" w:cs="Times New Roman"/>
                <w:color w:val="auto"/>
                <w:spacing w:val="-7"/>
                <w:sz w:val="24"/>
                <w:lang w:eastAsia="zh-CN"/>
              </w:rPr>
              <w:t>进行点检工作，并派专人巡视，遇不良工作状况立即停止车间相关作业，维修正常后再开始作业，杜绝事故性废气直排，并及时呈报单位主管；</w:t>
            </w:r>
          </w:p>
          <w:p w14:paraId="4EB9C916">
            <w:pPr>
              <w:pStyle w:val="30"/>
              <w:adjustRightInd w:val="0"/>
              <w:snapToGrid w:val="0"/>
              <w:spacing w:line="360" w:lineRule="auto"/>
              <w:ind w:firstLine="480"/>
              <w:jc w:val="both"/>
              <w:rPr>
                <w:rFonts w:hint="default" w:ascii="Times New Roman" w:hAnsi="Times New Roman" w:cs="Times New Roman"/>
                <w:color w:val="auto"/>
                <w:spacing w:val="-7"/>
                <w:sz w:val="24"/>
                <w:lang w:eastAsia="zh-CN"/>
              </w:rPr>
            </w:pPr>
            <w:r>
              <w:rPr>
                <w:rFonts w:hint="default" w:ascii="Times New Roman" w:hAnsi="Times New Roman" w:cs="Times New Roman"/>
                <w:color w:val="auto"/>
                <w:spacing w:val="-7"/>
                <w:sz w:val="24"/>
                <w:lang w:eastAsia="zh-CN"/>
              </w:rPr>
              <w:t>C.治理设施等发生故障时，应及时维修，如情况严重，应停止生产直至系统运作正常；</w:t>
            </w:r>
          </w:p>
          <w:p w14:paraId="7706A296">
            <w:pPr>
              <w:pStyle w:val="30"/>
              <w:adjustRightInd w:val="0"/>
              <w:snapToGrid w:val="0"/>
              <w:spacing w:line="360" w:lineRule="auto"/>
              <w:ind w:firstLine="480"/>
              <w:jc w:val="both"/>
              <w:rPr>
                <w:rFonts w:hint="default" w:ascii="Times New Roman" w:hAnsi="Times New Roman" w:cs="Times New Roman"/>
                <w:color w:val="auto"/>
                <w:spacing w:val="-7"/>
                <w:sz w:val="24"/>
                <w:lang w:eastAsia="zh-CN"/>
              </w:rPr>
            </w:pPr>
            <w:r>
              <w:rPr>
                <w:rFonts w:hint="default" w:ascii="Times New Roman" w:hAnsi="Times New Roman" w:cs="Times New Roman"/>
                <w:color w:val="auto"/>
                <w:spacing w:val="-7"/>
                <w:sz w:val="24"/>
                <w:lang w:eastAsia="zh-CN"/>
              </w:rPr>
              <w:t>D.定期对废气排放口的污染物浓度进行监测，加强环境保护管理。</w:t>
            </w:r>
          </w:p>
          <w:p w14:paraId="77730167">
            <w:pPr>
              <w:pStyle w:val="29"/>
              <w:ind w:firstLine="482"/>
              <w:jc w:val="both"/>
              <w:rPr>
                <w:rFonts w:hint="default" w:ascii="Times New Roman" w:hAnsi="Times New Roman" w:cs="Times New Roman"/>
                <w:b/>
                <w:bCs/>
                <w:color w:val="auto"/>
              </w:rPr>
            </w:pPr>
            <w:r>
              <w:rPr>
                <w:rFonts w:hint="default" w:ascii="Times New Roman" w:hAnsi="Times New Roman" w:cs="Times New Roman"/>
                <w:b/>
                <w:bCs/>
                <w:color w:val="auto"/>
              </w:rPr>
              <w:t>（七）运营期废气监测计划</w:t>
            </w:r>
          </w:p>
          <w:p w14:paraId="546454F5">
            <w:pPr>
              <w:autoSpaceDE/>
              <w:autoSpaceDN/>
              <w:spacing w:line="360" w:lineRule="auto"/>
              <w:ind w:firstLine="482"/>
              <w:jc w:val="both"/>
              <w:rPr>
                <w:rFonts w:hint="default" w:ascii="Times New Roman" w:hAnsi="Times New Roman" w:eastAsia="宋体" w:cs="Times New Roman"/>
                <w:color w:val="auto"/>
                <w:spacing w:val="-7"/>
                <w:sz w:val="24"/>
                <w:szCs w:val="22"/>
                <w:lang w:val="en-US" w:eastAsia="zh-CN" w:bidi="ar-SA"/>
              </w:rPr>
            </w:pPr>
            <w:r>
              <w:rPr>
                <w:rFonts w:hint="default" w:ascii="Times New Roman" w:hAnsi="Times New Roman" w:eastAsia="宋体" w:cs="Times New Roman"/>
                <w:color w:val="auto"/>
                <w:spacing w:val="-7"/>
                <w:sz w:val="24"/>
                <w:szCs w:val="22"/>
                <w:lang w:val="en-US" w:eastAsia="zh-CN" w:bidi="ar-SA"/>
              </w:rPr>
              <w:t>本项目运行期污染源监测计划按照《排污单位自行监测技术指南 总则》（HJ 819-2017）、《排污单位自行监测技术指南 水泥工业》（HJ848-2017）中的监测要求制定，本项目废气监测要求如下表所示。</w:t>
            </w:r>
          </w:p>
          <w:p w14:paraId="72C1667F">
            <w:pPr>
              <w:ind w:firstLine="482"/>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表4-</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lang w:eastAsia="zh-CN"/>
              </w:rPr>
              <w:t xml:space="preserve">   项目运营期废气排放及监测计划情况表</w:t>
            </w:r>
          </w:p>
          <w:tbl>
            <w:tblPr>
              <w:tblStyle w:val="20"/>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992"/>
              <w:gridCol w:w="2343"/>
              <w:gridCol w:w="921"/>
              <w:gridCol w:w="1122"/>
              <w:gridCol w:w="2163"/>
            </w:tblGrid>
            <w:tr w14:paraId="2968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75" w:type="pct"/>
                  <w:noWrap w:val="0"/>
                  <w:vAlign w:val="center"/>
                </w:tcPr>
                <w:p w14:paraId="3CB5E31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w:t>
                  </w:r>
                </w:p>
                <w:p w14:paraId="2F13DB1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582" w:type="pct"/>
                  <w:noWrap w:val="0"/>
                  <w:vAlign w:val="center"/>
                </w:tcPr>
                <w:p w14:paraId="7894E21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374" w:type="pct"/>
                  <w:noWrap w:val="0"/>
                  <w:vAlign w:val="center"/>
                </w:tcPr>
                <w:p w14:paraId="11C8259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监测点位置</w:t>
                  </w:r>
                </w:p>
              </w:tc>
              <w:tc>
                <w:tcPr>
                  <w:tcW w:w="540" w:type="pct"/>
                  <w:noWrap w:val="0"/>
                  <w:vAlign w:val="center"/>
                </w:tcPr>
                <w:p w14:paraId="5BC315D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w:t>
                  </w:r>
                </w:p>
                <w:p w14:paraId="334FF8B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数量</w:t>
                  </w:r>
                </w:p>
              </w:tc>
              <w:tc>
                <w:tcPr>
                  <w:tcW w:w="658" w:type="pct"/>
                  <w:noWrap w:val="0"/>
                  <w:vAlign w:val="center"/>
                </w:tcPr>
                <w:p w14:paraId="13593AC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w:t>
                  </w:r>
                </w:p>
                <w:p w14:paraId="448D290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频率</w:t>
                  </w:r>
                </w:p>
              </w:tc>
              <w:tc>
                <w:tcPr>
                  <w:tcW w:w="1268" w:type="pct"/>
                  <w:noWrap w:val="0"/>
                  <w:vAlign w:val="center"/>
                </w:tcPr>
                <w:p w14:paraId="17A230F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排放标准</w:t>
                  </w:r>
                </w:p>
              </w:tc>
            </w:tr>
            <w:tr w14:paraId="082F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75" w:type="pct"/>
                  <w:tcBorders>
                    <w:bottom w:val="single" w:color="auto" w:sz="4" w:space="0"/>
                  </w:tcBorders>
                  <w:noWrap w:val="0"/>
                  <w:vAlign w:val="center"/>
                </w:tcPr>
                <w:p w14:paraId="430AB7B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无组织</w:t>
                  </w:r>
                </w:p>
              </w:tc>
              <w:tc>
                <w:tcPr>
                  <w:tcW w:w="582" w:type="pct"/>
                  <w:tcBorders>
                    <w:bottom w:val="single" w:color="auto" w:sz="4" w:space="0"/>
                  </w:tcBorders>
                  <w:noWrap w:val="0"/>
                  <w:vAlign w:val="center"/>
                </w:tcPr>
                <w:p w14:paraId="45B4FEE8">
                  <w:pPr>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颗粒物</w:t>
                  </w:r>
                </w:p>
              </w:tc>
              <w:tc>
                <w:tcPr>
                  <w:tcW w:w="1374" w:type="pct"/>
                  <w:tcBorders>
                    <w:bottom w:val="single" w:color="auto" w:sz="4" w:space="0"/>
                  </w:tcBorders>
                  <w:noWrap w:val="0"/>
                  <w:vAlign w:val="center"/>
                </w:tcPr>
                <w:p w14:paraId="6F58E486">
                  <w:pPr>
                    <w:adjustRightInd w:val="0"/>
                    <w:snapToGrid w:val="0"/>
                    <w:rPr>
                      <w:rFonts w:hint="default" w:ascii="Times New Roman" w:hAnsi="Times New Roman" w:cs="Times New Roman"/>
                      <w:b/>
                      <w:bCs/>
                      <w:color w:val="auto"/>
                      <w:szCs w:val="21"/>
                    </w:rPr>
                  </w:pPr>
                  <w:r>
                    <w:rPr>
                      <w:rFonts w:hint="default" w:ascii="Times New Roman" w:hAnsi="Times New Roman" w:cs="Times New Roman"/>
                      <w:color w:val="auto"/>
                      <w:szCs w:val="21"/>
                    </w:rPr>
                    <w:t>厂界外20m处上风向1个，下风向3个</w:t>
                  </w:r>
                </w:p>
              </w:tc>
              <w:tc>
                <w:tcPr>
                  <w:tcW w:w="540" w:type="pct"/>
                  <w:tcBorders>
                    <w:bottom w:val="single" w:color="auto" w:sz="4" w:space="0"/>
                  </w:tcBorders>
                  <w:noWrap w:val="0"/>
                  <w:vAlign w:val="center"/>
                </w:tcPr>
                <w:p w14:paraId="2FDD75E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4个</w:t>
                  </w:r>
                </w:p>
              </w:tc>
              <w:tc>
                <w:tcPr>
                  <w:tcW w:w="658" w:type="pct"/>
                  <w:tcBorders>
                    <w:bottom w:val="single" w:color="auto" w:sz="4" w:space="0"/>
                  </w:tcBorders>
                  <w:noWrap w:val="0"/>
                  <w:vAlign w:val="center"/>
                </w:tcPr>
                <w:p w14:paraId="18C06753">
                  <w:pPr>
                    <w:jc w:val="center"/>
                    <w:rPr>
                      <w:rFonts w:hint="default" w:ascii="Times New Roman" w:hAnsi="Times New Roman" w:cs="Times New Roman"/>
                      <w:b/>
                      <w:bCs/>
                      <w:color w:val="auto"/>
                      <w:szCs w:val="21"/>
                    </w:rPr>
                  </w:pPr>
                  <w:r>
                    <w:rPr>
                      <w:rFonts w:hint="default" w:ascii="Times New Roman" w:hAnsi="Times New Roman" w:cs="Times New Roman"/>
                      <w:color w:val="auto"/>
                      <w:kern w:val="0"/>
                      <w:szCs w:val="21"/>
                      <w:lang w:bidi="ar"/>
                    </w:rPr>
                    <w:t>1次/季度</w:t>
                  </w:r>
                </w:p>
              </w:tc>
              <w:tc>
                <w:tcPr>
                  <w:tcW w:w="1268" w:type="pct"/>
                  <w:tcBorders>
                    <w:bottom w:val="single" w:color="auto" w:sz="4" w:space="0"/>
                  </w:tcBorders>
                  <w:noWrap w:val="0"/>
                  <w:vAlign w:val="center"/>
                </w:tcPr>
                <w:p w14:paraId="3142CDE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《水泥工业大气污染物排放标准》（GB4915-2013</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含2025年修改单</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）表</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排放限值标准</w:t>
                  </w:r>
                </w:p>
              </w:tc>
            </w:tr>
          </w:tbl>
          <w:p w14:paraId="666C11B0">
            <w:pPr>
              <w:ind w:firstLine="482"/>
              <w:jc w:val="center"/>
              <w:rPr>
                <w:rFonts w:hint="default" w:ascii="Times New Roman" w:hAnsi="Times New Roman" w:cs="Times New Roman"/>
                <w:b/>
                <w:color w:val="auto"/>
                <w:sz w:val="21"/>
                <w:szCs w:val="21"/>
                <w:lang w:eastAsia="zh-CN"/>
              </w:rPr>
            </w:pPr>
          </w:p>
          <w:p w14:paraId="16DC4E8E">
            <w:pPr>
              <w:pStyle w:val="30"/>
              <w:adjustRightInd w:val="0"/>
              <w:snapToGrid w:val="0"/>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八</w:t>
            </w:r>
            <w:r>
              <w:rPr>
                <w:rFonts w:hint="default" w:ascii="Times New Roman" w:hAnsi="Times New Roman" w:cs="Times New Roman"/>
                <w:b/>
                <w:color w:val="auto"/>
                <w:sz w:val="24"/>
                <w:lang w:eastAsia="zh-CN"/>
              </w:rPr>
              <w:t>）大气环境影响分析结论</w:t>
            </w:r>
          </w:p>
          <w:p w14:paraId="6FFBAA2F">
            <w:pPr>
              <w:pStyle w:val="30"/>
              <w:adjustRightInd w:val="0"/>
              <w:snapToGrid w:val="0"/>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在采取本次评价提出的环保措施后，项目排放的大气污染物能够达标排放，对周边环境的影响较小。</w:t>
            </w:r>
          </w:p>
          <w:p w14:paraId="54BFECFE">
            <w:pPr>
              <w:autoSpaceDE/>
              <w:autoSpaceDN/>
              <w:spacing w:line="360" w:lineRule="auto"/>
              <w:rPr>
                <w:rFonts w:hint="default" w:ascii="Times New Roman" w:hAnsi="Times New Roman" w:cs="Times New Roman"/>
                <w:b/>
                <w:color w:val="auto"/>
                <w:kern w:val="2"/>
                <w:sz w:val="24"/>
                <w:szCs w:val="24"/>
                <w:lang w:eastAsia="zh-CN"/>
              </w:rPr>
            </w:pPr>
            <w:r>
              <w:rPr>
                <w:rFonts w:hint="default" w:ascii="Times New Roman" w:hAnsi="Times New Roman" w:cs="Times New Roman"/>
                <w:b/>
                <w:color w:val="auto"/>
                <w:lang w:eastAsia="zh-CN"/>
              </w:rPr>
              <w:t>二</w:t>
            </w:r>
            <w:r>
              <w:rPr>
                <w:rFonts w:hint="default" w:ascii="Times New Roman" w:hAnsi="Times New Roman" w:cs="Times New Roman"/>
                <w:b/>
                <w:color w:val="auto"/>
                <w:kern w:val="2"/>
                <w:sz w:val="24"/>
                <w:szCs w:val="24"/>
                <w:lang w:eastAsia="zh-CN"/>
              </w:rPr>
              <w:t>、运营期废水环境影响及防治措施</w:t>
            </w:r>
          </w:p>
          <w:p w14:paraId="138FE093">
            <w:pPr>
              <w:autoSpaceDE/>
              <w:autoSpaceDN/>
              <w:spacing w:line="360" w:lineRule="auto"/>
              <w:ind w:firstLine="482"/>
              <w:rPr>
                <w:rFonts w:hint="default" w:ascii="Times New Roman" w:hAnsi="Times New Roman" w:cs="Times New Roman"/>
                <w:b/>
                <w:bCs/>
                <w:color w:val="auto"/>
                <w:kern w:val="2"/>
                <w:sz w:val="24"/>
                <w:szCs w:val="24"/>
                <w:lang w:eastAsia="zh-CN"/>
              </w:rPr>
            </w:pPr>
            <w:r>
              <w:rPr>
                <w:rFonts w:hint="default" w:ascii="Times New Roman" w:hAnsi="Times New Roman" w:cs="Times New Roman"/>
                <w:b/>
                <w:bCs/>
                <w:color w:val="auto"/>
                <w:kern w:val="2"/>
                <w:sz w:val="24"/>
                <w:szCs w:val="24"/>
                <w:lang w:eastAsia="zh-CN"/>
              </w:rPr>
              <w:t>（一）项目废水污染源源强</w:t>
            </w:r>
          </w:p>
          <w:p w14:paraId="79757887">
            <w:pPr>
              <w:autoSpaceDE/>
              <w:autoSpaceDN/>
              <w:spacing w:line="360" w:lineRule="auto"/>
              <w:ind w:firstLine="482"/>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项目废水污染源源强核算结果及相关参数见表4-</w:t>
            </w:r>
            <w:r>
              <w:rPr>
                <w:rFonts w:hint="eastAsia" w:ascii="Times New Roman" w:hAnsi="Times New Roman" w:cs="Times New Roman"/>
                <w:color w:val="auto"/>
                <w:kern w:val="2"/>
                <w:sz w:val="24"/>
                <w:szCs w:val="24"/>
                <w:lang w:val="en-US" w:eastAsia="zh-CN"/>
              </w:rPr>
              <w:t>4</w:t>
            </w:r>
            <w:r>
              <w:rPr>
                <w:rFonts w:hint="default" w:ascii="Times New Roman" w:hAnsi="Times New Roman" w:cs="Times New Roman"/>
                <w:color w:val="auto"/>
                <w:kern w:val="2"/>
                <w:sz w:val="24"/>
                <w:szCs w:val="24"/>
                <w:lang w:eastAsia="zh-CN"/>
              </w:rPr>
              <w:t>。</w:t>
            </w:r>
          </w:p>
          <w:p w14:paraId="06CAF516">
            <w:pPr>
              <w:jc w:val="center"/>
              <w:rPr>
                <w:rFonts w:hint="default" w:ascii="Times New Roman" w:hAnsi="Times New Roman" w:cs="Times New Roman"/>
                <w:b/>
                <w:color w:val="auto"/>
                <w:spacing w:val="-10"/>
                <w:szCs w:val="21"/>
                <w:lang w:eastAsia="zh-CN"/>
              </w:rPr>
            </w:pPr>
            <w:r>
              <w:rPr>
                <w:rFonts w:hint="default" w:ascii="Times New Roman" w:hAnsi="Times New Roman" w:cs="Times New Roman"/>
                <w:b/>
                <w:color w:val="auto"/>
                <w:spacing w:val="-10"/>
                <w:szCs w:val="21"/>
                <w:lang w:eastAsia="zh-CN"/>
              </w:rPr>
              <w:t>表4-</w:t>
            </w:r>
            <w:r>
              <w:rPr>
                <w:rFonts w:hint="eastAsia" w:ascii="Times New Roman" w:hAnsi="Times New Roman" w:cs="Times New Roman"/>
                <w:b/>
                <w:color w:val="auto"/>
                <w:spacing w:val="-10"/>
                <w:szCs w:val="21"/>
                <w:lang w:val="en-US" w:eastAsia="zh-CN"/>
              </w:rPr>
              <w:t>4</w:t>
            </w:r>
            <w:r>
              <w:rPr>
                <w:rFonts w:hint="default" w:ascii="Times New Roman" w:hAnsi="Times New Roman" w:cs="Times New Roman"/>
                <w:b/>
                <w:color w:val="auto"/>
                <w:spacing w:val="-10"/>
                <w:szCs w:val="21"/>
                <w:lang w:eastAsia="zh-CN"/>
              </w:rPr>
              <w:t xml:space="preserve">   项目</w:t>
            </w:r>
            <w:r>
              <w:rPr>
                <w:rFonts w:hint="default" w:ascii="Times New Roman" w:hAnsi="Times New Roman" w:cs="Times New Roman"/>
                <w:b/>
                <w:color w:val="auto"/>
                <w:spacing w:val="-10"/>
                <w:szCs w:val="21"/>
                <w:lang w:val="en-US" w:eastAsia="zh-CN"/>
              </w:rPr>
              <w:t>废水</w:t>
            </w:r>
            <w:r>
              <w:rPr>
                <w:rFonts w:hint="default" w:ascii="Times New Roman" w:hAnsi="Times New Roman" w:cs="Times New Roman"/>
                <w:b/>
                <w:color w:val="auto"/>
                <w:spacing w:val="-10"/>
                <w:szCs w:val="21"/>
                <w:lang w:eastAsia="zh-CN"/>
              </w:rPr>
              <w:t>污染源源强核算结果及相关参数一览表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636"/>
              <w:gridCol w:w="1033"/>
              <w:gridCol w:w="689"/>
              <w:gridCol w:w="426"/>
              <w:gridCol w:w="1441"/>
              <w:gridCol w:w="828"/>
              <w:gridCol w:w="426"/>
              <w:gridCol w:w="833"/>
              <w:gridCol w:w="1177"/>
              <w:gridCol w:w="636"/>
            </w:tblGrid>
            <w:tr w14:paraId="64ED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restart"/>
                  <w:vAlign w:val="center"/>
                </w:tcPr>
                <w:p w14:paraId="7D1AE5BF">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序号</w:t>
                  </w:r>
                </w:p>
              </w:tc>
              <w:tc>
                <w:tcPr>
                  <w:tcW w:w="374" w:type="pct"/>
                  <w:vMerge w:val="restart"/>
                  <w:vAlign w:val="center"/>
                </w:tcPr>
                <w:p w14:paraId="79D155A5">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产排污环节</w:t>
                  </w:r>
                </w:p>
              </w:tc>
              <w:tc>
                <w:tcPr>
                  <w:tcW w:w="265" w:type="pct"/>
                  <w:vMerge w:val="restart"/>
                  <w:vAlign w:val="center"/>
                </w:tcPr>
                <w:p w14:paraId="5D432163">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污染物种类</w:t>
                  </w:r>
                </w:p>
              </w:tc>
              <w:tc>
                <w:tcPr>
                  <w:tcW w:w="406" w:type="pct"/>
                  <w:vMerge w:val="restart"/>
                  <w:vAlign w:val="center"/>
                </w:tcPr>
                <w:p w14:paraId="788A0374">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污染物产生量</w:t>
                  </w:r>
                </w:p>
                <w:p w14:paraId="5D3FF004">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(t/a)</w:t>
                  </w:r>
                </w:p>
              </w:tc>
              <w:tc>
                <w:tcPr>
                  <w:tcW w:w="394" w:type="pct"/>
                  <w:vMerge w:val="restart"/>
                  <w:vAlign w:val="center"/>
                </w:tcPr>
                <w:p w14:paraId="6C55F49C">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排放形式</w:t>
                  </w:r>
                </w:p>
              </w:tc>
              <w:tc>
                <w:tcPr>
                  <w:tcW w:w="1749" w:type="pct"/>
                  <w:gridSpan w:val="3"/>
                  <w:vAlign w:val="center"/>
                </w:tcPr>
                <w:p w14:paraId="2E838377">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治理设施</w:t>
                  </w:r>
                </w:p>
              </w:tc>
              <w:tc>
                <w:tcPr>
                  <w:tcW w:w="1184" w:type="pct"/>
                  <w:gridSpan w:val="2"/>
                  <w:vAlign w:val="center"/>
                </w:tcPr>
                <w:p w14:paraId="3EDB238A">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w:t>
                  </w:r>
                </w:p>
              </w:tc>
              <w:tc>
                <w:tcPr>
                  <w:tcW w:w="378" w:type="pct"/>
                  <w:vMerge w:val="restart"/>
                  <w:vAlign w:val="center"/>
                </w:tcPr>
                <w:p w14:paraId="64F338ED">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排放标准</w:t>
                  </w:r>
                </w:p>
              </w:tc>
            </w:tr>
            <w:tr w14:paraId="2AAA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245" w:type="pct"/>
                  <w:vMerge w:val="continue"/>
                  <w:vAlign w:val="center"/>
                </w:tcPr>
                <w:p w14:paraId="7DB1EDE7">
                  <w:pPr>
                    <w:adjustRightInd w:val="0"/>
                    <w:snapToGrid w:val="0"/>
                    <w:rPr>
                      <w:rFonts w:hint="default" w:ascii="Times New Roman" w:hAnsi="Times New Roman" w:cs="Times New Roman"/>
                      <w:b/>
                      <w:color w:val="auto"/>
                      <w:spacing w:val="-10"/>
                      <w:szCs w:val="21"/>
                    </w:rPr>
                  </w:pPr>
                </w:p>
              </w:tc>
              <w:tc>
                <w:tcPr>
                  <w:tcW w:w="374" w:type="pct"/>
                  <w:vMerge w:val="continue"/>
                  <w:vAlign w:val="center"/>
                </w:tcPr>
                <w:p w14:paraId="7BF772BE">
                  <w:pPr>
                    <w:adjustRightInd w:val="0"/>
                    <w:snapToGrid w:val="0"/>
                    <w:rPr>
                      <w:rFonts w:hint="default" w:ascii="Times New Roman" w:hAnsi="Times New Roman" w:cs="Times New Roman"/>
                      <w:b/>
                      <w:color w:val="auto"/>
                      <w:spacing w:val="-10"/>
                      <w:szCs w:val="21"/>
                    </w:rPr>
                  </w:pPr>
                </w:p>
              </w:tc>
              <w:tc>
                <w:tcPr>
                  <w:tcW w:w="265" w:type="pct"/>
                  <w:vMerge w:val="continue"/>
                  <w:vAlign w:val="center"/>
                </w:tcPr>
                <w:p w14:paraId="0136FA0A">
                  <w:pPr>
                    <w:adjustRightInd w:val="0"/>
                    <w:snapToGrid w:val="0"/>
                    <w:rPr>
                      <w:rFonts w:hint="default" w:ascii="Times New Roman" w:hAnsi="Times New Roman" w:cs="Times New Roman"/>
                      <w:b/>
                      <w:color w:val="auto"/>
                      <w:spacing w:val="-10"/>
                      <w:szCs w:val="21"/>
                    </w:rPr>
                  </w:pPr>
                </w:p>
              </w:tc>
              <w:tc>
                <w:tcPr>
                  <w:tcW w:w="406" w:type="pct"/>
                  <w:vMerge w:val="continue"/>
                  <w:vAlign w:val="center"/>
                </w:tcPr>
                <w:p w14:paraId="2C474797">
                  <w:pPr>
                    <w:adjustRightInd w:val="0"/>
                    <w:snapToGrid w:val="0"/>
                    <w:rPr>
                      <w:rFonts w:hint="default" w:ascii="Times New Roman" w:hAnsi="Times New Roman" w:cs="Times New Roman"/>
                      <w:b/>
                      <w:color w:val="auto"/>
                      <w:spacing w:val="-10"/>
                      <w:szCs w:val="21"/>
                    </w:rPr>
                  </w:pPr>
                </w:p>
              </w:tc>
              <w:tc>
                <w:tcPr>
                  <w:tcW w:w="394" w:type="pct"/>
                  <w:vMerge w:val="continue"/>
                </w:tcPr>
                <w:p w14:paraId="427DC0A4">
                  <w:pPr>
                    <w:adjustRightInd w:val="0"/>
                    <w:snapToGrid w:val="0"/>
                    <w:jc w:val="center"/>
                    <w:rPr>
                      <w:rFonts w:hint="default" w:ascii="Times New Roman" w:hAnsi="Times New Roman" w:cs="Times New Roman"/>
                      <w:b/>
                      <w:color w:val="auto"/>
                      <w:spacing w:val="-10"/>
                      <w:szCs w:val="21"/>
                    </w:rPr>
                  </w:pPr>
                </w:p>
              </w:tc>
              <w:tc>
                <w:tcPr>
                  <w:tcW w:w="946" w:type="pct"/>
                  <w:vAlign w:val="center"/>
                </w:tcPr>
                <w:p w14:paraId="478CA6A7">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工艺</w:t>
                  </w:r>
                </w:p>
              </w:tc>
              <w:tc>
                <w:tcPr>
                  <w:tcW w:w="400" w:type="pct"/>
                  <w:vAlign w:val="center"/>
                </w:tcPr>
                <w:p w14:paraId="405AB628">
                  <w:pPr>
                    <w:adjustRightInd w:val="0"/>
                    <w:snapToGrid w:val="0"/>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效率（%）</w:t>
                  </w:r>
                </w:p>
              </w:tc>
              <w:tc>
                <w:tcPr>
                  <w:tcW w:w="402" w:type="pct"/>
                  <w:vAlign w:val="center"/>
                </w:tcPr>
                <w:p w14:paraId="7649FCAE">
                  <w:pPr>
                    <w:adjustRightInd w:val="0"/>
                    <w:snapToGrid w:val="0"/>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是否为可行性技术</w:t>
                  </w:r>
                </w:p>
              </w:tc>
              <w:tc>
                <w:tcPr>
                  <w:tcW w:w="490" w:type="pct"/>
                  <w:vAlign w:val="center"/>
                </w:tcPr>
                <w:p w14:paraId="62BC199F">
                  <w:pPr>
                    <w:adjustRightInd w:val="0"/>
                    <w:snapToGrid w:val="0"/>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排放量（t/a）</w:t>
                  </w:r>
                </w:p>
              </w:tc>
              <w:tc>
                <w:tcPr>
                  <w:tcW w:w="693" w:type="pct"/>
                  <w:vAlign w:val="center"/>
                </w:tcPr>
                <w:p w14:paraId="445AD8C0">
                  <w:pPr>
                    <w:adjustRightInd w:val="0"/>
                    <w:snapToGrid w:val="0"/>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排放浓度</w:t>
                  </w:r>
                </w:p>
                <w:p w14:paraId="73E7DBDB">
                  <w:pPr>
                    <w:adjustRightInd w:val="0"/>
                    <w:snapToGrid w:val="0"/>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378" w:type="pct"/>
                  <w:vMerge w:val="continue"/>
                  <w:vAlign w:val="center"/>
                </w:tcPr>
                <w:p w14:paraId="7B440565">
                  <w:pPr>
                    <w:adjustRightInd w:val="0"/>
                    <w:snapToGrid w:val="0"/>
                    <w:rPr>
                      <w:rFonts w:hint="default" w:ascii="Times New Roman" w:hAnsi="Times New Roman" w:cs="Times New Roman"/>
                      <w:b/>
                      <w:color w:val="auto"/>
                      <w:spacing w:val="-10"/>
                      <w:szCs w:val="21"/>
                    </w:rPr>
                  </w:pPr>
                </w:p>
              </w:tc>
            </w:tr>
            <w:tr w14:paraId="5E4E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vAlign w:val="center"/>
                </w:tcPr>
                <w:p w14:paraId="2614FBA6">
                  <w:pPr>
                    <w:adjustRightInd w:val="0"/>
                    <w:snapToGrid w:val="0"/>
                    <w:jc w:val="center"/>
                    <w:rPr>
                      <w:rFonts w:hint="default" w:ascii="Times New Roman" w:hAnsi="Times New Roman" w:cs="Times New Roman"/>
                      <w:b/>
                      <w:color w:val="auto"/>
                      <w:spacing w:val="-10"/>
                      <w:szCs w:val="21"/>
                      <w:lang w:eastAsia="zh-CN"/>
                    </w:rPr>
                  </w:pPr>
                  <w:r>
                    <w:rPr>
                      <w:rFonts w:hint="default" w:ascii="Times New Roman" w:hAnsi="Times New Roman" w:cs="Times New Roman"/>
                      <w:b/>
                      <w:color w:val="auto"/>
                      <w:spacing w:val="-10"/>
                      <w:szCs w:val="21"/>
                    </w:rPr>
                    <w:t>1</w:t>
                  </w:r>
                </w:p>
              </w:tc>
              <w:tc>
                <w:tcPr>
                  <w:tcW w:w="374" w:type="pct"/>
                  <w:vAlign w:val="center"/>
                </w:tcPr>
                <w:p w14:paraId="288C7D95">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val="en-US" w:eastAsia="zh-CN"/>
                    </w:rPr>
                    <w:t>道路、场地抑尘</w:t>
                  </w:r>
                </w:p>
                <w:p w14:paraId="576A127F">
                  <w:pPr>
                    <w:pStyle w:val="27"/>
                    <w:rPr>
                      <w:rFonts w:hint="default" w:ascii="Times New Roman" w:hAnsi="Times New Roman" w:cs="Times New Roman"/>
                      <w:color w:val="auto"/>
                      <w:szCs w:val="21"/>
                    </w:rPr>
                  </w:pPr>
                  <w:r>
                    <w:rPr>
                      <w:rFonts w:hint="default" w:ascii="Times New Roman" w:hAnsi="Times New Roman" w:cs="Times New Roman"/>
                      <w:color w:val="auto"/>
                      <w:kern w:val="2"/>
                      <w:sz w:val="21"/>
                      <w:szCs w:val="52"/>
                      <w:lang w:eastAsia="zh-CN"/>
                    </w:rPr>
                    <w:t>用水</w:t>
                  </w:r>
                </w:p>
              </w:tc>
              <w:tc>
                <w:tcPr>
                  <w:tcW w:w="265" w:type="pct"/>
                  <w:vAlign w:val="center"/>
                </w:tcPr>
                <w:p w14:paraId="119D18F7">
                  <w:pPr>
                    <w:pStyle w:val="27"/>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SS</w:t>
                  </w:r>
                </w:p>
              </w:tc>
              <w:tc>
                <w:tcPr>
                  <w:tcW w:w="406" w:type="pct"/>
                  <w:vAlign w:val="center"/>
                </w:tcPr>
                <w:p w14:paraId="30DB3A7F">
                  <w:pPr>
                    <w:pStyle w:val="27"/>
                    <w:rPr>
                      <w:rFonts w:hint="default" w:ascii="Times New Roman" w:hAnsi="Times New Roman" w:cs="Times New Roman"/>
                      <w:color w:val="auto"/>
                      <w:szCs w:val="21"/>
                      <w:lang w:val="en-US"/>
                    </w:rPr>
                  </w:pPr>
                  <w:r>
                    <w:rPr>
                      <w:rFonts w:hint="default" w:ascii="Times New Roman" w:hAnsi="Times New Roman" w:cs="Times New Roman"/>
                      <w:bCs/>
                      <w:color w:val="auto"/>
                      <w:szCs w:val="21"/>
                      <w:lang w:val="en-US" w:eastAsia="zh-CN"/>
                    </w:rPr>
                    <w:t>0</w:t>
                  </w:r>
                </w:p>
              </w:tc>
              <w:tc>
                <w:tcPr>
                  <w:tcW w:w="394" w:type="pct"/>
                  <w:vAlign w:val="center"/>
                </w:tcPr>
                <w:p w14:paraId="7C777837">
                  <w:pPr>
                    <w:pStyle w:val="27"/>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不外排</w:t>
                  </w:r>
                </w:p>
              </w:tc>
              <w:tc>
                <w:tcPr>
                  <w:tcW w:w="946" w:type="pct"/>
                  <w:vAlign w:val="center"/>
                </w:tcPr>
                <w:p w14:paraId="3E3D96F4">
                  <w:pPr>
                    <w:pStyle w:val="27"/>
                    <w:rPr>
                      <w:rFonts w:hint="default" w:ascii="Times New Roman" w:hAnsi="Times New Roman" w:cs="Times New Roman"/>
                      <w:bCs/>
                      <w:color w:val="auto"/>
                      <w:szCs w:val="21"/>
                    </w:rPr>
                  </w:pPr>
                  <w:r>
                    <w:rPr>
                      <w:rFonts w:hint="default" w:ascii="Times New Roman" w:hAnsi="Times New Roman" w:cs="Times New Roman"/>
                      <w:color w:val="auto"/>
                    </w:rPr>
                    <w:t>道路、场地抑尘用水此过程用水全部自然蒸发，无废水产生。</w:t>
                  </w:r>
                </w:p>
              </w:tc>
              <w:tc>
                <w:tcPr>
                  <w:tcW w:w="400" w:type="pct"/>
                  <w:vAlign w:val="center"/>
                </w:tcPr>
                <w:p w14:paraId="226C469A">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402" w:type="pct"/>
                  <w:vAlign w:val="center"/>
                </w:tcPr>
                <w:p w14:paraId="13678B7C">
                  <w:pPr>
                    <w:pStyle w:val="27"/>
                    <w:rPr>
                      <w:rFonts w:hint="default" w:ascii="Times New Roman" w:hAnsi="Times New Roman" w:cs="Times New Roman"/>
                      <w:color w:val="auto"/>
                      <w:szCs w:val="21"/>
                    </w:rPr>
                  </w:pPr>
                  <w:r>
                    <w:rPr>
                      <w:rFonts w:hint="default" w:ascii="Times New Roman" w:hAnsi="Times New Roman" w:cs="Times New Roman"/>
                      <w:color w:val="auto"/>
                      <w:szCs w:val="21"/>
                    </w:rPr>
                    <w:t>是</w:t>
                  </w:r>
                </w:p>
              </w:tc>
              <w:tc>
                <w:tcPr>
                  <w:tcW w:w="490" w:type="pct"/>
                  <w:vAlign w:val="center"/>
                </w:tcPr>
                <w:p w14:paraId="6286AA4A">
                  <w:pPr>
                    <w:pStyle w:val="2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93" w:type="pct"/>
                  <w:vAlign w:val="center"/>
                </w:tcPr>
                <w:p w14:paraId="344F9AF0">
                  <w:pPr>
                    <w:pStyle w:val="2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378" w:type="pct"/>
                  <w:vMerge w:val="restart"/>
                  <w:vAlign w:val="center"/>
                </w:tcPr>
                <w:p w14:paraId="54E59DD1">
                  <w:pPr>
                    <w:adjustRightInd w:val="0"/>
                    <w:snapToGrid w:val="0"/>
                    <w:jc w:val="center"/>
                    <w:rPr>
                      <w:rFonts w:hint="default" w:ascii="Times New Roman" w:hAnsi="Times New Roman" w:cs="Times New Roman"/>
                      <w:color w:val="auto"/>
                      <w:szCs w:val="21"/>
                      <w:lang w:eastAsia="zh-CN" w:bidi="ar"/>
                    </w:rPr>
                  </w:pPr>
                </w:p>
                <w:p w14:paraId="5B9B2F45">
                  <w:pPr>
                    <w:adjustRightInd w:val="0"/>
                    <w:snapToGrid w:val="0"/>
                    <w:jc w:val="center"/>
                    <w:rPr>
                      <w:rFonts w:hint="default" w:ascii="Times New Roman" w:hAnsi="Times New Roman" w:cs="Times New Roman"/>
                      <w:color w:val="auto"/>
                      <w:szCs w:val="21"/>
                      <w:lang w:eastAsia="zh-CN" w:bidi="ar"/>
                    </w:rPr>
                  </w:pPr>
                </w:p>
                <w:p w14:paraId="13AC8F6B">
                  <w:pPr>
                    <w:adjustRightInd w:val="0"/>
                    <w:snapToGrid w:val="0"/>
                    <w:jc w:val="center"/>
                    <w:rPr>
                      <w:rFonts w:hint="default" w:ascii="Times New Roman" w:hAnsi="Times New Roman" w:cs="Times New Roman"/>
                      <w:color w:val="auto"/>
                      <w:szCs w:val="21"/>
                      <w:lang w:eastAsia="zh-CN" w:bidi="ar"/>
                    </w:rPr>
                  </w:pPr>
                </w:p>
                <w:p w14:paraId="0C517249">
                  <w:pPr>
                    <w:adjustRightInd w:val="0"/>
                    <w:snapToGrid w:val="0"/>
                    <w:jc w:val="center"/>
                    <w:rPr>
                      <w:rFonts w:hint="default" w:ascii="Times New Roman" w:hAnsi="Times New Roman" w:cs="Times New Roman"/>
                      <w:color w:val="auto"/>
                      <w:szCs w:val="21"/>
                      <w:lang w:eastAsia="zh-CN" w:bidi="ar"/>
                    </w:rPr>
                  </w:pPr>
                </w:p>
                <w:p w14:paraId="17885C55">
                  <w:pPr>
                    <w:adjustRightInd w:val="0"/>
                    <w:snapToGrid w:val="0"/>
                    <w:jc w:val="center"/>
                    <w:rPr>
                      <w:rFonts w:hint="default" w:ascii="Times New Roman" w:hAnsi="Times New Roman" w:cs="Times New Roman"/>
                      <w:color w:val="auto"/>
                      <w:szCs w:val="21"/>
                      <w:lang w:eastAsia="zh-CN" w:bidi="ar"/>
                    </w:rPr>
                  </w:pPr>
                </w:p>
                <w:p w14:paraId="4C0B5F53">
                  <w:pPr>
                    <w:adjustRightInd w:val="0"/>
                    <w:snapToGrid w:val="0"/>
                    <w:jc w:val="center"/>
                    <w:rPr>
                      <w:rFonts w:hint="default" w:ascii="Times New Roman" w:hAnsi="Times New Roman" w:cs="Times New Roman"/>
                      <w:color w:val="auto"/>
                      <w:szCs w:val="21"/>
                      <w:lang w:eastAsia="zh-CN" w:bidi="ar"/>
                    </w:rPr>
                  </w:pPr>
                  <w:r>
                    <w:rPr>
                      <w:rFonts w:hint="default" w:ascii="Times New Roman" w:hAnsi="Times New Roman" w:cs="Times New Roman"/>
                      <w:color w:val="auto"/>
                      <w:sz w:val="21"/>
                      <w:szCs w:val="52"/>
                      <w:lang w:eastAsia="zh-CN" w:bidi="ar-SA"/>
                    </w:rPr>
                    <w:t>项目无生产废水和生活污水外排。</w:t>
                  </w:r>
                </w:p>
              </w:tc>
            </w:tr>
            <w:tr w14:paraId="0CB4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vAlign w:val="center"/>
                </w:tcPr>
                <w:p w14:paraId="128CA915">
                  <w:pPr>
                    <w:adjustRightInd w:val="0"/>
                    <w:snapToGrid w:val="0"/>
                    <w:jc w:val="center"/>
                    <w:rPr>
                      <w:rFonts w:hint="default" w:ascii="Times New Roman" w:hAnsi="Times New Roman" w:cs="Times New Roman"/>
                      <w:b/>
                      <w:color w:val="auto"/>
                      <w:spacing w:val="-10"/>
                      <w:szCs w:val="21"/>
                      <w:lang w:eastAsia="zh-CN"/>
                    </w:rPr>
                  </w:pPr>
                  <w:r>
                    <w:rPr>
                      <w:rFonts w:hint="default" w:ascii="Times New Roman" w:hAnsi="Times New Roman" w:cs="Times New Roman"/>
                      <w:b/>
                      <w:color w:val="auto"/>
                      <w:spacing w:val="-10"/>
                      <w:szCs w:val="21"/>
                      <w:lang w:val="en-US" w:eastAsia="zh-CN"/>
                    </w:rPr>
                    <w:t>2</w:t>
                  </w:r>
                </w:p>
              </w:tc>
              <w:tc>
                <w:tcPr>
                  <w:tcW w:w="374" w:type="pct"/>
                  <w:vAlign w:val="center"/>
                </w:tcPr>
                <w:p w14:paraId="2B37D853">
                  <w:pPr>
                    <w:pStyle w:val="27"/>
                    <w:rPr>
                      <w:rFonts w:hint="default" w:ascii="Times New Roman" w:hAnsi="Times New Roman" w:cs="Times New Roman"/>
                      <w:color w:val="auto"/>
                      <w:spacing w:val="-10"/>
                      <w:kern w:val="2"/>
                      <w:szCs w:val="21"/>
                      <w:lang w:bidi="ar"/>
                    </w:rPr>
                  </w:pPr>
                  <w:r>
                    <w:rPr>
                      <w:rFonts w:hint="default" w:ascii="Times New Roman" w:hAnsi="Times New Roman" w:cs="Times New Roman"/>
                      <w:color w:val="auto"/>
                      <w:kern w:val="2"/>
                      <w:sz w:val="21"/>
                      <w:szCs w:val="52"/>
                      <w:lang w:val="en-US" w:eastAsia="zh-CN"/>
                    </w:rPr>
                    <w:t>喷雾降尘用水</w:t>
                  </w:r>
                </w:p>
              </w:tc>
              <w:tc>
                <w:tcPr>
                  <w:tcW w:w="265" w:type="pct"/>
                  <w:vAlign w:val="center"/>
                </w:tcPr>
                <w:p w14:paraId="0BC3C002">
                  <w:pPr>
                    <w:pStyle w:val="27"/>
                    <w:rPr>
                      <w:rFonts w:hint="default" w:ascii="Times New Roman" w:hAnsi="Times New Roman" w:eastAsia="宋体" w:cs="Times New Roman"/>
                      <w:color w:val="auto"/>
                      <w:spacing w:val="-10"/>
                      <w:kern w:val="2"/>
                      <w:szCs w:val="21"/>
                      <w:lang w:eastAsia="zh-CN" w:bidi="ar"/>
                    </w:rPr>
                  </w:pPr>
                  <w:r>
                    <w:rPr>
                      <w:rFonts w:hint="default" w:ascii="Times New Roman" w:hAnsi="Times New Roman" w:cs="Times New Roman"/>
                      <w:color w:val="auto"/>
                      <w:spacing w:val="-10"/>
                      <w:kern w:val="2"/>
                      <w:szCs w:val="21"/>
                      <w:lang w:val="en-US" w:eastAsia="zh-CN" w:bidi="ar"/>
                    </w:rPr>
                    <w:t>SS</w:t>
                  </w:r>
                </w:p>
              </w:tc>
              <w:tc>
                <w:tcPr>
                  <w:tcW w:w="406" w:type="pct"/>
                  <w:vAlign w:val="center"/>
                </w:tcPr>
                <w:p w14:paraId="547D8C53">
                  <w:pPr>
                    <w:pStyle w:val="27"/>
                    <w:rPr>
                      <w:rFonts w:hint="default" w:ascii="Times New Roman" w:hAnsi="Times New Roman" w:eastAsia="宋体" w:cs="Times New Roman"/>
                      <w:color w:val="auto"/>
                      <w:spacing w:val="-10"/>
                      <w:szCs w:val="21"/>
                      <w:lang w:val="en-US" w:eastAsia="zh-CN"/>
                    </w:rPr>
                  </w:pPr>
                  <w:r>
                    <w:rPr>
                      <w:rFonts w:hint="default" w:ascii="Times New Roman" w:hAnsi="Times New Roman" w:cs="Times New Roman"/>
                      <w:color w:val="auto"/>
                      <w:spacing w:val="-10"/>
                      <w:szCs w:val="21"/>
                      <w:lang w:val="en-US" w:eastAsia="zh-CN"/>
                    </w:rPr>
                    <w:t>0</w:t>
                  </w:r>
                </w:p>
              </w:tc>
              <w:tc>
                <w:tcPr>
                  <w:tcW w:w="394" w:type="pct"/>
                  <w:vAlign w:val="center"/>
                </w:tcPr>
                <w:p w14:paraId="7564B20D">
                  <w:pPr>
                    <w:pStyle w:val="27"/>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不外排</w:t>
                  </w:r>
                </w:p>
              </w:tc>
              <w:tc>
                <w:tcPr>
                  <w:tcW w:w="946" w:type="pct"/>
                  <w:vAlign w:val="center"/>
                </w:tcPr>
                <w:p w14:paraId="0CB1EE62">
                  <w:pPr>
                    <w:pStyle w:val="27"/>
                    <w:rPr>
                      <w:rFonts w:hint="default" w:ascii="Times New Roman" w:hAnsi="Times New Roman" w:cs="Times New Roman"/>
                      <w:color w:val="auto"/>
                      <w:kern w:val="0"/>
                      <w:szCs w:val="21"/>
                      <w:lang w:bidi="ar"/>
                    </w:rPr>
                  </w:pPr>
                  <w:r>
                    <w:rPr>
                      <w:rFonts w:hint="default" w:ascii="Times New Roman" w:hAnsi="Times New Roman" w:cs="Times New Roman"/>
                      <w:color w:val="auto"/>
                    </w:rPr>
                    <w:t>此部分用水全部分蒸发消耗，不外排。</w:t>
                  </w:r>
                </w:p>
              </w:tc>
              <w:tc>
                <w:tcPr>
                  <w:tcW w:w="400" w:type="pct"/>
                  <w:vAlign w:val="center"/>
                </w:tcPr>
                <w:p w14:paraId="599D43D2">
                  <w:pPr>
                    <w:pStyle w:val="2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02" w:type="pct"/>
                  <w:vAlign w:val="center"/>
                </w:tcPr>
                <w:p w14:paraId="3B2DDEAC">
                  <w:pPr>
                    <w:pStyle w:val="27"/>
                    <w:rPr>
                      <w:rFonts w:hint="default" w:ascii="Times New Roman" w:hAnsi="Times New Roman" w:cs="Times New Roman"/>
                      <w:color w:val="auto"/>
                      <w:szCs w:val="21"/>
                    </w:rPr>
                  </w:pPr>
                  <w:r>
                    <w:rPr>
                      <w:rFonts w:hint="default" w:ascii="Times New Roman" w:hAnsi="Times New Roman" w:cs="Times New Roman"/>
                      <w:color w:val="auto"/>
                      <w:szCs w:val="21"/>
                    </w:rPr>
                    <w:t>是</w:t>
                  </w:r>
                </w:p>
              </w:tc>
              <w:tc>
                <w:tcPr>
                  <w:tcW w:w="490" w:type="pct"/>
                  <w:vAlign w:val="center"/>
                </w:tcPr>
                <w:p w14:paraId="58FD9FF5">
                  <w:pPr>
                    <w:pStyle w:val="2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93" w:type="pct"/>
                  <w:vAlign w:val="center"/>
                </w:tcPr>
                <w:p w14:paraId="303B7FEA">
                  <w:pPr>
                    <w:pStyle w:val="2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378" w:type="pct"/>
                  <w:vMerge w:val="continue"/>
                  <w:vAlign w:val="center"/>
                </w:tcPr>
                <w:p w14:paraId="7F1740E9">
                  <w:pPr>
                    <w:adjustRightInd w:val="0"/>
                    <w:snapToGrid w:val="0"/>
                    <w:rPr>
                      <w:rFonts w:hint="default" w:ascii="Times New Roman" w:hAnsi="Times New Roman" w:cs="Times New Roman"/>
                      <w:color w:val="auto"/>
                      <w:szCs w:val="21"/>
                      <w:lang w:bidi="ar"/>
                    </w:rPr>
                  </w:pPr>
                </w:p>
              </w:tc>
            </w:tr>
            <w:tr w14:paraId="27E1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vAlign w:val="center"/>
                </w:tcPr>
                <w:p w14:paraId="791C4A00">
                  <w:pPr>
                    <w:adjustRightInd w:val="0"/>
                    <w:snapToGrid w:val="0"/>
                    <w:jc w:val="center"/>
                    <w:rPr>
                      <w:rFonts w:hint="default" w:ascii="Times New Roman" w:hAnsi="Times New Roman" w:cs="Times New Roman"/>
                      <w:b/>
                      <w:color w:val="auto"/>
                      <w:spacing w:val="-10"/>
                      <w:szCs w:val="21"/>
                      <w:lang w:val="en-US" w:eastAsia="zh-CN"/>
                    </w:rPr>
                  </w:pPr>
                  <w:r>
                    <w:rPr>
                      <w:rFonts w:hint="default" w:ascii="Times New Roman" w:hAnsi="Times New Roman" w:cs="Times New Roman"/>
                      <w:b/>
                      <w:color w:val="auto"/>
                      <w:spacing w:val="-10"/>
                      <w:szCs w:val="21"/>
                      <w:lang w:val="en-US" w:eastAsia="zh-CN"/>
                    </w:rPr>
                    <w:t>3</w:t>
                  </w:r>
                </w:p>
              </w:tc>
              <w:tc>
                <w:tcPr>
                  <w:tcW w:w="374" w:type="pct"/>
                  <w:vAlign w:val="center"/>
                </w:tcPr>
                <w:p w14:paraId="3D3FAF16">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拌合</w:t>
                  </w:r>
                </w:p>
                <w:p w14:paraId="500826E7">
                  <w:pPr>
                    <w:pStyle w:val="27"/>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用水</w:t>
                  </w:r>
                </w:p>
              </w:tc>
              <w:tc>
                <w:tcPr>
                  <w:tcW w:w="265" w:type="pct"/>
                  <w:vAlign w:val="center"/>
                </w:tcPr>
                <w:p w14:paraId="5F35C81B">
                  <w:pPr>
                    <w:pStyle w:val="27"/>
                    <w:rPr>
                      <w:rFonts w:hint="default" w:ascii="Times New Roman" w:hAnsi="Times New Roman" w:cs="Times New Roman"/>
                      <w:color w:val="auto"/>
                      <w:spacing w:val="-10"/>
                      <w:kern w:val="2"/>
                      <w:szCs w:val="21"/>
                      <w:lang w:val="en-US" w:eastAsia="zh-CN" w:bidi="ar"/>
                    </w:rPr>
                  </w:pPr>
                  <w:r>
                    <w:rPr>
                      <w:rFonts w:hint="default" w:ascii="Times New Roman" w:hAnsi="Times New Roman" w:cs="Times New Roman"/>
                      <w:color w:val="auto"/>
                      <w:spacing w:val="-10"/>
                      <w:kern w:val="2"/>
                      <w:szCs w:val="21"/>
                      <w:lang w:val="en-US" w:eastAsia="zh-CN" w:bidi="ar"/>
                    </w:rPr>
                    <w:t>SS</w:t>
                  </w:r>
                </w:p>
              </w:tc>
              <w:tc>
                <w:tcPr>
                  <w:tcW w:w="406" w:type="pct"/>
                  <w:vAlign w:val="center"/>
                </w:tcPr>
                <w:p w14:paraId="12D84AA1">
                  <w:pPr>
                    <w:pStyle w:val="27"/>
                    <w:rPr>
                      <w:rFonts w:hint="default" w:ascii="Times New Roman" w:hAnsi="Times New Roman" w:cs="Times New Roman"/>
                      <w:color w:val="auto"/>
                      <w:spacing w:val="-10"/>
                      <w:szCs w:val="21"/>
                      <w:lang w:val="en-US" w:eastAsia="zh-CN"/>
                    </w:rPr>
                  </w:pPr>
                  <w:r>
                    <w:rPr>
                      <w:rFonts w:hint="default" w:ascii="Times New Roman" w:hAnsi="Times New Roman" w:cs="Times New Roman"/>
                      <w:color w:val="auto"/>
                      <w:spacing w:val="-10"/>
                      <w:szCs w:val="21"/>
                      <w:lang w:val="en-US" w:eastAsia="zh-CN"/>
                    </w:rPr>
                    <w:t>0</w:t>
                  </w:r>
                </w:p>
              </w:tc>
              <w:tc>
                <w:tcPr>
                  <w:tcW w:w="394" w:type="pct"/>
                  <w:vAlign w:val="center"/>
                </w:tcPr>
                <w:p w14:paraId="4D46A806">
                  <w:pPr>
                    <w:pStyle w:val="27"/>
                    <w:jc w:val="center"/>
                    <w:rPr>
                      <w:rFonts w:hint="default" w:ascii="Times New Roman" w:hAnsi="Times New Roman" w:eastAsia="宋体" w:cs="Times New Roman"/>
                      <w:color w:val="auto"/>
                      <w:spacing w:val="-10"/>
                      <w:szCs w:val="21"/>
                      <w:lang w:val="en-US" w:eastAsia="zh-CN"/>
                    </w:rPr>
                  </w:pPr>
                  <w:r>
                    <w:rPr>
                      <w:rFonts w:hint="default" w:ascii="Times New Roman" w:hAnsi="Times New Roman" w:cs="Times New Roman"/>
                      <w:color w:val="auto"/>
                      <w:spacing w:val="-10"/>
                      <w:szCs w:val="21"/>
                      <w:lang w:val="en-US" w:eastAsia="zh-CN"/>
                    </w:rPr>
                    <w:t>不外排</w:t>
                  </w:r>
                </w:p>
              </w:tc>
              <w:tc>
                <w:tcPr>
                  <w:tcW w:w="946" w:type="pct"/>
                  <w:vAlign w:val="center"/>
                </w:tcPr>
                <w:p w14:paraId="5D1FE733">
                  <w:pPr>
                    <w:pStyle w:val="27"/>
                    <w:rPr>
                      <w:rFonts w:hint="default" w:ascii="Times New Roman" w:hAnsi="Times New Roman" w:cs="Times New Roman"/>
                      <w:color w:val="auto"/>
                    </w:rPr>
                  </w:pPr>
                  <w:r>
                    <w:rPr>
                      <w:rFonts w:hint="default" w:ascii="Times New Roman" w:hAnsi="Times New Roman" w:cs="Times New Roman"/>
                      <w:bCs/>
                      <w:color w:val="auto"/>
                      <w:kern w:val="2"/>
                      <w:sz w:val="21"/>
                      <w:szCs w:val="21"/>
                      <w:lang w:eastAsia="zh-CN"/>
                    </w:rPr>
                    <w:t>原料混合搅拌用水全部进入产品，不外排，故不产生废水。</w:t>
                  </w:r>
                </w:p>
              </w:tc>
              <w:tc>
                <w:tcPr>
                  <w:tcW w:w="400" w:type="pct"/>
                  <w:vAlign w:val="center"/>
                </w:tcPr>
                <w:p w14:paraId="693C6E6A">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402" w:type="pct"/>
                  <w:vAlign w:val="center"/>
                </w:tcPr>
                <w:p w14:paraId="3BB0D142">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是</w:t>
                  </w:r>
                </w:p>
              </w:tc>
              <w:tc>
                <w:tcPr>
                  <w:tcW w:w="490" w:type="pct"/>
                  <w:vAlign w:val="center"/>
                </w:tcPr>
                <w:p w14:paraId="5E8D87CB">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693" w:type="pct"/>
                  <w:vAlign w:val="center"/>
                </w:tcPr>
                <w:p w14:paraId="5BFE16A6">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378" w:type="pct"/>
                  <w:vMerge w:val="continue"/>
                  <w:vAlign w:val="center"/>
                </w:tcPr>
                <w:p w14:paraId="020D6A48">
                  <w:pPr>
                    <w:adjustRightInd w:val="0"/>
                    <w:snapToGrid w:val="0"/>
                    <w:rPr>
                      <w:rFonts w:hint="default" w:ascii="Times New Roman" w:hAnsi="Times New Roman" w:cs="Times New Roman"/>
                      <w:color w:val="auto"/>
                      <w:szCs w:val="21"/>
                      <w:lang w:bidi="ar"/>
                    </w:rPr>
                  </w:pPr>
                </w:p>
              </w:tc>
            </w:tr>
            <w:tr w14:paraId="326E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vAlign w:val="center"/>
                </w:tcPr>
                <w:p w14:paraId="0709B92C">
                  <w:pPr>
                    <w:adjustRightInd w:val="0"/>
                    <w:snapToGrid w:val="0"/>
                    <w:jc w:val="center"/>
                    <w:rPr>
                      <w:rFonts w:hint="default" w:ascii="Times New Roman" w:hAnsi="Times New Roman" w:cs="Times New Roman"/>
                      <w:b/>
                      <w:color w:val="auto"/>
                      <w:spacing w:val="-10"/>
                      <w:szCs w:val="21"/>
                      <w:lang w:val="en-US" w:eastAsia="zh-CN"/>
                    </w:rPr>
                  </w:pPr>
                  <w:r>
                    <w:rPr>
                      <w:rFonts w:hint="default" w:ascii="Times New Roman" w:hAnsi="Times New Roman" w:cs="Times New Roman"/>
                      <w:b/>
                      <w:color w:val="auto"/>
                      <w:spacing w:val="-10"/>
                      <w:szCs w:val="21"/>
                      <w:lang w:val="en-US" w:eastAsia="zh-CN"/>
                    </w:rPr>
                    <w:t>4</w:t>
                  </w:r>
                </w:p>
              </w:tc>
              <w:tc>
                <w:tcPr>
                  <w:tcW w:w="374" w:type="pct"/>
                  <w:vAlign w:val="center"/>
                </w:tcPr>
                <w:p w14:paraId="75F4A14F">
                  <w:pPr>
                    <w:pStyle w:val="27"/>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搅拌机清洗用水</w:t>
                  </w:r>
                </w:p>
              </w:tc>
              <w:tc>
                <w:tcPr>
                  <w:tcW w:w="265" w:type="pct"/>
                  <w:vAlign w:val="center"/>
                </w:tcPr>
                <w:p w14:paraId="21EFE422">
                  <w:pPr>
                    <w:pStyle w:val="27"/>
                    <w:rPr>
                      <w:rFonts w:hint="default" w:ascii="Times New Roman" w:hAnsi="Times New Roman" w:cs="Times New Roman"/>
                      <w:color w:val="auto"/>
                      <w:spacing w:val="-10"/>
                      <w:kern w:val="2"/>
                      <w:szCs w:val="21"/>
                      <w:lang w:val="en-US" w:eastAsia="zh-CN" w:bidi="ar"/>
                    </w:rPr>
                  </w:pPr>
                  <w:r>
                    <w:rPr>
                      <w:rFonts w:hint="default" w:ascii="Times New Roman" w:hAnsi="Times New Roman" w:cs="Times New Roman"/>
                      <w:color w:val="auto"/>
                      <w:spacing w:val="-10"/>
                      <w:kern w:val="2"/>
                      <w:szCs w:val="21"/>
                      <w:lang w:val="en-US" w:eastAsia="zh-CN" w:bidi="ar"/>
                    </w:rPr>
                    <w:t>SS</w:t>
                  </w:r>
                </w:p>
              </w:tc>
              <w:tc>
                <w:tcPr>
                  <w:tcW w:w="406" w:type="pct"/>
                  <w:vAlign w:val="center"/>
                </w:tcPr>
                <w:p w14:paraId="7935B4B3">
                  <w:pPr>
                    <w:pStyle w:val="27"/>
                    <w:rPr>
                      <w:rFonts w:hint="default" w:ascii="Times New Roman" w:hAnsi="Times New Roman" w:cs="Times New Roman"/>
                      <w:color w:val="auto"/>
                      <w:spacing w:val="-10"/>
                      <w:szCs w:val="21"/>
                      <w:lang w:val="en-US" w:eastAsia="zh-CN"/>
                    </w:rPr>
                  </w:pPr>
                  <w:r>
                    <w:rPr>
                      <w:rFonts w:hint="default" w:ascii="Times New Roman" w:hAnsi="Times New Roman" w:cs="Times New Roman"/>
                      <w:color w:val="auto"/>
                      <w:spacing w:val="-10"/>
                      <w:szCs w:val="21"/>
                      <w:lang w:val="en-US" w:eastAsia="zh-CN"/>
                    </w:rPr>
                    <w:t>2880</w:t>
                  </w:r>
                </w:p>
              </w:tc>
              <w:tc>
                <w:tcPr>
                  <w:tcW w:w="394" w:type="pct"/>
                  <w:vAlign w:val="center"/>
                </w:tcPr>
                <w:p w14:paraId="67CA0A55">
                  <w:pPr>
                    <w:pStyle w:val="27"/>
                    <w:jc w:val="center"/>
                    <w:rPr>
                      <w:rFonts w:hint="default" w:ascii="Times New Roman" w:hAnsi="Times New Roman" w:eastAsia="宋体" w:cs="Times New Roman"/>
                      <w:color w:val="auto"/>
                      <w:spacing w:val="-10"/>
                      <w:szCs w:val="21"/>
                      <w:lang w:val="en-US" w:eastAsia="zh-CN"/>
                    </w:rPr>
                  </w:pPr>
                  <w:r>
                    <w:rPr>
                      <w:rFonts w:hint="default" w:ascii="Times New Roman" w:hAnsi="Times New Roman" w:cs="Times New Roman"/>
                      <w:color w:val="auto"/>
                      <w:spacing w:val="-10"/>
                      <w:szCs w:val="21"/>
                      <w:lang w:val="en-US" w:eastAsia="zh-CN"/>
                    </w:rPr>
                    <w:t>不外排</w:t>
                  </w:r>
                </w:p>
              </w:tc>
              <w:tc>
                <w:tcPr>
                  <w:tcW w:w="946" w:type="pct"/>
                  <w:vMerge w:val="restart"/>
                  <w:vAlign w:val="center"/>
                </w:tcPr>
                <w:p w14:paraId="64185021">
                  <w:pPr>
                    <w:pStyle w:val="27"/>
                    <w:rPr>
                      <w:rFonts w:hint="default" w:ascii="Times New Roman" w:hAnsi="Times New Roman" w:cs="Times New Roman"/>
                      <w:bCs/>
                      <w:color w:val="auto"/>
                      <w:szCs w:val="21"/>
                    </w:rPr>
                  </w:pPr>
                  <w:r>
                    <w:rPr>
                      <w:rFonts w:hint="default" w:ascii="Times New Roman" w:hAnsi="Times New Roman" w:cs="Times New Roman"/>
                      <w:bCs/>
                      <w:color w:val="auto"/>
                      <w:kern w:val="2"/>
                      <w:sz w:val="21"/>
                      <w:szCs w:val="21"/>
                      <w:lang w:eastAsia="zh-CN"/>
                    </w:rPr>
                    <w:t>搅拌机冲洗废水和运输车辆冲洗废水经三级沉淀池处理后循环使用，不外排。</w:t>
                  </w:r>
                </w:p>
              </w:tc>
              <w:tc>
                <w:tcPr>
                  <w:tcW w:w="400" w:type="pct"/>
                  <w:vAlign w:val="center"/>
                </w:tcPr>
                <w:p w14:paraId="4740ED87">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402" w:type="pct"/>
                  <w:vAlign w:val="center"/>
                </w:tcPr>
                <w:p w14:paraId="5802D09C">
                  <w:pPr>
                    <w:pStyle w:val="27"/>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eastAsia="zh-CN"/>
                    </w:rPr>
                    <w:t>是</w:t>
                  </w:r>
                </w:p>
              </w:tc>
              <w:tc>
                <w:tcPr>
                  <w:tcW w:w="490" w:type="pct"/>
                  <w:vAlign w:val="center"/>
                </w:tcPr>
                <w:p w14:paraId="6E0551C2">
                  <w:pPr>
                    <w:pStyle w:val="27"/>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w:t>
                  </w:r>
                </w:p>
              </w:tc>
              <w:tc>
                <w:tcPr>
                  <w:tcW w:w="693" w:type="pct"/>
                  <w:vAlign w:val="center"/>
                </w:tcPr>
                <w:p w14:paraId="34A8E6A4">
                  <w:pPr>
                    <w:pStyle w:val="27"/>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w:t>
                  </w:r>
                </w:p>
              </w:tc>
              <w:tc>
                <w:tcPr>
                  <w:tcW w:w="378" w:type="pct"/>
                  <w:vMerge w:val="continue"/>
                  <w:vAlign w:val="center"/>
                </w:tcPr>
                <w:p w14:paraId="421CEA9D">
                  <w:pPr>
                    <w:adjustRightInd w:val="0"/>
                    <w:snapToGrid w:val="0"/>
                    <w:rPr>
                      <w:rFonts w:hint="default" w:ascii="Times New Roman" w:hAnsi="Times New Roman" w:cs="Times New Roman"/>
                      <w:color w:val="auto"/>
                      <w:szCs w:val="21"/>
                      <w:lang w:bidi="ar"/>
                    </w:rPr>
                  </w:pPr>
                </w:p>
              </w:tc>
            </w:tr>
            <w:tr w14:paraId="3A6C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vAlign w:val="center"/>
                </w:tcPr>
                <w:p w14:paraId="60CE8919">
                  <w:pPr>
                    <w:adjustRightInd w:val="0"/>
                    <w:snapToGrid w:val="0"/>
                    <w:jc w:val="center"/>
                    <w:rPr>
                      <w:rFonts w:hint="default" w:ascii="Times New Roman" w:hAnsi="Times New Roman" w:cs="Times New Roman"/>
                      <w:b/>
                      <w:color w:val="auto"/>
                      <w:spacing w:val="-10"/>
                      <w:szCs w:val="21"/>
                      <w:lang w:val="en-US" w:eastAsia="zh-CN"/>
                    </w:rPr>
                  </w:pPr>
                  <w:r>
                    <w:rPr>
                      <w:rFonts w:hint="default" w:ascii="Times New Roman" w:hAnsi="Times New Roman" w:cs="Times New Roman"/>
                      <w:b/>
                      <w:color w:val="auto"/>
                      <w:spacing w:val="-10"/>
                      <w:szCs w:val="21"/>
                      <w:lang w:val="en-US" w:eastAsia="zh-CN"/>
                    </w:rPr>
                    <w:t>3</w:t>
                  </w:r>
                </w:p>
              </w:tc>
              <w:tc>
                <w:tcPr>
                  <w:tcW w:w="374" w:type="pct"/>
                  <w:vAlign w:val="center"/>
                </w:tcPr>
                <w:p w14:paraId="2BC8ACF9">
                  <w:pPr>
                    <w:pStyle w:val="27"/>
                    <w:rPr>
                      <w:rFonts w:hint="default" w:ascii="Times New Roman" w:hAnsi="Times New Roman" w:eastAsia="宋体" w:cs="Times New Roman"/>
                      <w:color w:val="auto"/>
                      <w:kern w:val="0"/>
                      <w:szCs w:val="21"/>
                      <w:lang w:eastAsia="zh-CN" w:bidi="ar"/>
                    </w:rPr>
                  </w:pPr>
                  <w:r>
                    <w:rPr>
                      <w:rFonts w:hint="default" w:ascii="Times New Roman" w:hAnsi="Times New Roman" w:cs="Times New Roman"/>
                      <w:color w:val="auto"/>
                      <w:kern w:val="2"/>
                      <w:sz w:val="21"/>
                      <w:szCs w:val="52"/>
                      <w:lang w:val="en-US" w:eastAsia="zh-CN"/>
                    </w:rPr>
                    <w:t>运输车辆冲洗用水</w:t>
                  </w:r>
                </w:p>
              </w:tc>
              <w:tc>
                <w:tcPr>
                  <w:tcW w:w="265" w:type="pct"/>
                  <w:vAlign w:val="center"/>
                </w:tcPr>
                <w:p w14:paraId="55C0B530">
                  <w:pPr>
                    <w:pStyle w:val="27"/>
                    <w:rPr>
                      <w:rFonts w:hint="default" w:ascii="Times New Roman" w:hAnsi="Times New Roman" w:eastAsia="宋体" w:cs="Times New Roman"/>
                      <w:color w:val="auto"/>
                      <w:kern w:val="0"/>
                      <w:szCs w:val="21"/>
                      <w:lang w:eastAsia="zh-CN" w:bidi="ar"/>
                    </w:rPr>
                  </w:pPr>
                  <w:r>
                    <w:rPr>
                      <w:rFonts w:hint="default" w:ascii="Times New Roman" w:hAnsi="Times New Roman" w:cs="Times New Roman"/>
                      <w:color w:val="auto"/>
                      <w:spacing w:val="-10"/>
                      <w:kern w:val="2"/>
                      <w:szCs w:val="21"/>
                      <w:lang w:val="en-US" w:eastAsia="zh-CN" w:bidi="ar"/>
                    </w:rPr>
                    <w:t>SS</w:t>
                  </w:r>
                </w:p>
              </w:tc>
              <w:tc>
                <w:tcPr>
                  <w:tcW w:w="406" w:type="pct"/>
                  <w:vAlign w:val="center"/>
                </w:tcPr>
                <w:p w14:paraId="07ECC9B8">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1944</w:t>
                  </w:r>
                </w:p>
              </w:tc>
              <w:tc>
                <w:tcPr>
                  <w:tcW w:w="394" w:type="pct"/>
                  <w:vAlign w:val="center"/>
                </w:tcPr>
                <w:p w14:paraId="06624940">
                  <w:pPr>
                    <w:jc w:val="center"/>
                    <w:rPr>
                      <w:rFonts w:hint="default" w:ascii="Times New Roman" w:hAnsi="Times New Roman" w:eastAsia="宋体" w:cs="Times New Roman"/>
                      <w:color w:val="auto"/>
                      <w:spacing w:val="0"/>
                      <w:sz w:val="21"/>
                      <w:szCs w:val="52"/>
                      <w:lang w:eastAsia="zh-CN"/>
                    </w:rPr>
                  </w:pPr>
                  <w:r>
                    <w:rPr>
                      <w:rFonts w:hint="default" w:ascii="Times New Roman" w:hAnsi="Times New Roman" w:cs="Times New Roman"/>
                      <w:color w:val="auto"/>
                      <w:spacing w:val="0"/>
                      <w:sz w:val="21"/>
                      <w:szCs w:val="52"/>
                      <w:lang w:eastAsia="zh-CN"/>
                    </w:rPr>
                    <w:t>不外排</w:t>
                  </w:r>
                </w:p>
              </w:tc>
              <w:tc>
                <w:tcPr>
                  <w:tcW w:w="946" w:type="pct"/>
                  <w:vMerge w:val="continue"/>
                  <w:vAlign w:val="center"/>
                </w:tcPr>
                <w:p w14:paraId="34B46225">
                  <w:pPr>
                    <w:pStyle w:val="27"/>
                    <w:rPr>
                      <w:rFonts w:hint="default" w:ascii="Times New Roman" w:hAnsi="Times New Roman" w:cs="Times New Roman"/>
                      <w:bCs/>
                      <w:color w:val="auto"/>
                      <w:szCs w:val="21"/>
                    </w:rPr>
                  </w:pPr>
                </w:p>
              </w:tc>
              <w:tc>
                <w:tcPr>
                  <w:tcW w:w="400" w:type="pct"/>
                  <w:vAlign w:val="center"/>
                </w:tcPr>
                <w:p w14:paraId="261B4B6B">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402" w:type="pct"/>
                  <w:vAlign w:val="center"/>
                </w:tcPr>
                <w:p w14:paraId="11DC5885">
                  <w:pPr>
                    <w:pStyle w:val="27"/>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是</w:t>
                  </w:r>
                </w:p>
              </w:tc>
              <w:tc>
                <w:tcPr>
                  <w:tcW w:w="490" w:type="pct"/>
                  <w:vAlign w:val="center"/>
                </w:tcPr>
                <w:p w14:paraId="5822B2F4">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693" w:type="pct"/>
                  <w:vAlign w:val="center"/>
                </w:tcPr>
                <w:p w14:paraId="3DA78CAF">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378" w:type="pct"/>
                  <w:vMerge w:val="continue"/>
                  <w:vAlign w:val="center"/>
                </w:tcPr>
                <w:p w14:paraId="443DBF9A">
                  <w:pPr>
                    <w:adjustRightInd w:val="0"/>
                    <w:snapToGrid w:val="0"/>
                    <w:rPr>
                      <w:rFonts w:hint="default" w:ascii="Times New Roman" w:hAnsi="Times New Roman" w:cs="Times New Roman"/>
                      <w:color w:val="auto"/>
                      <w:szCs w:val="21"/>
                      <w:lang w:bidi="ar"/>
                    </w:rPr>
                  </w:pPr>
                </w:p>
              </w:tc>
            </w:tr>
            <w:tr w14:paraId="4063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vAlign w:val="center"/>
                </w:tcPr>
                <w:p w14:paraId="2AC86548">
                  <w:pPr>
                    <w:adjustRightInd w:val="0"/>
                    <w:snapToGrid w:val="0"/>
                    <w:jc w:val="center"/>
                    <w:rPr>
                      <w:rFonts w:hint="default" w:ascii="Times New Roman" w:hAnsi="Times New Roman" w:cs="Times New Roman"/>
                      <w:b/>
                      <w:color w:val="auto"/>
                      <w:spacing w:val="-10"/>
                      <w:szCs w:val="21"/>
                      <w:lang w:val="en-US" w:eastAsia="zh-CN"/>
                    </w:rPr>
                  </w:pPr>
                  <w:r>
                    <w:rPr>
                      <w:rFonts w:hint="default" w:ascii="Times New Roman" w:hAnsi="Times New Roman" w:cs="Times New Roman"/>
                      <w:b/>
                      <w:color w:val="auto"/>
                      <w:spacing w:val="-10"/>
                      <w:szCs w:val="21"/>
                      <w:lang w:val="en-US" w:eastAsia="zh-CN"/>
                    </w:rPr>
                    <w:t>4</w:t>
                  </w:r>
                </w:p>
              </w:tc>
              <w:tc>
                <w:tcPr>
                  <w:tcW w:w="374" w:type="pct"/>
                  <w:vAlign w:val="center"/>
                </w:tcPr>
                <w:p w14:paraId="11A5D8CB">
                  <w:pPr>
                    <w:pStyle w:val="27"/>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生活用水</w:t>
                  </w:r>
                </w:p>
              </w:tc>
              <w:tc>
                <w:tcPr>
                  <w:tcW w:w="265" w:type="pct"/>
                  <w:vAlign w:val="center"/>
                </w:tcPr>
                <w:p w14:paraId="38EA3234">
                  <w:pPr>
                    <w:pStyle w:val="27"/>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CODcr、BOD</w:t>
                  </w:r>
                  <w:r>
                    <w:rPr>
                      <w:rFonts w:hint="default" w:ascii="Times New Roman" w:hAnsi="Times New Roman" w:cs="Times New Roman"/>
                      <w:color w:val="auto"/>
                      <w:kern w:val="0"/>
                      <w:szCs w:val="21"/>
                      <w:vertAlign w:val="subscript"/>
                      <w:lang w:bidi="ar"/>
                    </w:rPr>
                    <w:t>5</w:t>
                  </w:r>
                  <w:r>
                    <w:rPr>
                      <w:rFonts w:hint="default" w:ascii="Times New Roman" w:hAnsi="Times New Roman" w:cs="Times New Roman"/>
                      <w:color w:val="auto"/>
                      <w:kern w:val="0"/>
                      <w:szCs w:val="21"/>
                      <w:lang w:bidi="ar"/>
                    </w:rPr>
                    <w:t>、SS</w:t>
                  </w:r>
                </w:p>
              </w:tc>
              <w:tc>
                <w:tcPr>
                  <w:tcW w:w="406" w:type="pct"/>
                  <w:vAlign w:val="center"/>
                </w:tcPr>
                <w:p w14:paraId="457BEAE4">
                  <w:pPr>
                    <w:pStyle w:val="27"/>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216</w:t>
                  </w:r>
                </w:p>
              </w:tc>
              <w:tc>
                <w:tcPr>
                  <w:tcW w:w="394" w:type="pct"/>
                  <w:vAlign w:val="center"/>
                </w:tcPr>
                <w:p w14:paraId="2F15E24E">
                  <w:pPr>
                    <w:jc w:val="center"/>
                    <w:rPr>
                      <w:rFonts w:hint="default" w:ascii="Times New Roman" w:hAnsi="Times New Roman" w:cs="Times New Roman"/>
                      <w:color w:val="auto"/>
                      <w:spacing w:val="0"/>
                      <w:sz w:val="21"/>
                      <w:szCs w:val="52"/>
                      <w:lang w:val="en-US" w:eastAsia="zh-CN"/>
                    </w:rPr>
                  </w:pPr>
                  <w:r>
                    <w:rPr>
                      <w:rFonts w:hint="default" w:ascii="Times New Roman" w:hAnsi="Times New Roman" w:cs="Times New Roman"/>
                      <w:color w:val="auto"/>
                      <w:spacing w:val="0"/>
                      <w:sz w:val="21"/>
                      <w:szCs w:val="52"/>
                      <w:lang w:val="en-US" w:eastAsia="zh-CN"/>
                    </w:rPr>
                    <w:t>不外排</w:t>
                  </w:r>
                </w:p>
              </w:tc>
              <w:tc>
                <w:tcPr>
                  <w:tcW w:w="946" w:type="pct"/>
                  <w:vAlign w:val="center"/>
                </w:tcPr>
                <w:p w14:paraId="5E2F3B9F">
                  <w:pPr>
                    <w:pStyle w:val="27"/>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本项目产生的生活污水经化粪池（容积3m</w:t>
                  </w:r>
                  <w:r>
                    <w:rPr>
                      <w:rFonts w:hint="default" w:ascii="Times New Roman" w:hAnsi="Times New Roman" w:cs="Times New Roman"/>
                      <w:color w:val="auto"/>
                      <w:kern w:val="0"/>
                      <w:szCs w:val="21"/>
                      <w:vertAlign w:val="superscript"/>
                      <w:lang w:bidi="ar"/>
                    </w:rPr>
                    <w:t>3</w:t>
                  </w:r>
                  <w:r>
                    <w:rPr>
                      <w:rFonts w:hint="default" w:ascii="Times New Roman" w:hAnsi="Times New Roman" w:cs="Times New Roman"/>
                      <w:color w:val="auto"/>
                      <w:kern w:val="0"/>
                      <w:szCs w:val="21"/>
                      <w:lang w:bidi="ar"/>
                    </w:rPr>
                    <w:t>）预处理后进1个规模为2m</w:t>
                  </w:r>
                  <w:r>
                    <w:rPr>
                      <w:rFonts w:hint="default" w:ascii="Times New Roman" w:hAnsi="Times New Roman" w:cs="Times New Roman"/>
                      <w:color w:val="auto"/>
                      <w:kern w:val="0"/>
                      <w:szCs w:val="21"/>
                      <w:vertAlign w:val="superscript"/>
                      <w:lang w:bidi="ar"/>
                    </w:rPr>
                    <w:t>3</w:t>
                  </w:r>
                  <w:r>
                    <w:rPr>
                      <w:rFonts w:hint="default" w:ascii="Times New Roman" w:hAnsi="Times New Roman" w:cs="Times New Roman"/>
                      <w:color w:val="auto"/>
                      <w:kern w:val="0"/>
                      <w:szCs w:val="21"/>
                      <w:lang w:bidi="ar"/>
                    </w:rPr>
                    <w:t>/d的一体化污水处理站处理达《城市污水再生利用 城市杂用水水质》（GB/T 18920-2020）中城市绿化、道路清扫、消防、建筑施工标准后回用于项目区洒水降尘。</w:t>
                  </w:r>
                </w:p>
              </w:tc>
              <w:tc>
                <w:tcPr>
                  <w:tcW w:w="400" w:type="pct"/>
                  <w:vAlign w:val="center"/>
                </w:tcPr>
                <w:p w14:paraId="4DE4BC26">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402" w:type="pct"/>
                  <w:vAlign w:val="center"/>
                </w:tcPr>
                <w:p w14:paraId="4BB71BC3">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是</w:t>
                  </w:r>
                </w:p>
              </w:tc>
              <w:tc>
                <w:tcPr>
                  <w:tcW w:w="490" w:type="pct"/>
                  <w:vAlign w:val="center"/>
                </w:tcPr>
                <w:p w14:paraId="333ACCAA">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693" w:type="pct"/>
                  <w:vAlign w:val="center"/>
                </w:tcPr>
                <w:p w14:paraId="2344B51C">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378" w:type="pct"/>
                  <w:vMerge w:val="continue"/>
                  <w:vAlign w:val="center"/>
                </w:tcPr>
                <w:p w14:paraId="44295978">
                  <w:pPr>
                    <w:adjustRightInd w:val="0"/>
                    <w:snapToGrid w:val="0"/>
                    <w:rPr>
                      <w:rFonts w:hint="default" w:ascii="Times New Roman" w:hAnsi="Times New Roman" w:cs="Times New Roman"/>
                      <w:color w:val="auto"/>
                      <w:szCs w:val="21"/>
                      <w:lang w:eastAsia="zh-CN" w:bidi="ar"/>
                    </w:rPr>
                  </w:pPr>
                </w:p>
              </w:tc>
            </w:tr>
            <w:tr w14:paraId="4085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vAlign w:val="center"/>
                </w:tcPr>
                <w:p w14:paraId="2CD5D340">
                  <w:pPr>
                    <w:adjustRightInd w:val="0"/>
                    <w:snapToGrid w:val="0"/>
                    <w:jc w:val="center"/>
                    <w:rPr>
                      <w:rFonts w:hint="default" w:ascii="Times New Roman" w:hAnsi="Times New Roman" w:cs="Times New Roman"/>
                      <w:b/>
                      <w:color w:val="auto"/>
                      <w:spacing w:val="-10"/>
                      <w:szCs w:val="21"/>
                      <w:lang w:val="en-US" w:eastAsia="zh-CN"/>
                    </w:rPr>
                  </w:pPr>
                  <w:r>
                    <w:rPr>
                      <w:rFonts w:hint="default" w:ascii="Times New Roman" w:hAnsi="Times New Roman" w:cs="Times New Roman"/>
                      <w:b/>
                      <w:color w:val="auto"/>
                      <w:spacing w:val="-10"/>
                      <w:szCs w:val="21"/>
                      <w:lang w:val="en-US" w:eastAsia="zh-CN"/>
                    </w:rPr>
                    <w:t>5</w:t>
                  </w:r>
                </w:p>
              </w:tc>
              <w:tc>
                <w:tcPr>
                  <w:tcW w:w="374" w:type="pct"/>
                  <w:vAlign w:val="center"/>
                </w:tcPr>
                <w:p w14:paraId="3D97E5FE">
                  <w:pPr>
                    <w:pStyle w:val="27"/>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初期雨水</w:t>
                  </w:r>
                </w:p>
              </w:tc>
              <w:tc>
                <w:tcPr>
                  <w:tcW w:w="265" w:type="pct"/>
                  <w:vAlign w:val="center"/>
                </w:tcPr>
                <w:p w14:paraId="320E6782">
                  <w:pPr>
                    <w:pStyle w:val="27"/>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SS</w:t>
                  </w:r>
                </w:p>
              </w:tc>
              <w:tc>
                <w:tcPr>
                  <w:tcW w:w="406" w:type="pct"/>
                  <w:vAlign w:val="center"/>
                </w:tcPr>
                <w:p w14:paraId="0E89D2A5">
                  <w:pPr>
                    <w:pStyle w:val="2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48.81</w:t>
                  </w:r>
                </w:p>
              </w:tc>
              <w:tc>
                <w:tcPr>
                  <w:tcW w:w="394" w:type="pct"/>
                  <w:vAlign w:val="center"/>
                </w:tcPr>
                <w:p w14:paraId="1D914C17">
                  <w:pPr>
                    <w:jc w:val="center"/>
                    <w:rPr>
                      <w:rFonts w:hint="default" w:ascii="Times New Roman" w:hAnsi="Times New Roman" w:cs="Times New Roman"/>
                      <w:color w:val="auto"/>
                      <w:spacing w:val="0"/>
                      <w:sz w:val="21"/>
                      <w:szCs w:val="52"/>
                      <w:lang w:eastAsia="zh-CN"/>
                    </w:rPr>
                  </w:pPr>
                  <w:r>
                    <w:rPr>
                      <w:rFonts w:hint="default" w:ascii="Times New Roman" w:hAnsi="Times New Roman" w:cs="Times New Roman"/>
                      <w:color w:val="auto"/>
                      <w:spacing w:val="0"/>
                      <w:sz w:val="21"/>
                      <w:szCs w:val="52"/>
                      <w:lang w:eastAsia="zh-CN"/>
                    </w:rPr>
                    <w:t>不外排</w:t>
                  </w:r>
                </w:p>
              </w:tc>
              <w:tc>
                <w:tcPr>
                  <w:tcW w:w="946" w:type="pct"/>
                  <w:vAlign w:val="center"/>
                </w:tcPr>
                <w:p w14:paraId="2A44A8CF">
                  <w:pPr>
                    <w:pStyle w:val="27"/>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初期雨水收集池收集的雨水回用至厂区降尘或洗砂补充水，不外排。</w:t>
                  </w:r>
                </w:p>
              </w:tc>
              <w:tc>
                <w:tcPr>
                  <w:tcW w:w="400" w:type="pct"/>
                  <w:vAlign w:val="center"/>
                </w:tcPr>
                <w:p w14:paraId="1AE60170">
                  <w:pPr>
                    <w:pStyle w:val="2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02" w:type="pct"/>
                  <w:vAlign w:val="center"/>
                </w:tcPr>
                <w:p w14:paraId="28A43279">
                  <w:pPr>
                    <w:pStyle w:val="27"/>
                    <w:rPr>
                      <w:rFonts w:hint="default" w:ascii="Times New Roman" w:hAnsi="Times New Roman" w:cs="Times New Roman"/>
                      <w:color w:val="auto"/>
                      <w:szCs w:val="21"/>
                    </w:rPr>
                  </w:pPr>
                  <w:r>
                    <w:rPr>
                      <w:rFonts w:hint="default" w:ascii="Times New Roman" w:hAnsi="Times New Roman" w:cs="Times New Roman"/>
                      <w:color w:val="auto"/>
                      <w:szCs w:val="21"/>
                    </w:rPr>
                    <w:t>是</w:t>
                  </w:r>
                </w:p>
              </w:tc>
              <w:tc>
                <w:tcPr>
                  <w:tcW w:w="490" w:type="pct"/>
                  <w:vAlign w:val="center"/>
                </w:tcPr>
                <w:p w14:paraId="6054F24C">
                  <w:pPr>
                    <w:pStyle w:val="2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93" w:type="pct"/>
                  <w:vAlign w:val="center"/>
                </w:tcPr>
                <w:p w14:paraId="4DE26A44">
                  <w:pPr>
                    <w:pStyle w:val="2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378" w:type="pct"/>
                  <w:vMerge w:val="continue"/>
                  <w:vAlign w:val="center"/>
                </w:tcPr>
                <w:p w14:paraId="75767543">
                  <w:pPr>
                    <w:adjustRightInd w:val="0"/>
                    <w:snapToGrid w:val="0"/>
                    <w:rPr>
                      <w:rFonts w:hint="default" w:ascii="Times New Roman" w:hAnsi="Times New Roman" w:cs="Times New Roman"/>
                      <w:color w:val="auto"/>
                      <w:szCs w:val="21"/>
                      <w:lang w:eastAsia="zh-CN" w:bidi="ar"/>
                    </w:rPr>
                  </w:pPr>
                </w:p>
              </w:tc>
            </w:tr>
          </w:tbl>
          <w:p w14:paraId="3EF66075">
            <w:pPr>
              <w:autoSpaceDE/>
              <w:autoSpaceDN/>
              <w:spacing w:line="360" w:lineRule="auto"/>
              <w:ind w:firstLine="482"/>
              <w:rPr>
                <w:rFonts w:hint="default" w:ascii="Times New Roman" w:hAnsi="Times New Roman" w:cs="Times New Roman"/>
                <w:b/>
                <w:bCs/>
                <w:color w:val="auto"/>
                <w:kern w:val="2"/>
                <w:sz w:val="24"/>
                <w:szCs w:val="24"/>
                <w:lang w:eastAsia="zh-CN"/>
              </w:rPr>
            </w:pPr>
            <w:r>
              <w:rPr>
                <w:rFonts w:hint="default" w:ascii="Times New Roman" w:hAnsi="Times New Roman" w:cs="Times New Roman"/>
                <w:b/>
                <w:bCs/>
                <w:color w:val="auto"/>
                <w:kern w:val="2"/>
                <w:sz w:val="24"/>
                <w:szCs w:val="24"/>
                <w:lang w:eastAsia="zh-CN"/>
              </w:rPr>
              <w:t xml:space="preserve">（二）主要污染工序及源强分析 </w:t>
            </w:r>
          </w:p>
          <w:p w14:paraId="2FFD0613">
            <w:pPr>
              <w:autoSpaceDE/>
              <w:autoSpaceDN/>
              <w:spacing w:line="360" w:lineRule="auto"/>
              <w:ind w:firstLine="482"/>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val="en-US" w:eastAsia="zh-CN"/>
              </w:rPr>
              <w:t>本项目员工均不在厂区内食宿。本项目生产过程中用水环节主要为道路、场地抑尘用水、喷淋用水、拌合用水、搅拌机清洗用水、运输车冲洗用水和员工日常生活用水。</w:t>
            </w:r>
          </w:p>
          <w:p w14:paraId="6400F65A">
            <w:pPr>
              <w:spacing w:line="360" w:lineRule="auto"/>
              <w:ind w:firstLine="482"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val="en-US" w:eastAsia="zh-CN"/>
              </w:rPr>
              <w:t>1、给水</w:t>
            </w:r>
          </w:p>
          <w:p w14:paraId="09651DB1">
            <w:pPr>
              <w:spacing w:line="360" w:lineRule="auto"/>
              <w:ind w:firstLine="482" w:firstLineChars="200"/>
              <w:rPr>
                <w:rFonts w:hint="default" w:ascii="Times New Roman" w:hAnsi="Times New Roman" w:cs="Times New Roman"/>
                <w:b/>
                <w:bCs/>
                <w:color w:val="auto"/>
                <w:kern w:val="2"/>
                <w:sz w:val="24"/>
                <w:szCs w:val="24"/>
                <w:lang w:eastAsia="zh-CN"/>
              </w:rPr>
            </w:pP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1</w:t>
            </w:r>
            <w:r>
              <w:rPr>
                <w:rFonts w:hint="default" w:ascii="Times New Roman" w:hAnsi="Times New Roman" w:cs="Times New Roman"/>
                <w:b/>
                <w:bCs/>
                <w:color w:val="auto"/>
                <w:kern w:val="2"/>
                <w:sz w:val="24"/>
                <w:szCs w:val="24"/>
                <w:lang w:eastAsia="zh-CN"/>
              </w:rPr>
              <w:t>）道路、场地抑尘用水</w:t>
            </w:r>
          </w:p>
          <w:p w14:paraId="544FC847">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eastAsia="宋体" w:cs="Times New Roman"/>
                <w:color w:val="auto"/>
                <w:sz w:val="24"/>
                <w:szCs w:val="22"/>
                <w:lang w:val="en-US" w:eastAsia="zh-CN"/>
              </w:rPr>
              <w:t>本项目场内外道路面积500m</w:t>
            </w:r>
            <w:r>
              <w:rPr>
                <w:rFonts w:hint="default" w:ascii="Times New Roman" w:hAnsi="Times New Roman" w:eastAsia="宋体" w:cs="Times New Roman"/>
                <w:color w:val="auto"/>
                <w:sz w:val="24"/>
                <w:szCs w:val="22"/>
                <w:vertAlign w:val="superscript"/>
                <w:lang w:val="en-US" w:eastAsia="zh-CN"/>
              </w:rPr>
              <w:t>2</w:t>
            </w:r>
            <w:r>
              <w:rPr>
                <w:rFonts w:hint="default" w:ascii="Times New Roman" w:hAnsi="Times New Roman" w:eastAsia="宋体" w:cs="Times New Roman"/>
                <w:color w:val="auto"/>
                <w:sz w:val="24"/>
                <w:szCs w:val="22"/>
                <w:lang w:val="en-US" w:eastAsia="zh-CN"/>
              </w:rPr>
              <w:t>，总洒水面积约500m</w:t>
            </w:r>
            <w:r>
              <w:rPr>
                <w:rFonts w:hint="default" w:ascii="Times New Roman" w:hAnsi="Times New Roman" w:eastAsia="宋体" w:cs="Times New Roman"/>
                <w:color w:val="auto"/>
                <w:sz w:val="24"/>
                <w:szCs w:val="22"/>
                <w:vertAlign w:val="superscript"/>
                <w:lang w:val="en-US" w:eastAsia="zh-CN"/>
              </w:rPr>
              <w:t>2</w:t>
            </w:r>
            <w:r>
              <w:rPr>
                <w:rFonts w:hint="default" w:ascii="Times New Roman" w:hAnsi="Times New Roman" w:eastAsia="宋体" w:cs="Times New Roman"/>
                <w:color w:val="auto"/>
                <w:sz w:val="24"/>
                <w:szCs w:val="22"/>
                <w:lang w:val="en-US" w:eastAsia="zh-CN"/>
              </w:rPr>
              <w:t>。根据《云南省地方用水定额标准》（DB53/T168—2019），道路浇洒定额为2L/（m</w:t>
            </w:r>
            <w:r>
              <w:rPr>
                <w:rFonts w:hint="default" w:ascii="Times New Roman" w:hAnsi="Times New Roman" w:eastAsia="宋体" w:cs="Times New Roman"/>
                <w:color w:val="auto"/>
                <w:sz w:val="24"/>
                <w:szCs w:val="22"/>
                <w:vertAlign w:val="superscript"/>
                <w:lang w:val="en-US" w:eastAsia="zh-CN"/>
              </w:rPr>
              <w:t>2</w:t>
            </w:r>
            <w:r>
              <w:rPr>
                <w:rFonts w:hint="default" w:ascii="Times New Roman" w:hAnsi="Times New Roman" w:eastAsia="宋体" w:cs="Times New Roman"/>
                <w:color w:val="auto"/>
                <w:sz w:val="24"/>
                <w:szCs w:val="22"/>
                <w:lang w:val="en-US" w:eastAsia="zh-CN"/>
              </w:rPr>
              <w:t>·d），本项目实行年工作300天的工作制度，晴天工作时间按200d计，雨天工作时间按100d计。晴天道路雾化降尘1次，重点起尘区域多洒水，则晴天道路雾化用水约1m</w:t>
            </w:r>
            <w:r>
              <w:rPr>
                <w:rFonts w:hint="default" w:ascii="Times New Roman" w:hAnsi="Times New Roman" w:eastAsia="宋体" w:cs="Times New Roman"/>
                <w:color w:val="auto"/>
                <w:sz w:val="24"/>
                <w:szCs w:val="22"/>
                <w:vertAlign w:val="superscript"/>
                <w:lang w:val="en-US" w:eastAsia="zh-CN"/>
              </w:rPr>
              <w:t>3</w:t>
            </w:r>
            <w:r>
              <w:rPr>
                <w:rFonts w:hint="default" w:ascii="Times New Roman" w:hAnsi="Times New Roman" w:eastAsia="宋体" w:cs="Times New Roman"/>
                <w:color w:val="auto"/>
                <w:sz w:val="24"/>
                <w:szCs w:val="22"/>
                <w:lang w:val="en-US" w:eastAsia="zh-CN"/>
              </w:rPr>
              <w:t>/d，年用水量约200m</w:t>
            </w:r>
            <w:r>
              <w:rPr>
                <w:rFonts w:hint="default" w:ascii="Times New Roman" w:hAnsi="Times New Roman" w:eastAsia="宋体" w:cs="Times New Roman"/>
                <w:color w:val="auto"/>
                <w:sz w:val="24"/>
                <w:szCs w:val="22"/>
                <w:vertAlign w:val="superscript"/>
                <w:lang w:val="en-US" w:eastAsia="zh-CN"/>
              </w:rPr>
              <w:t>3</w:t>
            </w:r>
            <w:r>
              <w:rPr>
                <w:rFonts w:hint="default" w:ascii="Times New Roman" w:hAnsi="Times New Roman" w:eastAsia="宋体" w:cs="Times New Roman"/>
                <w:color w:val="auto"/>
                <w:sz w:val="24"/>
                <w:szCs w:val="22"/>
                <w:lang w:val="en-US" w:eastAsia="zh-CN"/>
              </w:rPr>
              <w:t>/a，雨天不洒水，晴天优先采用回用水进行洒水降尘。此过程用水全部自然蒸发，无废水产生。</w:t>
            </w:r>
          </w:p>
          <w:p w14:paraId="0C298006">
            <w:pPr>
              <w:spacing w:line="360" w:lineRule="auto"/>
              <w:ind w:firstLine="482"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1</w:t>
            </w: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sz w:val="24"/>
                <w:lang w:val="en-US" w:eastAsia="zh-CN"/>
              </w:rPr>
              <w:t>生产用水</w:t>
            </w:r>
          </w:p>
          <w:p w14:paraId="6F000B5C">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①</w:t>
            </w:r>
            <w:r>
              <w:rPr>
                <w:rFonts w:hint="default" w:ascii="Times New Roman" w:hAnsi="Times New Roman" w:cs="Times New Roman"/>
                <w:color w:val="auto"/>
                <w:sz w:val="24"/>
                <w:lang w:val="en-US" w:eastAsia="zh-CN"/>
              </w:rPr>
              <w:t>喷雾降尘用水</w:t>
            </w:r>
          </w:p>
          <w:p w14:paraId="4729A032">
            <w:pPr>
              <w:pStyle w:val="29"/>
              <w:adjustRightInd w:val="0"/>
              <w:snapToGrid w:val="0"/>
              <w:spacing w:line="360" w:lineRule="auto"/>
              <w:ind w:firstLine="482"/>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项目运营期喷雾降尘用水主要在生产工段、</w:t>
            </w:r>
            <w:r>
              <w:rPr>
                <w:rFonts w:hint="default" w:ascii="Times New Roman" w:hAnsi="Times New Roman" w:cs="Times New Roman"/>
                <w:bCs/>
                <w:color w:val="auto"/>
                <w:sz w:val="24"/>
                <w:lang w:val="en-US" w:eastAsia="zh-CN"/>
              </w:rPr>
              <w:t>卸料过程</w:t>
            </w:r>
            <w:r>
              <w:rPr>
                <w:rFonts w:hint="default" w:ascii="Times New Roman" w:hAnsi="Times New Roman" w:cs="Times New Roman"/>
                <w:bCs/>
                <w:color w:val="auto"/>
                <w:sz w:val="24"/>
                <w:lang w:eastAsia="zh-CN"/>
              </w:rPr>
              <w:t>及</w:t>
            </w:r>
            <w:r>
              <w:rPr>
                <w:rFonts w:hint="default" w:ascii="Times New Roman" w:hAnsi="Times New Roman" w:cs="Times New Roman"/>
                <w:bCs/>
                <w:color w:val="auto"/>
                <w:sz w:val="24"/>
                <w:lang w:val="en-US" w:eastAsia="zh-CN"/>
              </w:rPr>
              <w:t>原料</w:t>
            </w:r>
            <w:r>
              <w:rPr>
                <w:rFonts w:hint="default" w:ascii="Times New Roman" w:hAnsi="Times New Roman" w:cs="Times New Roman"/>
                <w:bCs/>
                <w:color w:val="auto"/>
                <w:sz w:val="24"/>
                <w:lang w:eastAsia="zh-CN"/>
              </w:rPr>
              <w:t>堆场进行喷雾降尘措施。</w:t>
            </w:r>
          </w:p>
          <w:p w14:paraId="2CB88384">
            <w:pPr>
              <w:pStyle w:val="29"/>
              <w:adjustRightInd w:val="0"/>
              <w:snapToGrid w:val="0"/>
              <w:spacing w:line="360" w:lineRule="auto"/>
              <w:ind w:firstLine="482"/>
              <w:jc w:val="both"/>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rPr>
              <w:t>⒈项目在</w:t>
            </w:r>
            <w:r>
              <w:rPr>
                <w:rFonts w:hint="default" w:ascii="Times New Roman" w:hAnsi="Times New Roman" w:cs="Times New Roman"/>
                <w:bCs/>
                <w:color w:val="auto"/>
                <w:sz w:val="24"/>
                <w:lang w:eastAsia="zh-CN"/>
              </w:rPr>
              <w:t>场地</w:t>
            </w:r>
            <w:r>
              <w:rPr>
                <w:rFonts w:hint="default" w:ascii="Times New Roman" w:hAnsi="Times New Roman" w:cs="Times New Roman"/>
                <w:bCs/>
                <w:color w:val="auto"/>
                <w:sz w:val="24"/>
                <w:lang w:val="en-US" w:eastAsia="zh-CN"/>
              </w:rPr>
              <w:t>卸料过程</w:t>
            </w:r>
            <w:r>
              <w:rPr>
                <w:rFonts w:hint="default" w:ascii="Times New Roman" w:hAnsi="Times New Roman" w:cs="Times New Roman"/>
                <w:bCs/>
                <w:color w:val="auto"/>
                <w:sz w:val="24"/>
              </w:rPr>
              <w:t>进行间歇喷</w:t>
            </w:r>
            <w:r>
              <w:rPr>
                <w:rFonts w:hint="default" w:ascii="Times New Roman" w:hAnsi="Times New Roman" w:cs="Times New Roman"/>
                <w:bCs/>
                <w:color w:val="auto"/>
                <w:sz w:val="24"/>
                <w:lang w:val="en-US" w:eastAsia="zh-CN"/>
              </w:rPr>
              <w:t>淋</w:t>
            </w:r>
            <w:r>
              <w:rPr>
                <w:rFonts w:hint="default" w:ascii="Times New Roman" w:hAnsi="Times New Roman" w:cs="Times New Roman"/>
                <w:bCs/>
                <w:color w:val="auto"/>
                <w:sz w:val="24"/>
              </w:rPr>
              <w:t>降尘，</w:t>
            </w:r>
            <w:r>
              <w:rPr>
                <w:rFonts w:hint="default" w:ascii="Times New Roman" w:hAnsi="Times New Roman" w:cs="Times New Roman"/>
                <w:bCs/>
                <w:color w:val="auto"/>
                <w:sz w:val="24"/>
                <w:lang w:val="en-US" w:eastAsia="zh-CN"/>
              </w:rPr>
              <w:t>根据业主经验可得知</w:t>
            </w:r>
            <w:r>
              <w:rPr>
                <w:rFonts w:hint="default" w:ascii="Times New Roman" w:hAnsi="Times New Roman" w:cs="Times New Roman"/>
                <w:bCs/>
                <w:color w:val="auto"/>
                <w:sz w:val="24"/>
              </w:rPr>
              <w:t>，喷水量</w:t>
            </w:r>
            <w:r>
              <w:rPr>
                <w:rFonts w:hint="default" w:ascii="Times New Roman" w:hAnsi="Times New Roman" w:cs="Times New Roman"/>
                <w:bCs/>
                <w:color w:val="auto"/>
                <w:sz w:val="24"/>
                <w:lang w:val="en-US" w:eastAsia="zh-CN"/>
              </w:rPr>
              <w:t>约</w:t>
            </w:r>
            <w:r>
              <w:rPr>
                <w:rFonts w:hint="default" w:ascii="Times New Roman" w:hAnsi="Times New Roman" w:cs="Times New Roman"/>
                <w:bCs/>
                <w:color w:val="auto"/>
                <w:sz w:val="24"/>
              </w:rPr>
              <w:t>为</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400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。（喷雾降尘天数按非雨天</w:t>
            </w:r>
            <w:r>
              <w:rPr>
                <w:rFonts w:hint="default" w:ascii="Times New Roman" w:hAnsi="Times New Roman" w:cs="Times New Roman"/>
                <w:bCs/>
                <w:color w:val="auto"/>
                <w:sz w:val="24"/>
                <w:lang w:val="en-US" w:eastAsia="zh-CN"/>
              </w:rPr>
              <w:t>200d计）；</w:t>
            </w:r>
          </w:p>
          <w:p w14:paraId="19935DC8">
            <w:pPr>
              <w:pStyle w:val="29"/>
              <w:adjustRightInd w:val="0"/>
              <w:snapToGrid w:val="0"/>
              <w:spacing w:line="360" w:lineRule="auto"/>
              <w:ind w:firstLine="482"/>
              <w:jc w:val="both"/>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lang w:val="en-US" w:eastAsia="zh-CN"/>
              </w:rPr>
              <w:t>⒉项目生产工段喷雾降尘用水定额根据同类企业按0.1m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/次计，</w:t>
            </w:r>
            <w:r>
              <w:rPr>
                <w:rFonts w:hint="default" w:ascii="Times New Roman" w:hAnsi="Times New Roman" w:cs="Times New Roman"/>
                <w:bCs/>
                <w:color w:val="auto"/>
                <w:sz w:val="24"/>
              </w:rPr>
              <w:t>本项目实行年工作300天的工作制度，</w:t>
            </w:r>
            <w:r>
              <w:rPr>
                <w:rFonts w:hint="default" w:ascii="Times New Roman" w:hAnsi="Times New Roman" w:cs="Times New Roman"/>
                <w:bCs/>
                <w:color w:val="auto"/>
                <w:sz w:val="24"/>
                <w:lang w:eastAsia="zh-CN"/>
              </w:rPr>
              <w:t>每天工作</w:t>
            </w:r>
            <w:r>
              <w:rPr>
                <w:rFonts w:hint="default" w:ascii="Times New Roman" w:hAnsi="Times New Roman" w:cs="Times New Roman"/>
                <w:bCs/>
                <w:color w:val="auto"/>
                <w:sz w:val="24"/>
                <w:lang w:val="en-US" w:eastAsia="zh-CN"/>
              </w:rPr>
              <w:t>8小时，</w:t>
            </w:r>
            <w:r>
              <w:rPr>
                <w:rFonts w:hint="default" w:ascii="Times New Roman" w:hAnsi="Times New Roman" w:cs="Times New Roman"/>
                <w:bCs/>
                <w:color w:val="auto"/>
                <w:sz w:val="24"/>
              </w:rPr>
              <w:t>晴天工作时间按200d计，雨天工作时间按100d计。</w:t>
            </w:r>
          </w:p>
          <w:p w14:paraId="37BFB889">
            <w:pPr>
              <w:pStyle w:val="29"/>
              <w:adjustRightInd w:val="0"/>
              <w:snapToGrid w:val="0"/>
              <w:spacing w:line="360" w:lineRule="auto"/>
              <w:ind w:firstLine="482"/>
              <w:jc w:val="both"/>
              <w:rPr>
                <w:rFonts w:hint="default" w:ascii="Times New Roman" w:hAnsi="Times New Roman" w:cs="Times New Roman"/>
                <w:bCs/>
                <w:color w:val="auto"/>
                <w:sz w:val="24"/>
              </w:rPr>
            </w:pPr>
            <w:r>
              <w:rPr>
                <w:rFonts w:hint="default" w:ascii="Times New Roman" w:hAnsi="Times New Roman" w:cs="Times New Roman"/>
                <w:bCs/>
                <w:color w:val="auto"/>
                <w:sz w:val="24"/>
              </w:rPr>
              <w:t>⒊本项目在</w:t>
            </w:r>
            <w:r>
              <w:rPr>
                <w:rFonts w:hint="default" w:ascii="Times New Roman" w:hAnsi="Times New Roman" w:cs="Times New Roman"/>
                <w:bCs/>
                <w:color w:val="auto"/>
                <w:sz w:val="24"/>
                <w:lang w:val="en-US" w:eastAsia="zh-CN"/>
              </w:rPr>
              <w:t>原料</w:t>
            </w:r>
            <w:r>
              <w:rPr>
                <w:rFonts w:hint="default" w:ascii="Times New Roman" w:hAnsi="Times New Roman" w:cs="Times New Roman"/>
                <w:bCs/>
                <w:color w:val="auto"/>
                <w:sz w:val="24"/>
                <w:lang w:eastAsia="zh-CN"/>
              </w:rPr>
              <w:t>堆场</w:t>
            </w:r>
            <w:r>
              <w:rPr>
                <w:rFonts w:hint="default" w:ascii="Times New Roman" w:hAnsi="Times New Roman" w:cs="Times New Roman"/>
                <w:bCs/>
                <w:color w:val="auto"/>
                <w:sz w:val="24"/>
              </w:rPr>
              <w:t>设置</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台雾炮机对堆放过程产生的无组织扬尘进行喷雾降尘；雾炮机每天喷雾4小时，雾炮机流量按8L/min，则雾炮机用水量为</w:t>
            </w:r>
            <w:r>
              <w:rPr>
                <w:rFonts w:hint="default" w:ascii="Times New Roman" w:hAnsi="Times New Roman" w:cs="Times New Roman"/>
                <w:bCs/>
                <w:color w:val="auto"/>
                <w:sz w:val="24"/>
                <w:lang w:val="en-US" w:eastAsia="zh-CN"/>
              </w:rPr>
              <w:t>3.84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768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（雾炮降尘天数按非雨天</w:t>
            </w:r>
            <w:r>
              <w:rPr>
                <w:rFonts w:hint="default" w:ascii="Times New Roman" w:hAnsi="Times New Roman" w:cs="Times New Roman"/>
                <w:bCs/>
                <w:color w:val="auto"/>
                <w:sz w:val="24"/>
                <w:lang w:val="en-US" w:eastAsia="zh-CN"/>
              </w:rPr>
              <w:t>200d计）</w:t>
            </w:r>
            <w:r>
              <w:rPr>
                <w:rFonts w:hint="default" w:ascii="Times New Roman" w:hAnsi="Times New Roman" w:cs="Times New Roman"/>
                <w:bCs/>
                <w:color w:val="auto"/>
                <w:sz w:val="24"/>
              </w:rPr>
              <w:t>，此部分用水部分随原料或成品带走，部分蒸发消耗。</w:t>
            </w:r>
          </w:p>
          <w:p w14:paraId="26D547AB">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bCs/>
                <w:color w:val="auto"/>
                <w:sz w:val="24"/>
                <w:lang w:val="en-US" w:eastAsia="zh-CN"/>
              </w:rPr>
              <w:t>因此，本项目运营期喷雾降尘用水总量为10.64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2128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此部分用水</w:t>
            </w:r>
            <w:r>
              <w:rPr>
                <w:rFonts w:hint="default" w:ascii="Times New Roman" w:hAnsi="Times New Roman" w:cs="Times New Roman"/>
                <w:bCs/>
                <w:color w:val="auto"/>
                <w:sz w:val="24"/>
                <w:lang w:val="en-US" w:eastAsia="zh-CN"/>
              </w:rPr>
              <w:t>全</w:t>
            </w:r>
            <w:r>
              <w:rPr>
                <w:rFonts w:hint="default" w:ascii="Times New Roman" w:hAnsi="Times New Roman" w:cs="Times New Roman"/>
                <w:bCs/>
                <w:color w:val="auto"/>
                <w:sz w:val="24"/>
              </w:rPr>
              <w:t>部分蒸发消耗</w:t>
            </w:r>
            <w:r>
              <w:rPr>
                <w:rFonts w:hint="default" w:ascii="Times New Roman" w:hAnsi="Times New Roman" w:cs="Times New Roman"/>
                <w:bCs/>
                <w:color w:val="auto"/>
                <w:sz w:val="24"/>
                <w:lang w:eastAsia="zh-CN"/>
              </w:rPr>
              <w:t>，不外排</w:t>
            </w:r>
            <w:r>
              <w:rPr>
                <w:rFonts w:hint="default" w:ascii="Times New Roman" w:hAnsi="Times New Roman" w:cs="Times New Roman"/>
                <w:bCs/>
                <w:color w:val="auto"/>
                <w:sz w:val="24"/>
              </w:rPr>
              <w:t>。</w:t>
            </w:r>
          </w:p>
          <w:p w14:paraId="02AC84B3">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②</w:t>
            </w:r>
            <w:r>
              <w:rPr>
                <w:rFonts w:hint="default" w:ascii="Times New Roman" w:hAnsi="Times New Roman" w:cs="Times New Roman"/>
                <w:color w:val="auto"/>
                <w:sz w:val="24"/>
                <w:lang w:val="en-US" w:eastAsia="zh-CN"/>
              </w:rPr>
              <w:t>拌合用水</w:t>
            </w:r>
          </w:p>
          <w:p w14:paraId="56C3D7F2">
            <w:pPr>
              <w:spacing w:line="360" w:lineRule="auto"/>
              <w:ind w:firstLine="480" w:firstLineChars="200"/>
              <w:jc w:val="both"/>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原料混合搅拌需要用水，本项目年生产40万立方米（约</w:t>
            </w:r>
            <w:r>
              <w:rPr>
                <w:rFonts w:hint="default" w:ascii="Times New Roman" w:hAnsi="Times New Roman" w:cs="Times New Roman"/>
                <w:bCs/>
                <w:color w:val="auto"/>
                <w:sz w:val="24"/>
                <w:lang w:val="en-US" w:eastAsia="zh-CN"/>
              </w:rPr>
              <w:t>64.5</w:t>
            </w:r>
            <w:r>
              <w:rPr>
                <w:rFonts w:hint="default" w:ascii="Times New Roman" w:hAnsi="Times New Roman" w:eastAsia="宋体" w:cs="Times New Roman"/>
                <w:bCs/>
                <w:color w:val="auto"/>
                <w:sz w:val="24"/>
                <w:lang w:val="en-US" w:eastAsia="zh-CN"/>
              </w:rPr>
              <w:t>万t</w:t>
            </w:r>
            <w:r>
              <w:rPr>
                <w:rFonts w:hint="default" w:ascii="Times New Roman" w:hAnsi="Times New Roman" w:cs="Times New Roman"/>
                <w:bCs/>
                <w:color w:val="auto"/>
                <w:sz w:val="24"/>
                <w:lang w:val="en-US" w:eastAsia="zh-CN"/>
              </w:rPr>
              <w:t>/a</w:t>
            </w:r>
            <w:r>
              <w:rPr>
                <w:rFonts w:hint="default" w:ascii="Times New Roman" w:hAnsi="Times New Roman" w:eastAsia="宋体" w:cs="Times New Roman"/>
                <w:bCs/>
                <w:color w:val="auto"/>
                <w:sz w:val="24"/>
                <w:lang w:val="en-US" w:eastAsia="zh-CN"/>
              </w:rPr>
              <w:t>）</w:t>
            </w:r>
            <w:r>
              <w:rPr>
                <w:rFonts w:hint="default" w:ascii="Times New Roman" w:hAnsi="Times New Roman" w:cs="Times New Roman"/>
                <w:bCs/>
                <w:color w:val="auto"/>
                <w:sz w:val="24"/>
                <w:lang w:val="en-US" w:eastAsia="zh-CN"/>
              </w:rPr>
              <w:t>拌合料</w:t>
            </w:r>
            <w:r>
              <w:rPr>
                <w:rFonts w:hint="default" w:ascii="Times New Roman" w:hAnsi="Times New Roman" w:eastAsia="宋体" w:cs="Times New Roman"/>
                <w:bCs/>
                <w:color w:val="auto"/>
                <w:sz w:val="24"/>
                <w:lang w:val="en-US" w:eastAsia="zh-CN"/>
              </w:rPr>
              <w:t>，根据业主提供资料和同类型企业生产经验可知，生产1m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拌合料</w:t>
            </w:r>
            <w:r>
              <w:rPr>
                <w:rFonts w:hint="default" w:ascii="Times New Roman" w:hAnsi="Times New Roman" w:eastAsia="宋体" w:cs="Times New Roman"/>
                <w:bCs/>
                <w:color w:val="auto"/>
                <w:sz w:val="24"/>
                <w:lang w:val="en-US" w:eastAsia="zh-CN"/>
              </w:rPr>
              <w:t>所需用水量为0.12m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则原料混合搅拌用水量为160t/d，48000t/a，此过程不产生废水，损耗量按5%计，则蒸发损耗量为8t/d，2400t/a。其余全部进入产品中。则过程新鲜补充水用水量为160t/d，48000t/a。原料混合搅拌用水全部进入产品，不外排，故不产生废水。</w:t>
            </w:r>
          </w:p>
          <w:p w14:paraId="2F13D2FC">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③搅拌机清洗用水</w:t>
            </w:r>
          </w:p>
          <w:p w14:paraId="51C8FA65">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搅拌机在暂时停止生产时必须清洗干净，搅拌机每天清洗一次，搅拌机冲洗用水以2.0t/台·天计，本项目设置</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lang w:eastAsia="zh-CN"/>
              </w:rPr>
              <w:t>台搅拌机，则项目搅拌机冲洗用水量为</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lang w:eastAsia="zh-CN"/>
              </w:rPr>
              <w:t>t/d，</w:t>
            </w:r>
            <w:r>
              <w:rPr>
                <w:rFonts w:hint="default" w:ascii="Times New Roman" w:hAnsi="Times New Roman" w:cs="Times New Roman"/>
                <w:color w:val="auto"/>
                <w:sz w:val="24"/>
                <w:lang w:val="en-US" w:eastAsia="zh-CN"/>
              </w:rPr>
              <w:t>3600</w:t>
            </w:r>
            <w:r>
              <w:rPr>
                <w:rFonts w:hint="default" w:ascii="Times New Roman" w:hAnsi="Times New Roman" w:cs="Times New Roman"/>
                <w:color w:val="auto"/>
                <w:sz w:val="24"/>
                <w:lang w:eastAsia="zh-CN"/>
              </w:rPr>
              <w:t>t/a。</w:t>
            </w:r>
          </w:p>
          <w:p w14:paraId="2AB76367">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④</w:t>
            </w:r>
            <w:r>
              <w:rPr>
                <w:rFonts w:hint="default" w:ascii="Times New Roman" w:hAnsi="Times New Roman" w:cs="Times New Roman"/>
                <w:color w:val="auto"/>
                <w:sz w:val="24"/>
                <w:lang w:val="en-US" w:eastAsia="zh-CN"/>
              </w:rPr>
              <w:t>运输车辆冲洗用水</w:t>
            </w:r>
          </w:p>
          <w:p w14:paraId="197A0530">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车辆冲洗水量为0.4m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/辆·次，根据产能计算每天清洗车辆约</w:t>
            </w:r>
            <w:r>
              <w:rPr>
                <w:rFonts w:hint="default"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lang w:eastAsia="zh-CN"/>
              </w:rPr>
              <w:t>辆，则运输车辆冲洗用水量为</w:t>
            </w:r>
            <w:r>
              <w:rPr>
                <w:rFonts w:hint="default" w:ascii="Times New Roman" w:hAnsi="Times New Roman" w:eastAsia="宋体" w:cs="Times New Roman"/>
                <w:color w:val="auto"/>
                <w:sz w:val="24"/>
                <w:lang w:val="en-US" w:eastAsia="zh-CN"/>
              </w:rPr>
              <w:t>7.2</w:t>
            </w:r>
            <w:r>
              <w:rPr>
                <w:rFonts w:hint="default" w:ascii="Times New Roman" w:hAnsi="Times New Roman" w:eastAsia="宋体" w:cs="Times New Roman"/>
                <w:color w:val="auto"/>
                <w:sz w:val="24"/>
                <w:lang w:eastAsia="zh-CN"/>
              </w:rPr>
              <w:t>t/d，</w:t>
            </w:r>
            <w:r>
              <w:rPr>
                <w:rFonts w:hint="default" w:ascii="Times New Roman" w:hAnsi="Times New Roman" w:eastAsia="宋体" w:cs="Times New Roman"/>
                <w:color w:val="auto"/>
                <w:sz w:val="24"/>
                <w:lang w:val="en-US" w:eastAsia="zh-CN"/>
              </w:rPr>
              <w:t>2160</w:t>
            </w:r>
            <w:r>
              <w:rPr>
                <w:rFonts w:hint="default" w:ascii="Times New Roman" w:hAnsi="Times New Roman" w:eastAsia="宋体" w:cs="Times New Roman"/>
                <w:color w:val="auto"/>
                <w:sz w:val="24"/>
                <w:lang w:eastAsia="zh-CN"/>
              </w:rPr>
              <w:t>/a。</w:t>
            </w:r>
          </w:p>
          <w:p w14:paraId="4D58F879">
            <w:pPr>
              <w:spacing w:line="360" w:lineRule="auto"/>
              <w:ind w:firstLine="482"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2</w:t>
            </w: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生活用水</w:t>
            </w:r>
          </w:p>
          <w:p w14:paraId="71419A72">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cs="Times New Roman"/>
                <w:b w:val="0"/>
                <w:bCs w:val="0"/>
                <w:color w:val="auto"/>
                <w:kern w:val="2"/>
                <w:sz w:val="24"/>
                <w:szCs w:val="24"/>
                <w:lang w:eastAsia="zh-CN"/>
              </w:rPr>
              <w:t>本项目</w:t>
            </w:r>
            <w:r>
              <w:rPr>
                <w:rFonts w:hint="default" w:ascii="Times New Roman" w:hAnsi="Times New Roman" w:cs="Times New Roman"/>
                <w:b w:val="0"/>
                <w:bCs w:val="0"/>
                <w:color w:val="auto"/>
                <w:kern w:val="2"/>
                <w:sz w:val="24"/>
                <w:szCs w:val="24"/>
                <w:lang w:val="en-US" w:eastAsia="zh-CN"/>
              </w:rPr>
              <w:t>劳动定员</w:t>
            </w:r>
            <w:r>
              <w:rPr>
                <w:rFonts w:hint="default" w:ascii="Times New Roman" w:hAnsi="Times New Roman" w:cs="Times New Roman"/>
                <w:b w:val="0"/>
                <w:bCs w:val="0"/>
                <w:color w:val="auto"/>
                <w:kern w:val="2"/>
                <w:sz w:val="24"/>
                <w:szCs w:val="24"/>
                <w:lang w:eastAsia="zh-CN"/>
              </w:rPr>
              <w:t>有</w:t>
            </w:r>
            <w:r>
              <w:rPr>
                <w:rFonts w:hint="default" w:ascii="Times New Roman" w:hAnsi="Times New Roman" w:cs="Times New Roman"/>
                <w:b w:val="0"/>
                <w:bCs w:val="0"/>
                <w:color w:val="auto"/>
                <w:kern w:val="2"/>
                <w:sz w:val="24"/>
                <w:szCs w:val="24"/>
                <w:lang w:val="en-US" w:eastAsia="zh-CN"/>
              </w:rPr>
              <w:t>30</w:t>
            </w:r>
            <w:r>
              <w:rPr>
                <w:rFonts w:hint="default" w:ascii="Times New Roman" w:hAnsi="Times New Roman" w:cs="Times New Roman"/>
                <w:b w:val="0"/>
                <w:bCs w:val="0"/>
                <w:color w:val="auto"/>
                <w:kern w:val="2"/>
                <w:sz w:val="24"/>
                <w:szCs w:val="24"/>
                <w:lang w:eastAsia="zh-CN"/>
              </w:rPr>
              <w:t>人，年工作</w:t>
            </w:r>
            <w:r>
              <w:rPr>
                <w:rFonts w:hint="default" w:ascii="Times New Roman" w:hAnsi="Times New Roman" w:cs="Times New Roman"/>
                <w:b w:val="0"/>
                <w:bCs w:val="0"/>
                <w:color w:val="auto"/>
                <w:kern w:val="2"/>
                <w:sz w:val="24"/>
                <w:szCs w:val="24"/>
                <w:lang w:val="en-US" w:eastAsia="zh-CN"/>
              </w:rPr>
              <w:t>300</w:t>
            </w:r>
            <w:r>
              <w:rPr>
                <w:rFonts w:hint="default" w:ascii="Times New Roman" w:hAnsi="Times New Roman" w:cs="Times New Roman"/>
                <w:b w:val="0"/>
                <w:bCs w:val="0"/>
                <w:color w:val="auto"/>
                <w:kern w:val="2"/>
                <w:sz w:val="24"/>
                <w:szCs w:val="24"/>
                <w:lang w:eastAsia="zh-CN"/>
              </w:rPr>
              <w:t>天，</w:t>
            </w:r>
            <w:r>
              <w:rPr>
                <w:rFonts w:hint="default" w:ascii="Times New Roman" w:hAnsi="Times New Roman" w:cs="Times New Roman"/>
                <w:b w:val="0"/>
                <w:bCs w:val="0"/>
                <w:color w:val="auto"/>
                <w:kern w:val="2"/>
                <w:sz w:val="24"/>
                <w:szCs w:val="24"/>
                <w:lang w:val="en-US" w:eastAsia="zh-CN"/>
              </w:rPr>
              <w:t>均</w:t>
            </w:r>
            <w:r>
              <w:rPr>
                <w:rFonts w:hint="default" w:ascii="Times New Roman" w:hAnsi="Times New Roman" w:cs="Times New Roman"/>
                <w:b w:val="0"/>
                <w:bCs w:val="0"/>
                <w:color w:val="auto"/>
                <w:kern w:val="2"/>
                <w:sz w:val="24"/>
                <w:szCs w:val="24"/>
                <w:lang w:eastAsia="zh-CN"/>
              </w:rPr>
              <w:t>不在厂区</w:t>
            </w:r>
            <w:r>
              <w:rPr>
                <w:rFonts w:hint="default" w:ascii="Times New Roman" w:hAnsi="Times New Roman" w:cs="Times New Roman"/>
                <w:b w:val="0"/>
                <w:bCs w:val="0"/>
                <w:color w:val="auto"/>
                <w:kern w:val="2"/>
                <w:sz w:val="24"/>
                <w:szCs w:val="24"/>
                <w:lang w:val="en-US" w:eastAsia="zh-CN"/>
              </w:rPr>
              <w:t>内食宿</w:t>
            </w:r>
            <w:r>
              <w:rPr>
                <w:rFonts w:hint="default" w:ascii="Times New Roman" w:hAnsi="Times New Roman" w:cs="Times New Roman"/>
                <w:b w:val="0"/>
                <w:bCs w:val="0"/>
                <w:color w:val="auto"/>
                <w:kern w:val="2"/>
                <w:sz w:val="24"/>
                <w:szCs w:val="24"/>
                <w:lang w:eastAsia="zh-CN"/>
              </w:rPr>
              <w:t>。员工办公生活用水参照《云南省用水定额标准》（DB53/T/168-2019），按30L/人.d计算，用水量约</w:t>
            </w:r>
            <w:r>
              <w:rPr>
                <w:rFonts w:hint="default" w:ascii="Times New Roman" w:hAnsi="Times New Roman" w:cs="Times New Roman"/>
                <w:b w:val="0"/>
                <w:bCs w:val="0"/>
                <w:color w:val="auto"/>
                <w:kern w:val="2"/>
                <w:sz w:val="24"/>
                <w:szCs w:val="24"/>
                <w:lang w:val="en-US" w:eastAsia="zh-CN"/>
              </w:rPr>
              <w:t>0.9</w:t>
            </w:r>
            <w:r>
              <w:rPr>
                <w:rFonts w:hint="default" w:ascii="Times New Roman" w:hAnsi="Times New Roman" w:cs="Times New Roman"/>
                <w:b w:val="0"/>
                <w:bCs w:val="0"/>
                <w:color w:val="auto"/>
                <w:kern w:val="2"/>
                <w:sz w:val="24"/>
                <w:szCs w:val="24"/>
                <w:lang w:eastAsia="zh-CN"/>
              </w:rPr>
              <w:t>t/d，</w:t>
            </w:r>
            <w:r>
              <w:rPr>
                <w:rFonts w:hint="default" w:ascii="Times New Roman" w:hAnsi="Times New Roman" w:cs="Times New Roman"/>
                <w:b w:val="0"/>
                <w:bCs w:val="0"/>
                <w:color w:val="auto"/>
                <w:kern w:val="2"/>
                <w:sz w:val="24"/>
                <w:szCs w:val="24"/>
                <w:lang w:val="en-US" w:eastAsia="zh-CN"/>
              </w:rPr>
              <w:t>270</w:t>
            </w:r>
            <w:r>
              <w:rPr>
                <w:rFonts w:hint="default" w:ascii="Times New Roman" w:hAnsi="Times New Roman" w:cs="Times New Roman"/>
                <w:b w:val="0"/>
                <w:bCs w:val="0"/>
                <w:color w:val="auto"/>
                <w:kern w:val="2"/>
                <w:sz w:val="24"/>
                <w:szCs w:val="24"/>
                <w:lang w:eastAsia="zh-CN"/>
              </w:rPr>
              <w:t>t/a。排放系数按80%计，则</w:t>
            </w:r>
            <w:r>
              <w:rPr>
                <w:rFonts w:hint="default" w:ascii="Times New Roman" w:hAnsi="Times New Roman" w:cs="Times New Roman"/>
                <w:b w:val="0"/>
                <w:bCs w:val="0"/>
                <w:color w:val="auto"/>
                <w:kern w:val="2"/>
                <w:sz w:val="24"/>
                <w:szCs w:val="24"/>
                <w:lang w:val="en-US" w:eastAsia="zh-CN"/>
              </w:rPr>
              <w:t>日常员工</w:t>
            </w:r>
            <w:r>
              <w:rPr>
                <w:rFonts w:hint="default" w:ascii="Times New Roman" w:hAnsi="Times New Roman" w:cs="Times New Roman"/>
                <w:b w:val="0"/>
                <w:bCs w:val="0"/>
                <w:color w:val="auto"/>
                <w:kern w:val="2"/>
                <w:sz w:val="24"/>
                <w:szCs w:val="24"/>
                <w:lang w:eastAsia="zh-CN"/>
              </w:rPr>
              <w:t>办公</w:t>
            </w:r>
            <w:r>
              <w:rPr>
                <w:rFonts w:hint="default" w:ascii="Times New Roman" w:hAnsi="Times New Roman" w:cs="Times New Roman"/>
                <w:b w:val="0"/>
                <w:bCs w:val="0"/>
                <w:color w:val="auto"/>
                <w:kern w:val="2"/>
                <w:sz w:val="24"/>
                <w:szCs w:val="24"/>
                <w:lang w:val="en-US" w:eastAsia="zh-CN"/>
              </w:rPr>
              <w:t>生活废水</w:t>
            </w:r>
            <w:r>
              <w:rPr>
                <w:rFonts w:hint="default" w:ascii="Times New Roman" w:hAnsi="Times New Roman" w:cs="Times New Roman"/>
                <w:b w:val="0"/>
                <w:bCs w:val="0"/>
                <w:color w:val="auto"/>
                <w:kern w:val="2"/>
                <w:sz w:val="24"/>
                <w:szCs w:val="24"/>
                <w:lang w:eastAsia="zh-CN"/>
              </w:rPr>
              <w:t>产生量为</w:t>
            </w:r>
            <w:r>
              <w:rPr>
                <w:rFonts w:hint="default" w:ascii="Times New Roman" w:hAnsi="Times New Roman" w:cs="Times New Roman"/>
                <w:b w:val="0"/>
                <w:bCs w:val="0"/>
                <w:color w:val="auto"/>
                <w:kern w:val="2"/>
                <w:sz w:val="24"/>
                <w:szCs w:val="24"/>
                <w:lang w:val="en-US" w:eastAsia="zh-CN"/>
              </w:rPr>
              <w:t>0.72</w:t>
            </w:r>
            <w:r>
              <w:rPr>
                <w:rFonts w:hint="default" w:ascii="Times New Roman" w:hAnsi="Times New Roman" w:cs="Times New Roman"/>
                <w:b w:val="0"/>
                <w:bCs w:val="0"/>
                <w:color w:val="auto"/>
                <w:kern w:val="2"/>
                <w:sz w:val="24"/>
                <w:szCs w:val="24"/>
                <w:lang w:eastAsia="zh-CN"/>
              </w:rPr>
              <w:t>t/d，</w:t>
            </w:r>
            <w:r>
              <w:rPr>
                <w:rFonts w:hint="default" w:ascii="Times New Roman" w:hAnsi="Times New Roman" w:cs="Times New Roman"/>
                <w:b w:val="0"/>
                <w:bCs w:val="0"/>
                <w:color w:val="auto"/>
                <w:kern w:val="2"/>
                <w:sz w:val="24"/>
                <w:szCs w:val="24"/>
                <w:lang w:val="en-US" w:eastAsia="zh-CN"/>
              </w:rPr>
              <w:t>216</w:t>
            </w:r>
            <w:r>
              <w:rPr>
                <w:rFonts w:hint="default" w:ascii="Times New Roman" w:hAnsi="Times New Roman" w:cs="Times New Roman"/>
                <w:b w:val="0"/>
                <w:bCs w:val="0"/>
                <w:color w:val="auto"/>
                <w:kern w:val="2"/>
                <w:sz w:val="24"/>
                <w:szCs w:val="24"/>
                <w:lang w:eastAsia="zh-CN"/>
              </w:rPr>
              <w:t>t/a。</w:t>
            </w:r>
            <w:r>
              <w:rPr>
                <w:rFonts w:hint="default" w:ascii="Times New Roman" w:hAnsi="Times New Roman" w:cs="Times New Roman"/>
                <w:b w:val="0"/>
                <w:bCs w:val="0"/>
                <w:color w:val="auto"/>
                <w:kern w:val="2"/>
                <w:sz w:val="24"/>
                <w:szCs w:val="24"/>
                <w:lang w:val="en-US" w:eastAsia="zh-CN"/>
              </w:rPr>
              <w:t>生活污水</w:t>
            </w:r>
            <w:r>
              <w:rPr>
                <w:rFonts w:hint="default" w:ascii="Times New Roman" w:hAnsi="Times New Roman" w:cs="Times New Roman"/>
                <w:b w:val="0"/>
                <w:bCs w:val="0"/>
                <w:color w:val="auto"/>
                <w:kern w:val="2"/>
                <w:sz w:val="24"/>
                <w:szCs w:val="24"/>
                <w:lang w:eastAsia="zh-CN"/>
              </w:rPr>
              <w:t>主要污染物为CODcr、BOD</w:t>
            </w:r>
            <w:r>
              <w:rPr>
                <w:rFonts w:hint="default" w:ascii="Times New Roman" w:hAnsi="Times New Roman" w:cs="Times New Roman"/>
                <w:b w:val="0"/>
                <w:bCs w:val="0"/>
                <w:color w:val="auto"/>
                <w:kern w:val="2"/>
                <w:sz w:val="24"/>
                <w:szCs w:val="24"/>
                <w:vertAlign w:val="subscript"/>
                <w:lang w:eastAsia="zh-CN"/>
              </w:rPr>
              <w:t>5</w:t>
            </w:r>
            <w:r>
              <w:rPr>
                <w:rFonts w:hint="default" w:ascii="Times New Roman" w:hAnsi="Times New Roman" w:cs="Times New Roman"/>
                <w:b w:val="0"/>
                <w:bCs w:val="0"/>
                <w:color w:val="auto"/>
                <w:kern w:val="2"/>
                <w:sz w:val="24"/>
                <w:szCs w:val="24"/>
                <w:lang w:eastAsia="zh-CN"/>
              </w:rPr>
              <w:t>、SS、NH</w:t>
            </w:r>
            <w:r>
              <w:rPr>
                <w:rFonts w:hint="default" w:ascii="Times New Roman" w:hAnsi="Times New Roman" w:cs="Times New Roman"/>
                <w:b w:val="0"/>
                <w:bCs w:val="0"/>
                <w:color w:val="auto"/>
                <w:kern w:val="2"/>
                <w:sz w:val="24"/>
                <w:szCs w:val="24"/>
                <w:vertAlign w:val="subscript"/>
                <w:lang w:eastAsia="zh-CN"/>
              </w:rPr>
              <w:t>3</w:t>
            </w:r>
            <w:r>
              <w:rPr>
                <w:rFonts w:hint="default" w:ascii="Times New Roman" w:hAnsi="Times New Roman" w:cs="Times New Roman"/>
                <w:b w:val="0"/>
                <w:bCs w:val="0"/>
                <w:color w:val="auto"/>
                <w:kern w:val="2"/>
                <w:sz w:val="24"/>
                <w:szCs w:val="24"/>
                <w:lang w:eastAsia="zh-CN"/>
              </w:rPr>
              <w:t>-N等。</w:t>
            </w:r>
          </w:p>
          <w:p w14:paraId="69B4E607">
            <w:pPr>
              <w:spacing w:line="360" w:lineRule="auto"/>
              <w:ind w:firstLine="482"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eastAsia="zh-CN"/>
              </w:rPr>
              <w:t>2、</w:t>
            </w:r>
            <w:r>
              <w:rPr>
                <w:rFonts w:hint="default" w:ascii="Times New Roman" w:hAnsi="Times New Roman" w:cs="Times New Roman"/>
                <w:b/>
                <w:bCs/>
                <w:color w:val="auto"/>
                <w:kern w:val="2"/>
                <w:sz w:val="24"/>
                <w:szCs w:val="24"/>
                <w:lang w:val="en-US" w:eastAsia="zh-CN"/>
              </w:rPr>
              <w:t>排水</w:t>
            </w:r>
          </w:p>
          <w:p w14:paraId="41987014">
            <w:pPr>
              <w:spacing w:line="360" w:lineRule="auto"/>
              <w:ind w:firstLine="482" w:firstLineChars="200"/>
              <w:jc w:val="both"/>
              <w:rPr>
                <w:rFonts w:hint="default" w:ascii="Times New Roman" w:hAnsi="Times New Roman" w:cs="Times New Roman"/>
                <w:bCs/>
                <w:color w:val="auto"/>
                <w:kern w:val="2"/>
                <w:sz w:val="24"/>
                <w:szCs w:val="24"/>
                <w:lang w:val="en-US" w:eastAsia="zh-CN"/>
              </w:rPr>
            </w:pPr>
            <w:r>
              <w:rPr>
                <w:rFonts w:hint="default" w:ascii="Times New Roman" w:hAnsi="Times New Roman" w:cs="Times New Roman"/>
                <w:b/>
                <w:bCs w:val="0"/>
                <w:color w:val="auto"/>
                <w:kern w:val="2"/>
                <w:sz w:val="24"/>
                <w:szCs w:val="24"/>
                <w:lang w:val="en-US" w:eastAsia="zh-CN"/>
              </w:rPr>
              <w:t>（1）</w:t>
            </w:r>
            <w:r>
              <w:rPr>
                <w:rFonts w:hint="default" w:ascii="Times New Roman" w:hAnsi="Times New Roman" w:cs="Times New Roman"/>
                <w:b/>
                <w:bCs/>
                <w:color w:val="auto"/>
                <w:kern w:val="2"/>
                <w:sz w:val="24"/>
                <w:szCs w:val="24"/>
                <w:lang w:eastAsia="zh-CN"/>
              </w:rPr>
              <w:t>道路、场地抑尘</w:t>
            </w:r>
            <w:r>
              <w:rPr>
                <w:rFonts w:hint="default" w:ascii="Times New Roman" w:hAnsi="Times New Roman" w:cs="Times New Roman"/>
                <w:b/>
                <w:bCs/>
                <w:color w:val="auto"/>
                <w:kern w:val="2"/>
                <w:sz w:val="24"/>
                <w:szCs w:val="24"/>
                <w:lang w:val="en-US" w:eastAsia="zh-CN"/>
              </w:rPr>
              <w:t>废水</w:t>
            </w:r>
          </w:p>
          <w:p w14:paraId="5A2FE0B6">
            <w:pPr>
              <w:pStyle w:val="10"/>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道路、场地抑尘用水</w:t>
            </w:r>
            <w:r>
              <w:rPr>
                <w:rFonts w:hint="default" w:ascii="Times New Roman" w:hAnsi="Times New Roman" w:eastAsia="宋体" w:cs="Times New Roman"/>
                <w:color w:val="auto"/>
                <w:sz w:val="24"/>
                <w:szCs w:val="22"/>
                <w:lang w:val="en-US" w:eastAsia="zh-CN"/>
              </w:rPr>
              <w:t>此过程用水全部自然蒸发，无废水产生。</w:t>
            </w:r>
          </w:p>
          <w:p w14:paraId="29938FA4">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cs="Times New Roman"/>
                <w:b/>
                <w:bCs w:val="0"/>
                <w:color w:val="auto"/>
                <w:kern w:val="2"/>
                <w:sz w:val="24"/>
                <w:szCs w:val="24"/>
                <w:lang w:val="en-US" w:eastAsia="zh-CN"/>
              </w:rPr>
            </w:pPr>
            <w:r>
              <w:rPr>
                <w:rFonts w:hint="default" w:ascii="Times New Roman" w:hAnsi="Times New Roman" w:cs="Times New Roman"/>
                <w:b/>
                <w:bCs w:val="0"/>
                <w:color w:val="auto"/>
                <w:kern w:val="2"/>
                <w:sz w:val="24"/>
                <w:szCs w:val="24"/>
                <w:lang w:eastAsia="zh-CN"/>
              </w:rPr>
              <w:t>（</w:t>
            </w:r>
            <w:r>
              <w:rPr>
                <w:rFonts w:hint="default" w:ascii="Times New Roman" w:hAnsi="Times New Roman" w:cs="Times New Roman"/>
                <w:b/>
                <w:bCs w:val="0"/>
                <w:color w:val="auto"/>
                <w:kern w:val="2"/>
                <w:sz w:val="24"/>
                <w:szCs w:val="24"/>
                <w:lang w:val="en-US" w:eastAsia="zh-CN"/>
              </w:rPr>
              <w:t>2</w:t>
            </w:r>
            <w:r>
              <w:rPr>
                <w:rFonts w:hint="default" w:ascii="Times New Roman" w:hAnsi="Times New Roman" w:cs="Times New Roman"/>
                <w:b/>
                <w:bCs w:val="0"/>
                <w:color w:val="auto"/>
                <w:kern w:val="2"/>
                <w:sz w:val="24"/>
                <w:szCs w:val="24"/>
                <w:lang w:eastAsia="zh-CN"/>
              </w:rPr>
              <w:t>）</w:t>
            </w:r>
            <w:r>
              <w:rPr>
                <w:rFonts w:hint="default" w:ascii="Times New Roman" w:hAnsi="Times New Roman" w:cs="Times New Roman"/>
                <w:b/>
                <w:bCs w:val="0"/>
                <w:color w:val="auto"/>
                <w:kern w:val="2"/>
                <w:sz w:val="24"/>
                <w:szCs w:val="24"/>
                <w:lang w:val="en-US" w:eastAsia="zh-CN"/>
              </w:rPr>
              <w:t>生产废水</w:t>
            </w:r>
          </w:p>
          <w:p w14:paraId="14669717">
            <w:p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①</w:t>
            </w:r>
            <w:r>
              <w:rPr>
                <w:rFonts w:hint="default" w:ascii="Times New Roman" w:hAnsi="Times New Roman" w:cs="Times New Roman"/>
                <w:color w:val="auto"/>
                <w:sz w:val="24"/>
                <w:lang w:val="en-US" w:eastAsia="zh-CN"/>
              </w:rPr>
              <w:t>喷雾降尘废水</w:t>
            </w:r>
          </w:p>
          <w:p w14:paraId="1F11F25F">
            <w:pPr>
              <w:spacing w:line="360" w:lineRule="auto"/>
              <w:ind w:firstLine="480" w:firstLineChars="200"/>
              <w:jc w:val="both"/>
              <w:rPr>
                <w:rFonts w:hint="default" w:ascii="Times New Roman" w:hAnsi="Times New Roman" w:cs="Times New Roman"/>
                <w:bCs/>
                <w:color w:val="auto"/>
                <w:kern w:val="2"/>
                <w:sz w:val="24"/>
                <w:szCs w:val="24"/>
                <w:lang w:eastAsia="zh-CN"/>
              </w:rPr>
            </w:pPr>
            <w:r>
              <w:rPr>
                <w:rFonts w:hint="default" w:ascii="Times New Roman" w:hAnsi="Times New Roman" w:cs="Times New Roman"/>
                <w:bCs/>
                <w:color w:val="auto"/>
                <w:sz w:val="24"/>
                <w:lang w:eastAsia="zh-CN"/>
              </w:rPr>
              <w:t>项目运营期喷雾降尘用水主要在生产工段、</w:t>
            </w:r>
            <w:r>
              <w:rPr>
                <w:rFonts w:hint="default" w:ascii="Times New Roman" w:hAnsi="Times New Roman" w:cs="Times New Roman"/>
                <w:bCs/>
                <w:color w:val="auto"/>
                <w:sz w:val="24"/>
                <w:lang w:val="en-US" w:eastAsia="zh-CN"/>
              </w:rPr>
              <w:t>卸料过程</w:t>
            </w:r>
            <w:r>
              <w:rPr>
                <w:rFonts w:hint="default" w:ascii="Times New Roman" w:hAnsi="Times New Roman" w:cs="Times New Roman"/>
                <w:bCs/>
                <w:color w:val="auto"/>
                <w:sz w:val="24"/>
                <w:lang w:eastAsia="zh-CN"/>
              </w:rPr>
              <w:t>及</w:t>
            </w:r>
            <w:r>
              <w:rPr>
                <w:rFonts w:hint="default" w:ascii="Times New Roman" w:hAnsi="Times New Roman" w:cs="Times New Roman"/>
                <w:bCs/>
                <w:color w:val="auto"/>
                <w:sz w:val="24"/>
                <w:lang w:val="en-US" w:eastAsia="zh-CN"/>
              </w:rPr>
              <w:t>原料</w:t>
            </w:r>
            <w:r>
              <w:rPr>
                <w:rFonts w:hint="default" w:ascii="Times New Roman" w:hAnsi="Times New Roman" w:cs="Times New Roman"/>
                <w:bCs/>
                <w:color w:val="auto"/>
                <w:sz w:val="24"/>
                <w:lang w:eastAsia="zh-CN"/>
              </w:rPr>
              <w:t>堆场进行喷雾降尘措施，</w:t>
            </w:r>
            <w:r>
              <w:rPr>
                <w:rFonts w:hint="default" w:ascii="Times New Roman" w:hAnsi="Times New Roman" w:cs="Times New Roman"/>
                <w:bCs/>
                <w:color w:val="auto"/>
                <w:sz w:val="24"/>
              </w:rPr>
              <w:t>此部分用水</w:t>
            </w:r>
            <w:r>
              <w:rPr>
                <w:rFonts w:hint="default" w:ascii="Times New Roman" w:hAnsi="Times New Roman" w:cs="Times New Roman"/>
                <w:bCs/>
                <w:color w:val="auto"/>
                <w:sz w:val="24"/>
                <w:lang w:val="en-US" w:eastAsia="zh-CN"/>
              </w:rPr>
              <w:t>全</w:t>
            </w:r>
            <w:r>
              <w:rPr>
                <w:rFonts w:hint="default" w:ascii="Times New Roman" w:hAnsi="Times New Roman" w:cs="Times New Roman"/>
                <w:bCs/>
                <w:color w:val="auto"/>
                <w:sz w:val="24"/>
              </w:rPr>
              <w:t>部分蒸发消耗</w:t>
            </w:r>
            <w:r>
              <w:rPr>
                <w:rFonts w:hint="default" w:ascii="Times New Roman" w:hAnsi="Times New Roman" w:cs="Times New Roman"/>
                <w:bCs/>
                <w:color w:val="auto"/>
                <w:sz w:val="24"/>
                <w:lang w:eastAsia="zh-CN"/>
              </w:rPr>
              <w:t>，不外排</w:t>
            </w:r>
            <w:r>
              <w:rPr>
                <w:rFonts w:hint="default" w:ascii="Times New Roman" w:hAnsi="Times New Roman" w:cs="Times New Roman"/>
                <w:bCs/>
                <w:color w:val="auto"/>
                <w:sz w:val="24"/>
              </w:rPr>
              <w:t>。</w:t>
            </w:r>
          </w:p>
          <w:p w14:paraId="2CD640F1">
            <w:pPr>
              <w:spacing w:line="360" w:lineRule="auto"/>
              <w:ind w:firstLine="480" w:firstLineChars="200"/>
              <w:jc w:val="both"/>
              <w:rPr>
                <w:rFonts w:hint="default" w:ascii="Times New Roman" w:hAnsi="Times New Roman" w:cs="Times New Roman"/>
                <w:bCs/>
                <w:color w:val="auto"/>
                <w:kern w:val="2"/>
                <w:sz w:val="24"/>
                <w:szCs w:val="24"/>
                <w:lang w:val="en-US" w:eastAsia="zh-CN"/>
              </w:rPr>
            </w:pPr>
            <w:r>
              <w:rPr>
                <w:rFonts w:hint="default" w:ascii="Times New Roman" w:hAnsi="Times New Roman" w:cs="Times New Roman"/>
                <w:bCs/>
                <w:color w:val="auto"/>
                <w:kern w:val="2"/>
                <w:sz w:val="24"/>
                <w:szCs w:val="24"/>
                <w:lang w:eastAsia="zh-CN"/>
              </w:rPr>
              <w:t>②</w:t>
            </w:r>
            <w:r>
              <w:rPr>
                <w:rFonts w:hint="default" w:ascii="Times New Roman" w:hAnsi="Times New Roman" w:cs="Times New Roman"/>
                <w:color w:val="auto"/>
                <w:sz w:val="24"/>
                <w:lang w:val="en-US" w:eastAsia="zh-CN"/>
              </w:rPr>
              <w:t>拌合废水</w:t>
            </w:r>
          </w:p>
          <w:p w14:paraId="78D94BED">
            <w:pPr>
              <w:pStyle w:val="10"/>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Cs/>
                <w:color w:val="auto"/>
                <w:kern w:val="0"/>
                <w:sz w:val="24"/>
                <w:szCs w:val="22"/>
                <w:lang w:val="en-US" w:eastAsia="zh-CN" w:bidi="ar-SA"/>
              </w:rPr>
            </w:pPr>
            <w:r>
              <w:rPr>
                <w:rFonts w:hint="default" w:ascii="Times New Roman" w:hAnsi="Times New Roman" w:eastAsia="宋体" w:cs="Times New Roman"/>
                <w:bCs/>
                <w:color w:val="auto"/>
                <w:sz w:val="24"/>
                <w:lang w:val="en-US" w:eastAsia="zh-CN"/>
              </w:rPr>
              <w:t>原料</w:t>
            </w:r>
            <w:r>
              <w:rPr>
                <w:rFonts w:hint="default" w:ascii="Times New Roman" w:hAnsi="Times New Roman" w:eastAsia="宋体" w:cs="Times New Roman"/>
                <w:bCs/>
                <w:color w:val="auto"/>
                <w:kern w:val="0"/>
                <w:sz w:val="24"/>
                <w:szCs w:val="22"/>
                <w:lang w:val="en-US" w:eastAsia="zh-CN" w:bidi="ar-SA"/>
              </w:rPr>
              <w:t>混合搅拌用水全部进入产品，不外排，故不产生废水。</w:t>
            </w:r>
          </w:p>
          <w:p w14:paraId="1C784937">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kern w:val="0"/>
                <w:sz w:val="24"/>
                <w:szCs w:val="22"/>
                <w:lang w:val="en-US" w:eastAsia="zh-CN" w:bidi="ar-SA"/>
              </w:rPr>
            </w:pPr>
            <w:r>
              <w:rPr>
                <w:rFonts w:hint="default" w:ascii="Times New Roman" w:hAnsi="Times New Roman" w:eastAsia="宋体" w:cs="Times New Roman"/>
                <w:bCs/>
                <w:color w:val="auto"/>
                <w:kern w:val="0"/>
                <w:sz w:val="24"/>
                <w:szCs w:val="22"/>
                <w:lang w:val="en-US" w:eastAsia="zh-CN" w:bidi="ar-SA"/>
              </w:rPr>
              <w:t>③搅拌机清洗废水、</w:t>
            </w:r>
            <w:r>
              <w:rPr>
                <w:rFonts w:hint="default" w:ascii="Times New Roman" w:hAnsi="Times New Roman" w:cs="Times New Roman"/>
                <w:color w:val="auto"/>
                <w:sz w:val="24"/>
                <w:lang w:val="en-US" w:eastAsia="zh-CN"/>
              </w:rPr>
              <w:t>运输车辆冲洗废水</w:t>
            </w:r>
          </w:p>
          <w:p w14:paraId="7D6FF1DD">
            <w:pPr>
              <w:pStyle w:val="10"/>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Cs/>
                <w:color w:val="auto"/>
                <w:kern w:val="0"/>
                <w:sz w:val="24"/>
                <w:szCs w:val="22"/>
                <w:lang w:val="en-US" w:eastAsia="zh-CN" w:bidi="ar-SA"/>
              </w:rPr>
            </w:pPr>
            <w:r>
              <w:rPr>
                <w:rFonts w:hint="default" w:ascii="Times New Roman" w:hAnsi="Times New Roman" w:eastAsia="宋体" w:cs="Times New Roman"/>
                <w:bCs/>
                <w:color w:val="auto"/>
                <w:kern w:val="0"/>
                <w:sz w:val="24"/>
                <w:szCs w:val="22"/>
                <w:lang w:val="en-US" w:eastAsia="zh-CN" w:bidi="ar-SA"/>
              </w:rPr>
              <w:t>搅拌机冲洗废水产生量按用水量的80%计，则搅拌机冲洗废水量为9.6t/d，2880t/a；运输车辆冲洗废水产生量按用水量的90%计，则运输车辆冲洗废水量为6.48t/d，1944t/a，搅拌机冲洗废水和运输车辆冲洗废水经三级沉淀池处理后循环使用，不外排。则进入三级沉淀池水量为16.08t/d，4824t/a。</w:t>
            </w:r>
          </w:p>
          <w:p w14:paraId="3C28308B">
            <w:pPr>
              <w:spacing w:line="360" w:lineRule="auto"/>
              <w:ind w:firstLine="482" w:firstLineChars="200"/>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3</w:t>
            </w:r>
            <w:r>
              <w:rPr>
                <w:rFonts w:hint="default" w:ascii="Times New Roman" w:hAnsi="Times New Roman" w:cs="Times New Roman"/>
                <w:b/>
                <w:bCs/>
                <w:color w:val="auto"/>
                <w:kern w:val="2"/>
                <w:sz w:val="24"/>
                <w:szCs w:val="24"/>
                <w:lang w:eastAsia="zh-CN"/>
              </w:rPr>
              <w:t>）</w:t>
            </w:r>
            <w:r>
              <w:rPr>
                <w:rFonts w:hint="default" w:ascii="Times New Roman" w:hAnsi="Times New Roman" w:cs="Times New Roman"/>
                <w:b/>
                <w:bCs/>
                <w:color w:val="auto"/>
                <w:kern w:val="2"/>
                <w:sz w:val="24"/>
                <w:szCs w:val="24"/>
                <w:lang w:val="en-US" w:eastAsia="zh-CN"/>
              </w:rPr>
              <w:t>生活污水</w:t>
            </w:r>
          </w:p>
          <w:p w14:paraId="759F9BCF">
            <w:pPr>
              <w:pStyle w:val="10"/>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Cs/>
                <w:color w:val="auto"/>
                <w:kern w:val="0"/>
                <w:sz w:val="24"/>
                <w:szCs w:val="22"/>
                <w:lang w:val="en-US" w:eastAsia="zh-CN" w:bidi="ar-SA"/>
              </w:rPr>
            </w:pPr>
            <w:r>
              <w:rPr>
                <w:rFonts w:hint="default" w:ascii="Times New Roman" w:hAnsi="Times New Roman" w:cs="Times New Roman"/>
                <w:b w:val="0"/>
                <w:bCs w:val="0"/>
                <w:color w:val="auto"/>
                <w:kern w:val="2"/>
                <w:sz w:val="24"/>
                <w:szCs w:val="24"/>
                <w:lang w:eastAsia="zh-CN"/>
              </w:rPr>
              <w:t>本项目</w:t>
            </w:r>
            <w:r>
              <w:rPr>
                <w:rFonts w:hint="default" w:ascii="Times New Roman" w:hAnsi="Times New Roman" w:cs="Times New Roman"/>
                <w:b w:val="0"/>
                <w:bCs w:val="0"/>
                <w:color w:val="auto"/>
                <w:kern w:val="2"/>
                <w:sz w:val="24"/>
                <w:szCs w:val="24"/>
                <w:lang w:val="en-US" w:eastAsia="zh-CN"/>
              </w:rPr>
              <w:t>劳动定员</w:t>
            </w:r>
            <w:r>
              <w:rPr>
                <w:rFonts w:hint="default" w:ascii="Times New Roman" w:hAnsi="Times New Roman" w:cs="Times New Roman"/>
                <w:b w:val="0"/>
                <w:bCs w:val="0"/>
                <w:color w:val="auto"/>
                <w:kern w:val="2"/>
                <w:sz w:val="24"/>
                <w:szCs w:val="24"/>
                <w:lang w:eastAsia="zh-CN"/>
              </w:rPr>
              <w:t>有</w:t>
            </w:r>
            <w:r>
              <w:rPr>
                <w:rFonts w:hint="default" w:ascii="Times New Roman" w:hAnsi="Times New Roman" w:cs="Times New Roman"/>
                <w:b w:val="0"/>
                <w:bCs w:val="0"/>
                <w:color w:val="auto"/>
                <w:kern w:val="2"/>
                <w:sz w:val="24"/>
                <w:szCs w:val="24"/>
                <w:lang w:val="en-US" w:eastAsia="zh-CN"/>
              </w:rPr>
              <w:t>30</w:t>
            </w:r>
            <w:r>
              <w:rPr>
                <w:rFonts w:hint="default" w:ascii="Times New Roman" w:hAnsi="Times New Roman" w:cs="Times New Roman"/>
                <w:b w:val="0"/>
                <w:bCs w:val="0"/>
                <w:color w:val="auto"/>
                <w:kern w:val="2"/>
                <w:sz w:val="24"/>
                <w:szCs w:val="24"/>
                <w:lang w:eastAsia="zh-CN"/>
              </w:rPr>
              <w:t>人，年工作</w:t>
            </w:r>
            <w:r>
              <w:rPr>
                <w:rFonts w:hint="default" w:ascii="Times New Roman" w:hAnsi="Times New Roman" w:cs="Times New Roman"/>
                <w:b w:val="0"/>
                <w:bCs w:val="0"/>
                <w:color w:val="auto"/>
                <w:kern w:val="2"/>
                <w:sz w:val="24"/>
                <w:szCs w:val="24"/>
                <w:lang w:val="en-US" w:eastAsia="zh-CN"/>
              </w:rPr>
              <w:t>300</w:t>
            </w:r>
            <w:r>
              <w:rPr>
                <w:rFonts w:hint="default" w:ascii="Times New Roman" w:hAnsi="Times New Roman" w:cs="Times New Roman"/>
                <w:b w:val="0"/>
                <w:bCs w:val="0"/>
                <w:color w:val="auto"/>
                <w:kern w:val="2"/>
                <w:sz w:val="24"/>
                <w:szCs w:val="24"/>
                <w:lang w:eastAsia="zh-CN"/>
              </w:rPr>
              <w:t>天，</w:t>
            </w:r>
            <w:r>
              <w:rPr>
                <w:rFonts w:hint="default" w:ascii="Times New Roman" w:hAnsi="Times New Roman" w:cs="Times New Roman"/>
                <w:b w:val="0"/>
                <w:bCs w:val="0"/>
                <w:color w:val="auto"/>
                <w:kern w:val="2"/>
                <w:sz w:val="24"/>
                <w:szCs w:val="24"/>
                <w:lang w:val="en-US" w:eastAsia="zh-CN"/>
              </w:rPr>
              <w:t>均</w:t>
            </w:r>
            <w:r>
              <w:rPr>
                <w:rFonts w:hint="default" w:ascii="Times New Roman" w:hAnsi="Times New Roman" w:cs="Times New Roman"/>
                <w:b w:val="0"/>
                <w:bCs w:val="0"/>
                <w:color w:val="auto"/>
                <w:kern w:val="2"/>
                <w:sz w:val="24"/>
                <w:szCs w:val="24"/>
                <w:lang w:eastAsia="zh-CN"/>
              </w:rPr>
              <w:t>不在厂区</w:t>
            </w:r>
            <w:r>
              <w:rPr>
                <w:rFonts w:hint="default" w:ascii="Times New Roman" w:hAnsi="Times New Roman" w:cs="Times New Roman"/>
                <w:b w:val="0"/>
                <w:bCs w:val="0"/>
                <w:color w:val="auto"/>
                <w:kern w:val="2"/>
                <w:sz w:val="24"/>
                <w:szCs w:val="24"/>
                <w:lang w:val="en-US" w:eastAsia="zh-CN"/>
              </w:rPr>
              <w:t>内食宿</w:t>
            </w:r>
            <w:r>
              <w:rPr>
                <w:rFonts w:hint="default" w:ascii="Times New Roman" w:hAnsi="Times New Roman" w:cs="Times New Roman"/>
                <w:b w:val="0"/>
                <w:bCs w:val="0"/>
                <w:color w:val="auto"/>
                <w:kern w:val="2"/>
                <w:sz w:val="24"/>
                <w:szCs w:val="24"/>
                <w:lang w:eastAsia="zh-CN"/>
              </w:rPr>
              <w:t>。员工</w:t>
            </w:r>
            <w:r>
              <w:rPr>
                <w:rFonts w:hint="default" w:ascii="Times New Roman" w:hAnsi="Times New Roman" w:cs="Times New Roman"/>
                <w:b w:val="0"/>
                <w:bCs w:val="0"/>
                <w:color w:val="auto"/>
                <w:kern w:val="2"/>
                <w:sz w:val="24"/>
                <w:szCs w:val="24"/>
                <w:lang w:val="en-US" w:eastAsia="zh-CN"/>
              </w:rPr>
              <w:t>日常</w:t>
            </w:r>
            <w:r>
              <w:rPr>
                <w:rFonts w:hint="default" w:ascii="Times New Roman" w:hAnsi="Times New Roman" w:cs="Times New Roman"/>
                <w:b w:val="0"/>
                <w:bCs w:val="0"/>
                <w:color w:val="auto"/>
                <w:kern w:val="2"/>
                <w:sz w:val="24"/>
                <w:szCs w:val="24"/>
                <w:lang w:eastAsia="zh-CN"/>
              </w:rPr>
              <w:t>办公生活用水用水量约</w:t>
            </w:r>
            <w:r>
              <w:rPr>
                <w:rFonts w:hint="default" w:ascii="Times New Roman" w:hAnsi="Times New Roman" w:cs="Times New Roman"/>
                <w:b w:val="0"/>
                <w:bCs w:val="0"/>
                <w:color w:val="auto"/>
                <w:kern w:val="2"/>
                <w:sz w:val="24"/>
                <w:szCs w:val="24"/>
                <w:lang w:val="en-US" w:eastAsia="zh-CN"/>
              </w:rPr>
              <w:t>0.9</w:t>
            </w:r>
            <w:r>
              <w:rPr>
                <w:rFonts w:hint="default" w:ascii="Times New Roman" w:hAnsi="Times New Roman" w:cs="Times New Roman"/>
                <w:b w:val="0"/>
                <w:bCs w:val="0"/>
                <w:color w:val="auto"/>
                <w:kern w:val="2"/>
                <w:sz w:val="24"/>
                <w:szCs w:val="24"/>
                <w:lang w:eastAsia="zh-CN"/>
              </w:rPr>
              <w:t>t/d，</w:t>
            </w:r>
            <w:r>
              <w:rPr>
                <w:rFonts w:hint="default" w:ascii="Times New Roman" w:hAnsi="Times New Roman" w:cs="Times New Roman"/>
                <w:b w:val="0"/>
                <w:bCs w:val="0"/>
                <w:color w:val="auto"/>
                <w:kern w:val="2"/>
                <w:sz w:val="24"/>
                <w:szCs w:val="24"/>
                <w:lang w:val="en-US" w:eastAsia="zh-CN"/>
              </w:rPr>
              <w:t>270</w:t>
            </w:r>
            <w:r>
              <w:rPr>
                <w:rFonts w:hint="default" w:ascii="Times New Roman" w:hAnsi="Times New Roman" w:cs="Times New Roman"/>
                <w:b w:val="0"/>
                <w:bCs w:val="0"/>
                <w:color w:val="auto"/>
                <w:kern w:val="2"/>
                <w:sz w:val="24"/>
                <w:szCs w:val="24"/>
                <w:lang w:eastAsia="zh-CN"/>
              </w:rPr>
              <w:t>t/a。排放系数按80%计，则</w:t>
            </w:r>
            <w:r>
              <w:rPr>
                <w:rFonts w:hint="default" w:ascii="Times New Roman" w:hAnsi="Times New Roman" w:cs="Times New Roman"/>
                <w:b w:val="0"/>
                <w:bCs w:val="0"/>
                <w:color w:val="auto"/>
                <w:kern w:val="2"/>
                <w:sz w:val="24"/>
                <w:szCs w:val="24"/>
                <w:lang w:val="en-US" w:eastAsia="zh-CN"/>
              </w:rPr>
              <w:t>日常员工</w:t>
            </w:r>
            <w:r>
              <w:rPr>
                <w:rFonts w:hint="default" w:ascii="Times New Roman" w:hAnsi="Times New Roman" w:cs="Times New Roman"/>
                <w:b w:val="0"/>
                <w:bCs w:val="0"/>
                <w:color w:val="auto"/>
                <w:kern w:val="2"/>
                <w:sz w:val="24"/>
                <w:szCs w:val="24"/>
                <w:lang w:eastAsia="zh-CN"/>
              </w:rPr>
              <w:t>办公</w:t>
            </w:r>
            <w:r>
              <w:rPr>
                <w:rFonts w:hint="default" w:ascii="Times New Roman" w:hAnsi="Times New Roman" w:cs="Times New Roman"/>
                <w:b w:val="0"/>
                <w:bCs w:val="0"/>
                <w:color w:val="auto"/>
                <w:kern w:val="2"/>
                <w:sz w:val="24"/>
                <w:szCs w:val="24"/>
                <w:lang w:val="en-US" w:eastAsia="zh-CN"/>
              </w:rPr>
              <w:t>生活废水</w:t>
            </w:r>
            <w:r>
              <w:rPr>
                <w:rFonts w:hint="default" w:ascii="Times New Roman" w:hAnsi="Times New Roman" w:cs="Times New Roman"/>
                <w:b w:val="0"/>
                <w:bCs w:val="0"/>
                <w:color w:val="auto"/>
                <w:kern w:val="2"/>
                <w:sz w:val="24"/>
                <w:szCs w:val="24"/>
                <w:lang w:eastAsia="zh-CN"/>
              </w:rPr>
              <w:t>产生量为</w:t>
            </w:r>
            <w:r>
              <w:rPr>
                <w:rFonts w:hint="default" w:ascii="Times New Roman" w:hAnsi="Times New Roman" w:cs="Times New Roman"/>
                <w:b w:val="0"/>
                <w:bCs w:val="0"/>
                <w:color w:val="auto"/>
                <w:kern w:val="2"/>
                <w:sz w:val="24"/>
                <w:szCs w:val="24"/>
                <w:lang w:val="en-US" w:eastAsia="zh-CN"/>
              </w:rPr>
              <w:t>0.72</w:t>
            </w:r>
            <w:r>
              <w:rPr>
                <w:rFonts w:hint="default" w:ascii="Times New Roman" w:hAnsi="Times New Roman" w:cs="Times New Roman"/>
                <w:b w:val="0"/>
                <w:bCs w:val="0"/>
                <w:color w:val="auto"/>
                <w:kern w:val="2"/>
                <w:sz w:val="24"/>
                <w:szCs w:val="24"/>
                <w:lang w:eastAsia="zh-CN"/>
              </w:rPr>
              <w:t>t/d，</w:t>
            </w:r>
            <w:r>
              <w:rPr>
                <w:rFonts w:hint="default" w:ascii="Times New Roman" w:hAnsi="Times New Roman" w:cs="Times New Roman"/>
                <w:b w:val="0"/>
                <w:bCs w:val="0"/>
                <w:color w:val="auto"/>
                <w:kern w:val="2"/>
                <w:sz w:val="24"/>
                <w:szCs w:val="24"/>
                <w:lang w:val="en-US" w:eastAsia="zh-CN"/>
              </w:rPr>
              <w:t>216</w:t>
            </w:r>
            <w:r>
              <w:rPr>
                <w:rFonts w:hint="default" w:ascii="Times New Roman" w:hAnsi="Times New Roman" w:cs="Times New Roman"/>
                <w:b w:val="0"/>
                <w:bCs w:val="0"/>
                <w:color w:val="auto"/>
                <w:kern w:val="2"/>
                <w:sz w:val="24"/>
                <w:szCs w:val="24"/>
                <w:lang w:eastAsia="zh-CN"/>
              </w:rPr>
              <w:t>t/a。</w:t>
            </w:r>
            <w:r>
              <w:rPr>
                <w:rFonts w:hint="default" w:ascii="Times New Roman" w:hAnsi="Times New Roman" w:cs="Times New Roman"/>
                <w:b w:val="0"/>
                <w:bCs w:val="0"/>
                <w:color w:val="auto"/>
                <w:kern w:val="2"/>
                <w:sz w:val="24"/>
                <w:szCs w:val="24"/>
                <w:lang w:val="en-US" w:eastAsia="zh-CN"/>
              </w:rPr>
              <w:t>本项目产生的生活污水经化粪池</w:t>
            </w:r>
            <w:r>
              <w:rPr>
                <w:rFonts w:hint="default" w:ascii="Times New Roman" w:hAnsi="Times New Roman" w:cs="Times New Roman"/>
                <w:bCs/>
                <w:color w:val="auto"/>
                <w:kern w:val="2"/>
                <w:sz w:val="24"/>
                <w:szCs w:val="24"/>
                <w:lang w:eastAsia="zh-CN"/>
              </w:rPr>
              <w:t>（容积3m</w:t>
            </w:r>
            <w:r>
              <w:rPr>
                <w:rFonts w:hint="default" w:ascii="Times New Roman" w:hAnsi="Times New Roman" w:cs="Times New Roman"/>
                <w:bCs/>
                <w:color w:val="auto"/>
                <w:kern w:val="2"/>
                <w:sz w:val="24"/>
                <w:szCs w:val="24"/>
                <w:vertAlign w:val="superscript"/>
                <w:lang w:eastAsia="zh-CN"/>
              </w:rPr>
              <w:t>3</w:t>
            </w:r>
            <w:r>
              <w:rPr>
                <w:rFonts w:hint="default" w:ascii="Times New Roman" w:hAnsi="Times New Roman" w:cs="Times New Roman"/>
                <w:bCs/>
                <w:color w:val="auto"/>
                <w:kern w:val="2"/>
                <w:sz w:val="24"/>
                <w:szCs w:val="24"/>
                <w:lang w:eastAsia="zh-CN"/>
              </w:rPr>
              <w:t>）</w:t>
            </w:r>
            <w:r>
              <w:rPr>
                <w:rFonts w:hint="default" w:ascii="Times New Roman" w:hAnsi="Times New Roman" w:cs="Times New Roman"/>
                <w:b w:val="0"/>
                <w:bCs w:val="0"/>
                <w:color w:val="auto"/>
                <w:kern w:val="2"/>
                <w:sz w:val="24"/>
                <w:szCs w:val="24"/>
                <w:lang w:val="en-US" w:eastAsia="zh-CN"/>
              </w:rPr>
              <w:t>预处理后进1个规模为2m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/d的一体化污水处理站处理达《城市污水再生利用 城市杂用水水质》（GB/T 18920-2020）中城市绿化、道路清扫、消防、建筑施工标准后回用于项目区洒水降尘。在污水处理站后方设置1个容积5m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的中水收集池，用于雨天收集污水处理站处理后的中水，待晴天回用。</w:t>
            </w:r>
          </w:p>
          <w:p w14:paraId="65E7E6B8">
            <w:pPr>
              <w:spacing w:line="360" w:lineRule="auto"/>
              <w:ind w:firstLine="482" w:firstLineChars="200"/>
              <w:rPr>
                <w:rFonts w:hint="default" w:ascii="Times New Roman" w:hAnsi="Times New Roman" w:cs="Times New Roman"/>
                <w:b/>
                <w:bCs/>
                <w:color w:val="auto"/>
                <w:kern w:val="2"/>
                <w:sz w:val="24"/>
                <w:szCs w:val="24"/>
                <w:lang w:eastAsia="zh-CN"/>
              </w:rPr>
            </w:pPr>
            <w:r>
              <w:rPr>
                <w:rFonts w:hint="default" w:ascii="Times New Roman" w:hAnsi="Times New Roman" w:cs="Times New Roman"/>
                <w:b/>
                <w:bCs/>
                <w:color w:val="auto"/>
                <w:kern w:val="2"/>
                <w:sz w:val="24"/>
                <w:szCs w:val="24"/>
                <w:lang w:val="en-US" w:eastAsia="zh-CN"/>
              </w:rPr>
              <w:t>3</w:t>
            </w:r>
            <w:r>
              <w:rPr>
                <w:rFonts w:hint="default" w:ascii="Times New Roman" w:hAnsi="Times New Roman" w:cs="Times New Roman"/>
                <w:b/>
                <w:bCs/>
                <w:color w:val="auto"/>
                <w:kern w:val="2"/>
                <w:sz w:val="24"/>
                <w:szCs w:val="24"/>
                <w:lang w:eastAsia="zh-CN"/>
              </w:rPr>
              <w:t>、初期雨水</w:t>
            </w:r>
          </w:p>
          <w:p w14:paraId="3AC3DD68">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项目总占地面积为</w:t>
            </w:r>
            <w:r>
              <w:rPr>
                <w:rFonts w:hint="default" w:ascii="Times New Roman" w:hAnsi="Times New Roman" w:cs="Times New Roman"/>
                <w:color w:val="auto"/>
                <w:kern w:val="2"/>
                <w:sz w:val="24"/>
                <w:szCs w:val="24"/>
                <w:lang w:val="en-US" w:eastAsia="zh-CN"/>
              </w:rPr>
              <w:t>4662</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，初期雨水经雨水沟收集至初期雨水收集池中，用于项目区洒水降尘，不外排。收集15min的雨水视为初期雨水，厂区总汇水面积约为</w:t>
            </w:r>
            <w:r>
              <w:rPr>
                <w:rFonts w:hint="default" w:ascii="Times New Roman" w:hAnsi="Times New Roman" w:cs="Times New Roman"/>
                <w:color w:val="auto"/>
                <w:kern w:val="2"/>
                <w:sz w:val="24"/>
                <w:szCs w:val="24"/>
                <w:lang w:val="en-US" w:eastAsia="zh-CN"/>
              </w:rPr>
              <w:t>4662</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。初期雨水收集沉淀池容积按照该地区暴雨公式计算。</w:t>
            </w:r>
          </w:p>
          <w:p w14:paraId="4C3F1DA0">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玉溪市暴雨强度计算公式：</w:t>
            </w:r>
          </w:p>
          <w:p w14:paraId="6B141D69">
            <w:pPr>
              <w:spacing w:line="360" w:lineRule="auto"/>
              <w:ind w:firstLine="480" w:firstLineChars="200"/>
              <w:jc w:val="both"/>
              <w:rPr>
                <w:rFonts w:hint="default" w:ascii="Times New Roman" w:hAnsi="Times New Roman" w:cs="Times New Roman"/>
                <w:color w:val="auto"/>
                <w:kern w:val="2"/>
                <w:sz w:val="24"/>
                <w:szCs w:val="24"/>
                <w:lang w:eastAsia="zh-CN"/>
              </w:rPr>
            </w:pPr>
            <m:oMathPara>
              <m:oMath>
                <m:r>
                  <m:rPr>
                    <m:nor/>
                    <m:sty m:val="p"/>
                  </m:rPr>
                  <w:rPr>
                    <w:rFonts w:hint="default" w:ascii="Times New Roman" w:hAnsi="Times New Roman" w:cs="Times New Roman"/>
                    <w:b w:val="0"/>
                    <w:i w:val="0"/>
                    <w:color w:val="auto"/>
                    <w:kern w:val="2"/>
                    <w:sz w:val="24"/>
                    <w:szCs w:val="24"/>
                    <w:lang w:eastAsia="zh-CN"/>
                  </w:rPr>
                  <m:t>q=</m:t>
                </m:r>
                <m:f>
                  <m:fPr>
                    <m:ctrlPr>
                      <w:rPr>
                        <w:rFonts w:hint="default" w:ascii="Cambria Math" w:hAnsi="Cambria Math" w:cs="Times New Roman"/>
                        <w:color w:val="auto"/>
                        <w:kern w:val="2"/>
                        <w:sz w:val="24"/>
                        <w:szCs w:val="24"/>
                        <w:lang w:eastAsia="zh-CN"/>
                      </w:rPr>
                    </m:ctrlPr>
                  </m:fPr>
                  <m:num>
                    <m:r>
                      <m:rPr>
                        <m:nor/>
                        <m:sty m:val="p"/>
                      </m:rPr>
                      <w:rPr>
                        <w:rFonts w:hint="default" w:ascii="Times New Roman" w:hAnsi="Times New Roman" w:cs="Times New Roman"/>
                        <w:b w:val="0"/>
                        <w:i w:val="0"/>
                        <w:color w:val="auto"/>
                        <w:kern w:val="2"/>
                        <w:sz w:val="24"/>
                        <w:szCs w:val="24"/>
                        <w:lang w:eastAsia="zh-CN"/>
                      </w:rPr>
                      <m:t>2870.58×(1+0.633lgP)</m:t>
                    </m:r>
                    <m:ctrlPr>
                      <w:rPr>
                        <w:rFonts w:hint="default" w:ascii="Cambria Math" w:hAnsi="Cambria Math" w:cs="Times New Roman"/>
                        <w:color w:val="auto"/>
                        <w:kern w:val="2"/>
                        <w:sz w:val="24"/>
                        <w:szCs w:val="24"/>
                        <w:lang w:eastAsia="zh-CN"/>
                      </w:rPr>
                    </m:ctrlPr>
                  </m:num>
                  <m:den>
                    <m:sSup>
                      <m:sSupPr>
                        <m:ctrlPr>
                          <w:rPr>
                            <w:rFonts w:hint="default" w:ascii="Cambria Math" w:hAnsi="Cambria Math" w:cs="Times New Roman"/>
                            <w:color w:val="auto"/>
                            <w:kern w:val="2"/>
                            <w:sz w:val="24"/>
                            <w:szCs w:val="24"/>
                            <w:lang w:eastAsia="zh-CN"/>
                          </w:rPr>
                        </m:ctrlPr>
                      </m:sSupPr>
                      <m:e>
                        <m:r>
                          <m:rPr>
                            <m:nor/>
                            <m:sty m:val="p"/>
                          </m:rPr>
                          <w:rPr>
                            <w:rFonts w:hint="default" w:ascii="Times New Roman" w:hAnsi="Times New Roman" w:cs="Times New Roman"/>
                            <w:b w:val="0"/>
                            <w:i w:val="0"/>
                            <w:color w:val="auto"/>
                            <w:kern w:val="2"/>
                            <w:sz w:val="24"/>
                            <w:szCs w:val="24"/>
                            <w:lang w:eastAsia="zh-CN"/>
                          </w:rPr>
                          <m:t>(t+14.742)</m:t>
                        </m:r>
                        <m:ctrlPr>
                          <w:rPr>
                            <w:rFonts w:hint="default" w:ascii="Cambria Math" w:hAnsi="Cambria Math" w:cs="Times New Roman"/>
                            <w:color w:val="auto"/>
                            <w:kern w:val="2"/>
                            <w:sz w:val="24"/>
                            <w:szCs w:val="24"/>
                            <w:lang w:eastAsia="zh-CN"/>
                          </w:rPr>
                        </m:ctrlPr>
                      </m:e>
                      <m:sup>
                        <m:r>
                          <m:rPr>
                            <m:nor/>
                            <m:sty m:val="p"/>
                          </m:rPr>
                          <w:rPr>
                            <w:rFonts w:hint="default" w:ascii="Times New Roman" w:hAnsi="Times New Roman" w:cs="Times New Roman"/>
                            <w:b w:val="0"/>
                            <w:i w:val="0"/>
                            <w:color w:val="auto"/>
                            <w:kern w:val="2"/>
                            <w:sz w:val="24"/>
                            <w:szCs w:val="24"/>
                            <w:lang w:eastAsia="zh-CN"/>
                          </w:rPr>
                          <m:t>0.818</m:t>
                        </m:r>
                        <m:ctrlPr>
                          <w:rPr>
                            <w:rFonts w:hint="default" w:ascii="Cambria Math" w:hAnsi="Cambria Math" w:cs="Times New Roman"/>
                            <w:color w:val="auto"/>
                            <w:kern w:val="2"/>
                            <w:sz w:val="24"/>
                            <w:szCs w:val="24"/>
                            <w:lang w:eastAsia="zh-CN"/>
                          </w:rPr>
                        </m:ctrlPr>
                      </m:sup>
                    </m:sSup>
                    <m:ctrlPr>
                      <w:rPr>
                        <w:rFonts w:hint="default" w:ascii="Cambria Math" w:hAnsi="Cambria Math" w:cs="Times New Roman"/>
                        <w:color w:val="auto"/>
                        <w:kern w:val="2"/>
                        <w:sz w:val="24"/>
                        <w:szCs w:val="24"/>
                        <w:lang w:eastAsia="zh-CN"/>
                      </w:rPr>
                    </m:ctrlPr>
                  </m:den>
                </m:f>
              </m:oMath>
            </m:oMathPara>
          </w:p>
          <w:p w14:paraId="56371A08">
            <w:pPr>
              <w:spacing w:line="360" w:lineRule="auto"/>
              <w:ind w:firstLine="2160" w:firstLineChars="9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式中：P—设计降雨重现期1a；</w:t>
            </w:r>
          </w:p>
          <w:p w14:paraId="3162EAFC">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t—降雨历时（取15min）；</w:t>
            </w:r>
          </w:p>
          <w:p w14:paraId="45DA2564">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得到q=178.96L/s•hm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w:t>
            </w:r>
          </w:p>
          <w:p w14:paraId="68F057E7">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雨水汇水量计算公式：</w:t>
            </w:r>
          </w:p>
          <w:p w14:paraId="566B15BE">
            <w:pPr>
              <w:spacing w:line="360" w:lineRule="auto"/>
              <w:ind w:firstLine="2640" w:firstLineChars="11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Q=ψ×q×F</w:t>
            </w:r>
          </w:p>
          <w:p w14:paraId="2EA2BCFF">
            <w:pPr>
              <w:spacing w:line="360" w:lineRule="auto"/>
              <w:ind w:firstLine="2160" w:firstLineChars="9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式中：Q—雨水流量，L/s；</w:t>
            </w:r>
          </w:p>
          <w:p w14:paraId="5974F2EB">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ψ—径流系数，</w:t>
            </w:r>
            <w:r>
              <w:rPr>
                <w:rFonts w:hint="default" w:ascii="Times New Roman" w:hAnsi="Times New Roman" w:cs="Times New Roman"/>
                <w:color w:val="auto"/>
                <w:kern w:val="2"/>
                <w:sz w:val="24"/>
                <w:szCs w:val="24"/>
                <w:lang w:val="en-US" w:eastAsia="zh-CN"/>
              </w:rPr>
              <w:t>0.55</w:t>
            </w:r>
            <w:r>
              <w:rPr>
                <w:rFonts w:hint="default"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lang w:val="en-US" w:eastAsia="zh-CN"/>
              </w:rPr>
              <w:t>0.65</w:t>
            </w:r>
            <w:r>
              <w:rPr>
                <w:rFonts w:hint="default" w:ascii="Times New Roman" w:hAnsi="Times New Roman" w:cs="Times New Roman"/>
                <w:color w:val="auto"/>
                <w:kern w:val="2"/>
                <w:sz w:val="24"/>
                <w:szCs w:val="24"/>
                <w:lang w:eastAsia="zh-CN"/>
              </w:rPr>
              <w:t>，取</w:t>
            </w:r>
            <w:r>
              <w:rPr>
                <w:rFonts w:hint="default" w:ascii="Times New Roman" w:hAnsi="Times New Roman" w:cs="Times New Roman"/>
                <w:color w:val="auto"/>
                <w:kern w:val="2"/>
                <w:sz w:val="24"/>
                <w:szCs w:val="24"/>
                <w:lang w:val="en-US" w:eastAsia="zh-CN"/>
              </w:rPr>
              <w:t>0.65</w:t>
            </w:r>
            <w:r>
              <w:rPr>
                <w:rFonts w:hint="default" w:ascii="Times New Roman" w:hAnsi="Times New Roman" w:cs="Times New Roman"/>
                <w:color w:val="auto"/>
                <w:kern w:val="2"/>
                <w:sz w:val="24"/>
                <w:szCs w:val="24"/>
                <w:lang w:eastAsia="zh-CN"/>
              </w:rPr>
              <w:t>；</w:t>
            </w:r>
          </w:p>
          <w:p w14:paraId="56E93C0C">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q—设计暴雨强度，178.96L/s.hm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w:t>
            </w:r>
          </w:p>
          <w:p w14:paraId="477EF240">
            <w:pPr>
              <w:spacing w:line="360" w:lineRule="auto"/>
              <w:ind w:firstLine="2880" w:firstLineChars="1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F—汇水面积（hm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），本项目汇水面积约</w:t>
            </w:r>
            <w:r>
              <w:rPr>
                <w:rFonts w:hint="default" w:ascii="Times New Roman" w:hAnsi="Times New Roman" w:cs="Times New Roman"/>
                <w:color w:val="auto"/>
                <w:kern w:val="2"/>
                <w:sz w:val="24"/>
                <w:szCs w:val="24"/>
                <w:lang w:val="en-US" w:eastAsia="zh-CN"/>
              </w:rPr>
              <w:t>0.4662</w:t>
            </w:r>
            <w:r>
              <w:rPr>
                <w:rFonts w:hint="default" w:ascii="Times New Roman" w:hAnsi="Times New Roman" w:cs="Times New Roman"/>
                <w:color w:val="auto"/>
                <w:kern w:val="2"/>
                <w:sz w:val="24"/>
                <w:szCs w:val="24"/>
                <w:lang w:eastAsia="zh-CN"/>
              </w:rPr>
              <w:t>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w:t>
            </w:r>
          </w:p>
          <w:p w14:paraId="70312C06">
            <w:pPr>
              <w:spacing w:line="360" w:lineRule="auto"/>
              <w:ind w:firstLine="480" w:firstLineChars="200"/>
              <w:jc w:val="both"/>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按照上述公式计在设计重现期1年的条件下，建设项目区的暴雨强度为178.96L/秒•hm</w:t>
            </w:r>
            <w:r>
              <w:rPr>
                <w:rFonts w:hint="default" w:ascii="Times New Roman" w:hAnsi="Times New Roman" w:cs="Times New Roman"/>
                <w:color w:val="auto"/>
                <w:kern w:val="2"/>
                <w:sz w:val="24"/>
                <w:szCs w:val="24"/>
                <w:vertAlign w:val="superscript"/>
                <w:lang w:eastAsia="zh-CN"/>
              </w:rPr>
              <w:t>2</w:t>
            </w:r>
            <w:r>
              <w:rPr>
                <w:rFonts w:hint="default" w:ascii="Times New Roman" w:hAnsi="Times New Roman" w:cs="Times New Roman"/>
                <w:color w:val="auto"/>
                <w:kern w:val="2"/>
                <w:sz w:val="24"/>
                <w:szCs w:val="24"/>
                <w:lang w:eastAsia="zh-CN"/>
              </w:rPr>
              <w:t>，雨水流量为</w:t>
            </w:r>
            <w:r>
              <w:rPr>
                <w:rFonts w:hint="default" w:ascii="Times New Roman" w:hAnsi="Times New Roman" w:cs="Times New Roman"/>
                <w:color w:val="auto"/>
                <w:kern w:val="2"/>
                <w:sz w:val="24"/>
                <w:szCs w:val="24"/>
                <w:lang w:val="en-US" w:eastAsia="zh-CN"/>
              </w:rPr>
              <w:t>54.23</w:t>
            </w:r>
            <w:r>
              <w:rPr>
                <w:rFonts w:hint="default" w:ascii="Times New Roman" w:hAnsi="Times New Roman" w:cs="Times New Roman"/>
                <w:color w:val="auto"/>
                <w:kern w:val="2"/>
                <w:sz w:val="24"/>
                <w:szCs w:val="24"/>
                <w:lang w:eastAsia="zh-CN"/>
              </w:rPr>
              <w:t>L/s，即</w:t>
            </w:r>
            <w:r>
              <w:rPr>
                <w:rFonts w:hint="default" w:ascii="Times New Roman" w:hAnsi="Times New Roman" w:cs="Times New Roman"/>
                <w:color w:val="auto"/>
                <w:kern w:val="2"/>
                <w:sz w:val="24"/>
                <w:szCs w:val="24"/>
                <w:lang w:val="en-US" w:eastAsia="zh-CN"/>
              </w:rPr>
              <w:t>195.23</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3</w:t>
            </w:r>
            <w:r>
              <w:rPr>
                <w:rFonts w:hint="default" w:ascii="Times New Roman" w:hAnsi="Times New Roman" w:cs="Times New Roman"/>
                <w:color w:val="auto"/>
                <w:kern w:val="2"/>
                <w:sz w:val="24"/>
                <w:szCs w:val="24"/>
                <w:lang w:eastAsia="zh-CN"/>
              </w:rPr>
              <w:t>/h。本次评价考虑对暴雨条件下前15min的雨水进行收集，则暴雨情况下需收集的雨水量为</w:t>
            </w:r>
            <w:r>
              <w:rPr>
                <w:rFonts w:hint="default" w:ascii="Times New Roman" w:hAnsi="Times New Roman" w:cs="Times New Roman"/>
                <w:color w:val="auto"/>
                <w:kern w:val="2"/>
                <w:sz w:val="24"/>
                <w:szCs w:val="24"/>
                <w:lang w:val="en-US" w:eastAsia="zh-CN"/>
              </w:rPr>
              <w:t>48.81</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3</w:t>
            </w:r>
            <w:r>
              <w:rPr>
                <w:rFonts w:hint="default" w:ascii="Times New Roman" w:hAnsi="Times New Roman" w:cs="Times New Roman"/>
                <w:color w:val="auto"/>
                <w:kern w:val="2"/>
                <w:sz w:val="24"/>
                <w:szCs w:val="24"/>
                <w:lang w:eastAsia="zh-CN"/>
              </w:rPr>
              <w:t>。本次评价考虑1.1的安全系数及不满容存储，环评要求新建一个容积不小于</w:t>
            </w:r>
            <w:r>
              <w:rPr>
                <w:rFonts w:hint="default" w:ascii="Times New Roman" w:hAnsi="Times New Roman" w:cs="Times New Roman"/>
                <w:color w:val="auto"/>
                <w:kern w:val="2"/>
                <w:sz w:val="24"/>
                <w:szCs w:val="24"/>
                <w:lang w:val="en-US" w:eastAsia="zh-CN"/>
              </w:rPr>
              <w:t>54</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3</w:t>
            </w:r>
            <w:r>
              <w:rPr>
                <w:rFonts w:hint="default" w:ascii="Times New Roman" w:hAnsi="Times New Roman" w:cs="Times New Roman"/>
                <w:color w:val="auto"/>
                <w:kern w:val="2"/>
                <w:sz w:val="24"/>
                <w:szCs w:val="24"/>
                <w:lang w:eastAsia="zh-CN"/>
              </w:rPr>
              <w:t>的初期雨水收集池。初期雨水主要污染物为SS，厂区设置排水沟，初期雨水收集进入初期雨水收集池，沉淀后回用于生产或厂区洒水降尘，不外排。</w:t>
            </w:r>
          </w:p>
          <w:p w14:paraId="7A5A15F7">
            <w:pPr>
              <w:spacing w:line="360" w:lineRule="auto"/>
              <w:ind w:firstLine="480" w:firstLineChars="20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4"/>
                <w:szCs w:val="24"/>
                <w:lang w:eastAsia="zh-CN"/>
              </w:rPr>
              <w:t>本次环评提出在项目区西南侧地</w:t>
            </w:r>
            <w:r>
              <w:rPr>
                <w:rFonts w:hint="default" w:ascii="Times New Roman" w:hAnsi="Times New Roman" w:cs="Times New Roman"/>
                <w:color w:val="auto"/>
                <w:sz w:val="24"/>
                <w:lang w:eastAsia="zh-CN"/>
              </w:rPr>
              <w:t>势较低处设置一个容积不小于</w:t>
            </w:r>
            <w:r>
              <w:rPr>
                <w:rFonts w:hint="default" w:ascii="Times New Roman" w:hAnsi="Times New Roman" w:cs="Times New Roman"/>
                <w:color w:val="auto"/>
                <w:sz w:val="24"/>
                <w:lang w:val="en-US" w:eastAsia="zh-CN"/>
              </w:rPr>
              <w:t>54</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的初期雨水收集池对初期雨水进行沉淀处理后，回用于生产</w:t>
            </w:r>
            <w:r>
              <w:rPr>
                <w:rFonts w:hint="default" w:ascii="Times New Roman" w:hAnsi="Times New Roman" w:cs="Times New Roman"/>
                <w:color w:val="auto"/>
                <w:kern w:val="2"/>
                <w:sz w:val="24"/>
                <w:szCs w:val="24"/>
                <w:lang w:eastAsia="zh-CN"/>
              </w:rPr>
              <w:t>或厂区洒水降尘。</w:t>
            </w:r>
          </w:p>
          <w:p w14:paraId="0DB7BE49">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（三）项目废水防治措施</w:t>
            </w:r>
          </w:p>
          <w:p w14:paraId="2A2DE6B9">
            <w:pPr>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①生产废水：原料混合搅拌</w:t>
            </w:r>
            <w:r>
              <w:rPr>
                <w:rFonts w:hint="default" w:ascii="Times New Roman" w:hAnsi="Times New Roman" w:cs="Times New Roman"/>
                <w:color w:val="auto"/>
                <w:lang w:val="en-US" w:eastAsia="zh-CN"/>
              </w:rPr>
              <w:t>废水</w:t>
            </w:r>
            <w:r>
              <w:rPr>
                <w:rFonts w:hint="default" w:ascii="Times New Roman" w:hAnsi="Times New Roman" w:eastAsia="宋体" w:cs="Times New Roman"/>
                <w:bCs/>
                <w:color w:val="auto"/>
                <w:sz w:val="24"/>
                <w:lang w:eastAsia="zh-CN"/>
              </w:rPr>
              <w:t>全部进入产品，不外排，故不产生废水；</w:t>
            </w:r>
          </w:p>
          <w:p w14:paraId="6CE3F8BF">
            <w:pPr>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②搅拌机冲洗废水和运输车辆冲洗废水经三级沉淀池处理后</w:t>
            </w:r>
            <w:r>
              <w:rPr>
                <w:rFonts w:hint="default" w:ascii="Times New Roman" w:hAnsi="Times New Roman" w:cs="Times New Roman"/>
                <w:bCs/>
                <w:color w:val="auto"/>
                <w:sz w:val="24"/>
                <w:lang w:val="en-US" w:eastAsia="zh-CN"/>
              </w:rPr>
              <w:t>回用于生产</w:t>
            </w:r>
            <w:r>
              <w:rPr>
                <w:rFonts w:hint="default" w:ascii="Times New Roman" w:hAnsi="Times New Roman" w:eastAsia="宋体" w:cs="Times New Roman"/>
                <w:bCs/>
                <w:color w:val="auto"/>
                <w:sz w:val="24"/>
                <w:lang w:eastAsia="zh-CN"/>
              </w:rPr>
              <w:t>，不外排；</w:t>
            </w:r>
          </w:p>
          <w:p w14:paraId="01D76096">
            <w:pPr>
              <w:spacing w:line="360" w:lineRule="auto"/>
              <w:ind w:firstLine="480" w:firstLineChars="200"/>
              <w:rPr>
                <w:rFonts w:hint="default" w:ascii="Times New Roman" w:hAnsi="Times New Roman" w:eastAsia="宋体" w:cs="Times New Roman"/>
                <w:bCs/>
                <w:color w:val="auto"/>
                <w:kern w:val="2"/>
                <w:sz w:val="24"/>
                <w:szCs w:val="24"/>
                <w:lang w:eastAsia="zh-CN"/>
              </w:rPr>
            </w:pPr>
            <w:r>
              <w:rPr>
                <w:rFonts w:hint="default" w:ascii="Times New Roman" w:hAnsi="Times New Roman" w:eastAsia="宋体" w:cs="Times New Roman"/>
                <w:bCs/>
                <w:color w:val="auto"/>
                <w:sz w:val="24"/>
                <w:lang w:eastAsia="zh-CN"/>
              </w:rPr>
              <w:t>④初期雨水</w:t>
            </w:r>
            <w:r>
              <w:rPr>
                <w:rFonts w:hint="default" w:ascii="Times New Roman" w:hAnsi="Times New Roman" w:eastAsia="宋体" w:cs="Times New Roman"/>
                <w:bCs/>
                <w:color w:val="auto"/>
                <w:kern w:val="2"/>
                <w:sz w:val="24"/>
                <w:szCs w:val="24"/>
                <w:lang w:eastAsia="zh-CN"/>
              </w:rPr>
              <w:t>：在项目地势较低处设置一个容积不小于</w:t>
            </w:r>
            <w:r>
              <w:rPr>
                <w:rFonts w:hint="default" w:ascii="Times New Roman" w:hAnsi="Times New Roman" w:cs="Times New Roman"/>
                <w:bCs/>
                <w:color w:val="auto"/>
                <w:kern w:val="2"/>
                <w:sz w:val="24"/>
                <w:szCs w:val="24"/>
                <w:lang w:val="en-US" w:eastAsia="zh-CN"/>
              </w:rPr>
              <w:t>54</w:t>
            </w:r>
            <w:r>
              <w:rPr>
                <w:rFonts w:hint="default" w:ascii="Times New Roman" w:hAnsi="Times New Roman" w:eastAsia="宋体" w:cs="Times New Roman"/>
                <w:bCs/>
                <w:color w:val="auto"/>
                <w:kern w:val="2"/>
                <w:sz w:val="24"/>
                <w:szCs w:val="24"/>
                <w:lang w:eastAsia="zh-CN"/>
              </w:rPr>
              <w:t>m</w:t>
            </w:r>
            <w:r>
              <w:rPr>
                <w:rFonts w:hint="default" w:ascii="Times New Roman" w:hAnsi="Times New Roman" w:eastAsia="宋体" w:cs="Times New Roman"/>
                <w:bCs/>
                <w:color w:val="auto"/>
                <w:kern w:val="2"/>
                <w:sz w:val="24"/>
                <w:szCs w:val="24"/>
                <w:vertAlign w:val="superscript"/>
                <w:lang w:eastAsia="zh-CN"/>
              </w:rPr>
              <w:t>3</w:t>
            </w:r>
            <w:r>
              <w:rPr>
                <w:rFonts w:hint="default" w:ascii="Times New Roman" w:hAnsi="Times New Roman" w:eastAsia="宋体" w:cs="Times New Roman"/>
                <w:bCs/>
                <w:color w:val="auto"/>
                <w:kern w:val="2"/>
                <w:sz w:val="24"/>
                <w:szCs w:val="24"/>
                <w:lang w:eastAsia="zh-CN"/>
              </w:rPr>
              <w:t>的初期雨水收集池对初期雨水进行沉淀处理后，回用于生产或厂区洒水降尘；</w:t>
            </w:r>
          </w:p>
          <w:p w14:paraId="46EB43E3">
            <w:pPr>
              <w:spacing w:line="360" w:lineRule="auto"/>
              <w:ind w:firstLine="480" w:firstLineChars="200"/>
              <w:rPr>
                <w:rFonts w:hint="default" w:ascii="Times New Roman" w:hAnsi="Times New Roman" w:cs="Times New Roman"/>
                <w:bCs/>
                <w:color w:val="auto"/>
                <w:kern w:val="2"/>
                <w:sz w:val="24"/>
                <w:szCs w:val="24"/>
                <w:lang w:val="en-US" w:eastAsia="zh-CN"/>
              </w:rPr>
            </w:pPr>
            <w:r>
              <w:rPr>
                <w:rFonts w:hint="default" w:ascii="Times New Roman" w:hAnsi="Times New Roman" w:eastAsia="宋体" w:cs="Times New Roman"/>
                <w:bCs/>
                <w:color w:val="auto"/>
                <w:kern w:val="2"/>
                <w:sz w:val="24"/>
                <w:szCs w:val="24"/>
                <w:lang w:eastAsia="zh-CN"/>
              </w:rPr>
              <w:t>⑤原料堆场设置</w:t>
            </w:r>
            <w:r>
              <w:rPr>
                <w:rFonts w:hint="default" w:ascii="Times New Roman" w:hAnsi="Times New Roman" w:cs="Times New Roman"/>
                <w:bCs/>
                <w:color w:val="auto"/>
                <w:kern w:val="2"/>
                <w:sz w:val="24"/>
                <w:szCs w:val="24"/>
                <w:lang w:val="en-US" w:eastAsia="zh-CN"/>
              </w:rPr>
              <w:t>雾炮机</w:t>
            </w:r>
            <w:r>
              <w:rPr>
                <w:rFonts w:hint="default" w:ascii="Times New Roman" w:hAnsi="Times New Roman" w:eastAsia="宋体" w:cs="Times New Roman"/>
                <w:bCs/>
                <w:color w:val="auto"/>
                <w:kern w:val="2"/>
                <w:sz w:val="24"/>
                <w:szCs w:val="24"/>
                <w:lang w:eastAsia="zh-CN"/>
              </w:rPr>
              <w:t>进行</w:t>
            </w:r>
            <w:r>
              <w:rPr>
                <w:rFonts w:hint="default" w:ascii="Times New Roman" w:hAnsi="Times New Roman" w:cs="Times New Roman"/>
                <w:bCs/>
                <w:color w:val="auto"/>
                <w:kern w:val="2"/>
                <w:sz w:val="24"/>
                <w:szCs w:val="24"/>
                <w:lang w:val="en-US" w:eastAsia="zh-CN"/>
              </w:rPr>
              <w:t>喷雾</w:t>
            </w:r>
            <w:r>
              <w:rPr>
                <w:rFonts w:hint="default" w:ascii="Times New Roman" w:hAnsi="Times New Roman" w:eastAsia="宋体" w:cs="Times New Roman"/>
                <w:bCs/>
                <w:color w:val="auto"/>
                <w:kern w:val="2"/>
                <w:sz w:val="24"/>
                <w:szCs w:val="24"/>
                <w:lang w:eastAsia="zh-CN"/>
              </w:rPr>
              <w:t>降尘措施</w:t>
            </w:r>
            <w:r>
              <w:rPr>
                <w:rFonts w:hint="default" w:ascii="Times New Roman" w:hAnsi="Times New Roman" w:cs="Times New Roman"/>
                <w:bCs/>
                <w:color w:val="auto"/>
                <w:kern w:val="2"/>
                <w:sz w:val="24"/>
                <w:szCs w:val="24"/>
                <w:lang w:eastAsia="zh-CN"/>
              </w:rPr>
              <w:t>、</w:t>
            </w:r>
            <w:r>
              <w:rPr>
                <w:rFonts w:hint="default" w:ascii="Times New Roman" w:hAnsi="Times New Roman" w:cs="Times New Roman"/>
                <w:bCs/>
                <w:color w:val="auto"/>
                <w:kern w:val="2"/>
                <w:sz w:val="24"/>
                <w:szCs w:val="24"/>
                <w:lang w:val="en-US" w:eastAsia="zh-CN"/>
              </w:rPr>
              <w:t>道路洒水降尘；</w:t>
            </w:r>
          </w:p>
          <w:p w14:paraId="4E77AD1D">
            <w:pPr>
              <w:spacing w:line="360" w:lineRule="auto"/>
              <w:ind w:firstLine="480" w:firstLineChars="200"/>
              <w:rPr>
                <w:rFonts w:hint="default" w:ascii="Times New Roman" w:hAnsi="Times New Roman" w:eastAsia="宋体" w:cs="Times New Roman"/>
                <w:bCs/>
                <w:color w:val="auto"/>
                <w:kern w:val="2"/>
                <w:sz w:val="24"/>
                <w:szCs w:val="24"/>
                <w:lang w:eastAsia="zh-CN"/>
              </w:rPr>
            </w:pPr>
            <w:r>
              <w:rPr>
                <w:rFonts w:hint="default" w:ascii="Times New Roman" w:hAnsi="Times New Roman" w:eastAsia="宋体" w:cs="Times New Roman"/>
                <w:bCs/>
                <w:color w:val="auto"/>
                <w:kern w:val="2"/>
                <w:sz w:val="24"/>
                <w:szCs w:val="24"/>
                <w:lang w:eastAsia="zh-CN"/>
              </w:rPr>
              <w:t>⑥</w:t>
            </w:r>
            <w:r>
              <w:rPr>
                <w:rFonts w:hint="default" w:ascii="Times New Roman" w:hAnsi="Times New Roman" w:cs="Times New Roman"/>
                <w:bCs/>
                <w:color w:val="auto"/>
                <w:kern w:val="2"/>
                <w:sz w:val="24"/>
                <w:szCs w:val="24"/>
                <w:lang w:val="en-US" w:eastAsia="zh-CN"/>
              </w:rPr>
              <w:t>生活污水：</w:t>
            </w:r>
            <w:r>
              <w:rPr>
                <w:rFonts w:hint="default" w:ascii="Times New Roman" w:hAnsi="Times New Roman" w:cs="Times New Roman"/>
                <w:b w:val="0"/>
                <w:bCs w:val="0"/>
                <w:color w:val="auto"/>
                <w:kern w:val="2"/>
                <w:sz w:val="24"/>
                <w:szCs w:val="24"/>
                <w:lang w:val="en-US" w:eastAsia="zh-CN"/>
              </w:rPr>
              <w:t>本项目产生的生活污水经化粪池</w:t>
            </w:r>
            <w:r>
              <w:rPr>
                <w:rFonts w:hint="default" w:ascii="Times New Roman" w:hAnsi="Times New Roman" w:cs="Times New Roman"/>
                <w:bCs/>
                <w:color w:val="auto"/>
                <w:kern w:val="2"/>
                <w:sz w:val="24"/>
                <w:szCs w:val="24"/>
                <w:lang w:eastAsia="zh-CN"/>
              </w:rPr>
              <w:t>（容积3m</w:t>
            </w:r>
            <w:r>
              <w:rPr>
                <w:rFonts w:hint="default" w:ascii="Times New Roman" w:hAnsi="Times New Roman" w:cs="Times New Roman"/>
                <w:bCs/>
                <w:color w:val="auto"/>
                <w:kern w:val="2"/>
                <w:sz w:val="24"/>
                <w:szCs w:val="24"/>
                <w:vertAlign w:val="superscript"/>
                <w:lang w:eastAsia="zh-CN"/>
              </w:rPr>
              <w:t>3</w:t>
            </w:r>
            <w:r>
              <w:rPr>
                <w:rFonts w:hint="default" w:ascii="Times New Roman" w:hAnsi="Times New Roman" w:cs="Times New Roman"/>
                <w:bCs/>
                <w:color w:val="auto"/>
                <w:kern w:val="2"/>
                <w:sz w:val="24"/>
                <w:szCs w:val="24"/>
                <w:lang w:eastAsia="zh-CN"/>
              </w:rPr>
              <w:t>）</w:t>
            </w:r>
            <w:r>
              <w:rPr>
                <w:rFonts w:hint="default" w:ascii="Times New Roman" w:hAnsi="Times New Roman" w:cs="Times New Roman"/>
                <w:b w:val="0"/>
                <w:bCs w:val="0"/>
                <w:color w:val="auto"/>
                <w:kern w:val="2"/>
                <w:sz w:val="24"/>
                <w:szCs w:val="24"/>
                <w:lang w:val="en-US" w:eastAsia="zh-CN"/>
              </w:rPr>
              <w:t>预处理后进1个规模为2m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/d的一体化污水处理站处理达《城市污水再生利用 城市杂用水水质》（GB/T 18920-2020）中城市绿化、道路清扫、消防、建筑施工标准后回用于项目区洒水降尘。在污水处理站后方设置1个容积5m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的中水收集池，用于雨天收集污水处理站处理后的中水，待晴天回用</w:t>
            </w:r>
            <w:r>
              <w:rPr>
                <w:rFonts w:hint="default" w:ascii="Times New Roman" w:hAnsi="Times New Roman" w:eastAsia="宋体" w:cs="Times New Roman"/>
                <w:bCs/>
                <w:color w:val="auto"/>
                <w:kern w:val="2"/>
                <w:sz w:val="24"/>
                <w:szCs w:val="24"/>
                <w:lang w:eastAsia="zh-CN"/>
              </w:rPr>
              <w:t>。</w:t>
            </w:r>
          </w:p>
          <w:p w14:paraId="32537F9F">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（四）项目废水防治措施可行性分析</w:t>
            </w:r>
          </w:p>
          <w:p w14:paraId="12FE6EC9">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 xml:space="preserve">1、生产废水回用可行性分析及不外排可靠性分析 </w:t>
            </w:r>
          </w:p>
          <w:p w14:paraId="2EE1FF69">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 xml:space="preserve">①生产废水回用可行性分析 </w:t>
            </w:r>
          </w:p>
          <w:p w14:paraId="0177BC58">
            <w:pPr>
              <w:spacing w:line="360" w:lineRule="auto"/>
              <w:ind w:firstLine="452" w:firstLineChars="200"/>
              <w:jc w:val="both"/>
              <w:rPr>
                <w:rFonts w:hint="default" w:ascii="Times New Roman" w:hAnsi="Times New Roman" w:cs="Times New Roman"/>
                <w:bCs/>
                <w:color w:val="auto"/>
                <w:sz w:val="24"/>
                <w:lang w:eastAsia="zh-CN"/>
              </w:rPr>
            </w:pPr>
            <w:r>
              <w:rPr>
                <w:rFonts w:hint="default" w:ascii="Times New Roman" w:hAnsi="Times New Roman" w:cs="Times New Roman"/>
                <w:color w:val="auto"/>
                <w:spacing w:val="-7"/>
                <w:sz w:val="24"/>
                <w:lang w:eastAsia="zh-CN"/>
              </w:rPr>
              <w:t>根据工程分析，搅拌机冲洗废水和运输车辆冲洗废水产生量为</w:t>
            </w:r>
            <w:r>
              <w:rPr>
                <w:rFonts w:hint="default" w:ascii="Times New Roman" w:hAnsi="Times New Roman" w:cs="Times New Roman"/>
                <w:color w:val="auto"/>
                <w:spacing w:val="-3"/>
                <w:sz w:val="24"/>
                <w:lang w:val="en-US" w:eastAsia="zh-CN"/>
              </w:rPr>
              <w:t>16.08</w:t>
            </w:r>
            <w:r>
              <w:rPr>
                <w:rFonts w:hint="default" w:ascii="Times New Roman" w:hAnsi="Times New Roman" w:eastAsia="Times New Roman" w:cs="Times New Roman"/>
                <w:color w:val="auto"/>
                <w:spacing w:val="-3"/>
                <w:sz w:val="24"/>
                <w:lang w:eastAsia="zh-CN"/>
              </w:rPr>
              <w:t>m</w:t>
            </w:r>
            <w:r>
              <w:rPr>
                <w:rFonts w:hint="default" w:ascii="Times New Roman" w:hAnsi="Times New Roman" w:eastAsia="Times New Roman" w:cs="Times New Roman"/>
                <w:color w:val="auto"/>
                <w:spacing w:val="-3"/>
                <w:position w:val="8"/>
                <w:sz w:val="15"/>
                <w:lang w:eastAsia="zh-CN"/>
              </w:rPr>
              <w:t>3</w:t>
            </w:r>
            <w:r>
              <w:rPr>
                <w:rFonts w:hint="default" w:ascii="Times New Roman" w:hAnsi="Times New Roman" w:eastAsia="Times New Roman" w:cs="Times New Roman"/>
                <w:color w:val="auto"/>
                <w:spacing w:val="-3"/>
                <w:sz w:val="24"/>
                <w:lang w:eastAsia="zh-CN"/>
              </w:rPr>
              <w:t>/d</w:t>
            </w:r>
            <w:r>
              <w:rPr>
                <w:rFonts w:hint="default" w:ascii="Times New Roman" w:hAnsi="Times New Roman" w:cs="Times New Roman"/>
                <w:color w:val="auto"/>
                <w:spacing w:val="-2"/>
                <w:sz w:val="24"/>
                <w:lang w:eastAsia="zh-CN"/>
              </w:rPr>
              <w:t>，本项目</w:t>
            </w:r>
            <w:r>
              <w:rPr>
                <w:rFonts w:hint="default" w:ascii="Times New Roman" w:hAnsi="Times New Roman" w:cs="Times New Roman"/>
                <w:color w:val="auto"/>
                <w:spacing w:val="-16"/>
                <w:sz w:val="24"/>
                <w:lang w:eastAsia="zh-CN"/>
              </w:rPr>
              <w:t>设置</w:t>
            </w:r>
            <w:r>
              <w:rPr>
                <w:rFonts w:hint="default" w:ascii="Times New Roman" w:hAnsi="Times New Roman" w:cs="Times New Roman"/>
                <w:color w:val="auto"/>
                <w:spacing w:val="-16"/>
                <w:sz w:val="24"/>
                <w:lang w:val="en-US" w:eastAsia="zh-CN"/>
              </w:rPr>
              <w:t>一个容积</w:t>
            </w:r>
            <w:r>
              <w:rPr>
                <w:rFonts w:hint="default" w:ascii="Times New Roman" w:hAnsi="Times New Roman" w:cs="Times New Roman"/>
                <w:color w:val="auto"/>
                <w:spacing w:val="-16"/>
                <w:sz w:val="24"/>
                <w:lang w:eastAsia="zh-CN"/>
              </w:rPr>
              <w:t xml:space="preserve">为 </w:t>
            </w:r>
            <w:r>
              <w:rPr>
                <w:rFonts w:hint="default" w:ascii="Times New Roman" w:hAnsi="Times New Roman" w:eastAsia="Times New Roman" w:cs="Times New Roman"/>
                <w:color w:val="auto"/>
                <w:spacing w:val="-5"/>
                <w:sz w:val="24"/>
                <w:lang w:val="en-US" w:eastAsia="zh-CN"/>
              </w:rPr>
              <w:t>200</w:t>
            </w:r>
            <w:r>
              <w:rPr>
                <w:rFonts w:hint="default" w:ascii="Times New Roman" w:hAnsi="Times New Roman" w:eastAsia="Times New Roman" w:cs="Times New Roman"/>
                <w:color w:val="auto"/>
                <w:spacing w:val="-5"/>
                <w:sz w:val="24"/>
                <w:lang w:eastAsia="zh-CN"/>
              </w:rPr>
              <w:t>m</w:t>
            </w:r>
            <w:r>
              <w:rPr>
                <w:rFonts w:hint="default" w:ascii="Times New Roman" w:hAnsi="Times New Roman" w:eastAsia="Times New Roman" w:cs="Times New Roman"/>
                <w:color w:val="auto"/>
                <w:spacing w:val="-5"/>
                <w:position w:val="8"/>
                <w:sz w:val="15"/>
                <w:lang w:eastAsia="zh-CN"/>
              </w:rPr>
              <w:t>3</w:t>
            </w:r>
            <w:r>
              <w:rPr>
                <w:rFonts w:hint="default" w:ascii="Times New Roman" w:hAnsi="Times New Roman" w:cs="Times New Roman"/>
                <w:color w:val="auto"/>
                <w:spacing w:val="-10"/>
                <w:sz w:val="24"/>
                <w:lang w:val="en-US" w:eastAsia="zh-CN"/>
              </w:rPr>
              <w:t>的三级沉淀池，</w:t>
            </w:r>
            <w:r>
              <w:rPr>
                <w:rFonts w:hint="default" w:ascii="Times New Roman" w:hAnsi="Times New Roman" w:cs="Times New Roman"/>
                <w:color w:val="auto"/>
                <w:spacing w:val="-10"/>
                <w:sz w:val="24"/>
                <w:lang w:eastAsia="zh-CN"/>
              </w:rPr>
              <w:t>可</w:t>
            </w:r>
            <w:r>
              <w:rPr>
                <w:rFonts w:hint="default" w:ascii="Times New Roman" w:hAnsi="Times New Roman" w:cs="Times New Roman"/>
                <w:color w:val="auto"/>
                <w:spacing w:val="-10"/>
                <w:sz w:val="24"/>
                <w:lang w:val="en-US" w:eastAsia="zh-CN"/>
              </w:rPr>
              <w:t>有效容纳12天的冲洗废水，且冲洗废水沉淀后可回用于</w:t>
            </w:r>
            <w:r>
              <w:rPr>
                <w:rFonts w:hint="default" w:ascii="Times New Roman" w:hAnsi="Times New Roman" w:cs="Times New Roman"/>
                <w:color w:val="auto"/>
                <w:spacing w:val="-9"/>
                <w:sz w:val="24"/>
                <w:lang w:val="en-US" w:eastAsia="zh-CN"/>
              </w:rPr>
              <w:t>场地洒水降</w:t>
            </w:r>
            <w:r>
              <w:rPr>
                <w:rFonts w:hint="default" w:ascii="Times New Roman" w:hAnsi="Times New Roman" w:cs="Times New Roman"/>
                <w:color w:val="auto"/>
                <w:spacing w:val="-10"/>
                <w:sz w:val="24"/>
                <w:lang w:val="en-US" w:eastAsia="zh-CN"/>
              </w:rPr>
              <w:t>尘及拌合用水，本</w:t>
            </w:r>
            <w:r>
              <w:rPr>
                <w:rFonts w:hint="default" w:ascii="Times New Roman" w:hAnsi="Times New Roman" w:cs="Times New Roman"/>
                <w:color w:val="auto"/>
                <w:spacing w:val="-9"/>
                <w:sz w:val="24"/>
                <w:lang w:eastAsia="zh-CN"/>
              </w:rPr>
              <w:t>项目还需定期对</w:t>
            </w:r>
            <w:r>
              <w:rPr>
                <w:rFonts w:hint="default" w:ascii="Times New Roman" w:hAnsi="Times New Roman" w:cs="Times New Roman"/>
                <w:color w:val="auto"/>
                <w:spacing w:val="-9"/>
                <w:sz w:val="24"/>
                <w:lang w:val="en-US" w:eastAsia="zh-CN"/>
              </w:rPr>
              <w:t>沉淀池</w:t>
            </w:r>
            <w:r>
              <w:rPr>
                <w:rFonts w:hint="default" w:ascii="Times New Roman" w:hAnsi="Times New Roman" w:cs="Times New Roman"/>
                <w:color w:val="auto"/>
                <w:spacing w:val="-9"/>
                <w:sz w:val="24"/>
                <w:lang w:eastAsia="zh-CN"/>
              </w:rPr>
              <w:t>补充循环水，故本项目不会存在废水外</w:t>
            </w:r>
            <w:r>
              <w:rPr>
                <w:rFonts w:hint="default" w:ascii="Times New Roman" w:hAnsi="Times New Roman" w:cs="Times New Roman"/>
                <w:color w:val="auto"/>
                <w:spacing w:val="-15"/>
                <w:sz w:val="24"/>
                <w:lang w:eastAsia="zh-CN"/>
              </w:rPr>
              <w:t>排情况发生，设置</w:t>
            </w:r>
            <w:r>
              <w:rPr>
                <w:rFonts w:hint="default" w:ascii="Times New Roman" w:hAnsi="Times New Roman" w:cs="Times New Roman"/>
                <w:color w:val="auto"/>
                <w:spacing w:val="-15"/>
                <w:sz w:val="24"/>
                <w:lang w:val="en-US" w:eastAsia="zh-CN"/>
              </w:rPr>
              <w:t>200</w:t>
            </w:r>
            <w:r>
              <w:rPr>
                <w:rFonts w:hint="default" w:ascii="Times New Roman" w:hAnsi="Times New Roman" w:eastAsia="Times New Roman" w:cs="Times New Roman"/>
                <w:color w:val="auto"/>
                <w:sz w:val="24"/>
                <w:lang w:eastAsia="zh-CN"/>
              </w:rPr>
              <w:t>m</w:t>
            </w:r>
            <w:r>
              <w:rPr>
                <w:rFonts w:hint="default" w:ascii="Times New Roman" w:hAnsi="Times New Roman" w:eastAsia="Times New Roman" w:cs="Times New Roman"/>
                <w:color w:val="auto"/>
                <w:position w:val="8"/>
                <w:sz w:val="15"/>
                <w:lang w:eastAsia="zh-CN"/>
              </w:rPr>
              <w:t xml:space="preserve">3 </w:t>
            </w:r>
            <w:r>
              <w:rPr>
                <w:rFonts w:hint="default" w:ascii="Times New Roman" w:hAnsi="Times New Roman" w:cs="Times New Roman"/>
                <w:color w:val="auto"/>
                <w:sz w:val="24"/>
                <w:lang w:eastAsia="zh-CN"/>
              </w:rPr>
              <w:t>的循环水池是合理可行的。</w:t>
            </w:r>
          </w:p>
          <w:p w14:paraId="79757613">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2、项目初期雨水回用可行性分析</w:t>
            </w:r>
          </w:p>
          <w:p w14:paraId="684074F8">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在</w:t>
            </w:r>
            <w:r>
              <w:rPr>
                <w:rFonts w:hint="default" w:ascii="Times New Roman" w:hAnsi="Times New Roman" w:cs="Times New Roman"/>
                <w:color w:val="auto"/>
                <w:kern w:val="2"/>
                <w:sz w:val="24"/>
                <w:szCs w:val="24"/>
                <w:lang w:eastAsia="zh-CN"/>
              </w:rPr>
              <w:t>项目区西南侧地</w:t>
            </w:r>
            <w:r>
              <w:rPr>
                <w:rFonts w:hint="default" w:ascii="Times New Roman" w:hAnsi="Times New Roman" w:cs="Times New Roman"/>
                <w:color w:val="auto"/>
                <w:sz w:val="24"/>
                <w:lang w:eastAsia="zh-CN"/>
              </w:rPr>
              <w:t>势较低处设置一个容积不小于</w:t>
            </w:r>
            <w:r>
              <w:rPr>
                <w:rFonts w:hint="default" w:ascii="Times New Roman" w:hAnsi="Times New Roman" w:cs="Times New Roman"/>
                <w:color w:val="auto"/>
                <w:sz w:val="24"/>
                <w:lang w:val="en-US" w:eastAsia="zh-CN"/>
              </w:rPr>
              <w:t>54</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的初期雨水收集池对初期雨水进行沉淀处理后，回用于生产</w:t>
            </w:r>
            <w:r>
              <w:rPr>
                <w:rFonts w:hint="default" w:ascii="Times New Roman" w:hAnsi="Times New Roman" w:cs="Times New Roman"/>
                <w:color w:val="auto"/>
                <w:kern w:val="2"/>
                <w:sz w:val="24"/>
                <w:szCs w:val="24"/>
                <w:lang w:eastAsia="zh-CN"/>
              </w:rPr>
              <w:t>或厂区洒水降尘</w:t>
            </w:r>
            <w:r>
              <w:rPr>
                <w:rFonts w:hint="default" w:ascii="Times New Roman" w:hAnsi="Times New Roman" w:cs="Times New Roman"/>
                <w:bCs/>
                <w:color w:val="auto"/>
                <w:sz w:val="24"/>
                <w:lang w:eastAsia="zh-CN"/>
              </w:rPr>
              <w:t>。</w:t>
            </w:r>
          </w:p>
          <w:p w14:paraId="5EC9B138">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初期雨水中主要含有SS，在经过初期雨水收集池沉淀处理后，水中SS大量沉降，初期雨水收集池中澄清的水水质与雨水一致，是能够满足项目洒水降尘或洗砂工序要求的。</w:t>
            </w:r>
          </w:p>
          <w:p w14:paraId="04881576">
            <w:pPr>
              <w:numPr>
                <w:ilvl w:val="0"/>
                <w:numId w:val="3"/>
              </w:numPr>
              <w:spacing w:line="360" w:lineRule="auto"/>
              <w:ind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生活废水回用可行性分析</w:t>
            </w:r>
          </w:p>
          <w:p w14:paraId="022D44E2">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①从水量角度分析</w:t>
            </w:r>
          </w:p>
          <w:p w14:paraId="6C274018">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项目生活污水处理设备设施主要有：1个容积为3.0m</w:t>
            </w:r>
            <w:r>
              <w:rPr>
                <w:rFonts w:hint="default" w:ascii="Times New Roman" w:hAnsi="Times New Roman" w:cs="Times New Roman"/>
                <w:bCs/>
                <w:color w:val="auto"/>
                <w:sz w:val="24"/>
                <w:vertAlign w:val="superscript"/>
                <w:lang w:eastAsia="zh-CN"/>
              </w:rPr>
              <w:t>3</w:t>
            </w:r>
            <w:r>
              <w:rPr>
                <w:rFonts w:hint="default" w:ascii="Times New Roman" w:hAnsi="Times New Roman" w:cs="Times New Roman"/>
                <w:bCs/>
                <w:color w:val="auto"/>
                <w:sz w:val="24"/>
                <w:lang w:eastAsia="zh-CN"/>
              </w:rPr>
              <w:t>的化粪池，1个处理规模为2.0m</w:t>
            </w:r>
            <w:r>
              <w:rPr>
                <w:rFonts w:hint="default" w:ascii="Times New Roman" w:hAnsi="Times New Roman" w:cs="Times New Roman"/>
                <w:bCs/>
                <w:color w:val="auto"/>
                <w:sz w:val="24"/>
                <w:vertAlign w:val="superscript"/>
                <w:lang w:eastAsia="zh-CN"/>
              </w:rPr>
              <w:t>3</w:t>
            </w:r>
            <w:r>
              <w:rPr>
                <w:rFonts w:hint="default" w:ascii="Times New Roman" w:hAnsi="Times New Roman" w:cs="Times New Roman"/>
                <w:bCs/>
                <w:color w:val="auto"/>
                <w:sz w:val="24"/>
                <w:lang w:eastAsia="zh-CN"/>
              </w:rPr>
              <w:t>/d的一体化污水处理站，1个容积为5m</w:t>
            </w:r>
            <w:r>
              <w:rPr>
                <w:rFonts w:hint="default" w:ascii="Times New Roman" w:hAnsi="Times New Roman" w:cs="Times New Roman"/>
                <w:bCs/>
                <w:color w:val="auto"/>
                <w:sz w:val="24"/>
                <w:vertAlign w:val="superscript"/>
                <w:lang w:eastAsia="zh-CN"/>
              </w:rPr>
              <w:t>3</w:t>
            </w:r>
            <w:r>
              <w:rPr>
                <w:rFonts w:hint="default" w:ascii="Times New Roman" w:hAnsi="Times New Roman" w:cs="Times New Roman"/>
                <w:bCs/>
                <w:color w:val="auto"/>
                <w:sz w:val="24"/>
                <w:lang w:eastAsia="zh-CN"/>
              </w:rPr>
              <w:t>的中水收集池。</w:t>
            </w:r>
          </w:p>
          <w:p w14:paraId="4B078CB1">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项目生活污水中主要含有COD、BOD</w:t>
            </w:r>
            <w:r>
              <w:rPr>
                <w:rFonts w:hint="default" w:ascii="Times New Roman" w:hAnsi="Times New Roman" w:cs="Times New Roman"/>
                <w:bCs/>
                <w:color w:val="auto"/>
                <w:sz w:val="24"/>
                <w:vertAlign w:val="subscript"/>
                <w:lang w:eastAsia="zh-CN"/>
              </w:rPr>
              <w:t>5</w:t>
            </w:r>
            <w:r>
              <w:rPr>
                <w:rFonts w:hint="default" w:ascii="Times New Roman" w:hAnsi="Times New Roman" w:cs="Times New Roman"/>
                <w:bCs/>
                <w:color w:val="auto"/>
                <w:sz w:val="24"/>
                <w:lang w:eastAsia="zh-CN"/>
              </w:rPr>
              <w:t>、NH</w:t>
            </w:r>
            <w:r>
              <w:rPr>
                <w:rFonts w:hint="default" w:ascii="Times New Roman" w:hAnsi="Times New Roman" w:cs="Times New Roman"/>
                <w:bCs/>
                <w:color w:val="auto"/>
                <w:sz w:val="24"/>
                <w:vertAlign w:val="subscript"/>
                <w:lang w:eastAsia="zh-CN"/>
              </w:rPr>
              <w:t>3</w:t>
            </w:r>
            <w:r>
              <w:rPr>
                <w:rFonts w:hint="default" w:ascii="Times New Roman" w:hAnsi="Times New Roman" w:cs="Times New Roman"/>
                <w:bCs/>
                <w:color w:val="auto"/>
                <w:sz w:val="24"/>
                <w:lang w:eastAsia="zh-CN"/>
              </w:rPr>
              <w:t>-N、SS、动植物油等，相对简单，隔油池能去除大部分的食堂含油废水中的油污，生活污水中的各污染物浓度将得到很大程度的去，经处理隔油沉淀去除大部分SS。</w:t>
            </w:r>
          </w:p>
          <w:p w14:paraId="7A008545">
            <w:pPr>
              <w:spacing w:line="360" w:lineRule="auto"/>
              <w:ind w:firstLine="480" w:firstLineChars="200"/>
              <w:jc w:val="both"/>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lang w:eastAsia="zh-CN"/>
              </w:rPr>
              <w:t>项目化粪池容积3.0m</w:t>
            </w:r>
            <w:r>
              <w:rPr>
                <w:rFonts w:hint="default" w:ascii="Times New Roman" w:hAnsi="Times New Roman" w:cs="Times New Roman"/>
                <w:bCs/>
                <w:color w:val="auto"/>
                <w:sz w:val="24"/>
                <w:vertAlign w:val="superscript"/>
                <w:lang w:eastAsia="zh-CN"/>
              </w:rPr>
              <w:t>3</w:t>
            </w:r>
            <w:r>
              <w:rPr>
                <w:rFonts w:hint="default" w:ascii="Times New Roman" w:hAnsi="Times New Roman" w:cs="Times New Roman"/>
                <w:bCs/>
                <w:color w:val="auto"/>
                <w:sz w:val="24"/>
                <w:lang w:eastAsia="zh-CN"/>
              </w:rPr>
              <w:t>，容积大于每天废水产生量，能保证生活污水停留时间24小时；本次环评要求建设单位设置1套一体化污水处理设施，用于处理生活污水，一体化污水处理设施处理规模不小于2.0m³/d，容积大于每天废水产生量；项目设有1个容积为5m</w:t>
            </w:r>
            <w:r>
              <w:rPr>
                <w:rFonts w:hint="default" w:ascii="Times New Roman" w:hAnsi="Times New Roman" w:cs="Times New Roman"/>
                <w:bCs/>
                <w:color w:val="auto"/>
                <w:sz w:val="24"/>
                <w:vertAlign w:val="superscript"/>
                <w:lang w:eastAsia="zh-CN"/>
              </w:rPr>
              <w:t>3</w:t>
            </w:r>
            <w:r>
              <w:rPr>
                <w:rFonts w:hint="default" w:ascii="Times New Roman" w:hAnsi="Times New Roman" w:cs="Times New Roman"/>
                <w:bCs/>
                <w:color w:val="auto"/>
                <w:sz w:val="24"/>
                <w:lang w:eastAsia="zh-CN"/>
              </w:rPr>
              <w:t>的中水收集池，可以暂存一体污水处理站</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lang w:eastAsia="zh-CN"/>
              </w:rPr>
              <w:t>天出水。本项目</w:t>
            </w:r>
            <w:r>
              <w:rPr>
                <w:rFonts w:hint="default" w:ascii="Times New Roman" w:hAnsi="Times New Roman" w:cs="Times New Roman"/>
                <w:bCs/>
                <w:color w:val="auto"/>
                <w:sz w:val="24"/>
                <w:lang w:val="en-US" w:eastAsia="zh-CN"/>
              </w:rPr>
              <w:t>生活污水产生量为</w:t>
            </w:r>
            <w:r>
              <w:rPr>
                <w:rFonts w:hint="default" w:ascii="Times New Roman" w:hAnsi="Times New Roman" w:cs="Times New Roman"/>
                <w:color w:val="auto"/>
                <w:kern w:val="2"/>
                <w:sz w:val="24"/>
                <w:szCs w:val="24"/>
                <w:lang w:val="en-US" w:eastAsia="zh-CN"/>
              </w:rPr>
              <w:t>216</w:t>
            </w:r>
            <w:r>
              <w:rPr>
                <w:rFonts w:hint="default" w:ascii="Times New Roman" w:hAnsi="Times New Roman" w:cs="Times New Roman"/>
                <w:color w:val="auto"/>
                <w:kern w:val="2"/>
                <w:sz w:val="24"/>
                <w:szCs w:val="24"/>
                <w:lang w:eastAsia="zh-CN"/>
              </w:rPr>
              <w:t>m</w:t>
            </w:r>
            <w:r>
              <w:rPr>
                <w:rFonts w:hint="default" w:ascii="Times New Roman" w:hAnsi="Times New Roman" w:cs="Times New Roman"/>
                <w:color w:val="auto"/>
                <w:kern w:val="2"/>
                <w:sz w:val="24"/>
                <w:szCs w:val="24"/>
                <w:vertAlign w:val="superscript"/>
                <w:lang w:eastAsia="zh-CN"/>
              </w:rPr>
              <w:t>3</w:t>
            </w:r>
            <w:r>
              <w:rPr>
                <w:rFonts w:hint="default" w:ascii="Times New Roman" w:hAnsi="Times New Roman" w:cs="Times New Roman"/>
                <w:bCs/>
                <w:color w:val="auto"/>
                <w:kern w:val="2"/>
                <w:sz w:val="24"/>
                <w:szCs w:val="24"/>
                <w:lang w:eastAsia="zh-CN"/>
              </w:rPr>
              <w:t>/a、每年洒水降尘用水量为</w:t>
            </w:r>
            <w:r>
              <w:rPr>
                <w:rFonts w:hint="default" w:ascii="Times New Roman" w:hAnsi="Times New Roman" w:cs="Times New Roman"/>
                <w:bCs/>
                <w:color w:val="auto"/>
                <w:sz w:val="24"/>
                <w:lang w:val="en-US" w:eastAsia="zh-CN"/>
              </w:rPr>
              <w:t>60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本项目的场地洒水降尘用水量基本来源于一体化污水处理设施处理达标后的污水，洒水降尘用水量小于生活污水产生量。</w:t>
            </w:r>
          </w:p>
          <w:p w14:paraId="317603C2">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综上，从水量的角度来看，洒水降尘用水量、生活废水治理设施规模均设置合理，满足环保要求，能确保废水全部处理使用。</w:t>
            </w:r>
          </w:p>
          <w:p w14:paraId="2627BE93">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②从水质角度分析</w:t>
            </w:r>
          </w:p>
          <w:p w14:paraId="6B768ED5">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环评推荐污水处理站采用一体化生活污水处理设备。设备工作原理：利用好氧菌自身的生命活动，在污水中，微生物形成的生物絮凝体使悬浮状和胶体状的有机污染物失稳絮凝，吸附在活性污泥表面，降解有机物，使水中的BOD</w:t>
            </w:r>
            <w:r>
              <w:rPr>
                <w:rFonts w:hint="default" w:ascii="Times New Roman" w:hAnsi="Times New Roman" w:cs="Times New Roman"/>
                <w:bCs/>
                <w:color w:val="auto"/>
                <w:sz w:val="24"/>
                <w:vertAlign w:val="subscript"/>
                <w:lang w:eastAsia="zh-CN"/>
              </w:rPr>
              <w:t>5</w:t>
            </w:r>
            <w:r>
              <w:rPr>
                <w:rFonts w:hint="default" w:ascii="Times New Roman" w:hAnsi="Times New Roman" w:cs="Times New Roman"/>
                <w:bCs/>
                <w:color w:val="auto"/>
                <w:sz w:val="24"/>
                <w:lang w:eastAsia="zh-CN"/>
              </w:rPr>
              <w:t>、COD</w:t>
            </w:r>
            <w:r>
              <w:rPr>
                <w:rFonts w:hint="default" w:ascii="Times New Roman" w:hAnsi="Times New Roman" w:cs="Times New Roman"/>
                <w:bCs/>
                <w:color w:val="auto"/>
                <w:sz w:val="24"/>
                <w:vertAlign w:val="subscript"/>
                <w:lang w:eastAsia="zh-CN"/>
              </w:rPr>
              <w:t>Cr</w:t>
            </w:r>
            <w:r>
              <w:rPr>
                <w:rFonts w:hint="default" w:ascii="Times New Roman" w:hAnsi="Times New Roman" w:cs="Times New Roman"/>
                <w:bCs/>
                <w:color w:val="auto"/>
                <w:sz w:val="24"/>
                <w:lang w:eastAsia="zh-CN"/>
              </w:rPr>
              <w:t>大幅下降。活性污泥法净化效率高，BOD</w:t>
            </w:r>
            <w:r>
              <w:rPr>
                <w:rFonts w:hint="default" w:ascii="Times New Roman" w:hAnsi="Times New Roman" w:cs="Times New Roman"/>
                <w:bCs/>
                <w:color w:val="auto"/>
                <w:sz w:val="24"/>
                <w:vertAlign w:val="subscript"/>
                <w:lang w:eastAsia="zh-CN"/>
              </w:rPr>
              <w:t>5</w:t>
            </w:r>
            <w:r>
              <w:rPr>
                <w:rFonts w:hint="default" w:ascii="Times New Roman" w:hAnsi="Times New Roman" w:cs="Times New Roman"/>
                <w:bCs/>
                <w:color w:val="auto"/>
                <w:sz w:val="24"/>
                <w:lang w:eastAsia="zh-CN"/>
              </w:rPr>
              <w:t>去除率在80%～90%，COD</w:t>
            </w:r>
            <w:r>
              <w:rPr>
                <w:rFonts w:hint="default" w:ascii="Times New Roman" w:hAnsi="Times New Roman" w:cs="Times New Roman"/>
                <w:bCs/>
                <w:color w:val="auto"/>
                <w:sz w:val="24"/>
                <w:vertAlign w:val="subscript"/>
                <w:lang w:eastAsia="zh-CN"/>
              </w:rPr>
              <w:t>Cr</w:t>
            </w:r>
            <w:r>
              <w:rPr>
                <w:rFonts w:hint="default" w:ascii="Times New Roman" w:hAnsi="Times New Roman" w:cs="Times New Roman"/>
                <w:bCs/>
                <w:color w:val="auto"/>
                <w:sz w:val="24"/>
                <w:lang w:eastAsia="zh-CN"/>
              </w:rPr>
              <w:t>去除率约为85%。本工艺主要工艺流程详见图4-1。</w:t>
            </w:r>
          </w:p>
          <w:p w14:paraId="4EAFD978">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drawing>
                <wp:inline distT="0" distB="0" distL="114300" distR="114300">
                  <wp:extent cx="4973955" cy="340868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5"/>
                          <a:stretch>
                            <a:fillRect/>
                          </a:stretch>
                        </pic:blipFill>
                        <pic:spPr>
                          <a:xfrm>
                            <a:off x="0" y="0"/>
                            <a:ext cx="4973955" cy="3408680"/>
                          </a:xfrm>
                          <a:prstGeom prst="rect">
                            <a:avLst/>
                          </a:prstGeom>
                          <a:noFill/>
                          <a:ln>
                            <a:noFill/>
                          </a:ln>
                        </pic:spPr>
                      </pic:pic>
                    </a:graphicData>
                  </a:graphic>
                </wp:inline>
              </w:drawing>
            </w:r>
          </w:p>
          <w:p w14:paraId="37312819">
            <w:pPr>
              <w:autoSpaceDE/>
              <w:autoSpaceDN/>
              <w:spacing w:after="120" w:afterLines="50"/>
              <w:ind w:firstLine="422" w:firstLineChars="20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图4-1 地埋式一体化污水处理工艺</w:t>
            </w:r>
          </w:p>
          <w:p w14:paraId="7CD9EEBC">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地埋式生活污水处理设备处理工艺已比较成熟，其处理效果为SS＜20mg/L、BOD</w:t>
            </w:r>
            <w:r>
              <w:rPr>
                <w:rFonts w:hint="default" w:ascii="Times New Roman" w:hAnsi="Times New Roman" w:cs="Times New Roman"/>
                <w:bCs/>
                <w:color w:val="auto"/>
                <w:sz w:val="24"/>
                <w:vertAlign w:val="subscript"/>
                <w:lang w:eastAsia="zh-CN"/>
              </w:rPr>
              <w:t>5</w:t>
            </w:r>
            <w:r>
              <w:rPr>
                <w:rFonts w:hint="default" w:ascii="Times New Roman" w:hAnsi="Times New Roman" w:cs="Times New Roman"/>
                <w:bCs/>
                <w:color w:val="auto"/>
                <w:sz w:val="24"/>
                <w:lang w:eastAsia="zh-CN"/>
              </w:rPr>
              <w:t xml:space="preserve"> 9mg/L、COD</w:t>
            </w:r>
            <w:r>
              <w:rPr>
                <w:rFonts w:hint="default" w:ascii="Times New Roman" w:hAnsi="Times New Roman" w:cs="Times New Roman"/>
                <w:bCs/>
                <w:color w:val="auto"/>
                <w:sz w:val="24"/>
                <w:vertAlign w:val="subscript"/>
                <w:lang w:eastAsia="zh-CN"/>
              </w:rPr>
              <w:t xml:space="preserve">Cr </w:t>
            </w:r>
            <w:r>
              <w:rPr>
                <w:rFonts w:hint="default" w:ascii="Times New Roman" w:hAnsi="Times New Roman" w:cs="Times New Roman"/>
                <w:bCs/>
                <w:color w:val="auto"/>
                <w:sz w:val="24"/>
                <w:lang w:eastAsia="zh-CN"/>
              </w:rPr>
              <w:t>50mg/L、NH</w:t>
            </w:r>
            <w:r>
              <w:rPr>
                <w:rFonts w:hint="default" w:ascii="Times New Roman" w:hAnsi="Times New Roman" w:cs="Times New Roman"/>
                <w:bCs/>
                <w:color w:val="auto"/>
                <w:sz w:val="24"/>
                <w:vertAlign w:val="subscript"/>
                <w:lang w:eastAsia="zh-CN"/>
              </w:rPr>
              <w:t>3</w:t>
            </w:r>
            <w:r>
              <w:rPr>
                <w:rFonts w:hint="default" w:ascii="Times New Roman" w:hAnsi="Times New Roman" w:cs="Times New Roman"/>
                <w:bCs/>
                <w:color w:val="auto"/>
                <w:sz w:val="24"/>
                <w:lang w:eastAsia="zh-CN"/>
              </w:rPr>
              <w:t>-N 8mg/L，能满足《城市污水再生利用 城市杂用水水质标准》（GB/T18920-2020）中城市绿化、道路清扫、消防、建筑施工标准。</w:t>
            </w:r>
          </w:p>
          <w:p w14:paraId="7676049F">
            <w:pPr>
              <w:numPr>
                <w:ilvl w:val="0"/>
                <w:numId w:val="0"/>
              </w:numPr>
              <w:spacing w:line="360" w:lineRule="auto"/>
              <w:ind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eastAsia="zh-CN"/>
              </w:rPr>
              <w:t>综上所述，项目生活污水经过处理后可以完全回用，回用是可行的。</w:t>
            </w:r>
          </w:p>
          <w:p w14:paraId="1C3C1742">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（五）项目废水环境影响分析</w:t>
            </w:r>
          </w:p>
          <w:p w14:paraId="54F74941">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正常情况：项目运营期，初期雨水经项目内雨水排水沟汇集后排入初期雨水收集池，初期雨水主要污染物为SS，经处理后可降低SS的浓度，回用于项目区洒水降尘，后期雨水通过雨水沟收集后外排；</w:t>
            </w:r>
            <w:r>
              <w:rPr>
                <w:rFonts w:hint="default" w:ascii="Times New Roman" w:hAnsi="Times New Roman" w:cs="Times New Roman"/>
                <w:color w:val="auto"/>
                <w:sz w:val="24"/>
                <w:lang w:val="en-US" w:eastAsia="zh-CN"/>
              </w:rPr>
              <w:t>冲洗</w:t>
            </w:r>
            <w:r>
              <w:rPr>
                <w:rFonts w:hint="default" w:ascii="Times New Roman" w:hAnsi="Times New Roman" w:cs="Times New Roman"/>
                <w:color w:val="auto"/>
                <w:sz w:val="24"/>
                <w:lang w:eastAsia="zh-CN"/>
              </w:rPr>
              <w:t>废水经配套沉淀池沉淀后循环使用，不外排</w:t>
            </w:r>
            <w:r>
              <w:rPr>
                <w:rFonts w:hint="default" w:ascii="Times New Roman" w:hAnsi="Times New Roman" w:cs="Times New Roman"/>
                <w:bCs/>
                <w:color w:val="auto"/>
                <w:sz w:val="24"/>
                <w:lang w:eastAsia="zh-CN"/>
              </w:rPr>
              <w:t>；</w:t>
            </w:r>
            <w:r>
              <w:rPr>
                <w:rFonts w:hint="default" w:ascii="Times New Roman" w:hAnsi="Times New Roman" w:cs="Times New Roman"/>
                <w:b w:val="0"/>
                <w:bCs w:val="0"/>
                <w:color w:val="auto"/>
                <w:kern w:val="2"/>
                <w:sz w:val="24"/>
                <w:szCs w:val="24"/>
                <w:lang w:val="en-US" w:eastAsia="zh-CN"/>
              </w:rPr>
              <w:t>本项目产生的生活污水经化粪池</w:t>
            </w:r>
            <w:r>
              <w:rPr>
                <w:rFonts w:hint="default" w:ascii="Times New Roman" w:hAnsi="Times New Roman" w:cs="Times New Roman"/>
                <w:bCs/>
                <w:color w:val="auto"/>
                <w:kern w:val="2"/>
                <w:sz w:val="24"/>
                <w:szCs w:val="24"/>
                <w:lang w:eastAsia="zh-CN"/>
              </w:rPr>
              <w:t>（容积3m</w:t>
            </w:r>
            <w:r>
              <w:rPr>
                <w:rFonts w:hint="default" w:ascii="Times New Roman" w:hAnsi="Times New Roman" w:cs="Times New Roman"/>
                <w:bCs/>
                <w:color w:val="auto"/>
                <w:kern w:val="2"/>
                <w:sz w:val="24"/>
                <w:szCs w:val="24"/>
                <w:vertAlign w:val="superscript"/>
                <w:lang w:eastAsia="zh-CN"/>
              </w:rPr>
              <w:t>3</w:t>
            </w:r>
            <w:r>
              <w:rPr>
                <w:rFonts w:hint="default" w:ascii="Times New Roman" w:hAnsi="Times New Roman" w:cs="Times New Roman"/>
                <w:bCs/>
                <w:color w:val="auto"/>
                <w:kern w:val="2"/>
                <w:sz w:val="24"/>
                <w:szCs w:val="24"/>
                <w:lang w:eastAsia="zh-CN"/>
              </w:rPr>
              <w:t>）</w:t>
            </w:r>
            <w:r>
              <w:rPr>
                <w:rFonts w:hint="default" w:ascii="Times New Roman" w:hAnsi="Times New Roman" w:cs="Times New Roman"/>
                <w:b w:val="0"/>
                <w:bCs w:val="0"/>
                <w:color w:val="auto"/>
                <w:kern w:val="2"/>
                <w:sz w:val="24"/>
                <w:szCs w:val="24"/>
                <w:lang w:val="en-US" w:eastAsia="zh-CN"/>
              </w:rPr>
              <w:t>预处理后进1个规模为2m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/d的一体化污水处理站处理达《城市污水再生利用 城市杂用水水质》（GB/T 18920-2020）中城市绿化、道路清扫、消防、建筑施工标准后回用于项目区洒水降尘。在污水处理站后方设置1个容积5m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的中水收集池，用于雨天收集污水处理站处理后的中水，待晴天回用。</w:t>
            </w:r>
            <w:r>
              <w:rPr>
                <w:rFonts w:hint="default" w:ascii="Times New Roman" w:hAnsi="Times New Roman" w:cs="Times New Roman"/>
                <w:bCs/>
                <w:color w:val="auto"/>
                <w:sz w:val="24"/>
                <w:lang w:eastAsia="zh-CN"/>
              </w:rPr>
              <w:t>项目废水对周围地表水环境影响不大。</w:t>
            </w:r>
          </w:p>
          <w:p w14:paraId="55D9D946">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非正常情况：若</w:t>
            </w:r>
            <w:r>
              <w:rPr>
                <w:rFonts w:hint="default" w:ascii="Times New Roman" w:hAnsi="Times New Roman" w:cs="Times New Roman"/>
                <w:bCs/>
                <w:color w:val="auto"/>
                <w:sz w:val="24"/>
                <w:lang w:val="en-US" w:eastAsia="zh-CN"/>
              </w:rPr>
              <w:t>冲洗</w:t>
            </w:r>
            <w:r>
              <w:rPr>
                <w:rFonts w:hint="default" w:ascii="Times New Roman" w:hAnsi="Times New Roman" w:cs="Times New Roman"/>
                <w:bCs/>
                <w:color w:val="auto"/>
                <w:sz w:val="24"/>
                <w:lang w:eastAsia="zh-CN"/>
              </w:rPr>
              <w:t>废水泄漏，若泄漏量大且收集处理不及时的情况下，泄漏的生产废水会在生产区顺硬化路面流散开，泄漏的废水可能顺着地势向厂区低洼处快速流散，致使项目生产废水不能回用。泄漏的生产废水可能顺硬化路面从厂区流出，污染厂区周边的植被，影响植被生长，若生产废水大量流出，可能会流</w:t>
            </w:r>
            <w:r>
              <w:rPr>
                <w:rFonts w:hint="default" w:ascii="Times New Roman" w:hAnsi="Times New Roman" w:cs="Times New Roman"/>
                <w:bCs/>
                <w:color w:val="auto"/>
                <w:sz w:val="24"/>
                <w:lang w:val="en-US" w:eastAsia="zh-CN"/>
              </w:rPr>
              <w:t>老厂河</w:t>
            </w:r>
            <w:r>
              <w:rPr>
                <w:rFonts w:hint="default" w:ascii="Times New Roman" w:hAnsi="Times New Roman" w:cs="Times New Roman"/>
                <w:bCs/>
                <w:color w:val="auto"/>
                <w:sz w:val="24"/>
                <w:lang w:eastAsia="zh-CN"/>
              </w:rPr>
              <w:t>内，污染戛洒江水环境，造成底栖生物死亡，导致水质变坏。</w:t>
            </w:r>
          </w:p>
          <w:p w14:paraId="736FFAFB">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color w:val="auto"/>
                <w:kern w:val="2"/>
                <w:sz w:val="24"/>
                <w:szCs w:val="24"/>
                <w:lang w:eastAsia="zh-CN"/>
              </w:rPr>
              <w:t>综上，厂区</w:t>
            </w:r>
            <w:r>
              <w:rPr>
                <w:rFonts w:hint="default" w:ascii="Times New Roman" w:hAnsi="Times New Roman" w:cs="Times New Roman"/>
                <w:color w:val="auto"/>
                <w:kern w:val="2"/>
                <w:sz w:val="24"/>
                <w:szCs w:val="24"/>
                <w:lang w:val="en-US" w:eastAsia="zh-CN"/>
              </w:rPr>
              <w:t>执行</w:t>
            </w:r>
            <w:r>
              <w:rPr>
                <w:rFonts w:hint="default" w:ascii="Times New Roman" w:hAnsi="Times New Roman" w:cs="Times New Roman"/>
                <w:color w:val="auto"/>
                <w:kern w:val="2"/>
                <w:sz w:val="24"/>
                <w:szCs w:val="24"/>
                <w:lang w:eastAsia="zh-CN"/>
              </w:rPr>
              <w:t>雨污分流，生产过程无生产废水</w:t>
            </w:r>
            <w:r>
              <w:rPr>
                <w:rFonts w:hint="default" w:ascii="Times New Roman" w:hAnsi="Times New Roman" w:cs="Times New Roman"/>
                <w:color w:val="auto"/>
                <w:kern w:val="2"/>
                <w:sz w:val="24"/>
                <w:szCs w:val="24"/>
                <w:lang w:val="en-US" w:eastAsia="zh-CN"/>
              </w:rPr>
              <w:t>和生活废水</w:t>
            </w:r>
            <w:r>
              <w:rPr>
                <w:rFonts w:hint="default" w:ascii="Times New Roman" w:hAnsi="Times New Roman" w:cs="Times New Roman"/>
                <w:color w:val="auto"/>
                <w:kern w:val="2"/>
                <w:sz w:val="24"/>
                <w:szCs w:val="24"/>
                <w:lang w:eastAsia="zh-CN"/>
              </w:rPr>
              <w:t>外排。项目</w:t>
            </w:r>
            <w:r>
              <w:rPr>
                <w:rFonts w:hint="default" w:ascii="Times New Roman" w:hAnsi="Times New Roman" w:cs="Times New Roman"/>
                <w:color w:val="auto"/>
                <w:kern w:val="2"/>
                <w:sz w:val="24"/>
                <w:szCs w:val="24"/>
                <w:lang w:val="en-US" w:eastAsia="zh-CN"/>
              </w:rPr>
              <w:t>车辆冲洗</w:t>
            </w:r>
            <w:r>
              <w:rPr>
                <w:rFonts w:hint="default" w:ascii="Times New Roman" w:hAnsi="Times New Roman" w:cs="Times New Roman"/>
                <w:color w:val="auto"/>
                <w:kern w:val="2"/>
                <w:sz w:val="24"/>
                <w:szCs w:val="24"/>
                <w:lang w:eastAsia="zh-CN"/>
              </w:rPr>
              <w:t>过程产生的废水经沉淀处理后可以全部回用，实现污水“零排放”，项目对周边地表水环境影响较小。</w:t>
            </w:r>
          </w:p>
          <w:p w14:paraId="3419F91D">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（六）废水排放口基本情况表</w:t>
            </w:r>
          </w:p>
          <w:p w14:paraId="478DA000">
            <w:pPr>
              <w:adjustRightInd w:val="0"/>
              <w:snapToGrid w:val="0"/>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初期雨水经项目内雨水排水沟汇集后排入初期雨水收集池，经沉淀处理后回用于项目区洒水降尘，后期雨水通过雨水沟收集后外排；</w:t>
            </w:r>
            <w:r>
              <w:rPr>
                <w:rFonts w:hint="default" w:ascii="Times New Roman" w:hAnsi="Times New Roman" w:cs="Times New Roman"/>
                <w:color w:val="auto"/>
                <w:sz w:val="24"/>
                <w:lang w:val="en-US" w:eastAsia="zh-CN"/>
              </w:rPr>
              <w:t>冲洗</w:t>
            </w:r>
            <w:r>
              <w:rPr>
                <w:rFonts w:hint="default" w:ascii="Times New Roman" w:hAnsi="Times New Roman" w:cs="Times New Roman"/>
                <w:color w:val="auto"/>
                <w:sz w:val="24"/>
                <w:lang w:eastAsia="zh-CN"/>
              </w:rPr>
              <w:t>废水经配套沉淀池沉淀后</w:t>
            </w:r>
            <w:r>
              <w:rPr>
                <w:rFonts w:hint="default" w:ascii="Times New Roman" w:hAnsi="Times New Roman" w:cs="Times New Roman"/>
                <w:color w:val="auto"/>
                <w:sz w:val="24"/>
                <w:lang w:val="en-US" w:eastAsia="zh-CN"/>
              </w:rPr>
              <w:t>回用于生产</w:t>
            </w:r>
            <w:r>
              <w:rPr>
                <w:rFonts w:hint="default" w:ascii="Times New Roman" w:hAnsi="Times New Roman" w:cs="Times New Roman"/>
                <w:color w:val="auto"/>
                <w:sz w:val="24"/>
                <w:lang w:eastAsia="zh-CN"/>
              </w:rPr>
              <w:t>，不外排</w:t>
            </w:r>
            <w:r>
              <w:rPr>
                <w:rFonts w:hint="default" w:ascii="Times New Roman" w:hAnsi="Times New Roman" w:cs="Times New Roman"/>
                <w:bCs/>
                <w:color w:val="auto"/>
                <w:sz w:val="24"/>
                <w:lang w:eastAsia="zh-CN"/>
              </w:rPr>
              <w:t>；</w:t>
            </w:r>
            <w:r>
              <w:rPr>
                <w:rFonts w:hint="default" w:ascii="Times New Roman" w:hAnsi="Times New Roman" w:cs="Times New Roman"/>
                <w:b w:val="0"/>
                <w:bCs w:val="0"/>
                <w:color w:val="auto"/>
                <w:kern w:val="2"/>
                <w:sz w:val="24"/>
                <w:szCs w:val="24"/>
                <w:lang w:val="en-US" w:eastAsia="zh-CN"/>
              </w:rPr>
              <w:t>生活污水经化粪池</w:t>
            </w:r>
            <w:r>
              <w:rPr>
                <w:rFonts w:hint="default" w:ascii="Times New Roman" w:hAnsi="Times New Roman" w:cs="Times New Roman"/>
                <w:bCs/>
                <w:color w:val="auto"/>
                <w:kern w:val="2"/>
                <w:sz w:val="24"/>
                <w:szCs w:val="24"/>
                <w:lang w:eastAsia="zh-CN"/>
              </w:rPr>
              <w:t>（容积3m</w:t>
            </w:r>
            <w:r>
              <w:rPr>
                <w:rFonts w:hint="default" w:ascii="Times New Roman" w:hAnsi="Times New Roman" w:cs="Times New Roman"/>
                <w:bCs/>
                <w:color w:val="auto"/>
                <w:kern w:val="2"/>
                <w:sz w:val="24"/>
                <w:szCs w:val="24"/>
                <w:vertAlign w:val="superscript"/>
                <w:lang w:eastAsia="zh-CN"/>
              </w:rPr>
              <w:t>3</w:t>
            </w:r>
            <w:r>
              <w:rPr>
                <w:rFonts w:hint="default" w:ascii="Times New Roman" w:hAnsi="Times New Roman" w:cs="Times New Roman"/>
                <w:bCs/>
                <w:color w:val="auto"/>
                <w:kern w:val="2"/>
                <w:sz w:val="24"/>
                <w:szCs w:val="24"/>
                <w:lang w:eastAsia="zh-CN"/>
              </w:rPr>
              <w:t>）</w:t>
            </w:r>
            <w:r>
              <w:rPr>
                <w:rFonts w:hint="default" w:ascii="Times New Roman" w:hAnsi="Times New Roman" w:cs="Times New Roman"/>
                <w:b w:val="0"/>
                <w:bCs w:val="0"/>
                <w:color w:val="auto"/>
                <w:kern w:val="2"/>
                <w:sz w:val="24"/>
                <w:szCs w:val="24"/>
                <w:lang w:val="en-US" w:eastAsia="zh-CN"/>
              </w:rPr>
              <w:t>预处理后进1个规模为2m</w:t>
            </w:r>
            <w:r>
              <w:rPr>
                <w:rFonts w:hint="default" w:ascii="Times New Roman" w:hAnsi="Times New Roman" w:cs="Times New Roman"/>
                <w:b w:val="0"/>
                <w:bCs w:val="0"/>
                <w:color w:val="auto"/>
                <w:kern w:val="2"/>
                <w:sz w:val="24"/>
                <w:szCs w:val="24"/>
                <w:vertAlign w:val="superscript"/>
                <w:lang w:val="en-US" w:eastAsia="zh-CN"/>
              </w:rPr>
              <w:t>3</w:t>
            </w:r>
            <w:r>
              <w:rPr>
                <w:rFonts w:hint="default" w:ascii="Times New Roman" w:hAnsi="Times New Roman" w:cs="Times New Roman"/>
                <w:b w:val="0"/>
                <w:bCs w:val="0"/>
                <w:color w:val="auto"/>
                <w:kern w:val="2"/>
                <w:sz w:val="24"/>
                <w:szCs w:val="24"/>
                <w:lang w:val="en-US" w:eastAsia="zh-CN"/>
              </w:rPr>
              <w:t>/d的一体化污水处理站处理达《城市污水再生利用 城市杂用水水质》（GB/T 18920-2020）中城市绿化、道路清扫、消防、建筑施工标准后回用于项目区洒水降尘，不外排。</w:t>
            </w:r>
            <w:r>
              <w:rPr>
                <w:rFonts w:hint="default" w:ascii="Times New Roman" w:hAnsi="Times New Roman" w:cs="Times New Roman"/>
                <w:bCs/>
                <w:color w:val="auto"/>
                <w:sz w:val="24"/>
                <w:lang w:eastAsia="zh-CN"/>
              </w:rPr>
              <w:t>因此项目运营期产生的废水可全部回用，无废水外排，故不设置废水排放口和废水例行监测计划。</w:t>
            </w:r>
          </w:p>
          <w:p w14:paraId="516E0F13">
            <w:pPr>
              <w:pStyle w:val="30"/>
              <w:adjustRightInd w:val="0"/>
              <w:snapToGrid w:val="0"/>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（七）地表水环境影响分析小结</w:t>
            </w:r>
          </w:p>
          <w:p w14:paraId="32CB2939">
            <w:pPr>
              <w:adjustRightInd w:val="0"/>
              <w:snapToGrid w:val="0"/>
              <w:spacing w:line="360" w:lineRule="auto"/>
              <w:ind w:firstLine="480" w:firstLineChars="200"/>
              <w:rPr>
                <w:rFonts w:hint="default" w:ascii="Times New Roman" w:hAnsi="Times New Roman" w:cs="Times New Roman"/>
                <w:bCs/>
                <w:color w:val="auto"/>
                <w:kern w:val="2"/>
                <w:sz w:val="24"/>
                <w:szCs w:val="24"/>
                <w:lang w:eastAsia="zh-CN"/>
              </w:rPr>
            </w:pPr>
            <w:r>
              <w:rPr>
                <w:rFonts w:hint="default" w:ascii="Times New Roman" w:hAnsi="Times New Roman" w:cs="Times New Roman"/>
                <w:bCs/>
                <w:color w:val="auto"/>
                <w:sz w:val="24"/>
                <w:lang w:eastAsia="zh-CN"/>
              </w:rPr>
              <w:t>初期雨水经项目内雨水排水沟汇集后排入初期雨水收集池，经沉淀处理后回用于项目区洒水降尘，</w:t>
            </w:r>
            <w:r>
              <w:rPr>
                <w:rFonts w:hint="default" w:ascii="Times New Roman" w:hAnsi="Times New Roman" w:cs="Times New Roman"/>
                <w:bCs/>
                <w:color w:val="auto"/>
                <w:sz w:val="24"/>
                <w:lang w:val="en-US" w:eastAsia="zh-CN"/>
              </w:rPr>
              <w:t>生活污水处理达标后回用，</w:t>
            </w:r>
            <w:r>
              <w:rPr>
                <w:rFonts w:hint="default" w:ascii="Times New Roman" w:hAnsi="Times New Roman" w:cs="Times New Roman"/>
                <w:bCs/>
                <w:color w:val="auto"/>
                <w:sz w:val="24"/>
                <w:lang w:eastAsia="zh-CN"/>
              </w:rPr>
              <w:t>后期雨水通过雨水沟收集后外排。</w:t>
            </w:r>
            <w:r>
              <w:rPr>
                <w:rFonts w:hint="default" w:ascii="Times New Roman" w:hAnsi="Times New Roman" w:cs="Times New Roman"/>
                <w:bCs/>
                <w:color w:val="auto"/>
                <w:kern w:val="2"/>
                <w:sz w:val="24"/>
                <w:szCs w:val="24"/>
                <w:lang w:eastAsia="zh-CN"/>
              </w:rPr>
              <w:t>经采取上述措施后本项目的建设对周边地表水体环境的影响较小。</w:t>
            </w:r>
          </w:p>
          <w:p w14:paraId="2F6BA9F5">
            <w:pPr>
              <w:spacing w:line="360" w:lineRule="auto"/>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三、运营期噪声环境影响及防治措施</w:t>
            </w:r>
          </w:p>
          <w:p w14:paraId="1FFFB05C">
            <w:pPr>
              <w:spacing w:line="360" w:lineRule="auto"/>
              <w:ind w:firstLine="482" w:firstLineChars="200"/>
              <w:jc w:val="both"/>
              <w:rPr>
                <w:rFonts w:hint="default" w:ascii="Times New Roman" w:hAnsi="Times New Roman" w:cs="Times New Roman"/>
                <w:bCs/>
                <w:color w:val="auto"/>
                <w:sz w:val="24"/>
                <w:szCs w:val="24"/>
                <w:lang w:eastAsia="zh-CN"/>
              </w:rPr>
            </w:pPr>
            <w:r>
              <w:rPr>
                <w:rFonts w:hint="default" w:ascii="Times New Roman" w:hAnsi="Times New Roman" w:cs="Times New Roman"/>
                <w:b/>
                <w:color w:val="auto"/>
                <w:sz w:val="24"/>
                <w:szCs w:val="24"/>
                <w:lang w:eastAsia="zh-CN"/>
              </w:rPr>
              <w:t>（一）噪声源强</w:t>
            </w:r>
          </w:p>
          <w:p w14:paraId="6DA0FC06">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szCs w:val="24"/>
                <w:lang w:eastAsia="zh-CN"/>
              </w:rPr>
              <w:t>项目运营期噪声</w:t>
            </w:r>
            <w:r>
              <w:rPr>
                <w:rFonts w:hint="default" w:ascii="Times New Roman" w:hAnsi="Times New Roman" w:cs="Times New Roman"/>
                <w:bCs/>
                <w:color w:val="auto"/>
                <w:sz w:val="24"/>
                <w:lang w:eastAsia="zh-CN"/>
              </w:rPr>
              <w:t>主要源于生产区的免基础型水稳站、</w:t>
            </w:r>
            <w:r>
              <w:rPr>
                <w:rFonts w:hint="default" w:ascii="Times New Roman" w:hAnsi="Times New Roman" w:cs="Times New Roman"/>
                <w:bCs/>
                <w:color w:val="auto"/>
                <w:sz w:val="24"/>
                <w:lang w:val="en-US" w:eastAsia="zh-CN"/>
              </w:rPr>
              <w:t>装载机</w:t>
            </w:r>
            <w:r>
              <w:rPr>
                <w:rFonts w:hint="default" w:ascii="Times New Roman" w:hAnsi="Times New Roman" w:cs="Times New Roman"/>
                <w:bCs/>
                <w:color w:val="auto"/>
                <w:sz w:val="24"/>
                <w:lang w:eastAsia="zh-CN"/>
              </w:rPr>
              <w:t>等机械设备，其噪声源强在8</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lang w:eastAsia="zh-CN"/>
              </w:rPr>
              <w:t>dB（</w:t>
            </w:r>
            <w:r>
              <w:rPr>
                <w:rFonts w:hint="default" w:ascii="Times New Roman" w:hAnsi="Times New Roman" w:cs="Times New Roman"/>
                <w:bCs/>
                <w:color w:val="auto"/>
                <w:sz w:val="24"/>
                <w:lang w:val="en-US" w:eastAsia="zh-CN"/>
              </w:rPr>
              <w:t>A</w:t>
            </w:r>
            <w:r>
              <w:rPr>
                <w:rFonts w:hint="default" w:ascii="Times New Roman" w:hAnsi="Times New Roman" w:cs="Times New Roman"/>
                <w:bCs/>
                <w:color w:val="auto"/>
                <w:sz w:val="24"/>
                <w:lang w:eastAsia="zh-CN"/>
              </w:rPr>
              <w:t>）（距声源1m处），项目所有主要产噪设备均布设于室内。项目室外噪声源强如下表所示：</w:t>
            </w:r>
          </w:p>
          <w:p w14:paraId="1954BE39">
            <w:pPr>
              <w:spacing w:line="360" w:lineRule="auto"/>
              <w:ind w:firstLine="480" w:firstLineChars="200"/>
              <w:rPr>
                <w:rFonts w:hint="default" w:ascii="Times New Roman" w:hAnsi="Times New Roman" w:cs="Times New Roman"/>
                <w:bCs/>
                <w:color w:val="auto"/>
                <w:sz w:val="24"/>
                <w:lang w:eastAsia="zh-CN"/>
              </w:rPr>
            </w:pPr>
          </w:p>
          <w:p w14:paraId="27142653">
            <w:pPr>
              <w:pStyle w:val="27"/>
              <w:jc w:val="both"/>
              <w:rPr>
                <w:rFonts w:hint="default" w:ascii="Times New Roman" w:hAnsi="Times New Roman" w:cs="Times New Roman"/>
                <w:bCs/>
                <w:color w:val="auto"/>
              </w:rPr>
            </w:pPr>
          </w:p>
        </w:tc>
      </w:tr>
    </w:tbl>
    <w:p w14:paraId="3EC9E0CE">
      <w:pPr>
        <w:pStyle w:val="27"/>
        <w:rPr>
          <w:rFonts w:hint="default" w:ascii="Times New Roman" w:hAnsi="Times New Roman" w:cs="Times New Roman"/>
          <w:bCs/>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2721"/>
      </w:tblGrid>
      <w:tr w14:paraId="451A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tcPr>
          <w:p w14:paraId="4143DB2C">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36" w:name="_Toc3766"/>
            <w:r>
              <w:rPr>
                <w:rFonts w:hint="default" w:ascii="Times New Roman" w:hAnsi="Times New Roman" w:cs="Times New Roman"/>
                <w:snapToGrid w:val="0"/>
                <w:color w:val="auto"/>
                <w:szCs w:val="24"/>
              </w:rPr>
              <w:t>运</w:t>
            </w:r>
            <w:bookmarkEnd w:id="36"/>
          </w:p>
          <w:p w14:paraId="7DF491A9">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37" w:name="_Toc31102"/>
            <w:r>
              <w:rPr>
                <w:rFonts w:hint="default" w:ascii="Times New Roman" w:hAnsi="Times New Roman" w:cs="Times New Roman"/>
                <w:snapToGrid w:val="0"/>
                <w:color w:val="auto"/>
                <w:szCs w:val="24"/>
              </w:rPr>
              <w:t>营</w:t>
            </w:r>
            <w:bookmarkEnd w:id="37"/>
          </w:p>
          <w:p w14:paraId="40850A5D">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38" w:name="_Toc26735"/>
            <w:r>
              <w:rPr>
                <w:rFonts w:hint="default" w:ascii="Times New Roman" w:hAnsi="Times New Roman" w:cs="Times New Roman"/>
                <w:snapToGrid w:val="0"/>
                <w:color w:val="auto"/>
                <w:szCs w:val="24"/>
              </w:rPr>
              <w:t>期</w:t>
            </w:r>
            <w:bookmarkEnd w:id="38"/>
          </w:p>
          <w:p w14:paraId="20C7CD80">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39" w:name="_Toc23790"/>
            <w:r>
              <w:rPr>
                <w:rFonts w:hint="default" w:ascii="Times New Roman" w:hAnsi="Times New Roman" w:cs="Times New Roman"/>
                <w:snapToGrid w:val="0"/>
                <w:color w:val="auto"/>
                <w:szCs w:val="24"/>
              </w:rPr>
              <w:t>环</w:t>
            </w:r>
            <w:bookmarkEnd w:id="39"/>
          </w:p>
          <w:p w14:paraId="49AEAE2F">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40" w:name="_Toc3564"/>
            <w:r>
              <w:rPr>
                <w:rFonts w:hint="default" w:ascii="Times New Roman" w:hAnsi="Times New Roman" w:cs="Times New Roman"/>
                <w:snapToGrid w:val="0"/>
                <w:color w:val="auto"/>
                <w:szCs w:val="24"/>
              </w:rPr>
              <w:t>境</w:t>
            </w:r>
            <w:bookmarkEnd w:id="40"/>
          </w:p>
          <w:p w14:paraId="7BE9F0EA">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41" w:name="_Toc6194"/>
            <w:r>
              <w:rPr>
                <w:rFonts w:hint="default" w:ascii="Times New Roman" w:hAnsi="Times New Roman" w:cs="Times New Roman"/>
                <w:snapToGrid w:val="0"/>
                <w:color w:val="auto"/>
                <w:szCs w:val="24"/>
              </w:rPr>
              <w:t>影</w:t>
            </w:r>
            <w:bookmarkEnd w:id="41"/>
          </w:p>
          <w:p w14:paraId="6CCDE943">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42" w:name="_Toc1936"/>
            <w:r>
              <w:rPr>
                <w:rFonts w:hint="default" w:ascii="Times New Roman" w:hAnsi="Times New Roman" w:cs="Times New Roman"/>
                <w:snapToGrid w:val="0"/>
                <w:color w:val="auto"/>
                <w:szCs w:val="24"/>
              </w:rPr>
              <w:t>响</w:t>
            </w:r>
            <w:bookmarkEnd w:id="42"/>
          </w:p>
          <w:p w14:paraId="6DABCC78">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43" w:name="_Toc7452"/>
            <w:r>
              <w:rPr>
                <w:rFonts w:hint="default" w:ascii="Times New Roman" w:hAnsi="Times New Roman" w:cs="Times New Roman"/>
                <w:snapToGrid w:val="0"/>
                <w:color w:val="auto"/>
                <w:szCs w:val="24"/>
              </w:rPr>
              <w:t>和</w:t>
            </w:r>
            <w:bookmarkEnd w:id="43"/>
          </w:p>
          <w:p w14:paraId="694D7BD1">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44" w:name="_Toc18163"/>
            <w:r>
              <w:rPr>
                <w:rFonts w:hint="default" w:ascii="Times New Roman" w:hAnsi="Times New Roman" w:cs="Times New Roman"/>
                <w:snapToGrid w:val="0"/>
                <w:color w:val="auto"/>
                <w:szCs w:val="24"/>
              </w:rPr>
              <w:t>保</w:t>
            </w:r>
            <w:bookmarkEnd w:id="44"/>
          </w:p>
          <w:p w14:paraId="3DBFFE24">
            <w:pPr>
              <w:pStyle w:val="18"/>
              <w:autoSpaceDE/>
              <w:autoSpaceDN/>
              <w:adjustRightInd w:val="0"/>
              <w:snapToGrid w:val="0"/>
              <w:spacing w:line="240" w:lineRule="auto"/>
              <w:ind w:firstLine="0" w:firstLineChars="0"/>
              <w:jc w:val="both"/>
              <w:outlineLvl w:val="0"/>
              <w:rPr>
                <w:rFonts w:hint="default" w:ascii="Times New Roman" w:hAnsi="Times New Roman" w:cs="Times New Roman"/>
                <w:snapToGrid w:val="0"/>
                <w:color w:val="auto"/>
                <w:szCs w:val="24"/>
              </w:rPr>
            </w:pPr>
            <w:bookmarkStart w:id="45" w:name="_Toc2472"/>
            <w:r>
              <w:rPr>
                <w:rFonts w:hint="default" w:ascii="Times New Roman" w:hAnsi="Times New Roman" w:cs="Times New Roman"/>
                <w:snapToGrid w:val="0"/>
                <w:color w:val="auto"/>
                <w:szCs w:val="24"/>
              </w:rPr>
              <w:t>护</w:t>
            </w:r>
            <w:bookmarkEnd w:id="45"/>
          </w:p>
          <w:p w14:paraId="591A4D51">
            <w:pPr>
              <w:pStyle w:val="18"/>
              <w:autoSpaceDE/>
              <w:autoSpaceDN/>
              <w:adjustRightInd w:val="0"/>
              <w:snapToGrid w:val="0"/>
              <w:spacing w:line="240" w:lineRule="auto"/>
              <w:ind w:firstLine="0" w:firstLineChars="0"/>
              <w:jc w:val="both"/>
              <w:outlineLvl w:val="0"/>
              <w:rPr>
                <w:rFonts w:hint="default" w:ascii="Times New Roman" w:hAnsi="Times New Roman" w:cs="Times New Roman"/>
                <w:bCs/>
                <w:color w:val="auto"/>
              </w:rPr>
            </w:pPr>
            <w:bookmarkStart w:id="46" w:name="_Toc16839"/>
            <w:r>
              <w:rPr>
                <w:rFonts w:hint="default" w:ascii="Times New Roman" w:hAnsi="Times New Roman" w:cs="Times New Roman"/>
                <w:snapToGrid w:val="0"/>
                <w:color w:val="auto"/>
                <w:szCs w:val="24"/>
              </w:rPr>
              <w:t>措施</w:t>
            </w:r>
            <w:bookmarkEnd w:id="46"/>
          </w:p>
        </w:tc>
        <w:tc>
          <w:tcPr>
            <w:tcW w:w="12721" w:type="dxa"/>
          </w:tcPr>
          <w:p w14:paraId="54770D44">
            <w:pPr>
              <w:widowControl/>
              <w:autoSpaceDE/>
              <w:autoSpaceDN/>
              <w:adjustRightInd w:val="0"/>
              <w:snapToGrid w:val="0"/>
              <w:spacing w:before="120" w:beforeLines="50"/>
              <w:jc w:val="center"/>
              <w:rPr>
                <w:rFonts w:hint="default" w:ascii="Times New Roman" w:hAnsi="Times New Roman" w:cs="Times New Roman"/>
                <w:color w:val="auto"/>
                <w:sz w:val="21"/>
                <w:szCs w:val="21"/>
                <w:lang w:eastAsia="zh-CN"/>
              </w:rPr>
            </w:pPr>
            <w:r>
              <w:rPr>
                <w:rFonts w:hint="default" w:ascii="Times New Roman" w:hAnsi="Times New Roman" w:cs="Times New Roman"/>
                <w:b/>
                <w:bCs/>
                <w:color w:val="auto"/>
                <w:sz w:val="21"/>
                <w:szCs w:val="21"/>
                <w:lang w:eastAsia="zh-CN" w:bidi="ar"/>
              </w:rPr>
              <w:t>表4-</w:t>
            </w:r>
            <w:r>
              <w:rPr>
                <w:rFonts w:hint="eastAsia" w:ascii="Times New Roman" w:hAnsi="Times New Roman" w:cs="Times New Roman"/>
                <w:b/>
                <w:bCs/>
                <w:color w:val="auto"/>
                <w:sz w:val="21"/>
                <w:szCs w:val="21"/>
                <w:lang w:val="en-US" w:eastAsia="zh-CN" w:bidi="ar"/>
              </w:rPr>
              <w:t>5</w:t>
            </w:r>
            <w:r>
              <w:rPr>
                <w:rFonts w:hint="default" w:ascii="Times New Roman" w:hAnsi="Times New Roman" w:cs="Times New Roman"/>
                <w:b/>
                <w:bCs/>
                <w:color w:val="auto"/>
                <w:sz w:val="21"/>
                <w:szCs w:val="21"/>
                <w:lang w:eastAsia="zh-CN" w:bidi="ar"/>
              </w:rPr>
              <w:t xml:space="preserve">  室内噪声源源强调查清单</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411"/>
              <w:gridCol w:w="793"/>
              <w:gridCol w:w="616"/>
              <w:gridCol w:w="528"/>
              <w:gridCol w:w="563"/>
              <w:gridCol w:w="686"/>
              <w:gridCol w:w="638"/>
              <w:gridCol w:w="453"/>
              <w:gridCol w:w="436"/>
              <w:gridCol w:w="501"/>
              <w:gridCol w:w="501"/>
              <w:gridCol w:w="478"/>
              <w:gridCol w:w="450"/>
              <w:gridCol w:w="402"/>
              <w:gridCol w:w="425"/>
              <w:gridCol w:w="512"/>
              <w:gridCol w:w="450"/>
              <w:gridCol w:w="702"/>
              <w:gridCol w:w="507"/>
              <w:gridCol w:w="450"/>
              <w:gridCol w:w="472"/>
              <w:gridCol w:w="445"/>
              <w:gridCol w:w="665"/>
            </w:tblGrid>
            <w:tr w14:paraId="3341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vAlign w:val="center"/>
                </w:tcPr>
                <w:p w14:paraId="6615DC5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序号</w:t>
                  </w:r>
                </w:p>
              </w:tc>
              <w:tc>
                <w:tcPr>
                  <w:tcW w:w="164" w:type="pct"/>
                  <w:vMerge w:val="restart"/>
                  <w:vAlign w:val="center"/>
                </w:tcPr>
                <w:p w14:paraId="4D23B0A0">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建筑物名称</w:t>
                  </w:r>
                </w:p>
              </w:tc>
              <w:tc>
                <w:tcPr>
                  <w:tcW w:w="317" w:type="pct"/>
                  <w:vMerge w:val="restart"/>
                  <w:vAlign w:val="center"/>
                </w:tcPr>
                <w:p w14:paraId="72E7D49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声源名称</w:t>
                  </w:r>
                </w:p>
              </w:tc>
              <w:tc>
                <w:tcPr>
                  <w:tcW w:w="246" w:type="pct"/>
                  <w:vMerge w:val="restart"/>
                  <w:vAlign w:val="center"/>
                </w:tcPr>
                <w:p w14:paraId="077561A2">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型号</w:t>
                  </w:r>
                </w:p>
              </w:tc>
              <w:tc>
                <w:tcPr>
                  <w:tcW w:w="211" w:type="pct"/>
                  <w:vMerge w:val="restart"/>
                  <w:vAlign w:val="center"/>
                </w:tcPr>
                <w:p w14:paraId="40DED41F">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eastAsia="zh-CN"/>
                    </w:rPr>
                  </w:pPr>
                  <w:r>
                    <w:rPr>
                      <w:rFonts w:hint="default" w:ascii="Times New Roman" w:hAnsi="Times New Roman" w:cs="Times New Roman"/>
                      <w:b/>
                      <w:bCs/>
                      <w:color w:val="auto"/>
                      <w:sz w:val="21"/>
                      <w:szCs w:val="21"/>
                      <w:highlight w:val="none"/>
                      <w:lang w:eastAsia="zh-CN"/>
                    </w:rPr>
                    <w:t>声级功率</w:t>
                  </w:r>
                  <w:r>
                    <w:rPr>
                      <w:rFonts w:hint="default" w:ascii="Times New Roman" w:hAnsi="Times New Roman" w:cs="Times New Roman"/>
                      <w:b/>
                      <w:bCs/>
                      <w:color w:val="auto"/>
                      <w:sz w:val="21"/>
                      <w:szCs w:val="21"/>
                      <w:highlight w:val="none"/>
                      <w:lang w:eastAsia="zh-CN" w:bidi="ar"/>
                    </w:rPr>
                    <w:t>dB（A）</w:t>
                  </w:r>
                </w:p>
              </w:tc>
              <w:tc>
                <w:tcPr>
                  <w:tcW w:w="225" w:type="pct"/>
                  <w:vMerge w:val="restart"/>
                  <w:vAlign w:val="center"/>
                </w:tcPr>
                <w:p w14:paraId="3FA24769">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eastAsia="zh-CN"/>
                    </w:rPr>
                  </w:pPr>
                  <w:r>
                    <w:rPr>
                      <w:rFonts w:hint="default" w:ascii="Times New Roman" w:hAnsi="Times New Roman" w:cs="Times New Roman"/>
                      <w:b/>
                      <w:bCs/>
                      <w:color w:val="auto"/>
                      <w:sz w:val="21"/>
                      <w:szCs w:val="21"/>
                      <w:highlight w:val="none"/>
                      <w:lang w:eastAsia="zh-CN"/>
                    </w:rPr>
                    <w:t>声源控制措施</w:t>
                  </w:r>
                </w:p>
              </w:tc>
              <w:tc>
                <w:tcPr>
                  <w:tcW w:w="711" w:type="pct"/>
                  <w:gridSpan w:val="3"/>
                  <w:vAlign w:val="center"/>
                </w:tcPr>
                <w:p w14:paraId="59F9FBC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空间相对位置</w:t>
                  </w:r>
                </w:p>
              </w:tc>
              <w:tc>
                <w:tcPr>
                  <w:tcW w:w="766" w:type="pct"/>
                  <w:gridSpan w:val="4"/>
                  <w:vAlign w:val="center"/>
                </w:tcPr>
                <w:p w14:paraId="514DD4A2">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bidi="ar"/>
                    </w:rPr>
                  </w:pPr>
                  <w:r>
                    <w:rPr>
                      <w:rFonts w:hint="default" w:ascii="Times New Roman" w:hAnsi="Times New Roman" w:cs="Times New Roman"/>
                      <w:b/>
                      <w:bCs/>
                      <w:color w:val="auto"/>
                      <w:sz w:val="21"/>
                      <w:szCs w:val="21"/>
                      <w:highlight w:val="none"/>
                      <w:lang w:eastAsia="zh-CN" w:bidi="ar"/>
                    </w:rPr>
                    <w:t>距室内边界距离/m</w:t>
                  </w:r>
                </w:p>
              </w:tc>
              <w:tc>
                <w:tcPr>
                  <w:tcW w:w="715" w:type="pct"/>
                  <w:gridSpan w:val="4"/>
                  <w:vAlign w:val="center"/>
                </w:tcPr>
                <w:p w14:paraId="31BB32B9">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bidi="ar"/>
                    </w:rPr>
                  </w:pPr>
                  <w:r>
                    <w:rPr>
                      <w:rFonts w:hint="default" w:ascii="Times New Roman" w:hAnsi="Times New Roman" w:cs="Times New Roman"/>
                      <w:b/>
                      <w:bCs/>
                      <w:color w:val="auto"/>
                      <w:sz w:val="21"/>
                      <w:szCs w:val="21"/>
                      <w:highlight w:val="none"/>
                      <w:lang w:eastAsia="zh-CN" w:bidi="ar"/>
                    </w:rPr>
                    <w:t>室内边界声级/dB（A）</w:t>
                  </w:r>
                </w:p>
              </w:tc>
              <w:tc>
                <w:tcPr>
                  <w:tcW w:w="180" w:type="pct"/>
                  <w:vMerge w:val="restart"/>
                  <w:vAlign w:val="center"/>
                </w:tcPr>
                <w:p w14:paraId="6ECBB8E8">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bidi="ar"/>
                    </w:rPr>
                    <w:t>运行时段</w:t>
                  </w:r>
                </w:p>
              </w:tc>
              <w:tc>
                <w:tcPr>
                  <w:tcW w:w="280" w:type="pct"/>
                  <w:vMerge w:val="restart"/>
                  <w:vAlign w:val="center"/>
                </w:tcPr>
                <w:p w14:paraId="549219FB">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bidi="ar"/>
                    </w:rPr>
                  </w:pPr>
                  <w:r>
                    <w:rPr>
                      <w:rFonts w:hint="default" w:ascii="Times New Roman" w:hAnsi="Times New Roman" w:cs="Times New Roman"/>
                      <w:b/>
                      <w:bCs/>
                      <w:color w:val="auto"/>
                      <w:sz w:val="21"/>
                      <w:szCs w:val="21"/>
                      <w:highlight w:val="none"/>
                      <w:lang w:eastAsia="zh-CN" w:bidi="ar"/>
                    </w:rPr>
                    <w:t>建筑物插入损失/dB（A）</w:t>
                  </w:r>
                </w:p>
              </w:tc>
              <w:tc>
                <w:tcPr>
                  <w:tcW w:w="1016" w:type="pct"/>
                  <w:gridSpan w:val="5"/>
                  <w:vAlign w:val="center"/>
                </w:tcPr>
                <w:p w14:paraId="6E2080A6">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bidi="ar"/>
                    </w:rPr>
                  </w:pPr>
                  <w:r>
                    <w:rPr>
                      <w:rFonts w:hint="default" w:ascii="Times New Roman" w:hAnsi="Times New Roman" w:cs="Times New Roman"/>
                      <w:b/>
                      <w:bCs/>
                      <w:color w:val="auto"/>
                      <w:sz w:val="21"/>
                      <w:szCs w:val="21"/>
                      <w:highlight w:val="none"/>
                      <w:lang w:eastAsia="zh-CN" w:bidi="ar"/>
                    </w:rPr>
                    <w:t>建筑物外噪声</w:t>
                  </w:r>
                </w:p>
              </w:tc>
            </w:tr>
            <w:tr w14:paraId="448F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4" w:type="pct"/>
                  <w:vMerge w:val="continue"/>
                  <w:vAlign w:val="center"/>
                </w:tcPr>
                <w:p w14:paraId="0D32B7FF">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p>
              </w:tc>
              <w:tc>
                <w:tcPr>
                  <w:tcW w:w="164" w:type="pct"/>
                  <w:vMerge w:val="continue"/>
                  <w:vAlign w:val="center"/>
                </w:tcPr>
                <w:p w14:paraId="657FB5F9">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p>
              </w:tc>
              <w:tc>
                <w:tcPr>
                  <w:tcW w:w="317" w:type="pct"/>
                  <w:vMerge w:val="continue"/>
                  <w:vAlign w:val="center"/>
                </w:tcPr>
                <w:p w14:paraId="7FD29196">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p>
              </w:tc>
              <w:tc>
                <w:tcPr>
                  <w:tcW w:w="246" w:type="pct"/>
                  <w:vMerge w:val="continue"/>
                  <w:vAlign w:val="center"/>
                </w:tcPr>
                <w:p w14:paraId="1DB96F2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p>
              </w:tc>
              <w:tc>
                <w:tcPr>
                  <w:tcW w:w="211" w:type="pct"/>
                  <w:vMerge w:val="continue"/>
                  <w:vAlign w:val="center"/>
                </w:tcPr>
                <w:p w14:paraId="7A0E1752">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eastAsia="zh-CN"/>
                    </w:rPr>
                  </w:pPr>
                </w:p>
              </w:tc>
              <w:tc>
                <w:tcPr>
                  <w:tcW w:w="225" w:type="pct"/>
                  <w:vMerge w:val="continue"/>
                  <w:vAlign w:val="center"/>
                </w:tcPr>
                <w:p w14:paraId="4A2BD37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eastAsia="zh-CN"/>
                    </w:rPr>
                  </w:pPr>
                </w:p>
              </w:tc>
              <w:tc>
                <w:tcPr>
                  <w:tcW w:w="274" w:type="pct"/>
                  <w:vMerge w:val="restart"/>
                  <w:vAlign w:val="center"/>
                </w:tcPr>
                <w:p w14:paraId="082CA611">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X</w:t>
                  </w:r>
                </w:p>
              </w:tc>
              <w:tc>
                <w:tcPr>
                  <w:tcW w:w="255" w:type="pct"/>
                  <w:vMerge w:val="restart"/>
                  <w:vAlign w:val="center"/>
                </w:tcPr>
                <w:p w14:paraId="67888F3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Y</w:t>
                  </w:r>
                </w:p>
              </w:tc>
              <w:tc>
                <w:tcPr>
                  <w:tcW w:w="181" w:type="pct"/>
                  <w:vMerge w:val="restart"/>
                  <w:vAlign w:val="center"/>
                </w:tcPr>
                <w:p w14:paraId="75900798">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Z</w:t>
                  </w:r>
                </w:p>
              </w:tc>
              <w:tc>
                <w:tcPr>
                  <w:tcW w:w="174" w:type="pct"/>
                  <w:vMerge w:val="restart"/>
                  <w:vAlign w:val="center"/>
                </w:tcPr>
                <w:p w14:paraId="3C9C3439">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东</w:t>
                  </w:r>
                </w:p>
              </w:tc>
              <w:tc>
                <w:tcPr>
                  <w:tcW w:w="200" w:type="pct"/>
                  <w:vMerge w:val="restart"/>
                  <w:vAlign w:val="center"/>
                </w:tcPr>
                <w:p w14:paraId="3A66683C">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南</w:t>
                  </w:r>
                </w:p>
              </w:tc>
              <w:tc>
                <w:tcPr>
                  <w:tcW w:w="200" w:type="pct"/>
                  <w:vMerge w:val="restart"/>
                  <w:vAlign w:val="center"/>
                </w:tcPr>
                <w:p w14:paraId="3F0CE00D">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西</w:t>
                  </w:r>
                </w:p>
              </w:tc>
              <w:tc>
                <w:tcPr>
                  <w:tcW w:w="191" w:type="pct"/>
                  <w:vMerge w:val="restart"/>
                  <w:vAlign w:val="center"/>
                </w:tcPr>
                <w:p w14:paraId="16351241">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北</w:t>
                  </w:r>
                </w:p>
              </w:tc>
              <w:tc>
                <w:tcPr>
                  <w:tcW w:w="180" w:type="pct"/>
                  <w:vMerge w:val="restart"/>
                  <w:vAlign w:val="center"/>
                </w:tcPr>
                <w:p w14:paraId="3E50E419">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东</w:t>
                  </w:r>
                </w:p>
              </w:tc>
              <w:tc>
                <w:tcPr>
                  <w:tcW w:w="160" w:type="pct"/>
                  <w:vMerge w:val="restart"/>
                  <w:vAlign w:val="center"/>
                </w:tcPr>
                <w:p w14:paraId="2E1BAEB8">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南</w:t>
                  </w:r>
                </w:p>
              </w:tc>
              <w:tc>
                <w:tcPr>
                  <w:tcW w:w="170" w:type="pct"/>
                  <w:vMerge w:val="restart"/>
                  <w:vAlign w:val="center"/>
                </w:tcPr>
                <w:p w14:paraId="6335302F">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西</w:t>
                  </w:r>
                </w:p>
              </w:tc>
              <w:tc>
                <w:tcPr>
                  <w:tcW w:w="204" w:type="pct"/>
                  <w:vMerge w:val="restart"/>
                  <w:vAlign w:val="center"/>
                </w:tcPr>
                <w:p w14:paraId="354FBB17">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北</w:t>
                  </w:r>
                </w:p>
              </w:tc>
              <w:tc>
                <w:tcPr>
                  <w:tcW w:w="180" w:type="pct"/>
                  <w:vMerge w:val="continue"/>
                  <w:vAlign w:val="center"/>
                </w:tcPr>
                <w:p w14:paraId="118F8456">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p>
              </w:tc>
              <w:tc>
                <w:tcPr>
                  <w:tcW w:w="280" w:type="pct"/>
                  <w:vMerge w:val="continue"/>
                  <w:vAlign w:val="center"/>
                </w:tcPr>
                <w:p w14:paraId="6845D1D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rPr>
                  </w:pPr>
                </w:p>
              </w:tc>
              <w:tc>
                <w:tcPr>
                  <w:tcW w:w="749" w:type="pct"/>
                  <w:gridSpan w:val="4"/>
                  <w:vAlign w:val="center"/>
                </w:tcPr>
                <w:p w14:paraId="7792F483">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lang w:eastAsia="zh-CN" w:bidi="ar"/>
                    </w:rPr>
                  </w:pPr>
                  <w:r>
                    <w:rPr>
                      <w:rFonts w:hint="default" w:ascii="Times New Roman" w:hAnsi="Times New Roman" w:cs="Times New Roman"/>
                      <w:b/>
                      <w:bCs/>
                      <w:color w:val="auto"/>
                      <w:sz w:val="21"/>
                      <w:szCs w:val="21"/>
                      <w:highlight w:val="none"/>
                      <w:lang w:eastAsia="zh-CN" w:bidi="ar"/>
                    </w:rPr>
                    <w:t>声压级/dB（A）</w:t>
                  </w:r>
                </w:p>
              </w:tc>
              <w:tc>
                <w:tcPr>
                  <w:tcW w:w="266" w:type="pct"/>
                  <w:vMerge w:val="restart"/>
                  <w:vAlign w:val="center"/>
                </w:tcPr>
                <w:p w14:paraId="1B8885C1">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lang w:eastAsia="zh-CN" w:bidi="ar"/>
                    </w:rPr>
                    <w:t>建筑物外距离/m</w:t>
                  </w:r>
                </w:p>
              </w:tc>
            </w:tr>
            <w:tr w14:paraId="3C77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4" w:type="pct"/>
                  <w:vMerge w:val="continue"/>
                  <w:vAlign w:val="center"/>
                </w:tcPr>
                <w:p w14:paraId="7999332C">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164" w:type="pct"/>
                  <w:vMerge w:val="continue"/>
                  <w:vAlign w:val="center"/>
                </w:tcPr>
                <w:p w14:paraId="0194C0E3">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317" w:type="pct"/>
                  <w:vMerge w:val="continue"/>
                  <w:vAlign w:val="center"/>
                </w:tcPr>
                <w:p w14:paraId="357C4642">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46" w:type="pct"/>
                  <w:vMerge w:val="continue"/>
                  <w:vAlign w:val="center"/>
                </w:tcPr>
                <w:p w14:paraId="1F20E4B3">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11" w:type="pct"/>
                  <w:vMerge w:val="continue"/>
                  <w:vAlign w:val="center"/>
                </w:tcPr>
                <w:p w14:paraId="312F146F">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25" w:type="pct"/>
                  <w:vMerge w:val="continue"/>
                  <w:vAlign w:val="center"/>
                </w:tcPr>
                <w:p w14:paraId="7BAD1F32">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74" w:type="pct"/>
                  <w:vMerge w:val="continue"/>
                  <w:vAlign w:val="center"/>
                </w:tcPr>
                <w:p w14:paraId="4F5FDFC2">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55" w:type="pct"/>
                  <w:vMerge w:val="continue"/>
                  <w:vAlign w:val="center"/>
                </w:tcPr>
                <w:p w14:paraId="188E9AE8">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181" w:type="pct"/>
                  <w:vMerge w:val="continue"/>
                  <w:vAlign w:val="center"/>
                </w:tcPr>
                <w:p w14:paraId="16AC95D8">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174" w:type="pct"/>
                  <w:vMerge w:val="continue"/>
                  <w:vAlign w:val="center"/>
                </w:tcPr>
                <w:p w14:paraId="13A10A74">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00" w:type="pct"/>
                  <w:vMerge w:val="continue"/>
                  <w:vAlign w:val="center"/>
                </w:tcPr>
                <w:p w14:paraId="257F3B89">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00" w:type="pct"/>
                  <w:vMerge w:val="continue"/>
                  <w:vAlign w:val="center"/>
                </w:tcPr>
                <w:p w14:paraId="2B9033E5">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191" w:type="pct"/>
                  <w:vMerge w:val="continue"/>
                  <w:vAlign w:val="center"/>
                </w:tcPr>
                <w:p w14:paraId="509D32C2">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180" w:type="pct"/>
                  <w:vMerge w:val="continue"/>
                  <w:vAlign w:val="center"/>
                </w:tcPr>
                <w:p w14:paraId="1AC7A0F6">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160" w:type="pct"/>
                  <w:vMerge w:val="continue"/>
                  <w:vAlign w:val="center"/>
                </w:tcPr>
                <w:p w14:paraId="635BD554">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170" w:type="pct"/>
                  <w:vMerge w:val="continue"/>
                  <w:vAlign w:val="center"/>
                </w:tcPr>
                <w:p w14:paraId="523D23FE">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04" w:type="pct"/>
                  <w:vMerge w:val="continue"/>
                  <w:vAlign w:val="center"/>
                </w:tcPr>
                <w:p w14:paraId="38647E9D">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180" w:type="pct"/>
                  <w:vMerge w:val="continue"/>
                  <w:vAlign w:val="center"/>
                </w:tcPr>
                <w:p w14:paraId="33726DF7">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80" w:type="pct"/>
                  <w:vMerge w:val="continue"/>
                  <w:vAlign w:val="center"/>
                </w:tcPr>
                <w:p w14:paraId="79B76894">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sz w:val="21"/>
                      <w:szCs w:val="21"/>
                      <w:highlight w:val="none"/>
                    </w:rPr>
                  </w:pPr>
                </w:p>
              </w:tc>
              <w:tc>
                <w:tcPr>
                  <w:tcW w:w="202" w:type="pct"/>
                  <w:vAlign w:val="center"/>
                </w:tcPr>
                <w:p w14:paraId="65F120CC">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eastAsia="zh-CN"/>
                    </w:rPr>
                  </w:pPr>
                  <w:r>
                    <w:rPr>
                      <w:rFonts w:hint="default" w:ascii="Times New Roman" w:hAnsi="Times New Roman" w:cs="Times New Roman"/>
                      <w:b/>
                      <w:bCs/>
                      <w:color w:val="auto"/>
                      <w:sz w:val="21"/>
                      <w:szCs w:val="21"/>
                      <w:highlight w:val="none"/>
                      <w:lang w:eastAsia="zh-CN"/>
                    </w:rPr>
                    <w:t>东</w:t>
                  </w:r>
                </w:p>
              </w:tc>
              <w:tc>
                <w:tcPr>
                  <w:tcW w:w="180" w:type="pct"/>
                  <w:vAlign w:val="center"/>
                </w:tcPr>
                <w:p w14:paraId="4125B4C2">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eastAsia="zh-CN"/>
                    </w:rPr>
                  </w:pPr>
                  <w:r>
                    <w:rPr>
                      <w:rFonts w:hint="default" w:ascii="Times New Roman" w:hAnsi="Times New Roman" w:cs="Times New Roman"/>
                      <w:b/>
                      <w:bCs/>
                      <w:color w:val="auto"/>
                      <w:sz w:val="21"/>
                      <w:szCs w:val="21"/>
                      <w:highlight w:val="none"/>
                      <w:lang w:eastAsia="zh-CN"/>
                    </w:rPr>
                    <w:t>南</w:t>
                  </w:r>
                </w:p>
              </w:tc>
              <w:tc>
                <w:tcPr>
                  <w:tcW w:w="188" w:type="pct"/>
                  <w:vAlign w:val="center"/>
                </w:tcPr>
                <w:p w14:paraId="270C5D82">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eastAsia="zh-CN"/>
                    </w:rPr>
                  </w:pPr>
                  <w:r>
                    <w:rPr>
                      <w:rFonts w:hint="default" w:ascii="Times New Roman" w:hAnsi="Times New Roman" w:cs="Times New Roman"/>
                      <w:b/>
                      <w:bCs/>
                      <w:color w:val="auto"/>
                      <w:sz w:val="21"/>
                      <w:szCs w:val="21"/>
                      <w:highlight w:val="none"/>
                      <w:lang w:eastAsia="zh-CN"/>
                    </w:rPr>
                    <w:t>西</w:t>
                  </w:r>
                </w:p>
              </w:tc>
              <w:tc>
                <w:tcPr>
                  <w:tcW w:w="178" w:type="pct"/>
                  <w:vAlign w:val="center"/>
                </w:tcPr>
                <w:p w14:paraId="16B09E25">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eastAsia="zh-CN"/>
                    </w:rPr>
                  </w:pPr>
                  <w:r>
                    <w:rPr>
                      <w:rFonts w:hint="default" w:ascii="Times New Roman" w:hAnsi="Times New Roman" w:cs="Times New Roman"/>
                      <w:b/>
                      <w:bCs/>
                      <w:color w:val="auto"/>
                      <w:sz w:val="21"/>
                      <w:szCs w:val="21"/>
                      <w:highlight w:val="none"/>
                      <w:lang w:eastAsia="zh-CN"/>
                    </w:rPr>
                    <w:t>北</w:t>
                  </w:r>
                </w:p>
              </w:tc>
              <w:tc>
                <w:tcPr>
                  <w:tcW w:w="266" w:type="pct"/>
                  <w:vMerge w:val="continue"/>
                  <w:vAlign w:val="center"/>
                </w:tcPr>
                <w:p w14:paraId="6ECF1D45">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r>
            <w:tr w14:paraId="1016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4" w:type="pct"/>
                  <w:vAlign w:val="center"/>
                </w:tcPr>
                <w:p w14:paraId="737A13E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64" w:type="pct"/>
                  <w:vMerge w:val="restart"/>
                  <w:vAlign w:val="center"/>
                </w:tcPr>
                <w:p w14:paraId="648913A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生产</w:t>
                  </w:r>
                  <w:r>
                    <w:rPr>
                      <w:rFonts w:hint="default" w:ascii="Times New Roman" w:hAnsi="Times New Roman" w:cs="Times New Roman"/>
                      <w:color w:val="auto"/>
                      <w:sz w:val="21"/>
                      <w:szCs w:val="21"/>
                      <w:highlight w:val="none"/>
                      <w:lang w:val="en-US" w:eastAsia="zh-CN"/>
                    </w:rPr>
                    <w:t>区</w:t>
                  </w:r>
                </w:p>
              </w:tc>
              <w:tc>
                <w:tcPr>
                  <w:tcW w:w="317" w:type="pct"/>
                  <w:vAlign w:val="center"/>
                </w:tcPr>
                <w:p w14:paraId="0A7C4C81">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Style w:val="34"/>
                      <w:rFonts w:hint="default" w:ascii="Times New Roman" w:hAnsi="Times New Roman" w:cs="Times New Roman"/>
                      <w:color w:val="auto"/>
                      <w:sz w:val="21"/>
                      <w:szCs w:val="21"/>
                      <w:highlight w:val="none"/>
                      <w:lang w:eastAsia="zh-CN"/>
                    </w:rPr>
                    <w:t>免基础型水稳站WCB400</w:t>
                  </w:r>
                </w:p>
              </w:tc>
              <w:tc>
                <w:tcPr>
                  <w:tcW w:w="246" w:type="pct"/>
                  <w:vAlign w:val="center"/>
                </w:tcPr>
                <w:p w14:paraId="3DAC45BB">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211" w:type="pct"/>
                  <w:vAlign w:val="center"/>
                </w:tcPr>
                <w:p w14:paraId="3C6F4DD5">
                  <w:pPr>
                    <w:keepNext w:val="0"/>
                    <w:pageBreakBefore w:val="0"/>
                    <w:kinsoku/>
                    <w:wordWrap/>
                    <w:overflowPunct/>
                    <w:topLinePunct w:val="0"/>
                    <w:bidi w:val="0"/>
                    <w:adjustRightInd w:val="0"/>
                    <w:snapToGrid w:val="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80</w:t>
                  </w:r>
                </w:p>
              </w:tc>
              <w:tc>
                <w:tcPr>
                  <w:tcW w:w="225" w:type="pct"/>
                  <w:vMerge w:val="restart"/>
                  <w:vAlign w:val="center"/>
                </w:tcPr>
                <w:p w14:paraId="6D77ECE0">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sz w:val="21"/>
                      <w:szCs w:val="21"/>
                      <w:highlight w:val="none"/>
                      <w:lang w:eastAsia="zh-CN"/>
                    </w:rPr>
                    <w:t>基础减震、</w:t>
                  </w:r>
                  <w:r>
                    <w:rPr>
                      <w:rFonts w:hint="default" w:ascii="Times New Roman" w:hAnsi="Times New Roman" w:cs="Times New Roman"/>
                      <w:color w:val="auto"/>
                      <w:sz w:val="21"/>
                      <w:szCs w:val="21"/>
                      <w:highlight w:val="none"/>
                      <w:lang w:val="en-US" w:eastAsia="zh-CN"/>
                    </w:rPr>
                    <w:t>减震垫</w:t>
                  </w:r>
                </w:p>
              </w:tc>
              <w:tc>
                <w:tcPr>
                  <w:tcW w:w="274" w:type="pct"/>
                  <w:vAlign w:val="center"/>
                </w:tcPr>
                <w:p w14:paraId="2FDBF48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-88.35</w:t>
                  </w:r>
                </w:p>
              </w:tc>
              <w:tc>
                <w:tcPr>
                  <w:tcW w:w="255" w:type="pct"/>
                  <w:vAlign w:val="center"/>
                </w:tcPr>
                <w:p w14:paraId="109289AF">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-162.36</w:t>
                  </w:r>
                </w:p>
              </w:tc>
              <w:tc>
                <w:tcPr>
                  <w:tcW w:w="181" w:type="pct"/>
                  <w:vAlign w:val="center"/>
                </w:tcPr>
                <w:p w14:paraId="036C2505">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74" w:type="pct"/>
                  <w:vAlign w:val="center"/>
                </w:tcPr>
                <w:p w14:paraId="7CBB06C6">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18</w:t>
                  </w:r>
                </w:p>
              </w:tc>
              <w:tc>
                <w:tcPr>
                  <w:tcW w:w="200" w:type="pct"/>
                  <w:vAlign w:val="center"/>
                </w:tcPr>
                <w:p w14:paraId="3AF5018E">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30</w:t>
                  </w:r>
                </w:p>
              </w:tc>
              <w:tc>
                <w:tcPr>
                  <w:tcW w:w="200" w:type="pct"/>
                  <w:vAlign w:val="center"/>
                </w:tcPr>
                <w:p w14:paraId="2FF601C2">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15</w:t>
                  </w:r>
                </w:p>
              </w:tc>
              <w:tc>
                <w:tcPr>
                  <w:tcW w:w="191" w:type="pct"/>
                  <w:vAlign w:val="center"/>
                </w:tcPr>
                <w:p w14:paraId="6394C18A">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20</w:t>
                  </w:r>
                </w:p>
              </w:tc>
              <w:tc>
                <w:tcPr>
                  <w:tcW w:w="180" w:type="pct"/>
                  <w:vAlign w:val="center"/>
                </w:tcPr>
                <w:p w14:paraId="75D8A299">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w:t>
                  </w:r>
                </w:p>
              </w:tc>
              <w:tc>
                <w:tcPr>
                  <w:tcW w:w="160" w:type="pct"/>
                  <w:vAlign w:val="center"/>
                </w:tcPr>
                <w:p w14:paraId="7C8B3BA3">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170" w:type="pct"/>
                  <w:vAlign w:val="center"/>
                </w:tcPr>
                <w:p w14:paraId="54A34D34">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204" w:type="pct"/>
                  <w:vAlign w:val="center"/>
                </w:tcPr>
                <w:p w14:paraId="6E0F0821">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w:t>
                  </w:r>
                </w:p>
              </w:tc>
              <w:tc>
                <w:tcPr>
                  <w:tcW w:w="180" w:type="pct"/>
                  <w:vMerge w:val="restart"/>
                  <w:vAlign w:val="center"/>
                </w:tcPr>
                <w:p w14:paraId="23A0EAC7">
                  <w:pPr>
                    <w:keepNext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9:00～17:00</w:t>
                  </w:r>
                </w:p>
              </w:tc>
              <w:tc>
                <w:tcPr>
                  <w:tcW w:w="280" w:type="pct"/>
                  <w:vAlign w:val="center"/>
                </w:tcPr>
                <w:p w14:paraId="21D331E9">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1A14484F">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180" w:type="pct"/>
                  <w:vAlign w:val="center"/>
                </w:tcPr>
                <w:p w14:paraId="7668FFC8">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w:t>
                  </w:r>
                </w:p>
              </w:tc>
              <w:tc>
                <w:tcPr>
                  <w:tcW w:w="188" w:type="pct"/>
                  <w:vAlign w:val="center"/>
                </w:tcPr>
                <w:p w14:paraId="71E55752">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178" w:type="pct"/>
                  <w:vAlign w:val="center"/>
                </w:tcPr>
                <w:p w14:paraId="66A6211D">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w:t>
                  </w:r>
                </w:p>
              </w:tc>
              <w:tc>
                <w:tcPr>
                  <w:tcW w:w="266" w:type="pct"/>
                  <w:vAlign w:val="center"/>
                </w:tcPr>
                <w:p w14:paraId="45D35881">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r>
            <w:tr w14:paraId="162E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64" w:type="pct"/>
                  <w:vAlign w:val="center"/>
                </w:tcPr>
                <w:p w14:paraId="7156EC71">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sz w:val="21"/>
                      <w:szCs w:val="21"/>
                      <w:highlight w:val="none"/>
                      <w:lang w:eastAsia="zh-CN"/>
                    </w:rPr>
                    <w:t>2</w:t>
                  </w:r>
                </w:p>
              </w:tc>
              <w:tc>
                <w:tcPr>
                  <w:tcW w:w="164" w:type="pct"/>
                  <w:vMerge w:val="continue"/>
                  <w:vAlign w:val="center"/>
                </w:tcPr>
                <w:p w14:paraId="6DFD888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04621251">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Style w:val="34"/>
                      <w:rFonts w:hint="default" w:ascii="Times New Roman" w:hAnsi="Times New Roman" w:cs="Times New Roman"/>
                      <w:color w:val="auto"/>
                      <w:sz w:val="21"/>
                      <w:szCs w:val="21"/>
                      <w:highlight w:val="none"/>
                      <w:lang w:eastAsia="zh-CN"/>
                    </w:rPr>
                    <w:t>免基础型水稳站WCB400</w:t>
                  </w:r>
                </w:p>
              </w:tc>
              <w:tc>
                <w:tcPr>
                  <w:tcW w:w="246" w:type="pct"/>
                  <w:vAlign w:val="center"/>
                </w:tcPr>
                <w:p w14:paraId="0943E632">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211" w:type="pct"/>
                  <w:vAlign w:val="center"/>
                </w:tcPr>
                <w:p w14:paraId="7DE2C5EA">
                  <w:pPr>
                    <w:keepNext w:val="0"/>
                    <w:pageBreakBefore w:val="0"/>
                    <w:kinsoku/>
                    <w:wordWrap/>
                    <w:overflowPunct/>
                    <w:topLinePunct w:val="0"/>
                    <w:bidi w:val="0"/>
                    <w:adjustRightInd w:val="0"/>
                    <w:snapToGrid w:val="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80</w:t>
                  </w:r>
                </w:p>
              </w:tc>
              <w:tc>
                <w:tcPr>
                  <w:tcW w:w="225" w:type="pct"/>
                  <w:vMerge w:val="continue"/>
                  <w:vAlign w:val="center"/>
                </w:tcPr>
                <w:p w14:paraId="66701B8B">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19F35556">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lang w:val="en-US" w:eastAsia="zh-CN"/>
                    </w:rPr>
                    <w:t>-135.12</w:t>
                  </w:r>
                </w:p>
              </w:tc>
              <w:tc>
                <w:tcPr>
                  <w:tcW w:w="255" w:type="pct"/>
                  <w:vAlign w:val="center"/>
                </w:tcPr>
                <w:p w14:paraId="3BE33B0B">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-202.55</w:t>
                  </w:r>
                </w:p>
              </w:tc>
              <w:tc>
                <w:tcPr>
                  <w:tcW w:w="181" w:type="pct"/>
                  <w:vAlign w:val="center"/>
                </w:tcPr>
                <w:p w14:paraId="19C80C8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74" w:type="pct"/>
                  <w:vAlign w:val="center"/>
                </w:tcPr>
                <w:p w14:paraId="7C2E212C">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17</w:t>
                  </w:r>
                </w:p>
              </w:tc>
              <w:tc>
                <w:tcPr>
                  <w:tcW w:w="200" w:type="pct"/>
                  <w:vAlign w:val="center"/>
                </w:tcPr>
                <w:p w14:paraId="70F18FAF">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26</w:t>
                  </w:r>
                </w:p>
              </w:tc>
              <w:tc>
                <w:tcPr>
                  <w:tcW w:w="200" w:type="pct"/>
                  <w:vAlign w:val="center"/>
                </w:tcPr>
                <w:p w14:paraId="5D4A4676">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16</w:t>
                  </w:r>
                </w:p>
              </w:tc>
              <w:tc>
                <w:tcPr>
                  <w:tcW w:w="191" w:type="pct"/>
                  <w:vAlign w:val="center"/>
                </w:tcPr>
                <w:p w14:paraId="44A560B6">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18</w:t>
                  </w:r>
                </w:p>
              </w:tc>
              <w:tc>
                <w:tcPr>
                  <w:tcW w:w="180" w:type="pct"/>
                  <w:vAlign w:val="center"/>
                </w:tcPr>
                <w:p w14:paraId="1B994AA0">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60" w:type="pct"/>
                  <w:vAlign w:val="center"/>
                </w:tcPr>
                <w:p w14:paraId="7E44969D">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170" w:type="pct"/>
                  <w:vAlign w:val="center"/>
                </w:tcPr>
                <w:p w14:paraId="28E35605">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w:t>
                  </w:r>
                </w:p>
              </w:tc>
              <w:tc>
                <w:tcPr>
                  <w:tcW w:w="204" w:type="pct"/>
                  <w:vAlign w:val="center"/>
                </w:tcPr>
                <w:p w14:paraId="170E4662">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73</w:t>
                  </w:r>
                </w:p>
              </w:tc>
              <w:tc>
                <w:tcPr>
                  <w:tcW w:w="180" w:type="pct"/>
                  <w:vMerge w:val="continue"/>
                  <w:vAlign w:val="center"/>
                </w:tcPr>
                <w:p w14:paraId="6C304616">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0FE5555D">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40520B0C">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w:t>
                  </w:r>
                </w:p>
              </w:tc>
              <w:tc>
                <w:tcPr>
                  <w:tcW w:w="180" w:type="pct"/>
                  <w:vAlign w:val="center"/>
                </w:tcPr>
                <w:p w14:paraId="18575A61">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188" w:type="pct"/>
                  <w:vAlign w:val="center"/>
                </w:tcPr>
                <w:p w14:paraId="0EA25C7F">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w:t>
                  </w:r>
                </w:p>
              </w:tc>
              <w:tc>
                <w:tcPr>
                  <w:tcW w:w="178" w:type="pct"/>
                  <w:vAlign w:val="center"/>
                </w:tcPr>
                <w:p w14:paraId="26B27DC2">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w:t>
                  </w:r>
                </w:p>
              </w:tc>
              <w:tc>
                <w:tcPr>
                  <w:tcW w:w="266" w:type="pct"/>
                  <w:vAlign w:val="center"/>
                </w:tcPr>
                <w:p w14:paraId="31DB5F12">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r>
            <w:tr w14:paraId="58D4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 w:type="pct"/>
                  <w:vAlign w:val="center"/>
                </w:tcPr>
                <w:p w14:paraId="1DCF160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sz w:val="21"/>
                      <w:szCs w:val="21"/>
                      <w:highlight w:val="none"/>
                      <w:lang w:eastAsia="zh-CN"/>
                    </w:rPr>
                    <w:t>3</w:t>
                  </w:r>
                </w:p>
              </w:tc>
              <w:tc>
                <w:tcPr>
                  <w:tcW w:w="164" w:type="pct"/>
                  <w:vMerge w:val="continue"/>
                  <w:vAlign w:val="center"/>
                </w:tcPr>
                <w:p w14:paraId="581461C8">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4B8A7851">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Style w:val="34"/>
                      <w:rFonts w:hint="default" w:ascii="Times New Roman" w:hAnsi="Times New Roman" w:cs="Times New Roman"/>
                      <w:color w:val="auto"/>
                      <w:sz w:val="21"/>
                      <w:szCs w:val="21"/>
                      <w:highlight w:val="none"/>
                      <w:lang w:eastAsia="zh-CN"/>
                    </w:rPr>
                    <w:t>免基础型水稳站WCB400</w:t>
                  </w:r>
                </w:p>
              </w:tc>
              <w:tc>
                <w:tcPr>
                  <w:tcW w:w="246" w:type="pct"/>
                  <w:vAlign w:val="center"/>
                </w:tcPr>
                <w:p w14:paraId="59189DAC">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DGL-1600</w:t>
                  </w:r>
                </w:p>
              </w:tc>
              <w:tc>
                <w:tcPr>
                  <w:tcW w:w="211" w:type="pct"/>
                  <w:vAlign w:val="center"/>
                </w:tcPr>
                <w:p w14:paraId="4A8F985E">
                  <w:pPr>
                    <w:pStyle w:val="27"/>
                    <w:keepNext w:val="0"/>
                    <w:pageBreakBefore w:val="0"/>
                    <w:kinsoku/>
                    <w:wordWrap/>
                    <w:overflowPunct/>
                    <w:topLinePunct w:val="0"/>
                    <w:bidi w:val="0"/>
                    <w:adjustRightInd w:val="0"/>
                    <w:snapToGrid w:val="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80</w:t>
                  </w:r>
                </w:p>
              </w:tc>
              <w:tc>
                <w:tcPr>
                  <w:tcW w:w="225" w:type="pct"/>
                  <w:vMerge w:val="continue"/>
                  <w:vAlign w:val="center"/>
                </w:tcPr>
                <w:p w14:paraId="2F4BC9DF">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2F63E59B">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-171.65</w:t>
                  </w:r>
                </w:p>
              </w:tc>
              <w:tc>
                <w:tcPr>
                  <w:tcW w:w="255" w:type="pct"/>
                  <w:vAlign w:val="center"/>
                </w:tcPr>
                <w:p w14:paraId="49BC8B29">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-233.24</w:t>
                  </w:r>
                </w:p>
              </w:tc>
              <w:tc>
                <w:tcPr>
                  <w:tcW w:w="181" w:type="pct"/>
                  <w:vAlign w:val="center"/>
                </w:tcPr>
                <w:p w14:paraId="09686594">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74" w:type="pct"/>
                  <w:vAlign w:val="center"/>
                </w:tcPr>
                <w:p w14:paraId="440B35A4">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8</w:t>
                  </w:r>
                </w:p>
              </w:tc>
              <w:tc>
                <w:tcPr>
                  <w:tcW w:w="200" w:type="pct"/>
                  <w:vAlign w:val="center"/>
                </w:tcPr>
                <w:p w14:paraId="08E7BCE1">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20</w:t>
                  </w:r>
                </w:p>
              </w:tc>
              <w:tc>
                <w:tcPr>
                  <w:tcW w:w="200" w:type="pct"/>
                  <w:vAlign w:val="center"/>
                </w:tcPr>
                <w:p w14:paraId="41FB0EB0">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16</w:t>
                  </w:r>
                </w:p>
              </w:tc>
              <w:tc>
                <w:tcPr>
                  <w:tcW w:w="191" w:type="pct"/>
                  <w:vAlign w:val="center"/>
                </w:tcPr>
                <w:p w14:paraId="7E30FF0A">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30</w:t>
                  </w:r>
                </w:p>
              </w:tc>
              <w:tc>
                <w:tcPr>
                  <w:tcW w:w="180" w:type="pct"/>
                  <w:vAlign w:val="center"/>
                </w:tcPr>
                <w:p w14:paraId="71569A1B">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60" w:type="pct"/>
                  <w:vAlign w:val="center"/>
                </w:tcPr>
                <w:p w14:paraId="01490F01">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w:t>
                  </w:r>
                </w:p>
              </w:tc>
              <w:tc>
                <w:tcPr>
                  <w:tcW w:w="170" w:type="pct"/>
                  <w:vAlign w:val="center"/>
                </w:tcPr>
                <w:p w14:paraId="02D2396B">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204" w:type="pct"/>
                  <w:vAlign w:val="center"/>
                </w:tcPr>
                <w:p w14:paraId="08931C1F">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180" w:type="pct"/>
                  <w:vMerge w:val="continue"/>
                  <w:vAlign w:val="center"/>
                </w:tcPr>
                <w:p w14:paraId="7241D9E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3104D6EB">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3DBB17B2">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w:t>
                  </w:r>
                </w:p>
              </w:tc>
              <w:tc>
                <w:tcPr>
                  <w:tcW w:w="180" w:type="pct"/>
                  <w:vAlign w:val="center"/>
                </w:tcPr>
                <w:p w14:paraId="2177F720">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188" w:type="pct"/>
                  <w:vAlign w:val="center"/>
                </w:tcPr>
                <w:p w14:paraId="14EF2AC1">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w:t>
                  </w:r>
                </w:p>
              </w:tc>
              <w:tc>
                <w:tcPr>
                  <w:tcW w:w="178" w:type="pct"/>
                  <w:vAlign w:val="center"/>
                </w:tcPr>
                <w:p w14:paraId="04EE987B">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w:t>
                  </w:r>
                </w:p>
              </w:tc>
              <w:tc>
                <w:tcPr>
                  <w:tcW w:w="266" w:type="pct"/>
                  <w:vAlign w:val="center"/>
                </w:tcPr>
                <w:p w14:paraId="2BF98F8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r>
            <w:tr w14:paraId="087B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64" w:type="pct"/>
                  <w:vAlign w:val="center"/>
                </w:tcPr>
                <w:p w14:paraId="3E447943">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4</w:t>
                  </w:r>
                </w:p>
              </w:tc>
              <w:tc>
                <w:tcPr>
                  <w:tcW w:w="164" w:type="pct"/>
                  <w:vMerge w:val="continue"/>
                  <w:vAlign w:val="center"/>
                </w:tcPr>
                <w:p w14:paraId="27BAD70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5E6EA823">
                  <w:pPr>
                    <w:keepNext w:val="0"/>
                    <w:keepLines/>
                    <w:pageBreakBefore w:val="0"/>
                    <w:kinsoku/>
                    <w:wordWrap/>
                    <w:overflowPunct/>
                    <w:topLinePunct w:val="0"/>
                    <w:autoSpaceDE/>
                    <w:autoSpaceDN/>
                    <w:bidi w:val="0"/>
                    <w:adjustRightInd w:val="0"/>
                    <w:snapToGrid w:val="0"/>
                    <w:jc w:val="center"/>
                    <w:rPr>
                      <w:rStyle w:val="34"/>
                      <w:rFonts w:hint="default" w:ascii="Times New Roman" w:hAnsi="Times New Roman" w:cs="Times New Roman"/>
                      <w:color w:val="auto"/>
                      <w:sz w:val="21"/>
                      <w:szCs w:val="21"/>
                      <w:highlight w:val="none"/>
                    </w:rPr>
                  </w:pPr>
                  <w:r>
                    <w:rPr>
                      <w:rStyle w:val="34"/>
                      <w:rFonts w:hint="default" w:ascii="Times New Roman" w:hAnsi="Times New Roman" w:cs="Times New Roman"/>
                      <w:color w:val="auto"/>
                      <w:sz w:val="21"/>
                      <w:szCs w:val="21"/>
                      <w:highlight w:val="none"/>
                      <w:lang w:eastAsia="zh-CN"/>
                    </w:rPr>
                    <w:t>免基础型水稳站WCB</w:t>
                  </w:r>
                  <w:r>
                    <w:rPr>
                      <w:rStyle w:val="34"/>
                      <w:rFonts w:hint="default" w:ascii="Times New Roman" w:hAnsi="Times New Roman" w:cs="Times New Roman"/>
                      <w:color w:val="auto"/>
                      <w:sz w:val="21"/>
                      <w:szCs w:val="21"/>
                      <w:highlight w:val="none"/>
                      <w:lang w:val="en-US" w:eastAsia="zh-CN"/>
                    </w:rPr>
                    <w:t>6</w:t>
                  </w:r>
                  <w:r>
                    <w:rPr>
                      <w:rStyle w:val="34"/>
                      <w:rFonts w:hint="default" w:ascii="Times New Roman" w:hAnsi="Times New Roman" w:cs="Times New Roman"/>
                      <w:color w:val="auto"/>
                      <w:sz w:val="21"/>
                      <w:szCs w:val="21"/>
                      <w:highlight w:val="none"/>
                      <w:lang w:eastAsia="zh-CN"/>
                    </w:rPr>
                    <w:t>00</w:t>
                  </w:r>
                </w:p>
              </w:tc>
              <w:tc>
                <w:tcPr>
                  <w:tcW w:w="246" w:type="pct"/>
                  <w:vAlign w:val="center"/>
                </w:tcPr>
                <w:p w14:paraId="055E2E9C">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RFL-1200</w:t>
                  </w:r>
                </w:p>
              </w:tc>
              <w:tc>
                <w:tcPr>
                  <w:tcW w:w="211" w:type="pct"/>
                  <w:vAlign w:val="center"/>
                </w:tcPr>
                <w:p w14:paraId="046F63D9">
                  <w:pPr>
                    <w:pStyle w:val="27"/>
                    <w:keepNext w:val="0"/>
                    <w:pageBreakBefore w:val="0"/>
                    <w:kinsoku/>
                    <w:wordWrap/>
                    <w:overflowPunct/>
                    <w:topLinePunct w:val="0"/>
                    <w:bidi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225" w:type="pct"/>
                  <w:vMerge w:val="continue"/>
                  <w:vAlign w:val="center"/>
                </w:tcPr>
                <w:p w14:paraId="756CF474">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52A0EDC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-43.77</w:t>
                  </w:r>
                </w:p>
              </w:tc>
              <w:tc>
                <w:tcPr>
                  <w:tcW w:w="255" w:type="pct"/>
                  <w:vAlign w:val="center"/>
                </w:tcPr>
                <w:p w14:paraId="54675E45">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-189.4</w:t>
                  </w:r>
                </w:p>
              </w:tc>
              <w:tc>
                <w:tcPr>
                  <w:tcW w:w="181" w:type="pct"/>
                  <w:vAlign w:val="center"/>
                </w:tcPr>
                <w:p w14:paraId="027840E5">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74" w:type="pct"/>
                  <w:vAlign w:val="center"/>
                </w:tcPr>
                <w:p w14:paraId="7843F3AB">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8</w:t>
                  </w:r>
                </w:p>
              </w:tc>
              <w:tc>
                <w:tcPr>
                  <w:tcW w:w="200" w:type="pct"/>
                  <w:vAlign w:val="center"/>
                </w:tcPr>
                <w:p w14:paraId="2CE74CA7">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19</w:t>
                  </w:r>
                </w:p>
              </w:tc>
              <w:tc>
                <w:tcPr>
                  <w:tcW w:w="200" w:type="pct"/>
                  <w:vAlign w:val="center"/>
                </w:tcPr>
                <w:p w14:paraId="67C0A84D">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16</w:t>
                  </w:r>
                </w:p>
              </w:tc>
              <w:tc>
                <w:tcPr>
                  <w:tcW w:w="191" w:type="pct"/>
                  <w:vAlign w:val="center"/>
                </w:tcPr>
                <w:p w14:paraId="4617EDE5">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29</w:t>
                  </w:r>
                </w:p>
              </w:tc>
              <w:tc>
                <w:tcPr>
                  <w:tcW w:w="180" w:type="pct"/>
                  <w:vAlign w:val="center"/>
                </w:tcPr>
                <w:p w14:paraId="53DF9C26">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64</w:t>
                  </w:r>
                </w:p>
              </w:tc>
              <w:tc>
                <w:tcPr>
                  <w:tcW w:w="160" w:type="pct"/>
                  <w:vAlign w:val="center"/>
                </w:tcPr>
                <w:p w14:paraId="698D66A9">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170" w:type="pct"/>
                  <w:vAlign w:val="center"/>
                </w:tcPr>
                <w:p w14:paraId="0F9A1561">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w:t>
                  </w:r>
                </w:p>
              </w:tc>
              <w:tc>
                <w:tcPr>
                  <w:tcW w:w="204" w:type="pct"/>
                  <w:vAlign w:val="center"/>
                </w:tcPr>
                <w:p w14:paraId="09C085B8">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80" w:type="pct"/>
                  <w:vMerge w:val="continue"/>
                  <w:vAlign w:val="center"/>
                </w:tcPr>
                <w:p w14:paraId="2205696F">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10616AC3">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10867B5E">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w:t>
                  </w:r>
                </w:p>
              </w:tc>
              <w:tc>
                <w:tcPr>
                  <w:tcW w:w="180" w:type="pct"/>
                  <w:vAlign w:val="center"/>
                </w:tcPr>
                <w:p w14:paraId="29B41F9F">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188" w:type="pct"/>
                  <w:vAlign w:val="center"/>
                </w:tcPr>
                <w:p w14:paraId="74795881">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w:t>
                  </w:r>
                </w:p>
              </w:tc>
              <w:tc>
                <w:tcPr>
                  <w:tcW w:w="178" w:type="pct"/>
                  <w:vAlign w:val="center"/>
                </w:tcPr>
                <w:p w14:paraId="597C4A6C">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266" w:type="pct"/>
                  <w:vAlign w:val="center"/>
                </w:tcPr>
                <w:p w14:paraId="13CBD87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r>
            <w:tr w14:paraId="16F4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 w:type="pct"/>
                  <w:vAlign w:val="center"/>
                </w:tcPr>
                <w:p w14:paraId="58793F0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sz w:val="21"/>
                      <w:szCs w:val="21"/>
                      <w:highlight w:val="none"/>
                      <w:lang w:eastAsia="zh-CN"/>
                    </w:rPr>
                    <w:t>5</w:t>
                  </w:r>
                </w:p>
              </w:tc>
              <w:tc>
                <w:tcPr>
                  <w:tcW w:w="164" w:type="pct"/>
                  <w:vMerge w:val="continue"/>
                  <w:vAlign w:val="center"/>
                </w:tcPr>
                <w:p w14:paraId="3659D9B0">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1585C3BB">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Style w:val="34"/>
                      <w:rFonts w:hint="default" w:ascii="Times New Roman" w:hAnsi="Times New Roman" w:cs="Times New Roman"/>
                      <w:color w:val="auto"/>
                      <w:sz w:val="21"/>
                      <w:szCs w:val="21"/>
                      <w:highlight w:val="none"/>
                      <w:lang w:eastAsia="zh-CN"/>
                    </w:rPr>
                    <w:t>免基础型水稳站WCB</w:t>
                  </w:r>
                  <w:r>
                    <w:rPr>
                      <w:rStyle w:val="34"/>
                      <w:rFonts w:hint="default" w:ascii="Times New Roman" w:hAnsi="Times New Roman" w:cs="Times New Roman"/>
                      <w:color w:val="auto"/>
                      <w:sz w:val="21"/>
                      <w:szCs w:val="21"/>
                      <w:highlight w:val="none"/>
                      <w:lang w:val="en-US" w:eastAsia="zh-CN"/>
                    </w:rPr>
                    <w:t>6</w:t>
                  </w:r>
                  <w:r>
                    <w:rPr>
                      <w:rStyle w:val="34"/>
                      <w:rFonts w:hint="default" w:ascii="Times New Roman" w:hAnsi="Times New Roman" w:cs="Times New Roman"/>
                      <w:color w:val="auto"/>
                      <w:sz w:val="21"/>
                      <w:szCs w:val="21"/>
                      <w:highlight w:val="none"/>
                      <w:lang w:eastAsia="zh-CN"/>
                    </w:rPr>
                    <w:t>00</w:t>
                  </w:r>
                </w:p>
              </w:tc>
              <w:tc>
                <w:tcPr>
                  <w:tcW w:w="246" w:type="pct"/>
                  <w:vAlign w:val="center"/>
                </w:tcPr>
                <w:p w14:paraId="468421CE">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11" w:type="pct"/>
                  <w:vAlign w:val="center"/>
                </w:tcPr>
                <w:p w14:paraId="06A5B162">
                  <w:pPr>
                    <w:keepNext w:val="0"/>
                    <w:pageBreakBefore w:val="0"/>
                    <w:kinsoku/>
                    <w:wordWrap/>
                    <w:overflowPunct/>
                    <w:topLinePunct w:val="0"/>
                    <w:bidi w:val="0"/>
                    <w:adjustRightInd w:val="0"/>
                    <w:snapToGrid w:val="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80</w:t>
                  </w:r>
                </w:p>
              </w:tc>
              <w:tc>
                <w:tcPr>
                  <w:tcW w:w="225" w:type="pct"/>
                  <w:vMerge w:val="continue"/>
                  <w:vAlign w:val="center"/>
                </w:tcPr>
                <w:p w14:paraId="0EEC1713">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78C61C65">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lang w:val="en-US" w:eastAsia="zh-CN"/>
                    </w:rPr>
                    <w:t>-84.69</w:t>
                  </w:r>
                </w:p>
              </w:tc>
              <w:tc>
                <w:tcPr>
                  <w:tcW w:w="255" w:type="pct"/>
                  <w:vAlign w:val="center"/>
                </w:tcPr>
                <w:p w14:paraId="024FF339">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lang w:val="en-US" w:eastAsia="zh-CN"/>
                    </w:rPr>
                    <w:t>-289.32</w:t>
                  </w:r>
                </w:p>
              </w:tc>
              <w:tc>
                <w:tcPr>
                  <w:tcW w:w="181" w:type="pct"/>
                  <w:vAlign w:val="center"/>
                </w:tcPr>
                <w:p w14:paraId="1C3732F8">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74" w:type="pct"/>
                  <w:vAlign w:val="center"/>
                </w:tcPr>
                <w:p w14:paraId="05AC1D0A">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15</w:t>
                  </w:r>
                </w:p>
              </w:tc>
              <w:tc>
                <w:tcPr>
                  <w:tcW w:w="200" w:type="pct"/>
                  <w:vAlign w:val="center"/>
                </w:tcPr>
                <w:p w14:paraId="0745F5D7">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5</w:t>
                  </w:r>
                </w:p>
              </w:tc>
              <w:tc>
                <w:tcPr>
                  <w:tcW w:w="200" w:type="pct"/>
                  <w:vAlign w:val="center"/>
                </w:tcPr>
                <w:p w14:paraId="0E181B28">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10</w:t>
                  </w:r>
                </w:p>
              </w:tc>
              <w:tc>
                <w:tcPr>
                  <w:tcW w:w="191" w:type="pct"/>
                  <w:vAlign w:val="center"/>
                </w:tcPr>
                <w:p w14:paraId="6F6CCD4A">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30</w:t>
                  </w:r>
                </w:p>
              </w:tc>
              <w:tc>
                <w:tcPr>
                  <w:tcW w:w="180" w:type="pct"/>
                  <w:vAlign w:val="center"/>
                </w:tcPr>
                <w:p w14:paraId="48AADCB1">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64</w:t>
                  </w:r>
                </w:p>
              </w:tc>
              <w:tc>
                <w:tcPr>
                  <w:tcW w:w="160" w:type="pct"/>
                  <w:vAlign w:val="center"/>
                </w:tcPr>
                <w:p w14:paraId="599BADDE">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170" w:type="pct"/>
                  <w:vAlign w:val="center"/>
                </w:tcPr>
                <w:p w14:paraId="4EB1536A">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w:t>
                  </w:r>
                </w:p>
              </w:tc>
              <w:tc>
                <w:tcPr>
                  <w:tcW w:w="204" w:type="pct"/>
                  <w:vAlign w:val="center"/>
                </w:tcPr>
                <w:p w14:paraId="479C912C">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80" w:type="pct"/>
                  <w:vMerge w:val="continue"/>
                  <w:vAlign w:val="center"/>
                </w:tcPr>
                <w:p w14:paraId="72FB4415">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75463FC6">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08B40761">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w:t>
                  </w:r>
                </w:p>
              </w:tc>
              <w:tc>
                <w:tcPr>
                  <w:tcW w:w="180" w:type="pct"/>
                  <w:vAlign w:val="center"/>
                </w:tcPr>
                <w:p w14:paraId="4FBAC5A3">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188" w:type="pct"/>
                  <w:vAlign w:val="center"/>
                </w:tcPr>
                <w:p w14:paraId="10B9BEAD">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w:t>
                  </w:r>
                </w:p>
              </w:tc>
              <w:tc>
                <w:tcPr>
                  <w:tcW w:w="178" w:type="pct"/>
                  <w:vAlign w:val="center"/>
                </w:tcPr>
                <w:p w14:paraId="47035184">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w:t>
                  </w:r>
                </w:p>
              </w:tc>
              <w:tc>
                <w:tcPr>
                  <w:tcW w:w="266" w:type="pct"/>
                  <w:vAlign w:val="center"/>
                </w:tcPr>
                <w:p w14:paraId="592FCEDB">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r>
            <w:tr w14:paraId="3737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164" w:type="pct"/>
                  <w:vAlign w:val="center"/>
                </w:tcPr>
                <w:p w14:paraId="57F760A3">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sz w:val="21"/>
                      <w:szCs w:val="21"/>
                      <w:highlight w:val="none"/>
                      <w:lang w:eastAsia="zh-CN"/>
                    </w:rPr>
                    <w:t>6</w:t>
                  </w:r>
                </w:p>
              </w:tc>
              <w:tc>
                <w:tcPr>
                  <w:tcW w:w="164" w:type="pct"/>
                  <w:vMerge w:val="continue"/>
                  <w:vAlign w:val="center"/>
                </w:tcPr>
                <w:p w14:paraId="15D193C6">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3D2AA615">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Style w:val="34"/>
                      <w:rFonts w:hint="default" w:ascii="Times New Roman" w:hAnsi="Times New Roman" w:cs="Times New Roman"/>
                      <w:color w:val="auto"/>
                      <w:sz w:val="21"/>
                      <w:szCs w:val="21"/>
                      <w:highlight w:val="none"/>
                      <w:lang w:eastAsia="zh-CN"/>
                    </w:rPr>
                    <w:t>免基础型水稳站WCB</w:t>
                  </w:r>
                  <w:r>
                    <w:rPr>
                      <w:rStyle w:val="34"/>
                      <w:rFonts w:hint="default" w:ascii="Times New Roman" w:hAnsi="Times New Roman" w:cs="Times New Roman"/>
                      <w:color w:val="auto"/>
                      <w:sz w:val="21"/>
                      <w:szCs w:val="21"/>
                      <w:highlight w:val="none"/>
                      <w:lang w:val="en-US" w:eastAsia="zh-CN"/>
                    </w:rPr>
                    <w:t>6</w:t>
                  </w:r>
                  <w:r>
                    <w:rPr>
                      <w:rStyle w:val="34"/>
                      <w:rFonts w:hint="default" w:ascii="Times New Roman" w:hAnsi="Times New Roman" w:cs="Times New Roman"/>
                      <w:color w:val="auto"/>
                      <w:sz w:val="21"/>
                      <w:szCs w:val="21"/>
                      <w:highlight w:val="none"/>
                      <w:lang w:eastAsia="zh-CN"/>
                    </w:rPr>
                    <w:t>00</w:t>
                  </w:r>
                </w:p>
              </w:tc>
              <w:tc>
                <w:tcPr>
                  <w:tcW w:w="246" w:type="pct"/>
                  <w:vAlign w:val="center"/>
                </w:tcPr>
                <w:p w14:paraId="74B24B5B">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211" w:type="pct"/>
                  <w:vAlign w:val="center"/>
                </w:tcPr>
                <w:p w14:paraId="4C906864">
                  <w:pPr>
                    <w:keepNext w:val="0"/>
                    <w:pageBreakBefore w:val="0"/>
                    <w:kinsoku/>
                    <w:wordWrap/>
                    <w:overflowPunct/>
                    <w:topLinePunct w:val="0"/>
                    <w:bidi w:val="0"/>
                    <w:adjustRightInd w:val="0"/>
                    <w:snapToGrid w:val="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80</w:t>
                  </w:r>
                </w:p>
              </w:tc>
              <w:tc>
                <w:tcPr>
                  <w:tcW w:w="225" w:type="pct"/>
                  <w:vMerge w:val="continue"/>
                  <w:vAlign w:val="center"/>
                </w:tcPr>
                <w:p w14:paraId="72B07D3F">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7500A20D">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-125.62</w:t>
                  </w:r>
                </w:p>
              </w:tc>
              <w:tc>
                <w:tcPr>
                  <w:tcW w:w="255" w:type="pct"/>
                  <w:vAlign w:val="center"/>
                </w:tcPr>
                <w:p w14:paraId="7279F48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-283.67</w:t>
                  </w:r>
                </w:p>
              </w:tc>
              <w:tc>
                <w:tcPr>
                  <w:tcW w:w="181" w:type="pct"/>
                  <w:vAlign w:val="center"/>
                </w:tcPr>
                <w:p w14:paraId="194BAC6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74" w:type="pct"/>
                  <w:vAlign w:val="center"/>
                </w:tcPr>
                <w:p w14:paraId="70B190E1">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10</w:t>
                  </w:r>
                </w:p>
              </w:tc>
              <w:tc>
                <w:tcPr>
                  <w:tcW w:w="200" w:type="pct"/>
                  <w:vAlign w:val="center"/>
                </w:tcPr>
                <w:p w14:paraId="01F704FD">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18</w:t>
                  </w:r>
                </w:p>
              </w:tc>
              <w:tc>
                <w:tcPr>
                  <w:tcW w:w="200" w:type="pct"/>
                  <w:vAlign w:val="center"/>
                </w:tcPr>
                <w:p w14:paraId="754053ED">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17</w:t>
                  </w:r>
                </w:p>
              </w:tc>
              <w:tc>
                <w:tcPr>
                  <w:tcW w:w="191" w:type="pct"/>
                  <w:vAlign w:val="center"/>
                </w:tcPr>
                <w:p w14:paraId="556311B8">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ar"/>
                    </w:rPr>
                    <w:t>35</w:t>
                  </w:r>
                </w:p>
              </w:tc>
              <w:tc>
                <w:tcPr>
                  <w:tcW w:w="180" w:type="pct"/>
                  <w:vAlign w:val="center"/>
                </w:tcPr>
                <w:p w14:paraId="1BF77B4F">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64</w:t>
                  </w:r>
                </w:p>
              </w:tc>
              <w:tc>
                <w:tcPr>
                  <w:tcW w:w="160" w:type="pct"/>
                  <w:vAlign w:val="center"/>
                </w:tcPr>
                <w:p w14:paraId="47037F65">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w:t>
                  </w:r>
                </w:p>
              </w:tc>
              <w:tc>
                <w:tcPr>
                  <w:tcW w:w="170" w:type="pct"/>
                  <w:vAlign w:val="center"/>
                </w:tcPr>
                <w:p w14:paraId="1ECFD190">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204" w:type="pct"/>
                  <w:vAlign w:val="center"/>
                </w:tcPr>
                <w:p w14:paraId="482F73BF">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80" w:type="pct"/>
                  <w:vMerge w:val="continue"/>
                  <w:vAlign w:val="center"/>
                </w:tcPr>
                <w:p w14:paraId="4DA2806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4027543B">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6A757B85">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w:t>
                  </w:r>
                </w:p>
              </w:tc>
              <w:tc>
                <w:tcPr>
                  <w:tcW w:w="180" w:type="pct"/>
                  <w:vAlign w:val="center"/>
                </w:tcPr>
                <w:p w14:paraId="502A86F4">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c>
                <w:tcPr>
                  <w:tcW w:w="188" w:type="pct"/>
                  <w:vAlign w:val="center"/>
                </w:tcPr>
                <w:p w14:paraId="33830E71">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178" w:type="pct"/>
                  <w:vAlign w:val="center"/>
                </w:tcPr>
                <w:p w14:paraId="7DF666C7">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w:t>
                  </w:r>
                </w:p>
              </w:tc>
              <w:tc>
                <w:tcPr>
                  <w:tcW w:w="266" w:type="pct"/>
                  <w:vAlign w:val="center"/>
                </w:tcPr>
                <w:p w14:paraId="07E05988">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r>
            <w:tr w14:paraId="5F22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 w:type="pct"/>
                  <w:vAlign w:val="center"/>
                </w:tcPr>
                <w:p w14:paraId="4163A1DD">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164" w:type="pct"/>
                  <w:vMerge w:val="continue"/>
                  <w:vAlign w:val="center"/>
                </w:tcPr>
                <w:p w14:paraId="622ED0C8">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0D7982E7">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装载机</w:t>
                  </w:r>
                </w:p>
              </w:tc>
              <w:tc>
                <w:tcPr>
                  <w:tcW w:w="246" w:type="pct"/>
                  <w:vAlign w:val="center"/>
                </w:tcPr>
                <w:p w14:paraId="5FB9F100">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11" w:type="pct"/>
                  <w:vAlign w:val="center"/>
                </w:tcPr>
                <w:p w14:paraId="14437276">
                  <w:pPr>
                    <w:pStyle w:val="27"/>
                    <w:keepNext w:val="0"/>
                    <w:pageBreakBefore w:val="0"/>
                    <w:kinsoku/>
                    <w:wordWrap/>
                    <w:overflowPunct/>
                    <w:topLinePunct w:val="0"/>
                    <w:bidi w:val="0"/>
                    <w:adjustRightInd w:val="0"/>
                    <w:snapToGrid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225" w:type="pct"/>
                  <w:vMerge w:val="continue"/>
                  <w:vAlign w:val="center"/>
                </w:tcPr>
                <w:p w14:paraId="6385B5F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4E7CE4B0">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-89.08</w:t>
                  </w:r>
                </w:p>
              </w:tc>
              <w:tc>
                <w:tcPr>
                  <w:tcW w:w="255" w:type="pct"/>
                  <w:vAlign w:val="center"/>
                </w:tcPr>
                <w:p w14:paraId="5402393B">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-174.78</w:t>
                  </w:r>
                </w:p>
              </w:tc>
              <w:tc>
                <w:tcPr>
                  <w:tcW w:w="181" w:type="pct"/>
                  <w:vAlign w:val="center"/>
                </w:tcPr>
                <w:p w14:paraId="1FC8257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4" w:type="pct"/>
                  <w:vAlign w:val="center"/>
                </w:tcPr>
                <w:p w14:paraId="7E1B8945">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8</w:t>
                  </w:r>
                </w:p>
              </w:tc>
              <w:tc>
                <w:tcPr>
                  <w:tcW w:w="200" w:type="pct"/>
                  <w:vAlign w:val="center"/>
                </w:tcPr>
                <w:p w14:paraId="3DE40305">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20</w:t>
                  </w:r>
                </w:p>
              </w:tc>
              <w:tc>
                <w:tcPr>
                  <w:tcW w:w="200" w:type="pct"/>
                  <w:vAlign w:val="center"/>
                </w:tcPr>
                <w:p w14:paraId="6F18C189">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16</w:t>
                  </w:r>
                </w:p>
              </w:tc>
              <w:tc>
                <w:tcPr>
                  <w:tcW w:w="191" w:type="pct"/>
                  <w:vAlign w:val="center"/>
                </w:tcPr>
                <w:p w14:paraId="6BEDB671">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30</w:t>
                  </w:r>
                </w:p>
              </w:tc>
              <w:tc>
                <w:tcPr>
                  <w:tcW w:w="180" w:type="pct"/>
                  <w:vAlign w:val="center"/>
                </w:tcPr>
                <w:p w14:paraId="2B940884">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160" w:type="pct"/>
                  <w:vAlign w:val="center"/>
                </w:tcPr>
                <w:p w14:paraId="66F8771A">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70" w:type="pct"/>
                  <w:vAlign w:val="center"/>
                </w:tcPr>
                <w:p w14:paraId="0D159060">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w:t>
                  </w:r>
                </w:p>
              </w:tc>
              <w:tc>
                <w:tcPr>
                  <w:tcW w:w="204" w:type="pct"/>
                  <w:vAlign w:val="center"/>
                </w:tcPr>
                <w:p w14:paraId="4BCE2C32">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w:t>
                  </w:r>
                </w:p>
              </w:tc>
              <w:tc>
                <w:tcPr>
                  <w:tcW w:w="180" w:type="pct"/>
                  <w:vMerge w:val="continue"/>
                  <w:vAlign w:val="center"/>
                </w:tcPr>
                <w:p w14:paraId="376AAC9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390F6636">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61B906D7">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180" w:type="pct"/>
                  <w:vAlign w:val="center"/>
                </w:tcPr>
                <w:p w14:paraId="5632DE0F">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188" w:type="pct"/>
                  <w:vAlign w:val="center"/>
                </w:tcPr>
                <w:p w14:paraId="37E02711">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c>
                <w:tcPr>
                  <w:tcW w:w="178" w:type="pct"/>
                  <w:vAlign w:val="center"/>
                </w:tcPr>
                <w:p w14:paraId="4DD9C0C8">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c>
                <w:tcPr>
                  <w:tcW w:w="266" w:type="pct"/>
                  <w:vAlign w:val="center"/>
                </w:tcPr>
                <w:p w14:paraId="30ECFA09">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6F19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 w:type="pct"/>
                  <w:vAlign w:val="center"/>
                </w:tcPr>
                <w:p w14:paraId="4574813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64" w:type="pct"/>
                  <w:vMerge w:val="continue"/>
                  <w:vAlign w:val="center"/>
                </w:tcPr>
                <w:p w14:paraId="4A81C890">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53F25826">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装载机</w:t>
                  </w:r>
                </w:p>
              </w:tc>
              <w:tc>
                <w:tcPr>
                  <w:tcW w:w="246" w:type="pct"/>
                  <w:vAlign w:val="center"/>
                </w:tcPr>
                <w:p w14:paraId="3FF089E6">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11" w:type="pct"/>
                  <w:vAlign w:val="center"/>
                </w:tcPr>
                <w:p w14:paraId="608A2B2F">
                  <w:pPr>
                    <w:keepNext w:val="0"/>
                    <w:pageBreakBefore w:val="0"/>
                    <w:kinsoku/>
                    <w:wordWrap/>
                    <w:overflowPunct/>
                    <w:topLinePunct w:val="0"/>
                    <w:bidi w:val="0"/>
                    <w:adjustRightInd w:val="0"/>
                    <w:snapToGrid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225" w:type="pct"/>
                  <w:vMerge w:val="continue"/>
                  <w:vAlign w:val="center"/>
                </w:tcPr>
                <w:p w14:paraId="07C59D1B">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667FD06B">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-140.96</w:t>
                  </w:r>
                </w:p>
              </w:tc>
              <w:tc>
                <w:tcPr>
                  <w:tcW w:w="255" w:type="pct"/>
                  <w:vAlign w:val="center"/>
                </w:tcPr>
                <w:p w14:paraId="0E35DA8D">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-218.63</w:t>
                  </w:r>
                </w:p>
              </w:tc>
              <w:tc>
                <w:tcPr>
                  <w:tcW w:w="181" w:type="pct"/>
                  <w:vAlign w:val="center"/>
                </w:tcPr>
                <w:p w14:paraId="493FAB6F">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4" w:type="pct"/>
                  <w:vAlign w:val="center"/>
                </w:tcPr>
                <w:p w14:paraId="21357D75">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8</w:t>
                  </w:r>
                </w:p>
              </w:tc>
              <w:tc>
                <w:tcPr>
                  <w:tcW w:w="200" w:type="pct"/>
                  <w:vAlign w:val="center"/>
                </w:tcPr>
                <w:p w14:paraId="4F5D4029">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19</w:t>
                  </w:r>
                </w:p>
              </w:tc>
              <w:tc>
                <w:tcPr>
                  <w:tcW w:w="200" w:type="pct"/>
                  <w:vAlign w:val="center"/>
                </w:tcPr>
                <w:p w14:paraId="4D67C78B">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16</w:t>
                  </w:r>
                </w:p>
              </w:tc>
              <w:tc>
                <w:tcPr>
                  <w:tcW w:w="191" w:type="pct"/>
                  <w:vAlign w:val="center"/>
                </w:tcPr>
                <w:p w14:paraId="158B334A">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29</w:t>
                  </w:r>
                </w:p>
              </w:tc>
              <w:tc>
                <w:tcPr>
                  <w:tcW w:w="180" w:type="pct"/>
                  <w:vAlign w:val="center"/>
                </w:tcPr>
                <w:p w14:paraId="65C770E4">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160" w:type="pct"/>
                  <w:vAlign w:val="center"/>
                </w:tcPr>
                <w:p w14:paraId="0559635D">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w:t>
                  </w:r>
                </w:p>
              </w:tc>
              <w:tc>
                <w:tcPr>
                  <w:tcW w:w="170" w:type="pct"/>
                  <w:vAlign w:val="center"/>
                </w:tcPr>
                <w:p w14:paraId="77C7245C">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204" w:type="pct"/>
                  <w:vAlign w:val="center"/>
                </w:tcPr>
                <w:p w14:paraId="2A9A6F6F">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80" w:type="pct"/>
                  <w:vMerge w:val="continue"/>
                  <w:vAlign w:val="center"/>
                </w:tcPr>
                <w:p w14:paraId="7E9CA7E4">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0DD28FE2">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1E45EC25">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180" w:type="pct"/>
                  <w:vAlign w:val="center"/>
                </w:tcPr>
                <w:p w14:paraId="38910008">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c>
                <w:tcPr>
                  <w:tcW w:w="188" w:type="pct"/>
                  <w:vAlign w:val="center"/>
                </w:tcPr>
                <w:p w14:paraId="1A896B03">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178" w:type="pct"/>
                  <w:vAlign w:val="center"/>
                </w:tcPr>
                <w:p w14:paraId="355488BD">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266" w:type="pct"/>
                  <w:vAlign w:val="center"/>
                </w:tcPr>
                <w:p w14:paraId="43BB8C6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1E27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 w:type="pct"/>
                  <w:vAlign w:val="center"/>
                </w:tcPr>
                <w:p w14:paraId="5695AC9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w:t>
                  </w:r>
                </w:p>
              </w:tc>
              <w:tc>
                <w:tcPr>
                  <w:tcW w:w="164" w:type="pct"/>
                  <w:vMerge w:val="continue"/>
                  <w:vAlign w:val="center"/>
                </w:tcPr>
                <w:p w14:paraId="37A10D7B">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451D7FC0">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装载机</w:t>
                  </w:r>
                </w:p>
              </w:tc>
              <w:tc>
                <w:tcPr>
                  <w:tcW w:w="246" w:type="pct"/>
                  <w:vAlign w:val="center"/>
                </w:tcPr>
                <w:p w14:paraId="1A6A16BC">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11" w:type="pct"/>
                  <w:vAlign w:val="center"/>
                </w:tcPr>
                <w:p w14:paraId="5ABF953C">
                  <w:pPr>
                    <w:keepNext w:val="0"/>
                    <w:pageBreakBefore w:val="0"/>
                    <w:kinsoku/>
                    <w:wordWrap/>
                    <w:overflowPunct/>
                    <w:topLinePunct w:val="0"/>
                    <w:bidi w:val="0"/>
                    <w:adjustRightInd w:val="0"/>
                    <w:snapToGrid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225" w:type="pct"/>
                  <w:vMerge w:val="continue"/>
                  <w:vAlign w:val="center"/>
                </w:tcPr>
                <w:p w14:paraId="737DC5A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01CD2425">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-180.42</w:t>
                  </w:r>
                </w:p>
              </w:tc>
              <w:tc>
                <w:tcPr>
                  <w:tcW w:w="255" w:type="pct"/>
                  <w:vAlign w:val="center"/>
                </w:tcPr>
                <w:p w14:paraId="4F144322">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-249.32</w:t>
                  </w:r>
                </w:p>
              </w:tc>
              <w:tc>
                <w:tcPr>
                  <w:tcW w:w="181" w:type="pct"/>
                  <w:vAlign w:val="center"/>
                </w:tcPr>
                <w:p w14:paraId="19FDA183">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4" w:type="pct"/>
                  <w:vAlign w:val="center"/>
                </w:tcPr>
                <w:p w14:paraId="70CF03A7">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15</w:t>
                  </w:r>
                </w:p>
              </w:tc>
              <w:tc>
                <w:tcPr>
                  <w:tcW w:w="200" w:type="pct"/>
                  <w:vAlign w:val="center"/>
                </w:tcPr>
                <w:p w14:paraId="0DD7AB7E">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5</w:t>
                  </w:r>
                </w:p>
              </w:tc>
              <w:tc>
                <w:tcPr>
                  <w:tcW w:w="200" w:type="pct"/>
                  <w:vAlign w:val="center"/>
                </w:tcPr>
                <w:p w14:paraId="13E127DA">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10</w:t>
                  </w:r>
                </w:p>
              </w:tc>
              <w:tc>
                <w:tcPr>
                  <w:tcW w:w="191" w:type="pct"/>
                  <w:vAlign w:val="center"/>
                </w:tcPr>
                <w:p w14:paraId="1EC6C19D">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30</w:t>
                  </w:r>
                </w:p>
              </w:tc>
              <w:tc>
                <w:tcPr>
                  <w:tcW w:w="180" w:type="pct"/>
                  <w:vAlign w:val="center"/>
                </w:tcPr>
                <w:p w14:paraId="713FAEE3">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w:t>
                  </w:r>
                </w:p>
              </w:tc>
              <w:tc>
                <w:tcPr>
                  <w:tcW w:w="160" w:type="pct"/>
                  <w:vAlign w:val="center"/>
                </w:tcPr>
                <w:p w14:paraId="079F6754">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70" w:type="pct"/>
                  <w:vAlign w:val="center"/>
                </w:tcPr>
                <w:p w14:paraId="7A4622E8">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w:t>
                  </w:r>
                </w:p>
              </w:tc>
              <w:tc>
                <w:tcPr>
                  <w:tcW w:w="204" w:type="pct"/>
                  <w:vAlign w:val="center"/>
                </w:tcPr>
                <w:p w14:paraId="37C7B4C3">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180" w:type="pct"/>
                  <w:vMerge w:val="continue"/>
                  <w:vAlign w:val="center"/>
                </w:tcPr>
                <w:p w14:paraId="597D93C6">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17AA9D21">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407FBB96">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180" w:type="pct"/>
                  <w:vAlign w:val="center"/>
                </w:tcPr>
                <w:p w14:paraId="44131DF5">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188" w:type="pct"/>
                  <w:vAlign w:val="center"/>
                </w:tcPr>
                <w:p w14:paraId="788BD0B7">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c>
                <w:tcPr>
                  <w:tcW w:w="178" w:type="pct"/>
                  <w:vAlign w:val="center"/>
                </w:tcPr>
                <w:p w14:paraId="0D0F9E94">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266" w:type="pct"/>
                  <w:vAlign w:val="center"/>
                </w:tcPr>
                <w:p w14:paraId="2BCF8EB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5398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 w:type="pct"/>
                  <w:vAlign w:val="center"/>
                </w:tcPr>
                <w:p w14:paraId="3783F1F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64" w:type="pct"/>
                  <w:vMerge w:val="continue"/>
                  <w:vAlign w:val="center"/>
                </w:tcPr>
                <w:p w14:paraId="636911A3">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5BA8FA86">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装载机</w:t>
                  </w:r>
                </w:p>
              </w:tc>
              <w:tc>
                <w:tcPr>
                  <w:tcW w:w="246" w:type="pct"/>
                  <w:vAlign w:val="center"/>
                </w:tcPr>
                <w:p w14:paraId="7D6276C3">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11" w:type="pct"/>
                  <w:vAlign w:val="center"/>
                </w:tcPr>
                <w:p w14:paraId="118FB3B6">
                  <w:pPr>
                    <w:keepNext w:val="0"/>
                    <w:pageBreakBefore w:val="0"/>
                    <w:kinsoku/>
                    <w:wordWrap/>
                    <w:overflowPunct/>
                    <w:topLinePunct w:val="0"/>
                    <w:bidi w:val="0"/>
                    <w:adjustRightInd w:val="0"/>
                    <w:snapToGrid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225" w:type="pct"/>
                  <w:vMerge w:val="continue"/>
                  <w:vAlign w:val="center"/>
                </w:tcPr>
                <w:p w14:paraId="032E224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221EF686">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-43.04</w:t>
                  </w:r>
                </w:p>
              </w:tc>
              <w:tc>
                <w:tcPr>
                  <w:tcW w:w="255" w:type="pct"/>
                  <w:vAlign w:val="center"/>
                </w:tcPr>
                <w:p w14:paraId="1C24EBB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-206.94</w:t>
                  </w:r>
                </w:p>
              </w:tc>
              <w:tc>
                <w:tcPr>
                  <w:tcW w:w="181" w:type="pct"/>
                  <w:vAlign w:val="center"/>
                </w:tcPr>
                <w:p w14:paraId="1505D2C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4" w:type="pct"/>
                  <w:vAlign w:val="center"/>
                </w:tcPr>
                <w:p w14:paraId="0F5261CE">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10</w:t>
                  </w:r>
                </w:p>
              </w:tc>
              <w:tc>
                <w:tcPr>
                  <w:tcW w:w="200" w:type="pct"/>
                  <w:vAlign w:val="center"/>
                </w:tcPr>
                <w:p w14:paraId="215C2835">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18</w:t>
                  </w:r>
                </w:p>
              </w:tc>
              <w:tc>
                <w:tcPr>
                  <w:tcW w:w="200" w:type="pct"/>
                  <w:vAlign w:val="center"/>
                </w:tcPr>
                <w:p w14:paraId="2EF06F3D">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17</w:t>
                  </w:r>
                </w:p>
              </w:tc>
              <w:tc>
                <w:tcPr>
                  <w:tcW w:w="191" w:type="pct"/>
                  <w:vAlign w:val="center"/>
                </w:tcPr>
                <w:p w14:paraId="30D93551">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eastAsia="zh-CN" w:bidi="ar"/>
                    </w:rPr>
                    <w:t>35</w:t>
                  </w:r>
                </w:p>
              </w:tc>
              <w:tc>
                <w:tcPr>
                  <w:tcW w:w="180" w:type="pct"/>
                  <w:vAlign w:val="center"/>
                </w:tcPr>
                <w:p w14:paraId="013FB653">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w:t>
                  </w:r>
                </w:p>
              </w:tc>
              <w:tc>
                <w:tcPr>
                  <w:tcW w:w="160" w:type="pct"/>
                  <w:vAlign w:val="center"/>
                </w:tcPr>
                <w:p w14:paraId="44B67261">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w:t>
                  </w:r>
                </w:p>
              </w:tc>
              <w:tc>
                <w:tcPr>
                  <w:tcW w:w="170" w:type="pct"/>
                  <w:vAlign w:val="center"/>
                </w:tcPr>
                <w:p w14:paraId="02F89E05">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204" w:type="pct"/>
                  <w:vAlign w:val="center"/>
                </w:tcPr>
                <w:p w14:paraId="2312A7B3">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180" w:type="pct"/>
                  <w:vMerge w:val="continue"/>
                  <w:vAlign w:val="center"/>
                </w:tcPr>
                <w:p w14:paraId="122CB1B9">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3D9BA5B5">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359998EA">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180" w:type="pct"/>
                  <w:vAlign w:val="center"/>
                </w:tcPr>
                <w:p w14:paraId="1846F631">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w:t>
                  </w:r>
                </w:p>
              </w:tc>
              <w:tc>
                <w:tcPr>
                  <w:tcW w:w="188" w:type="pct"/>
                  <w:vAlign w:val="center"/>
                </w:tcPr>
                <w:p w14:paraId="01B35346">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178" w:type="pct"/>
                  <w:vAlign w:val="center"/>
                </w:tcPr>
                <w:p w14:paraId="360CA1C4">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266" w:type="pct"/>
                  <w:vAlign w:val="center"/>
                </w:tcPr>
                <w:p w14:paraId="44851EEF">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389C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 w:type="pct"/>
                  <w:vAlign w:val="center"/>
                </w:tcPr>
                <w:p w14:paraId="1364F8E6">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164" w:type="pct"/>
                  <w:vMerge w:val="continue"/>
                  <w:vAlign w:val="center"/>
                </w:tcPr>
                <w:p w14:paraId="7017F9AC">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3585616D">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装载机</w:t>
                  </w:r>
                </w:p>
              </w:tc>
              <w:tc>
                <w:tcPr>
                  <w:tcW w:w="246" w:type="pct"/>
                  <w:vAlign w:val="center"/>
                </w:tcPr>
                <w:p w14:paraId="001CBB5B">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11" w:type="pct"/>
                  <w:vAlign w:val="center"/>
                </w:tcPr>
                <w:p w14:paraId="4389774E">
                  <w:pPr>
                    <w:keepNext w:val="0"/>
                    <w:pageBreakBefore w:val="0"/>
                    <w:kinsoku/>
                    <w:wordWrap/>
                    <w:overflowPunct/>
                    <w:topLinePunct w:val="0"/>
                    <w:bidi w:val="0"/>
                    <w:adjustRightInd w:val="0"/>
                    <w:snapToGrid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225" w:type="pct"/>
                  <w:vMerge w:val="continue"/>
                  <w:vAlign w:val="center"/>
                </w:tcPr>
                <w:p w14:paraId="2879FC30">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595CE18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-92</w:t>
                  </w:r>
                </w:p>
              </w:tc>
              <w:tc>
                <w:tcPr>
                  <w:tcW w:w="255" w:type="pct"/>
                  <w:vAlign w:val="center"/>
                </w:tcPr>
                <w:p w14:paraId="75BE0195">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-264.67</w:t>
                  </w:r>
                </w:p>
              </w:tc>
              <w:tc>
                <w:tcPr>
                  <w:tcW w:w="181" w:type="pct"/>
                  <w:vAlign w:val="center"/>
                </w:tcPr>
                <w:p w14:paraId="2F39123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4" w:type="pct"/>
                  <w:vAlign w:val="center"/>
                </w:tcPr>
                <w:p w14:paraId="61775FB6">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3</w:t>
                  </w:r>
                </w:p>
              </w:tc>
              <w:tc>
                <w:tcPr>
                  <w:tcW w:w="200" w:type="pct"/>
                  <w:vAlign w:val="center"/>
                </w:tcPr>
                <w:p w14:paraId="0CF0D8EA">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4</w:t>
                  </w:r>
                </w:p>
              </w:tc>
              <w:tc>
                <w:tcPr>
                  <w:tcW w:w="200" w:type="pct"/>
                  <w:vAlign w:val="center"/>
                </w:tcPr>
                <w:p w14:paraId="45956381">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3</w:t>
                  </w:r>
                </w:p>
              </w:tc>
              <w:tc>
                <w:tcPr>
                  <w:tcW w:w="191" w:type="pct"/>
                  <w:vAlign w:val="center"/>
                </w:tcPr>
                <w:p w14:paraId="065A4F93">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5</w:t>
                  </w:r>
                </w:p>
              </w:tc>
              <w:tc>
                <w:tcPr>
                  <w:tcW w:w="180" w:type="pct"/>
                  <w:vAlign w:val="center"/>
                </w:tcPr>
                <w:p w14:paraId="41E9C329">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60" w:type="pct"/>
                  <w:vAlign w:val="center"/>
                </w:tcPr>
                <w:p w14:paraId="4EC18A21">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70" w:type="pct"/>
                  <w:vAlign w:val="center"/>
                </w:tcPr>
                <w:p w14:paraId="138D6BB0">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w:t>
                  </w:r>
                </w:p>
              </w:tc>
              <w:tc>
                <w:tcPr>
                  <w:tcW w:w="204" w:type="pct"/>
                  <w:vAlign w:val="center"/>
                </w:tcPr>
                <w:p w14:paraId="47B36B61">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w:t>
                  </w:r>
                </w:p>
              </w:tc>
              <w:tc>
                <w:tcPr>
                  <w:tcW w:w="180" w:type="pct"/>
                  <w:vMerge w:val="continue"/>
                  <w:vAlign w:val="center"/>
                </w:tcPr>
                <w:p w14:paraId="7A7AF89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353E28EE">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29C45146">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180" w:type="pct"/>
                  <w:vAlign w:val="center"/>
                </w:tcPr>
                <w:p w14:paraId="7E4AA3B5">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188" w:type="pct"/>
                  <w:vAlign w:val="center"/>
                </w:tcPr>
                <w:p w14:paraId="424E4A63">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c>
                <w:tcPr>
                  <w:tcW w:w="178" w:type="pct"/>
                  <w:vAlign w:val="center"/>
                </w:tcPr>
                <w:p w14:paraId="51129D37">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266" w:type="pct"/>
                  <w:vAlign w:val="center"/>
                </w:tcPr>
                <w:p w14:paraId="6C17F4ED">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6D04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 w:type="pct"/>
                  <w:vAlign w:val="center"/>
                </w:tcPr>
                <w:p w14:paraId="08C58005">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164" w:type="pct"/>
                  <w:vMerge w:val="continue"/>
                  <w:vAlign w:val="center"/>
                </w:tcPr>
                <w:p w14:paraId="0E02EF2E">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317" w:type="pct"/>
                  <w:vAlign w:val="center"/>
                </w:tcPr>
                <w:p w14:paraId="46CCBCFF">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装载机</w:t>
                  </w:r>
                </w:p>
              </w:tc>
              <w:tc>
                <w:tcPr>
                  <w:tcW w:w="246" w:type="pct"/>
                  <w:vAlign w:val="center"/>
                </w:tcPr>
                <w:p w14:paraId="45B7CC16">
                  <w:pPr>
                    <w:keepNext w:val="0"/>
                    <w:keepLines/>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11" w:type="pct"/>
                  <w:vAlign w:val="center"/>
                </w:tcPr>
                <w:p w14:paraId="042D27DA">
                  <w:pPr>
                    <w:keepNext w:val="0"/>
                    <w:pageBreakBefore w:val="0"/>
                    <w:kinsoku/>
                    <w:wordWrap/>
                    <w:overflowPunct/>
                    <w:topLinePunct w:val="0"/>
                    <w:bidi w:val="0"/>
                    <w:adjustRightInd w:val="0"/>
                    <w:snapToGrid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225" w:type="pct"/>
                  <w:vMerge w:val="continue"/>
                  <w:vAlign w:val="center"/>
                </w:tcPr>
                <w:p w14:paraId="5B789BA0">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eastAsia="zh-CN"/>
                    </w:rPr>
                  </w:pPr>
                </w:p>
              </w:tc>
              <w:tc>
                <w:tcPr>
                  <w:tcW w:w="274" w:type="pct"/>
                  <w:vAlign w:val="center"/>
                </w:tcPr>
                <w:p w14:paraId="18125B0D">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-127.81</w:t>
                  </w:r>
                </w:p>
              </w:tc>
              <w:tc>
                <w:tcPr>
                  <w:tcW w:w="255" w:type="pct"/>
                  <w:vAlign w:val="center"/>
                </w:tcPr>
                <w:p w14:paraId="764141F4">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-302.67</w:t>
                  </w:r>
                </w:p>
              </w:tc>
              <w:tc>
                <w:tcPr>
                  <w:tcW w:w="181" w:type="pct"/>
                  <w:vAlign w:val="center"/>
                </w:tcPr>
                <w:p w14:paraId="3DF5EF27">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4" w:type="pct"/>
                  <w:vAlign w:val="center"/>
                </w:tcPr>
                <w:p w14:paraId="7DA4B5FC">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6</w:t>
                  </w:r>
                </w:p>
              </w:tc>
              <w:tc>
                <w:tcPr>
                  <w:tcW w:w="200" w:type="pct"/>
                  <w:vAlign w:val="center"/>
                </w:tcPr>
                <w:p w14:paraId="6C0E5D35">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5</w:t>
                  </w:r>
                </w:p>
              </w:tc>
              <w:tc>
                <w:tcPr>
                  <w:tcW w:w="200" w:type="pct"/>
                  <w:vAlign w:val="center"/>
                </w:tcPr>
                <w:p w14:paraId="5C025607">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4</w:t>
                  </w:r>
                </w:p>
              </w:tc>
              <w:tc>
                <w:tcPr>
                  <w:tcW w:w="191" w:type="pct"/>
                  <w:vAlign w:val="center"/>
                </w:tcPr>
                <w:p w14:paraId="0710DAF1">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3</w:t>
                  </w:r>
                </w:p>
              </w:tc>
              <w:tc>
                <w:tcPr>
                  <w:tcW w:w="180" w:type="pct"/>
                  <w:vAlign w:val="center"/>
                </w:tcPr>
                <w:p w14:paraId="76C04F98">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60" w:type="pct"/>
                  <w:vAlign w:val="center"/>
                </w:tcPr>
                <w:p w14:paraId="7999B9A4">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70" w:type="pct"/>
                  <w:vAlign w:val="center"/>
                </w:tcPr>
                <w:p w14:paraId="5A2BDBB7">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w:t>
                  </w:r>
                </w:p>
              </w:tc>
              <w:tc>
                <w:tcPr>
                  <w:tcW w:w="204" w:type="pct"/>
                  <w:vAlign w:val="center"/>
                </w:tcPr>
                <w:p w14:paraId="712B49C6">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w:t>
                  </w:r>
                </w:p>
              </w:tc>
              <w:tc>
                <w:tcPr>
                  <w:tcW w:w="180" w:type="pct"/>
                  <w:vMerge w:val="continue"/>
                  <w:vAlign w:val="center"/>
                </w:tcPr>
                <w:p w14:paraId="0AAEB81A">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p>
              </w:tc>
              <w:tc>
                <w:tcPr>
                  <w:tcW w:w="280" w:type="pct"/>
                  <w:vAlign w:val="center"/>
                </w:tcPr>
                <w:p w14:paraId="3A4F74AD">
                  <w:pPr>
                    <w:keepNext w:val="0"/>
                    <w:pageBreakBefore w:val="0"/>
                    <w:widowControl/>
                    <w:kinsoku/>
                    <w:wordWrap/>
                    <w:overflowPunct/>
                    <w:topLinePunct w:val="0"/>
                    <w:bidi w:val="0"/>
                    <w:adjustRightInd w:val="0"/>
                    <w:snapToGrid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02" w:type="pct"/>
                  <w:vAlign w:val="center"/>
                </w:tcPr>
                <w:p w14:paraId="5D2829CE">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180" w:type="pct"/>
                  <w:vAlign w:val="center"/>
                </w:tcPr>
                <w:p w14:paraId="79BE84F8">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188" w:type="pct"/>
                  <w:vAlign w:val="center"/>
                </w:tcPr>
                <w:p w14:paraId="50662C05">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c>
                <w:tcPr>
                  <w:tcW w:w="178" w:type="pct"/>
                  <w:vAlign w:val="center"/>
                </w:tcPr>
                <w:p w14:paraId="3CF24D1E">
                  <w:pPr>
                    <w:keepNext w:val="0"/>
                    <w:pageBreakBefore w:val="0"/>
                    <w:widowControl/>
                    <w:kinsoku/>
                    <w:wordWrap/>
                    <w:overflowPunct/>
                    <w:topLinePunct w:val="0"/>
                    <w:bidi w:val="0"/>
                    <w:adjustRightInd w:val="0"/>
                    <w:snapToGrid w:val="0"/>
                    <w:jc w:val="righ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c>
                <w:tcPr>
                  <w:tcW w:w="266" w:type="pct"/>
                  <w:vAlign w:val="center"/>
                </w:tcPr>
                <w:p w14:paraId="0F810154">
                  <w:pPr>
                    <w:keepNext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bl>
          <w:p w14:paraId="07A6BD84">
            <w:pPr>
              <w:pStyle w:val="18"/>
              <w:ind w:firstLine="480"/>
              <w:jc w:val="both"/>
              <w:outlineLvl w:val="0"/>
              <w:rPr>
                <w:rFonts w:hint="default" w:ascii="Times New Roman" w:hAnsi="Times New Roman" w:cs="Times New Roman"/>
                <w:bCs/>
                <w:color w:val="auto"/>
              </w:rPr>
            </w:pPr>
          </w:p>
        </w:tc>
      </w:tr>
    </w:tbl>
    <w:p w14:paraId="21AB5A0F">
      <w:pPr>
        <w:pStyle w:val="27"/>
        <w:jc w:val="both"/>
        <w:rPr>
          <w:rFonts w:hint="default" w:ascii="Times New Roman" w:hAnsi="Times New Roman" w:cs="Times New Roman"/>
          <w:bCs/>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6"/>
      </w:tblGrid>
      <w:tr w14:paraId="577E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7" w:hRule="atLeast"/>
        </w:trPr>
        <w:tc>
          <w:tcPr>
            <w:tcW w:w="453" w:type="dxa"/>
          </w:tcPr>
          <w:p w14:paraId="61F8345E">
            <w:pPr>
              <w:pStyle w:val="18"/>
              <w:ind w:firstLine="0" w:firstLineChars="0"/>
              <w:jc w:val="both"/>
              <w:outlineLvl w:val="0"/>
              <w:rPr>
                <w:rFonts w:hint="default" w:ascii="Times New Roman" w:hAnsi="Times New Roman" w:cs="Times New Roman"/>
                <w:snapToGrid w:val="0"/>
                <w:color w:val="auto"/>
                <w:szCs w:val="24"/>
              </w:rPr>
            </w:pPr>
            <w:bookmarkStart w:id="47" w:name="_Toc5602"/>
            <w:r>
              <w:rPr>
                <w:rFonts w:hint="default" w:ascii="Times New Roman" w:hAnsi="Times New Roman" w:cs="Times New Roman"/>
                <w:snapToGrid w:val="0"/>
                <w:color w:val="auto"/>
                <w:szCs w:val="24"/>
              </w:rPr>
              <w:t>运营期环境影响和保护措</w:t>
            </w:r>
            <w:bookmarkEnd w:id="47"/>
          </w:p>
          <w:p w14:paraId="08A5DA77">
            <w:pPr>
              <w:pStyle w:val="27"/>
              <w:jc w:val="both"/>
              <w:rPr>
                <w:rFonts w:hint="default" w:ascii="Times New Roman" w:hAnsi="Times New Roman" w:cs="Times New Roman"/>
                <w:bCs/>
                <w:color w:val="auto"/>
              </w:rPr>
            </w:pPr>
            <w:r>
              <w:rPr>
                <w:rFonts w:hint="default" w:ascii="Times New Roman" w:hAnsi="Times New Roman" w:cs="Times New Roman"/>
                <w:snapToGrid w:val="0"/>
                <w:color w:val="auto"/>
                <w:sz w:val="24"/>
                <w:szCs w:val="24"/>
              </w:rPr>
              <w:t>施</w:t>
            </w:r>
          </w:p>
        </w:tc>
        <w:tc>
          <w:tcPr>
            <w:tcW w:w="8608" w:type="dxa"/>
          </w:tcPr>
          <w:p w14:paraId="296EAA61">
            <w:pPr>
              <w:widowControl/>
              <w:ind w:firstLine="482"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eastAsia="zh-CN" w:bidi="ar"/>
              </w:rPr>
              <w:t>（二）噪声影响分析</w:t>
            </w:r>
          </w:p>
          <w:p w14:paraId="74D24DAD">
            <w:pPr>
              <w:autoSpaceDE/>
              <w:autoSpaceDN/>
              <w:spacing w:before="120" w:beforeLines="50" w:line="360" w:lineRule="auto"/>
              <w:ind w:firstLine="442"/>
              <w:jc w:val="both"/>
              <w:rPr>
                <w:rFonts w:hint="default" w:ascii="Times New Roman" w:hAnsi="Times New Roman" w:cs="Times New Roman"/>
                <w:bCs/>
                <w:color w:val="auto"/>
                <w:spacing w:val="-10"/>
                <w:sz w:val="24"/>
                <w:szCs w:val="24"/>
                <w:lang w:eastAsia="zh-CN"/>
              </w:rPr>
            </w:pPr>
            <w:r>
              <w:rPr>
                <w:rFonts w:hint="default" w:ascii="Times New Roman" w:hAnsi="Times New Roman" w:cs="Times New Roman"/>
                <w:bCs/>
                <w:color w:val="auto"/>
                <w:spacing w:val="-10"/>
                <w:sz w:val="24"/>
                <w:szCs w:val="24"/>
                <w:lang w:eastAsia="zh-CN"/>
              </w:rPr>
              <w:t>项目运营期采取的噪声防治措施主要是声源上控制措施及噪声隔声措施，在做好措施的前提下，可降低</w:t>
            </w:r>
            <w:r>
              <w:rPr>
                <w:rFonts w:hint="default" w:ascii="Times New Roman" w:hAnsi="Times New Roman" w:cs="Times New Roman"/>
                <w:bCs/>
                <w:color w:val="auto"/>
                <w:spacing w:val="-10"/>
                <w:sz w:val="24"/>
                <w:szCs w:val="24"/>
                <w:lang w:val="en-US" w:eastAsia="zh-CN"/>
              </w:rPr>
              <w:t>16</w:t>
            </w:r>
            <w:r>
              <w:rPr>
                <w:rFonts w:hint="default" w:ascii="Times New Roman" w:hAnsi="Times New Roman" w:cs="Times New Roman"/>
                <w:bCs/>
                <w:color w:val="auto"/>
                <w:spacing w:val="-10"/>
                <w:sz w:val="24"/>
                <w:szCs w:val="24"/>
                <w:lang w:eastAsia="zh-CN"/>
              </w:rPr>
              <w:t>dB（A）左右的噪声值。</w:t>
            </w:r>
          </w:p>
          <w:p w14:paraId="752E0989">
            <w:pPr>
              <w:autoSpaceDE/>
              <w:autoSpaceDN/>
              <w:adjustRightInd w:val="0"/>
              <w:snapToGrid w:val="0"/>
              <w:spacing w:before="120" w:beforeLines="50" w:line="360" w:lineRule="auto"/>
              <w:ind w:firstLine="482"/>
              <w:jc w:val="both"/>
              <w:rPr>
                <w:rFonts w:hint="default" w:ascii="Times New Roman" w:hAnsi="Times New Roman" w:cs="Times New Roman"/>
                <w:color w:val="auto"/>
                <w:sz w:val="24"/>
                <w:szCs w:val="24"/>
                <w:lang w:eastAsia="zh-CN"/>
              </w:rPr>
            </w:pPr>
            <w:r>
              <w:rPr>
                <w:rFonts w:hint="default" w:ascii="Times New Roman" w:hAnsi="Times New Roman" w:cs="Times New Roman"/>
                <w:b/>
                <w:color w:val="auto"/>
                <w:sz w:val="24"/>
                <w:szCs w:val="24"/>
                <w:lang w:eastAsia="zh-CN"/>
              </w:rPr>
              <w:t>1</w:t>
            </w:r>
            <w:r>
              <w:rPr>
                <w:rFonts w:hint="default" w:ascii="Times New Roman" w:hAnsi="Times New Roman" w:cs="Times New Roman"/>
                <w:bCs/>
                <w:color w:val="auto"/>
                <w:sz w:val="24"/>
                <w:szCs w:val="24"/>
                <w:lang w:eastAsia="zh-CN"/>
              </w:rPr>
              <w:t>、</w:t>
            </w:r>
            <w:r>
              <w:rPr>
                <w:rFonts w:hint="default" w:ascii="Times New Roman" w:hAnsi="Times New Roman" w:cs="Times New Roman"/>
                <w:b/>
                <w:color w:val="auto"/>
                <w:sz w:val="24"/>
                <w:szCs w:val="24"/>
                <w:lang w:eastAsia="zh-CN"/>
              </w:rPr>
              <w:t>噪声预测</w:t>
            </w:r>
          </w:p>
          <w:p w14:paraId="2B2B3F41">
            <w:pPr>
              <w:autoSpaceDE/>
              <w:autoSpaceDN/>
              <w:spacing w:before="120" w:beforeLines="50" w:line="360" w:lineRule="auto"/>
              <w:ind w:firstLine="480" w:firstLineChars="2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根据《环境影响预测评价技术导则 声环境》（HJ2.4-2021），本项目采用点声源模式预测噪声源对环境的影响，预测厂界噪声仅考虑距离衰减，预测中噪声源强取采取措施后的噪声值，预测模式如下:</w:t>
            </w:r>
          </w:p>
          <w:p w14:paraId="03C38769">
            <w:pPr>
              <w:autoSpaceDE/>
              <w:autoSpaceDN/>
              <w:spacing w:line="360" w:lineRule="auto"/>
              <w:ind w:firstLine="482"/>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①室外声源几何发散衰减公式</w:t>
            </w:r>
          </w:p>
          <w:p w14:paraId="6D55A1E8">
            <w:pPr>
              <w:pStyle w:val="11"/>
              <w:jc w:val="center"/>
              <w:rPr>
                <w:rFonts w:hint="default" w:ascii="Times New Roman" w:hAnsi="Times New Roman" w:cs="Times New Roman"/>
                <w:b/>
                <w:color w:val="auto"/>
                <w:sz w:val="24"/>
                <w:szCs w:val="24"/>
                <w:lang w:eastAsia="zh-CN"/>
              </w:rPr>
            </w:pPr>
            <w:r>
              <w:rPr>
                <w:rFonts w:hint="default" w:ascii="Times New Roman" w:hAnsi="Times New Roman" w:cs="Times New Roman"/>
                <w:b/>
                <w:color w:val="auto"/>
                <w:position w:val="-14"/>
                <w:sz w:val="24"/>
                <w:szCs w:val="24"/>
                <w:lang w:eastAsia="zh-CN"/>
              </w:rPr>
              <w:object>
                <v:shape id="_x0000_i1025" o:spt="75" type="#_x0000_t75" style="height:19.15pt;width:135pt;" o:ole="t" filled="f" o:preferrelative="t" stroked="f" coordsize="21600,21600">
                  <v:path/>
                  <v:fill on="f" focussize="0,0"/>
                  <v:stroke on="f" joinstyle="miter"/>
                  <v:imagedata r:id="rId17" o:title=""/>
                  <o:lock v:ext="edit" aspectratio="t"/>
                  <w10:wrap type="none"/>
                  <w10:anchorlock/>
                </v:shape>
                <o:OLEObject Type="Embed" ProgID="Equation.KSEE3" ShapeID="_x0000_i1025" DrawAspect="Content" ObjectID="_1468075728" r:id="rId16">
                  <o:LockedField>false</o:LockedField>
                </o:OLEObject>
              </w:object>
            </w:r>
          </w:p>
          <w:p w14:paraId="5ADFE85C">
            <w:pPr>
              <w:pStyle w:val="11"/>
              <w:autoSpaceDE/>
              <w:autoSpaceDN/>
              <w:spacing w:before="120" w:beforeLines="50" w:line="360" w:lineRule="auto"/>
              <w:ind w:firstLine="480" w:firstLineChars="2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式中：Lp(r)－预测点处声压级，dB(A)；</w:t>
            </w:r>
          </w:p>
          <w:p w14:paraId="02FC4ACA">
            <w:pPr>
              <w:pStyle w:val="11"/>
              <w:spacing w:line="360" w:lineRule="auto"/>
              <w:ind w:firstLine="1200" w:firstLineChars="5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Lp(r</w:t>
            </w:r>
            <w:r>
              <w:rPr>
                <w:rFonts w:hint="default" w:ascii="Times New Roman" w:hAnsi="Times New Roman" w:cs="Times New Roman"/>
                <w:bCs/>
                <w:color w:val="auto"/>
                <w:sz w:val="24"/>
                <w:szCs w:val="24"/>
                <w:vertAlign w:val="subscript"/>
                <w:lang w:eastAsia="zh-CN"/>
              </w:rPr>
              <w:t>0</w:t>
            </w:r>
            <w:r>
              <w:rPr>
                <w:rFonts w:hint="default" w:ascii="Times New Roman" w:hAnsi="Times New Roman" w:cs="Times New Roman"/>
                <w:bCs/>
                <w:color w:val="auto"/>
                <w:sz w:val="24"/>
                <w:szCs w:val="24"/>
                <w:lang w:eastAsia="zh-CN"/>
              </w:rPr>
              <w:t>)－参考位置m处的声压级，dB(A)；</w:t>
            </w:r>
          </w:p>
          <w:p w14:paraId="6F63F34A">
            <w:pPr>
              <w:pStyle w:val="11"/>
              <w:spacing w:line="360" w:lineRule="auto"/>
              <w:ind w:firstLine="1200" w:firstLineChars="5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r－预测点距声源距离，m；</w:t>
            </w:r>
          </w:p>
          <w:p w14:paraId="6A0E8F15">
            <w:pPr>
              <w:pStyle w:val="11"/>
              <w:spacing w:line="360" w:lineRule="auto"/>
              <w:ind w:firstLine="1200" w:firstLineChars="5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r</w:t>
            </w:r>
            <w:r>
              <w:rPr>
                <w:rFonts w:hint="default" w:ascii="Times New Roman" w:hAnsi="Times New Roman" w:cs="Times New Roman"/>
                <w:bCs/>
                <w:color w:val="auto"/>
                <w:sz w:val="24"/>
                <w:szCs w:val="24"/>
                <w:vertAlign w:val="subscript"/>
                <w:lang w:eastAsia="zh-CN"/>
              </w:rPr>
              <w:t>0</w:t>
            </w:r>
            <w:r>
              <w:rPr>
                <w:rFonts w:hint="default" w:ascii="Times New Roman" w:hAnsi="Times New Roman" w:cs="Times New Roman"/>
                <w:bCs/>
                <w:color w:val="auto"/>
                <w:sz w:val="24"/>
                <w:szCs w:val="24"/>
                <w:lang w:eastAsia="zh-CN"/>
              </w:rPr>
              <w:t>－参考位置距声源的距离，m。</w:t>
            </w:r>
          </w:p>
          <w:p w14:paraId="566B0C23">
            <w:pPr>
              <w:pStyle w:val="11"/>
              <w:spacing w:line="360" w:lineRule="auto"/>
              <w:ind w:firstLine="480" w:firstLineChars="2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②室内声源计算方法</w:t>
            </w:r>
          </w:p>
          <w:p w14:paraId="44F20D00">
            <w:pPr>
              <w:pStyle w:val="11"/>
              <w:spacing w:line="360" w:lineRule="auto"/>
              <w:jc w:val="center"/>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L</w:t>
            </w:r>
            <w:r>
              <w:rPr>
                <w:rFonts w:hint="default" w:ascii="Times New Roman" w:hAnsi="Times New Roman" w:cs="Times New Roman"/>
                <w:bCs/>
                <w:color w:val="auto"/>
                <w:sz w:val="24"/>
                <w:szCs w:val="24"/>
                <w:vertAlign w:val="subscript"/>
                <w:lang w:eastAsia="zh-CN"/>
              </w:rPr>
              <w:t>p2</w:t>
            </w:r>
            <w:r>
              <w:rPr>
                <w:rFonts w:hint="default" w:ascii="Times New Roman" w:hAnsi="Times New Roman" w:cs="Times New Roman"/>
                <w:bCs/>
                <w:color w:val="auto"/>
                <w:sz w:val="24"/>
                <w:szCs w:val="24"/>
                <w:lang w:eastAsia="zh-CN"/>
              </w:rPr>
              <w:t>=L</w:t>
            </w:r>
            <w:r>
              <w:rPr>
                <w:rFonts w:hint="default" w:ascii="Times New Roman" w:hAnsi="Times New Roman" w:cs="Times New Roman"/>
                <w:bCs/>
                <w:color w:val="auto"/>
                <w:sz w:val="24"/>
                <w:szCs w:val="24"/>
                <w:vertAlign w:val="subscript"/>
                <w:lang w:eastAsia="zh-CN"/>
              </w:rPr>
              <w:t>p1</w:t>
            </w:r>
            <w:r>
              <w:rPr>
                <w:rFonts w:hint="default" w:ascii="Times New Roman" w:hAnsi="Times New Roman" w:cs="Times New Roman"/>
                <w:bCs/>
                <w:color w:val="auto"/>
                <w:sz w:val="24"/>
                <w:szCs w:val="24"/>
                <w:lang w:eastAsia="zh-CN"/>
              </w:rPr>
              <w:t>-（TL+6）</w:t>
            </w:r>
          </w:p>
          <w:p w14:paraId="7295DAC0">
            <w:pPr>
              <w:pStyle w:val="11"/>
              <w:spacing w:line="360" w:lineRule="auto"/>
              <w:ind w:firstLine="480" w:firstLineChars="2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式中:L</w:t>
            </w:r>
            <w:r>
              <w:rPr>
                <w:rFonts w:hint="default" w:ascii="Times New Roman" w:hAnsi="Times New Roman" w:cs="Times New Roman"/>
                <w:bCs/>
                <w:color w:val="auto"/>
                <w:sz w:val="24"/>
                <w:szCs w:val="24"/>
                <w:vertAlign w:val="subscript"/>
                <w:lang w:eastAsia="zh-CN"/>
              </w:rPr>
              <w:t>p1</w:t>
            </w:r>
            <w:r>
              <w:rPr>
                <w:rFonts w:hint="default" w:ascii="Times New Roman" w:hAnsi="Times New Roman" w:cs="Times New Roman"/>
                <w:bCs/>
                <w:color w:val="auto"/>
                <w:sz w:val="24"/>
                <w:szCs w:val="24"/>
                <w:lang w:eastAsia="zh-CN"/>
              </w:rPr>
              <w:t>－靠近开口处(或窗户)室内的声压级，dB(A);</w:t>
            </w:r>
          </w:p>
          <w:p w14:paraId="40F85B95">
            <w:pPr>
              <w:pStyle w:val="11"/>
              <w:spacing w:line="360" w:lineRule="auto"/>
              <w:ind w:firstLine="960" w:firstLineChars="4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L</w:t>
            </w:r>
            <w:r>
              <w:rPr>
                <w:rFonts w:hint="default" w:ascii="Times New Roman" w:hAnsi="Times New Roman" w:cs="Times New Roman"/>
                <w:bCs/>
                <w:color w:val="auto"/>
                <w:sz w:val="24"/>
                <w:szCs w:val="24"/>
                <w:vertAlign w:val="subscript"/>
                <w:lang w:eastAsia="zh-CN"/>
              </w:rPr>
              <w:t>p2</w:t>
            </w:r>
            <w:r>
              <w:rPr>
                <w:rFonts w:hint="default" w:ascii="Times New Roman" w:hAnsi="Times New Roman" w:cs="Times New Roman"/>
                <w:bCs/>
                <w:color w:val="auto"/>
                <w:sz w:val="24"/>
                <w:szCs w:val="24"/>
                <w:lang w:eastAsia="zh-CN"/>
              </w:rPr>
              <w:t>－靠近开口处(或窗户)室外的声压级，dB(A);</w:t>
            </w:r>
          </w:p>
          <w:p w14:paraId="5FB55EA1">
            <w:pPr>
              <w:pStyle w:val="11"/>
              <w:spacing w:line="360" w:lineRule="auto"/>
              <w:ind w:firstLine="960" w:firstLineChars="400"/>
              <w:jc w:val="both"/>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TL－隔墙(或窗户)的隔声量，dB(A)</w:t>
            </w:r>
          </w:p>
          <w:p w14:paraId="7FA22AB7">
            <w:pPr>
              <w:pStyle w:val="12"/>
              <w:ind w:firstLine="480"/>
              <w:rPr>
                <w:rFonts w:hint="default" w:ascii="Times New Roman" w:hAnsi="Times New Roman" w:cs="Times New Roman"/>
                <w:bCs/>
                <w:color w:val="auto"/>
              </w:rPr>
            </w:pPr>
            <w:r>
              <w:rPr>
                <w:rFonts w:hint="default" w:ascii="Times New Roman" w:hAnsi="Times New Roman" w:cs="Times New Roman"/>
                <w:bCs/>
                <w:color w:val="auto"/>
              </w:rPr>
              <w:t>③噪声贡献值计算公式</w:t>
            </w:r>
          </w:p>
          <w:p w14:paraId="4232E1FF">
            <w:pPr>
              <w:pStyle w:val="12"/>
              <w:ind w:firstLine="480"/>
              <w:jc w:val="center"/>
              <w:rPr>
                <w:rFonts w:hint="default" w:ascii="Times New Roman" w:hAnsi="Times New Roman" w:cs="Times New Roman"/>
                <w:bCs/>
                <w:color w:val="auto"/>
              </w:rPr>
            </w:pPr>
            <w:r>
              <w:rPr>
                <w:rFonts w:hint="default" w:ascii="Times New Roman" w:hAnsi="Times New Roman" w:cs="Times New Roman"/>
                <w:bCs/>
                <w:color w:val="auto"/>
                <w:position w:val="-28"/>
              </w:rPr>
              <w:object>
                <v:shape id="_x0000_i1026" o:spt="75" type="#_x0000_t75" style="height:34.15pt;width:130.15pt;" o:ole="t" filled="f" o:preferrelative="t" stroked="f" coordsize="21600,21600">
                  <v:path/>
                  <v:fill on="f" focussize="0,0"/>
                  <v:stroke on="f" joinstyle="miter"/>
                  <v:imagedata r:id="rId19" o:title=""/>
                  <o:lock v:ext="edit" aspectratio="t"/>
                  <w10:wrap type="none"/>
                  <w10:anchorlock/>
                </v:shape>
                <o:OLEObject Type="Embed" ProgID="Equation.KSEE3" ShapeID="_x0000_i1026" DrawAspect="Content" ObjectID="_1468075729" r:id="rId18">
                  <o:LockedField>false</o:LockedField>
                </o:OLEObject>
              </w:object>
            </w:r>
          </w:p>
          <w:p w14:paraId="3F79EAC7">
            <w:pPr>
              <w:pStyle w:val="12"/>
              <w:ind w:firstLine="480"/>
              <w:rPr>
                <w:rFonts w:hint="default" w:ascii="Times New Roman" w:hAnsi="Times New Roman" w:cs="Times New Roman"/>
                <w:bCs/>
                <w:color w:val="auto"/>
              </w:rPr>
            </w:pPr>
            <w:r>
              <w:rPr>
                <w:rFonts w:hint="default" w:ascii="Times New Roman" w:hAnsi="Times New Roman" w:cs="Times New Roman"/>
                <w:bCs/>
                <w:color w:val="auto"/>
              </w:rPr>
              <w:t>式中：L</w:t>
            </w:r>
            <w:r>
              <w:rPr>
                <w:rFonts w:hint="default" w:ascii="Times New Roman" w:hAnsi="Times New Roman" w:cs="Times New Roman"/>
                <w:bCs/>
                <w:color w:val="auto"/>
                <w:vertAlign w:val="subscript"/>
              </w:rPr>
              <w:t>eqg</w:t>
            </w:r>
            <w:r>
              <w:rPr>
                <w:rFonts w:hint="default" w:ascii="Times New Roman" w:hAnsi="Times New Roman" w:cs="Times New Roman"/>
                <w:bCs/>
                <w:color w:val="auto"/>
              </w:rPr>
              <w:t>－噪声贡献值，dB(A)；</w:t>
            </w:r>
          </w:p>
          <w:p w14:paraId="63B21908">
            <w:pPr>
              <w:pStyle w:val="12"/>
              <w:ind w:firstLine="1200" w:firstLineChars="500"/>
              <w:rPr>
                <w:rFonts w:hint="default" w:ascii="Times New Roman" w:hAnsi="Times New Roman" w:cs="Times New Roman"/>
                <w:bCs/>
                <w:color w:val="auto"/>
              </w:rPr>
            </w:pPr>
            <w:r>
              <w:rPr>
                <w:rFonts w:hint="default" w:ascii="Times New Roman" w:hAnsi="Times New Roman" w:cs="Times New Roman"/>
                <w:bCs/>
                <w:color w:val="auto"/>
              </w:rPr>
              <w:t>T－预测计算的时间段，s；</w:t>
            </w:r>
          </w:p>
          <w:p w14:paraId="09B8BCE9">
            <w:pPr>
              <w:pStyle w:val="12"/>
              <w:ind w:firstLine="1200" w:firstLineChars="500"/>
              <w:rPr>
                <w:rFonts w:hint="default" w:ascii="Times New Roman" w:hAnsi="Times New Roman" w:eastAsia="宋体" w:cs="Times New Roman"/>
                <w:bCs/>
                <w:color w:val="auto"/>
                <w:lang w:eastAsia="zh-CN"/>
              </w:rPr>
            </w:pPr>
            <w:r>
              <w:rPr>
                <w:rFonts w:hint="default" w:ascii="Times New Roman" w:hAnsi="Times New Roman" w:cs="Times New Roman"/>
                <w:bCs/>
                <w:color w:val="auto"/>
              </w:rPr>
              <w:t>t</w:t>
            </w:r>
            <w:r>
              <w:rPr>
                <w:rFonts w:hint="default" w:ascii="Times New Roman" w:hAnsi="Times New Roman" w:cs="Times New Roman"/>
                <w:bCs/>
                <w:color w:val="auto"/>
                <w:vertAlign w:val="subscript"/>
              </w:rPr>
              <w:t>i</w:t>
            </w:r>
            <w:r>
              <w:rPr>
                <w:rFonts w:hint="default" w:ascii="Times New Roman" w:hAnsi="Times New Roman" w:cs="Times New Roman"/>
                <w:bCs/>
                <w:color w:val="auto"/>
              </w:rPr>
              <w:t>－i声源在T时段内的运行时间，s</w:t>
            </w:r>
            <w:r>
              <w:rPr>
                <w:rFonts w:hint="default" w:ascii="Times New Roman" w:hAnsi="Times New Roman" w:cs="Times New Roman"/>
                <w:bCs/>
                <w:color w:val="auto"/>
                <w:lang w:eastAsia="zh-CN"/>
              </w:rPr>
              <w:t>。</w:t>
            </w:r>
          </w:p>
          <w:p w14:paraId="56C18C4C">
            <w:pPr>
              <w:pStyle w:val="12"/>
              <w:ind w:firstLine="482"/>
              <w:rPr>
                <w:rFonts w:hint="default" w:ascii="Times New Roman" w:hAnsi="Times New Roman" w:cs="Times New Roman"/>
                <w:b/>
                <w:color w:val="auto"/>
              </w:rPr>
            </w:pPr>
            <w:r>
              <w:rPr>
                <w:rFonts w:hint="default" w:ascii="Times New Roman" w:hAnsi="Times New Roman" w:cs="Times New Roman"/>
                <w:b/>
                <w:color w:val="auto"/>
              </w:rPr>
              <w:t>2、预测结果</w:t>
            </w:r>
          </w:p>
          <w:p w14:paraId="1E79B405">
            <w:pPr>
              <w:widowControl/>
              <w:autoSpaceDE/>
              <w:autoSpaceDN/>
              <w:spacing w:before="120" w:beforeLines="50"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bCs/>
                <w:color w:val="auto"/>
                <w:sz w:val="24"/>
                <w:lang w:eastAsia="zh-CN"/>
              </w:rPr>
              <w:t>根据噪声产生点及平面布置可知，本项目噪声源主要来自生产设备。项目各厂界噪声预测结果见表4-</w:t>
            </w:r>
            <w:r>
              <w:rPr>
                <w:rFonts w:hint="eastAsia" w:ascii="Times New Roman" w:hAnsi="Times New Roman" w:cs="Times New Roman"/>
                <w:bCs/>
                <w:color w:val="auto"/>
                <w:sz w:val="24"/>
                <w:lang w:val="en-US" w:eastAsia="zh-CN"/>
              </w:rPr>
              <w:t>6</w:t>
            </w:r>
            <w:r>
              <w:rPr>
                <w:rFonts w:hint="default" w:ascii="Times New Roman" w:hAnsi="Times New Roman" w:cs="Times New Roman"/>
                <w:bCs/>
                <w:color w:val="auto"/>
                <w:sz w:val="24"/>
                <w:lang w:eastAsia="zh-CN"/>
              </w:rPr>
              <w:t>。厂界噪声预测等声级线图详见图4-</w:t>
            </w:r>
            <w:r>
              <w:rPr>
                <w:rFonts w:hint="default" w:ascii="Times New Roman" w:hAnsi="Times New Roman" w:cs="Times New Roman"/>
                <w:bCs/>
                <w:color w:val="auto"/>
                <w:sz w:val="24"/>
                <w:lang w:val="en-US" w:eastAsia="zh-CN"/>
              </w:rPr>
              <w:t>2</w:t>
            </w:r>
            <w:r>
              <w:rPr>
                <w:rFonts w:hint="default" w:ascii="Times New Roman" w:hAnsi="Times New Roman" w:cs="Times New Roman"/>
                <w:color w:val="auto"/>
                <w:sz w:val="24"/>
                <w:szCs w:val="24"/>
                <w:lang w:eastAsia="zh-CN" w:bidi="ar"/>
              </w:rPr>
              <w:t>。</w:t>
            </w:r>
          </w:p>
          <w:p w14:paraId="2FEA6A6E">
            <w:pPr>
              <w:widowControl/>
              <w:autoSpaceDE/>
              <w:autoSpaceDN/>
              <w:adjustRightInd w:val="0"/>
              <w:snapToGrid w:val="0"/>
              <w:spacing w:before="120" w:beforeLines="50"/>
              <w:jc w:val="center"/>
              <w:rPr>
                <w:rFonts w:hint="default" w:ascii="Times New Roman" w:hAnsi="Times New Roman" w:cs="Times New Roman"/>
                <w:color w:val="auto"/>
                <w:sz w:val="21"/>
                <w:szCs w:val="21"/>
                <w:lang w:eastAsia="zh-CN"/>
              </w:rPr>
            </w:pPr>
            <w:r>
              <w:rPr>
                <w:rFonts w:hint="default" w:ascii="Times New Roman" w:hAnsi="Times New Roman" w:cs="Times New Roman"/>
                <w:b/>
                <w:bCs/>
                <w:color w:val="auto"/>
                <w:sz w:val="21"/>
                <w:szCs w:val="21"/>
                <w:lang w:eastAsia="zh-CN" w:bidi="ar"/>
              </w:rPr>
              <w:t>表4-</w:t>
            </w:r>
            <w:r>
              <w:rPr>
                <w:rFonts w:hint="eastAsia" w:ascii="Times New Roman" w:hAnsi="Times New Roman" w:cs="Times New Roman"/>
                <w:b/>
                <w:bCs/>
                <w:color w:val="auto"/>
                <w:sz w:val="21"/>
                <w:szCs w:val="21"/>
                <w:lang w:val="en-US" w:eastAsia="zh-CN" w:bidi="ar"/>
              </w:rPr>
              <w:t>6</w:t>
            </w:r>
            <w:r>
              <w:rPr>
                <w:rFonts w:hint="default" w:ascii="Times New Roman" w:hAnsi="Times New Roman" w:cs="Times New Roman"/>
                <w:b/>
                <w:bCs/>
                <w:color w:val="auto"/>
                <w:sz w:val="21"/>
                <w:szCs w:val="21"/>
                <w:lang w:eastAsia="zh-CN" w:bidi="ar"/>
              </w:rPr>
              <w:t xml:space="preserve">   项目厂界噪声预测结果一览表（贡献值）</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910"/>
              <w:gridCol w:w="1438"/>
              <w:gridCol w:w="1430"/>
              <w:gridCol w:w="1026"/>
              <w:gridCol w:w="1146"/>
              <w:gridCol w:w="1049"/>
              <w:gridCol w:w="731"/>
            </w:tblGrid>
            <w:tr w14:paraId="6211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vMerge w:val="restart"/>
                  <w:shd w:val="clear" w:color="auto" w:fill="auto"/>
                  <w:vAlign w:val="center"/>
                </w:tcPr>
                <w:p w14:paraId="07CDC6D3">
                  <w:pPr>
                    <w:pStyle w:val="12"/>
                    <w:snapToGrid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43" w:type="pct"/>
                  <w:vMerge w:val="restart"/>
                  <w:shd w:val="clear" w:color="auto" w:fill="auto"/>
                  <w:vAlign w:val="center"/>
                </w:tcPr>
                <w:p w14:paraId="616E3E34">
                  <w:pPr>
                    <w:widowControl/>
                    <w:adjustRightInd w:val="0"/>
                    <w:snapToGrid w:val="0"/>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厂界</w:t>
                  </w:r>
                </w:p>
                <w:p w14:paraId="7D735D3B">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bidi="ar"/>
                    </w:rPr>
                    <w:t>位置</w:t>
                  </w:r>
                </w:p>
              </w:tc>
              <w:tc>
                <w:tcPr>
                  <w:tcW w:w="1711" w:type="pct"/>
                  <w:gridSpan w:val="2"/>
                  <w:shd w:val="clear" w:color="auto" w:fill="auto"/>
                  <w:vAlign w:val="center"/>
                </w:tcPr>
                <w:p w14:paraId="5A483719">
                  <w:pPr>
                    <w:widowControl/>
                    <w:adjustRightInd w:val="0"/>
                    <w:snapToGrid w:val="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bidi="ar"/>
                    </w:rPr>
                    <w:t>噪声贡献值 dB（A）</w:t>
                  </w:r>
                </w:p>
              </w:tc>
              <w:tc>
                <w:tcPr>
                  <w:tcW w:w="1296" w:type="pct"/>
                  <w:gridSpan w:val="2"/>
                  <w:shd w:val="clear" w:color="auto" w:fill="auto"/>
                  <w:vAlign w:val="center"/>
                </w:tcPr>
                <w:p w14:paraId="160CE653">
                  <w:pPr>
                    <w:widowControl/>
                    <w:adjustRightInd w:val="0"/>
                    <w:snapToGrid w:val="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bidi="ar"/>
                    </w:rPr>
                    <w:t>噪声标准值 dB（A）</w:t>
                  </w:r>
                </w:p>
              </w:tc>
              <w:tc>
                <w:tcPr>
                  <w:tcW w:w="1062" w:type="pct"/>
                  <w:gridSpan w:val="2"/>
                  <w:shd w:val="clear" w:color="auto" w:fill="auto"/>
                  <w:vAlign w:val="center"/>
                </w:tcPr>
                <w:p w14:paraId="6245F152">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bidi="ar"/>
                    </w:rPr>
                    <w:t>超标和达标情况</w:t>
                  </w:r>
                </w:p>
              </w:tc>
            </w:tr>
            <w:tr w14:paraId="3047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86" w:type="pct"/>
                  <w:vMerge w:val="continue"/>
                  <w:shd w:val="clear" w:color="auto" w:fill="auto"/>
                  <w:vAlign w:val="center"/>
                </w:tcPr>
                <w:p w14:paraId="7E56E888">
                  <w:pPr>
                    <w:pStyle w:val="12"/>
                    <w:snapToGrid w:val="0"/>
                    <w:spacing w:line="240" w:lineRule="auto"/>
                    <w:ind w:firstLine="0" w:firstLineChars="0"/>
                    <w:jc w:val="center"/>
                    <w:rPr>
                      <w:rFonts w:hint="default" w:ascii="Times New Roman" w:hAnsi="Times New Roman" w:cs="Times New Roman"/>
                      <w:b/>
                      <w:bCs/>
                      <w:color w:val="auto"/>
                      <w:sz w:val="21"/>
                      <w:szCs w:val="21"/>
                    </w:rPr>
                  </w:pPr>
                </w:p>
              </w:tc>
              <w:tc>
                <w:tcPr>
                  <w:tcW w:w="543" w:type="pct"/>
                  <w:vMerge w:val="continue"/>
                  <w:shd w:val="clear" w:color="auto" w:fill="auto"/>
                  <w:vAlign w:val="center"/>
                </w:tcPr>
                <w:p w14:paraId="041C2E75">
                  <w:pPr>
                    <w:pStyle w:val="12"/>
                    <w:snapToGrid w:val="0"/>
                    <w:spacing w:line="240" w:lineRule="auto"/>
                    <w:ind w:firstLine="0" w:firstLineChars="0"/>
                    <w:jc w:val="center"/>
                    <w:rPr>
                      <w:rFonts w:hint="default" w:ascii="Times New Roman" w:hAnsi="Times New Roman" w:cs="Times New Roman"/>
                      <w:b/>
                      <w:bCs/>
                      <w:color w:val="auto"/>
                      <w:sz w:val="21"/>
                      <w:szCs w:val="21"/>
                    </w:rPr>
                  </w:pPr>
                </w:p>
              </w:tc>
              <w:tc>
                <w:tcPr>
                  <w:tcW w:w="858" w:type="pct"/>
                  <w:shd w:val="clear" w:color="auto" w:fill="auto"/>
                  <w:vAlign w:val="center"/>
                </w:tcPr>
                <w:p w14:paraId="32D0D3CC">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852" w:type="pct"/>
                  <w:shd w:val="clear" w:color="auto" w:fill="auto"/>
                  <w:vAlign w:val="center"/>
                </w:tcPr>
                <w:p w14:paraId="3129A3F9">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612" w:type="pct"/>
                  <w:shd w:val="clear" w:color="auto" w:fill="auto"/>
                  <w:vAlign w:val="center"/>
                </w:tcPr>
                <w:p w14:paraId="7B2C5954">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684" w:type="pct"/>
                  <w:shd w:val="clear" w:color="auto" w:fill="auto"/>
                  <w:vAlign w:val="center"/>
                </w:tcPr>
                <w:p w14:paraId="28B46658">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626" w:type="pct"/>
                  <w:shd w:val="clear" w:color="auto" w:fill="auto"/>
                  <w:vAlign w:val="center"/>
                </w:tcPr>
                <w:p w14:paraId="13C2C322">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36" w:type="pct"/>
                  <w:shd w:val="clear" w:color="auto" w:fill="auto"/>
                  <w:vAlign w:val="center"/>
                </w:tcPr>
                <w:p w14:paraId="71C2E7E0">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08C4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6" w:type="pct"/>
                  <w:shd w:val="clear" w:color="auto" w:fill="auto"/>
                  <w:vAlign w:val="center"/>
                </w:tcPr>
                <w:p w14:paraId="6A34BB5B">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43" w:type="pct"/>
                  <w:shd w:val="clear" w:color="auto" w:fill="auto"/>
                  <w:vAlign w:val="center"/>
                </w:tcPr>
                <w:p w14:paraId="330FCFC1">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厂界北</w:t>
                  </w:r>
                </w:p>
              </w:tc>
              <w:tc>
                <w:tcPr>
                  <w:tcW w:w="858" w:type="pct"/>
                  <w:shd w:val="clear" w:color="auto" w:fill="auto"/>
                  <w:vAlign w:val="center"/>
                </w:tcPr>
                <w:p w14:paraId="27007F28">
                  <w:pPr>
                    <w:pStyle w:val="12"/>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36.10</w:t>
                  </w:r>
                </w:p>
              </w:tc>
              <w:tc>
                <w:tcPr>
                  <w:tcW w:w="852" w:type="pct"/>
                  <w:shd w:val="clear" w:color="auto" w:fill="auto"/>
                  <w:vAlign w:val="center"/>
                </w:tcPr>
                <w:p w14:paraId="5A8F9EC0">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12" w:type="pct"/>
                  <w:shd w:val="clear" w:color="auto" w:fill="auto"/>
                  <w:vAlign w:val="center"/>
                </w:tcPr>
                <w:p w14:paraId="3FBBAA1A">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84" w:type="pct"/>
                  <w:shd w:val="clear" w:color="auto" w:fill="auto"/>
                  <w:vAlign w:val="center"/>
                </w:tcPr>
                <w:p w14:paraId="3A8DE273">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26" w:type="pct"/>
                  <w:shd w:val="clear" w:color="auto" w:fill="auto"/>
                  <w:vAlign w:val="center"/>
                </w:tcPr>
                <w:p w14:paraId="5A1F163C">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c>
                <w:tcPr>
                  <w:tcW w:w="436" w:type="pct"/>
                  <w:shd w:val="clear" w:color="auto" w:fill="auto"/>
                  <w:vAlign w:val="center"/>
                </w:tcPr>
                <w:p w14:paraId="3F9A6340">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952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shd w:val="clear" w:color="auto" w:fill="auto"/>
                  <w:vAlign w:val="center"/>
                </w:tcPr>
                <w:p w14:paraId="2ACADF26">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43" w:type="pct"/>
                  <w:shd w:val="clear" w:color="auto" w:fill="auto"/>
                  <w:vAlign w:val="center"/>
                </w:tcPr>
                <w:p w14:paraId="11121ABB">
                  <w:pPr>
                    <w:pStyle w:val="12"/>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厂界</w:t>
                  </w:r>
                  <w:r>
                    <w:rPr>
                      <w:rFonts w:hint="default" w:ascii="Times New Roman" w:hAnsi="Times New Roman" w:cs="Times New Roman"/>
                      <w:color w:val="auto"/>
                      <w:sz w:val="21"/>
                      <w:szCs w:val="21"/>
                      <w:lang w:val="en-US" w:eastAsia="zh-CN"/>
                    </w:rPr>
                    <w:t>东</w:t>
                  </w:r>
                </w:p>
              </w:tc>
              <w:tc>
                <w:tcPr>
                  <w:tcW w:w="858" w:type="pct"/>
                  <w:shd w:val="clear" w:color="auto" w:fill="auto"/>
                  <w:vAlign w:val="center"/>
                </w:tcPr>
                <w:p w14:paraId="21E6253A">
                  <w:pPr>
                    <w:pStyle w:val="12"/>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39.84</w:t>
                  </w:r>
                </w:p>
              </w:tc>
              <w:tc>
                <w:tcPr>
                  <w:tcW w:w="852" w:type="pct"/>
                  <w:shd w:val="clear" w:color="auto" w:fill="auto"/>
                  <w:vAlign w:val="center"/>
                </w:tcPr>
                <w:p w14:paraId="494767FD">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12" w:type="pct"/>
                  <w:shd w:val="clear" w:color="auto" w:fill="auto"/>
                  <w:vAlign w:val="center"/>
                </w:tcPr>
                <w:p w14:paraId="6B168BB2">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84" w:type="pct"/>
                  <w:shd w:val="clear" w:color="auto" w:fill="auto"/>
                  <w:vAlign w:val="center"/>
                </w:tcPr>
                <w:p w14:paraId="7A016617">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26" w:type="pct"/>
                  <w:shd w:val="clear" w:color="auto" w:fill="auto"/>
                  <w:vAlign w:val="center"/>
                </w:tcPr>
                <w:p w14:paraId="6AEF3D6E">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c>
                <w:tcPr>
                  <w:tcW w:w="436" w:type="pct"/>
                  <w:shd w:val="clear" w:color="auto" w:fill="auto"/>
                  <w:vAlign w:val="center"/>
                </w:tcPr>
                <w:p w14:paraId="29CA7429">
                  <w:pPr>
                    <w:pStyle w:val="12"/>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6E7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shd w:val="clear" w:color="auto" w:fill="auto"/>
                  <w:vAlign w:val="center"/>
                </w:tcPr>
                <w:p w14:paraId="09CDBD83">
                  <w:pPr>
                    <w:pStyle w:val="12"/>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w:t>
                  </w:r>
                </w:p>
              </w:tc>
              <w:tc>
                <w:tcPr>
                  <w:tcW w:w="543" w:type="pct"/>
                  <w:shd w:val="clear" w:color="auto" w:fill="auto"/>
                  <w:vAlign w:val="center"/>
                </w:tcPr>
                <w:p w14:paraId="33E9FD39">
                  <w:pPr>
                    <w:pStyle w:val="12"/>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rPr>
                    <w:t>厂界</w:t>
                  </w:r>
                  <w:r>
                    <w:rPr>
                      <w:rFonts w:hint="default" w:ascii="Times New Roman" w:hAnsi="Times New Roman" w:cs="Times New Roman"/>
                      <w:b w:val="0"/>
                      <w:bCs w:val="0"/>
                      <w:color w:val="auto"/>
                      <w:sz w:val="21"/>
                      <w:szCs w:val="21"/>
                      <w:lang w:val="en-US" w:eastAsia="zh-CN"/>
                    </w:rPr>
                    <w:t>南</w:t>
                  </w:r>
                </w:p>
              </w:tc>
              <w:tc>
                <w:tcPr>
                  <w:tcW w:w="858" w:type="pct"/>
                  <w:shd w:val="clear" w:color="auto" w:fill="auto"/>
                  <w:vAlign w:val="center"/>
                </w:tcPr>
                <w:p w14:paraId="69EDC0A2">
                  <w:pPr>
                    <w:pStyle w:val="12"/>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41.07</w:t>
                  </w:r>
                </w:p>
              </w:tc>
              <w:tc>
                <w:tcPr>
                  <w:tcW w:w="852" w:type="pct"/>
                  <w:shd w:val="clear" w:color="auto" w:fill="auto"/>
                  <w:vAlign w:val="center"/>
                </w:tcPr>
                <w:p w14:paraId="5AEF1485">
                  <w:pPr>
                    <w:pStyle w:val="12"/>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612" w:type="pct"/>
                  <w:shd w:val="clear" w:color="auto" w:fill="auto"/>
                  <w:vAlign w:val="center"/>
                </w:tcPr>
                <w:p w14:paraId="42DF3F27">
                  <w:pPr>
                    <w:pStyle w:val="12"/>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60</w:t>
                  </w:r>
                </w:p>
              </w:tc>
              <w:tc>
                <w:tcPr>
                  <w:tcW w:w="684" w:type="pct"/>
                  <w:shd w:val="clear" w:color="auto" w:fill="auto"/>
                  <w:vAlign w:val="center"/>
                </w:tcPr>
                <w:p w14:paraId="3B1CF272">
                  <w:pPr>
                    <w:pStyle w:val="12"/>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626" w:type="pct"/>
                  <w:shd w:val="clear" w:color="auto" w:fill="auto"/>
                  <w:vAlign w:val="center"/>
                </w:tcPr>
                <w:p w14:paraId="1642437D">
                  <w:pPr>
                    <w:pStyle w:val="12"/>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bidi="ar"/>
                    </w:rPr>
                    <w:t>达标</w:t>
                  </w:r>
                </w:p>
              </w:tc>
              <w:tc>
                <w:tcPr>
                  <w:tcW w:w="436" w:type="pct"/>
                  <w:shd w:val="clear" w:color="auto" w:fill="auto"/>
                  <w:vAlign w:val="center"/>
                </w:tcPr>
                <w:p w14:paraId="291F4B5E">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r>
            <w:tr w14:paraId="6BAA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shd w:val="clear" w:color="auto" w:fill="auto"/>
                  <w:vAlign w:val="center"/>
                </w:tcPr>
                <w:p w14:paraId="3D6152B4">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w:t>
                  </w:r>
                </w:p>
              </w:tc>
              <w:tc>
                <w:tcPr>
                  <w:tcW w:w="543" w:type="pct"/>
                  <w:shd w:val="clear" w:color="auto" w:fill="auto"/>
                  <w:vAlign w:val="center"/>
                </w:tcPr>
                <w:p w14:paraId="30408962">
                  <w:pPr>
                    <w:pStyle w:val="12"/>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厂界</w:t>
                  </w:r>
                  <w:r>
                    <w:rPr>
                      <w:rFonts w:hint="default" w:ascii="Times New Roman" w:hAnsi="Times New Roman" w:cs="Times New Roman"/>
                      <w:b/>
                      <w:bCs/>
                      <w:color w:val="auto"/>
                      <w:sz w:val="21"/>
                      <w:szCs w:val="21"/>
                      <w:lang w:val="en-US" w:eastAsia="zh-CN"/>
                    </w:rPr>
                    <w:t>西</w:t>
                  </w:r>
                </w:p>
              </w:tc>
              <w:tc>
                <w:tcPr>
                  <w:tcW w:w="858" w:type="pct"/>
                  <w:shd w:val="clear" w:color="auto" w:fill="auto"/>
                  <w:vAlign w:val="center"/>
                </w:tcPr>
                <w:p w14:paraId="5F5101A2">
                  <w:pPr>
                    <w:pStyle w:val="12"/>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41.13</w:t>
                  </w:r>
                </w:p>
              </w:tc>
              <w:tc>
                <w:tcPr>
                  <w:tcW w:w="852" w:type="pct"/>
                  <w:shd w:val="clear" w:color="auto" w:fill="auto"/>
                  <w:vAlign w:val="center"/>
                </w:tcPr>
                <w:p w14:paraId="7D76C6D3">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12" w:type="pct"/>
                  <w:shd w:val="clear" w:color="auto" w:fill="auto"/>
                  <w:vAlign w:val="center"/>
                </w:tcPr>
                <w:p w14:paraId="40D891B9">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60</w:t>
                  </w:r>
                </w:p>
              </w:tc>
              <w:tc>
                <w:tcPr>
                  <w:tcW w:w="684" w:type="pct"/>
                  <w:shd w:val="clear" w:color="auto" w:fill="auto"/>
                  <w:vAlign w:val="center"/>
                </w:tcPr>
                <w:p w14:paraId="4DA8B8E2">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26" w:type="pct"/>
                  <w:shd w:val="clear" w:color="auto" w:fill="auto"/>
                  <w:vAlign w:val="center"/>
                </w:tcPr>
                <w:p w14:paraId="232DE01D">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bidi="ar"/>
                    </w:rPr>
                    <w:t>达标</w:t>
                  </w:r>
                </w:p>
              </w:tc>
              <w:tc>
                <w:tcPr>
                  <w:tcW w:w="436" w:type="pct"/>
                  <w:shd w:val="clear" w:color="auto" w:fill="auto"/>
                  <w:vAlign w:val="center"/>
                </w:tcPr>
                <w:p w14:paraId="33AB1260">
                  <w:pPr>
                    <w:pStyle w:val="12"/>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r>
          </w:tbl>
          <w:tbl>
            <w:tblPr>
              <w:tblStyle w:val="2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85"/>
            </w:tblGrid>
            <w:tr w14:paraId="14E2D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86" w:type="dxa"/>
                  <w:tcBorders>
                    <w:tl2br w:val="nil"/>
                    <w:tr2bl w:val="nil"/>
                  </w:tcBorders>
                </w:tcPr>
                <w:p w14:paraId="1233947E">
                  <w:pPr>
                    <w:autoSpaceDE/>
                    <w:autoSpaceDN/>
                    <w:spacing w:after="120" w:afterLines="50"/>
                    <w:jc w:val="center"/>
                    <w:rPr>
                      <w:rFonts w:hint="default" w:ascii="Times New Roman" w:hAnsi="Times New Roman" w:cs="Times New Roman"/>
                      <w:color w:val="auto"/>
                      <w:szCs w:val="21"/>
                    </w:rPr>
                  </w:pPr>
                  <w:r>
                    <w:rPr>
                      <w:rFonts w:hint="default" w:ascii="Times New Roman" w:hAnsi="Times New Roman" w:cs="Times New Roman"/>
                      <w:b/>
                      <w:bCs/>
                      <w:color w:val="auto"/>
                      <w:sz w:val="21"/>
                      <w:szCs w:val="21"/>
                      <w:lang w:eastAsia="zh-CN"/>
                    </w:rPr>
                    <w:object>
                      <v:shape id="_x0000_i1027" o:spt="75" type="#_x0000_t75" style="height:297.75pt;width:410.2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30" r:id="rId20">
                        <o:LockedField>false</o:LockedField>
                      </o:OLEObject>
                    </w:object>
                  </w:r>
                  <w:r>
                    <w:rPr>
                      <w:rFonts w:hint="default" w:ascii="Times New Roman" w:hAnsi="Times New Roman" w:cs="Times New Roman"/>
                      <w:b/>
                      <w:bCs/>
                      <w:color w:val="auto"/>
                      <w:sz w:val="21"/>
                      <w:szCs w:val="21"/>
                      <w:lang w:eastAsia="zh-CN"/>
                    </w:rPr>
                    <w:t>图4-</w:t>
                  </w:r>
                  <w:r>
                    <w:rPr>
                      <w:rFonts w:hint="default" w:ascii="Times New Roman" w:hAnsi="Times New Roman" w:cs="Times New Roman"/>
                      <w:b/>
                      <w:bCs/>
                      <w:color w:val="auto"/>
                      <w:sz w:val="21"/>
                      <w:szCs w:val="21"/>
                      <w:lang w:val="en-US" w:eastAsia="zh-CN"/>
                    </w:rPr>
                    <w:t xml:space="preserve">2 </w:t>
                  </w:r>
                  <w:r>
                    <w:rPr>
                      <w:rFonts w:hint="default" w:ascii="Times New Roman" w:hAnsi="Times New Roman" w:cs="Times New Roman"/>
                      <w:b/>
                      <w:bCs/>
                      <w:color w:val="auto"/>
                      <w:sz w:val="21"/>
                      <w:szCs w:val="21"/>
                      <w:lang w:eastAsia="zh-CN"/>
                    </w:rPr>
                    <w:t xml:space="preserve"> 厂界噪声预测等声级线图</w:t>
                  </w:r>
                </w:p>
              </w:tc>
            </w:tr>
          </w:tbl>
          <w:p w14:paraId="03BCBF83">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 xml:space="preserve">根据预测结果可以看出： </w:t>
            </w:r>
          </w:p>
          <w:p w14:paraId="6304494E">
            <w:pPr>
              <w:spacing w:line="360" w:lineRule="auto"/>
              <w:ind w:firstLine="482" w:firstLineChars="200"/>
              <w:jc w:val="both"/>
              <w:rPr>
                <w:rFonts w:hint="default" w:ascii="Times New Roman" w:hAnsi="Times New Roman" w:cs="Times New Roman"/>
                <w:bCs/>
                <w:color w:val="auto"/>
                <w:sz w:val="24"/>
                <w:lang w:eastAsia="zh-CN"/>
              </w:rPr>
            </w:pPr>
            <w:r>
              <w:rPr>
                <w:rFonts w:hint="default" w:ascii="Times New Roman" w:hAnsi="Times New Roman" w:cs="Times New Roman"/>
                <w:b/>
                <w:color w:val="auto"/>
                <w:sz w:val="24"/>
                <w:lang w:eastAsia="zh-CN"/>
              </w:rPr>
              <w:t>厂界噪声：</w:t>
            </w:r>
            <w:r>
              <w:rPr>
                <w:rFonts w:hint="default" w:ascii="Times New Roman" w:hAnsi="Times New Roman" w:cs="Times New Roman"/>
                <w:bCs/>
                <w:color w:val="auto"/>
                <w:sz w:val="24"/>
                <w:lang w:eastAsia="zh-CN"/>
              </w:rPr>
              <w:t>项目设备噪声经降噪措施、距离衰减后，本项目厂界最大值为</w:t>
            </w:r>
            <w:r>
              <w:rPr>
                <w:rFonts w:hint="default" w:ascii="Times New Roman" w:hAnsi="Times New Roman" w:cs="Times New Roman"/>
                <w:bCs/>
                <w:color w:val="auto"/>
                <w:sz w:val="24"/>
                <w:lang w:val="en-US" w:eastAsia="zh-CN"/>
              </w:rPr>
              <w:t>41.13dB（A），因此，项目厂界噪声均</w:t>
            </w:r>
            <w:r>
              <w:rPr>
                <w:rFonts w:hint="default" w:ascii="Times New Roman" w:hAnsi="Times New Roman" w:cs="Times New Roman"/>
                <w:bCs/>
                <w:color w:val="auto"/>
                <w:sz w:val="24"/>
                <w:lang w:eastAsia="zh-CN"/>
              </w:rPr>
              <w:t>能满足《工业企业厂界环境噪声排放标准》（GB12348-2008）</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类标准</w:t>
            </w:r>
            <w:r>
              <w:rPr>
                <w:rFonts w:hint="default" w:ascii="Times New Roman" w:hAnsi="Times New Roman" w:cs="Times New Roman"/>
                <w:bCs/>
                <w:color w:val="auto"/>
                <w:sz w:val="24"/>
                <w:lang w:val="en-US" w:eastAsia="zh-CN"/>
              </w:rPr>
              <w:t>限值</w:t>
            </w:r>
            <w:r>
              <w:rPr>
                <w:rFonts w:hint="default" w:ascii="Times New Roman" w:hAnsi="Times New Roman" w:cs="Times New Roman"/>
                <w:bCs/>
                <w:color w:val="auto"/>
                <w:sz w:val="24"/>
                <w:lang w:eastAsia="zh-CN"/>
              </w:rPr>
              <w:t xml:space="preserve">的要求。2类昼间≤60dB（A）、夜间≤50dB（A）。 </w:t>
            </w:r>
          </w:p>
          <w:p w14:paraId="302042A0">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 xml:space="preserve">（三）达标情况及影响分析 </w:t>
            </w:r>
          </w:p>
          <w:p w14:paraId="3AB9370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本项目夜间不生产，从表4-5可以看出，项目噪声对厂界四周的贡献值在</w:t>
            </w:r>
            <w:r>
              <w:rPr>
                <w:rFonts w:hint="default" w:ascii="Times New Roman" w:hAnsi="Times New Roman" w:cs="Times New Roman"/>
                <w:bCs/>
                <w:color w:val="auto"/>
                <w:sz w:val="24"/>
                <w:lang w:val="en-US" w:eastAsia="zh-CN"/>
              </w:rPr>
              <w:t>36.10</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41.13</w:t>
            </w:r>
            <w:r>
              <w:rPr>
                <w:rFonts w:hint="default" w:ascii="Times New Roman" w:hAnsi="Times New Roman" w:cs="Times New Roman"/>
                <w:bCs/>
                <w:color w:val="auto"/>
                <w:sz w:val="24"/>
                <w:lang w:eastAsia="zh-CN"/>
              </w:rPr>
              <w:t>dB（A）之间，</w:t>
            </w:r>
            <w:r>
              <w:rPr>
                <w:rFonts w:hint="default" w:ascii="Times New Roman" w:hAnsi="Times New Roman" w:cs="Times New Roman"/>
                <w:bCs/>
                <w:color w:val="auto"/>
                <w:sz w:val="24"/>
                <w:lang w:val="en-US" w:eastAsia="zh-CN"/>
              </w:rPr>
              <w:t>项目厂界噪声均</w:t>
            </w:r>
            <w:r>
              <w:rPr>
                <w:rFonts w:hint="default" w:ascii="Times New Roman" w:hAnsi="Times New Roman" w:cs="Times New Roman"/>
                <w:bCs/>
                <w:color w:val="auto"/>
                <w:sz w:val="24"/>
                <w:lang w:eastAsia="zh-CN"/>
              </w:rPr>
              <w:t>能满足《工业企业厂界环境噪声排放标准》（GB12348-2008）</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类标准</w:t>
            </w:r>
            <w:r>
              <w:rPr>
                <w:rFonts w:hint="default" w:ascii="Times New Roman" w:hAnsi="Times New Roman" w:cs="Times New Roman"/>
                <w:bCs/>
                <w:color w:val="auto"/>
                <w:sz w:val="24"/>
                <w:lang w:val="en-US" w:eastAsia="zh-CN"/>
              </w:rPr>
              <w:t>限值</w:t>
            </w:r>
            <w:r>
              <w:rPr>
                <w:rFonts w:hint="default" w:ascii="Times New Roman" w:hAnsi="Times New Roman" w:cs="Times New Roman"/>
                <w:bCs/>
                <w:color w:val="auto"/>
                <w:sz w:val="24"/>
                <w:lang w:eastAsia="zh-CN"/>
              </w:rPr>
              <w:t>的要求。2类昼间≤60dB（A）、夜间≤50dB（A）。</w:t>
            </w:r>
          </w:p>
          <w:p w14:paraId="52790E48">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选址50m范围内无声环境关心点。项目将对产噪严重的设备安装减震垫、等从源头降低噪声值；做好设备日常维护和保养工作，防止因故障导致高噪声的产生；合理安排生产线各设备运行时间，禁止夜间生产，合理布局，降低项目设备噪声对周围环境的影响。根据现场踏勘情况，本项目四周厂界向外扩</w:t>
            </w:r>
            <w:r>
              <w:rPr>
                <w:rFonts w:hint="default" w:ascii="Times New Roman" w:hAnsi="Times New Roman" w:cs="Times New Roman"/>
                <w:bCs/>
                <w:color w:val="auto"/>
                <w:sz w:val="24"/>
                <w:lang w:val="en-US" w:eastAsia="zh-CN"/>
              </w:rPr>
              <w:t>50</w:t>
            </w:r>
            <w:r>
              <w:rPr>
                <w:rFonts w:hint="default" w:ascii="Times New Roman" w:hAnsi="Times New Roman" w:cs="Times New Roman"/>
                <w:bCs/>
                <w:color w:val="auto"/>
                <w:sz w:val="24"/>
                <w:lang w:eastAsia="zh-CN"/>
              </w:rPr>
              <w:t>m范围内的无居民区等环境敏感点，</w:t>
            </w:r>
            <w:r>
              <w:rPr>
                <w:rFonts w:hint="default" w:ascii="Times New Roman" w:hAnsi="Times New Roman" w:cs="Times New Roman"/>
                <w:bCs/>
                <w:color w:val="auto"/>
                <w:sz w:val="24"/>
                <w:lang w:val="en-US" w:eastAsia="zh-CN"/>
              </w:rPr>
              <w:t>因此，</w:t>
            </w:r>
            <w:r>
              <w:rPr>
                <w:rFonts w:hint="default" w:ascii="Times New Roman" w:hAnsi="Times New Roman" w:cs="Times New Roman"/>
                <w:bCs/>
                <w:color w:val="auto"/>
                <w:sz w:val="24"/>
                <w:lang w:eastAsia="zh-CN"/>
              </w:rPr>
              <w:t>项目运营期间产生的噪声对周边环境影响较小。</w:t>
            </w:r>
          </w:p>
          <w:p w14:paraId="7FA9BAE0">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综上所述，本项目产生的噪声不会降低区域声环境质量，对周围敏感目标造成影响较小。</w:t>
            </w:r>
          </w:p>
          <w:p w14:paraId="6CA40B48">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（四）道路运输车辆噪声防治措施</w:t>
            </w:r>
          </w:p>
          <w:p w14:paraId="68E5483A">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道路交通噪声主要是瞬时影响，主要影响区域为道路边界外10m范围，运输车辆怠速行驶产生的噪声约为60~</w:t>
            </w:r>
            <w:r>
              <w:rPr>
                <w:rFonts w:hint="default" w:ascii="Times New Roman" w:hAnsi="Times New Roman" w:cs="Times New Roman"/>
                <w:bCs/>
                <w:color w:val="auto"/>
                <w:sz w:val="24"/>
                <w:lang w:val="en-US" w:eastAsia="zh-CN"/>
              </w:rPr>
              <w:t>75</w:t>
            </w:r>
            <w:r>
              <w:rPr>
                <w:rFonts w:hint="default" w:ascii="Times New Roman" w:hAnsi="Times New Roman" w:cs="Times New Roman"/>
                <w:bCs/>
                <w:color w:val="auto"/>
                <w:sz w:val="24"/>
                <w:lang w:eastAsia="zh-CN"/>
              </w:rPr>
              <w:t>dB（A），正常行驶约为60~70dB（A），鸣笛时约为78~80dB（A）。为减小运输车辆对沿路居民及周边环境的噪声影响，运营期间应采取以下噪声防治措施：</w:t>
            </w:r>
          </w:p>
          <w:p w14:paraId="5164D48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1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①</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加强运输车辆的管理，合理安排运输时间，减少或避免夜间运输；</w:t>
            </w:r>
          </w:p>
          <w:p w14:paraId="7F87F50F">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2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②</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车辆在路经的村庄处设置限速、禁鸣标志牌；</w:t>
            </w:r>
          </w:p>
          <w:p w14:paraId="34173EEA">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3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③</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严禁车辆超速、超载行驶，经过村庄时严禁鸣笛。</w:t>
            </w:r>
          </w:p>
          <w:p w14:paraId="17D34BC7">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（五）运营期噪声监测计划</w:t>
            </w:r>
          </w:p>
          <w:p w14:paraId="66729B6E">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项目运营期噪声排污监测计划根据《排污单位自行监测技术指南 总则》（HJ819-2017）进行设置，项目运营期噪声监测计划见表4-</w:t>
            </w:r>
            <w:r>
              <w:rPr>
                <w:rFonts w:hint="eastAsia" w:ascii="Times New Roman" w:hAnsi="Times New Roman" w:cs="Times New Roman"/>
                <w:bCs/>
                <w:color w:val="auto"/>
                <w:sz w:val="24"/>
                <w:lang w:val="en-US" w:eastAsia="zh-CN"/>
              </w:rPr>
              <w:t>7</w:t>
            </w:r>
            <w:r>
              <w:rPr>
                <w:rFonts w:hint="default" w:ascii="Times New Roman" w:hAnsi="Times New Roman" w:cs="Times New Roman"/>
                <w:bCs/>
                <w:color w:val="auto"/>
                <w:sz w:val="24"/>
                <w:lang w:eastAsia="zh-CN"/>
              </w:rPr>
              <w:t>所示。</w:t>
            </w:r>
          </w:p>
          <w:p w14:paraId="4389CE38">
            <w:pPr>
              <w:pStyle w:val="31"/>
              <w:adjustRightInd w:val="0"/>
              <w:snapToGrid w:val="0"/>
              <w:spacing w:before="120" w:beforeLines="50"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表4-</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 xml:space="preserve">   项目运营期噪声监测计划一览表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34"/>
              <w:gridCol w:w="1555"/>
              <w:gridCol w:w="1124"/>
              <w:gridCol w:w="1394"/>
              <w:gridCol w:w="2844"/>
            </w:tblGrid>
            <w:tr w14:paraId="763C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2" w:type="pct"/>
                  <w:vAlign w:val="center"/>
                </w:tcPr>
                <w:p w14:paraId="1C90B839">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监测时段</w:t>
                  </w:r>
                </w:p>
              </w:tc>
              <w:tc>
                <w:tcPr>
                  <w:tcW w:w="438" w:type="pct"/>
                  <w:vAlign w:val="center"/>
                </w:tcPr>
                <w:p w14:paraId="431B118C">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因素</w:t>
                  </w:r>
                </w:p>
              </w:tc>
              <w:tc>
                <w:tcPr>
                  <w:tcW w:w="928" w:type="pct"/>
                  <w:vAlign w:val="center"/>
                </w:tcPr>
                <w:p w14:paraId="7DE1B637">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671" w:type="pct"/>
                  <w:vAlign w:val="center"/>
                </w:tcPr>
                <w:p w14:paraId="6E18BE6A">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832" w:type="pct"/>
                  <w:vAlign w:val="center"/>
                </w:tcPr>
                <w:p w14:paraId="4E4E6E07">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监测方法及频率</w:t>
                  </w:r>
                </w:p>
              </w:tc>
              <w:tc>
                <w:tcPr>
                  <w:tcW w:w="1697" w:type="pct"/>
                  <w:vAlign w:val="center"/>
                </w:tcPr>
                <w:p w14:paraId="38BD6721">
                  <w:pPr>
                    <w:pStyle w:val="27"/>
                    <w:rPr>
                      <w:rFonts w:hint="default" w:ascii="Times New Roman" w:hAnsi="Times New Roman" w:cs="Times New Roman"/>
                      <w:b/>
                      <w:color w:val="auto"/>
                      <w:szCs w:val="21"/>
                    </w:rPr>
                  </w:pPr>
                  <w:r>
                    <w:rPr>
                      <w:rFonts w:hint="default" w:ascii="Times New Roman" w:hAnsi="Times New Roman" w:cs="Times New Roman"/>
                      <w:b/>
                      <w:color w:val="auto"/>
                      <w:szCs w:val="21"/>
                    </w:rPr>
                    <w:t>执行排放标准</w:t>
                  </w:r>
                </w:p>
              </w:tc>
            </w:tr>
            <w:tr w14:paraId="2BA7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2" w:type="pct"/>
                  <w:vAlign w:val="center"/>
                </w:tcPr>
                <w:p w14:paraId="3B4A3A07">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验收监测</w:t>
                  </w:r>
                </w:p>
              </w:tc>
              <w:tc>
                <w:tcPr>
                  <w:tcW w:w="438" w:type="pct"/>
                  <w:vAlign w:val="center"/>
                </w:tcPr>
                <w:p w14:paraId="37BE4276">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噪声</w:t>
                  </w:r>
                </w:p>
              </w:tc>
              <w:tc>
                <w:tcPr>
                  <w:tcW w:w="928" w:type="pct"/>
                  <w:vAlign w:val="center"/>
                </w:tcPr>
                <w:p w14:paraId="4023371A">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项目东、南、西、北四个厂界外1m处</w:t>
                  </w:r>
                </w:p>
              </w:tc>
              <w:tc>
                <w:tcPr>
                  <w:tcW w:w="671" w:type="pct"/>
                  <w:vAlign w:val="center"/>
                </w:tcPr>
                <w:p w14:paraId="06EC25B2">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等效连续A声级</w:t>
                  </w:r>
                </w:p>
              </w:tc>
              <w:tc>
                <w:tcPr>
                  <w:tcW w:w="832" w:type="pct"/>
                  <w:vAlign w:val="center"/>
                </w:tcPr>
                <w:p w14:paraId="4DC148BD">
                  <w:pPr>
                    <w:widowControl/>
                    <w:jc w:val="center"/>
                    <w:rPr>
                      <w:rFonts w:hint="default" w:ascii="Times New Roman" w:hAnsi="Times New Roman" w:cs="Times New Roman"/>
                      <w:bCs w:val="0"/>
                      <w:color w:val="auto"/>
                      <w:sz w:val="21"/>
                      <w:szCs w:val="21"/>
                      <w:lang w:eastAsia="zh-CN" w:bidi="ar"/>
                    </w:rPr>
                  </w:pPr>
                  <w:r>
                    <w:rPr>
                      <w:rFonts w:hint="default" w:ascii="Times New Roman" w:hAnsi="Times New Roman" w:cs="Times New Roman"/>
                      <w:color w:val="auto"/>
                      <w:sz w:val="21"/>
                      <w:szCs w:val="21"/>
                      <w:lang w:eastAsia="zh-CN" w:bidi="ar"/>
                    </w:rPr>
                    <w:t>连续监测2天，每天昼夜各监测1次 ；</w:t>
                  </w:r>
                  <w:r>
                    <w:rPr>
                      <w:rFonts w:hint="default" w:ascii="Times New Roman" w:hAnsi="Times New Roman" w:cs="Times New Roman"/>
                      <w:bCs w:val="0"/>
                      <w:color w:val="auto"/>
                      <w:sz w:val="21"/>
                      <w:szCs w:val="21"/>
                      <w:lang w:eastAsia="zh-CN" w:bidi="ar"/>
                    </w:rPr>
                    <w:t>按照国家相关噪声监测技术方法进行监测</w:t>
                  </w:r>
                </w:p>
              </w:tc>
              <w:tc>
                <w:tcPr>
                  <w:tcW w:w="1697" w:type="pct"/>
                  <w:vAlign w:val="center"/>
                </w:tcPr>
                <w:p w14:paraId="1ECE045F">
                  <w:pPr>
                    <w:widowControl/>
                    <w:rPr>
                      <w:rFonts w:hint="default" w:ascii="Times New Roman" w:hAnsi="Times New Roman" w:cs="Times New Roman"/>
                      <w:bCs w:val="0"/>
                      <w:color w:val="auto"/>
                      <w:sz w:val="21"/>
                      <w:szCs w:val="21"/>
                      <w:lang w:eastAsia="zh-CN" w:bidi="ar"/>
                    </w:rPr>
                  </w:pPr>
                  <w:r>
                    <w:rPr>
                      <w:rFonts w:hint="default" w:ascii="Times New Roman" w:hAnsi="Times New Roman" w:cs="Times New Roman"/>
                      <w:bCs w:val="0"/>
                      <w:color w:val="auto"/>
                      <w:sz w:val="21"/>
                      <w:szCs w:val="21"/>
                      <w:lang w:val="en-US" w:eastAsia="zh-CN" w:bidi="ar"/>
                    </w:rPr>
                    <w:t>执行</w:t>
                  </w:r>
                  <w:r>
                    <w:rPr>
                      <w:rFonts w:hint="default" w:ascii="Times New Roman" w:hAnsi="Times New Roman" w:cs="Times New Roman"/>
                      <w:bCs w:val="0"/>
                      <w:color w:val="auto"/>
                      <w:sz w:val="21"/>
                      <w:szCs w:val="21"/>
                      <w:lang w:eastAsia="zh-CN" w:bidi="ar"/>
                    </w:rPr>
                    <w:t>《工业企业厂界环境噪声排放标准》（GB12348-2008）中2类标准</w:t>
                  </w:r>
                  <w:r>
                    <w:rPr>
                      <w:rFonts w:hint="default" w:ascii="Times New Roman" w:hAnsi="Times New Roman" w:cs="Times New Roman"/>
                      <w:color w:val="auto"/>
                      <w:sz w:val="21"/>
                      <w:szCs w:val="21"/>
                      <w:lang w:val="en-US" w:eastAsia="zh-CN" w:bidi="ar"/>
                    </w:rPr>
                    <w:t>限值要求。</w:t>
                  </w:r>
                </w:p>
              </w:tc>
            </w:tr>
            <w:tr w14:paraId="3E13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2" w:type="pct"/>
                  <w:vAlign w:val="center"/>
                </w:tcPr>
                <w:p w14:paraId="705A68CB">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自行监测</w:t>
                  </w:r>
                </w:p>
              </w:tc>
              <w:tc>
                <w:tcPr>
                  <w:tcW w:w="438" w:type="pct"/>
                  <w:vAlign w:val="center"/>
                </w:tcPr>
                <w:p w14:paraId="3D042E5D">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噪声</w:t>
                  </w:r>
                </w:p>
              </w:tc>
              <w:tc>
                <w:tcPr>
                  <w:tcW w:w="928" w:type="pct"/>
                  <w:vAlign w:val="center"/>
                </w:tcPr>
                <w:p w14:paraId="5DE470CC">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项目东、南、西、北四个厂界外1m处</w:t>
                  </w:r>
                </w:p>
              </w:tc>
              <w:tc>
                <w:tcPr>
                  <w:tcW w:w="671" w:type="pct"/>
                  <w:vAlign w:val="center"/>
                </w:tcPr>
                <w:p w14:paraId="21B7C254">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等效连续A声级</w:t>
                  </w:r>
                </w:p>
              </w:tc>
              <w:tc>
                <w:tcPr>
                  <w:tcW w:w="832" w:type="pct"/>
                  <w:vAlign w:val="center"/>
                </w:tcPr>
                <w:p w14:paraId="729EE210">
                  <w:pPr>
                    <w:pStyle w:val="27"/>
                    <w:rPr>
                      <w:rFonts w:hint="default" w:ascii="Times New Roman" w:hAnsi="Times New Roman" w:cs="Times New Roman"/>
                      <w:bCs/>
                      <w:color w:val="auto"/>
                      <w:szCs w:val="21"/>
                    </w:rPr>
                  </w:pPr>
                  <w:r>
                    <w:rPr>
                      <w:rFonts w:hint="default" w:ascii="Times New Roman" w:hAnsi="Times New Roman" w:cs="Times New Roman"/>
                      <w:bCs/>
                      <w:color w:val="auto"/>
                      <w:szCs w:val="21"/>
                    </w:rPr>
                    <w:t>1次/季度，按照国家相关噪声监测技术方法进行监测</w:t>
                  </w:r>
                </w:p>
              </w:tc>
              <w:tc>
                <w:tcPr>
                  <w:tcW w:w="1697" w:type="pct"/>
                  <w:vAlign w:val="center"/>
                </w:tcPr>
                <w:p w14:paraId="1DECC1CF">
                  <w:pPr>
                    <w:pStyle w:val="2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《工业企业厂界环境噪声排放标准》（GB12348-2008）中2类标准</w:t>
                  </w:r>
                  <w:r>
                    <w:rPr>
                      <w:rFonts w:hint="default" w:ascii="Times New Roman" w:hAnsi="Times New Roman" w:cs="Times New Roman"/>
                      <w:bCs/>
                      <w:color w:val="auto"/>
                      <w:szCs w:val="21"/>
                      <w:lang w:eastAsia="zh-CN"/>
                    </w:rPr>
                    <w:t>。</w:t>
                  </w:r>
                </w:p>
              </w:tc>
            </w:tr>
          </w:tbl>
          <w:p w14:paraId="357B4E12">
            <w:pPr>
              <w:spacing w:line="360" w:lineRule="auto"/>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四、运营期固体废物</w:t>
            </w:r>
          </w:p>
          <w:p w14:paraId="40AE89A4">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（一）固体废物污染源源强核算结果及相关参数</w:t>
            </w:r>
          </w:p>
          <w:p w14:paraId="21F6CFF0">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固体废物污染源源强核算结果及相关参数如表4-</w:t>
            </w:r>
            <w:r>
              <w:rPr>
                <w:rFonts w:hint="eastAsia" w:ascii="Times New Roman" w:hAnsi="Times New Roman" w:cs="Times New Roman"/>
                <w:bCs/>
                <w:color w:val="auto"/>
                <w:sz w:val="24"/>
                <w:lang w:val="en-US" w:eastAsia="zh-CN"/>
              </w:rPr>
              <w:t>8</w:t>
            </w:r>
            <w:r>
              <w:rPr>
                <w:rFonts w:hint="default" w:ascii="Times New Roman" w:hAnsi="Times New Roman" w:cs="Times New Roman"/>
                <w:bCs/>
                <w:color w:val="auto"/>
                <w:sz w:val="24"/>
                <w:lang w:eastAsia="zh-CN"/>
              </w:rPr>
              <w:t>所示。</w:t>
            </w:r>
          </w:p>
          <w:p w14:paraId="2D41F5CA">
            <w:pPr>
              <w:pStyle w:val="31"/>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表4-</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 xml:space="preserve">  运营期项目固体废物产排情况表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49"/>
              <w:gridCol w:w="806"/>
              <w:gridCol w:w="826"/>
              <w:gridCol w:w="1196"/>
              <w:gridCol w:w="637"/>
              <w:gridCol w:w="1428"/>
              <w:gridCol w:w="915"/>
              <w:gridCol w:w="1392"/>
            </w:tblGrid>
            <w:tr w14:paraId="34D6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54" w:type="pct"/>
                  <w:vAlign w:val="center"/>
                </w:tcPr>
                <w:p w14:paraId="0805D67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447" w:type="pct"/>
                  <w:vAlign w:val="center"/>
                </w:tcPr>
                <w:p w14:paraId="446BB08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w:t>
                  </w:r>
                </w:p>
                <w:p w14:paraId="4BCBE17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环节</w:t>
                  </w:r>
                </w:p>
              </w:tc>
              <w:tc>
                <w:tcPr>
                  <w:tcW w:w="481" w:type="pct"/>
                  <w:vAlign w:val="center"/>
                </w:tcPr>
                <w:p w14:paraId="312BF70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p w14:paraId="532B967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493" w:type="pct"/>
                  <w:vAlign w:val="center"/>
                </w:tcPr>
                <w:p w14:paraId="4117108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p w14:paraId="25C071B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属性</w:t>
                  </w:r>
                </w:p>
              </w:tc>
              <w:tc>
                <w:tcPr>
                  <w:tcW w:w="714" w:type="pct"/>
                  <w:vAlign w:val="center"/>
                </w:tcPr>
                <w:p w14:paraId="1908DED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废物类别及代码</w:t>
                  </w:r>
                </w:p>
              </w:tc>
              <w:tc>
                <w:tcPr>
                  <w:tcW w:w="380" w:type="pct"/>
                  <w:vAlign w:val="center"/>
                </w:tcPr>
                <w:p w14:paraId="4B234D9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物理</w:t>
                  </w:r>
                </w:p>
                <w:p w14:paraId="735B499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状态</w:t>
                  </w:r>
                </w:p>
              </w:tc>
              <w:tc>
                <w:tcPr>
                  <w:tcW w:w="852" w:type="pct"/>
                  <w:vAlign w:val="center"/>
                </w:tcPr>
                <w:p w14:paraId="46E7CD7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546" w:type="pct"/>
                  <w:vAlign w:val="center"/>
                </w:tcPr>
                <w:p w14:paraId="0A67068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831" w:type="pct"/>
                  <w:vAlign w:val="center"/>
                </w:tcPr>
                <w:p w14:paraId="7683A3B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最终去向</w:t>
                  </w:r>
                </w:p>
              </w:tc>
            </w:tr>
            <w:tr w14:paraId="4ACF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Align w:val="center"/>
                </w:tcPr>
                <w:p w14:paraId="0A6E6903">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447" w:type="pct"/>
                  <w:vAlign w:val="center"/>
                </w:tcPr>
                <w:p w14:paraId="14132B15">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沉淀池沉渣</w:t>
                  </w:r>
                </w:p>
              </w:tc>
              <w:tc>
                <w:tcPr>
                  <w:tcW w:w="481" w:type="pct"/>
                  <w:vAlign w:val="center"/>
                </w:tcPr>
                <w:p w14:paraId="20BB91DF">
                  <w:pPr>
                    <w:adjustRightInd w:val="0"/>
                    <w:snapToGrid w:val="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污泥</w:t>
                  </w:r>
                </w:p>
              </w:tc>
              <w:tc>
                <w:tcPr>
                  <w:tcW w:w="493" w:type="pct"/>
                  <w:vAlign w:val="center"/>
                </w:tcPr>
                <w:p w14:paraId="67ECEA21">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w:t>
                  </w:r>
                </w:p>
                <w:p w14:paraId="60A0B111">
                  <w:pPr>
                    <w:adjustRightInd w:val="0"/>
                    <w:snapToGrid w:val="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固废</w:t>
                  </w:r>
                </w:p>
              </w:tc>
              <w:tc>
                <w:tcPr>
                  <w:tcW w:w="714" w:type="pct"/>
                  <w:vAlign w:val="center"/>
                </w:tcPr>
                <w:p w14:paraId="51993219">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380" w:type="pct"/>
                  <w:vAlign w:val="center"/>
                </w:tcPr>
                <w:p w14:paraId="0CC91508">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固液</w:t>
                  </w:r>
                </w:p>
              </w:tc>
              <w:tc>
                <w:tcPr>
                  <w:tcW w:w="852" w:type="pct"/>
                  <w:vAlign w:val="center"/>
                </w:tcPr>
                <w:p w14:paraId="244C9642">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546" w:type="pct"/>
                  <w:vAlign w:val="center"/>
                </w:tcPr>
                <w:p w14:paraId="0C8239B7">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沉淀池</w:t>
                  </w:r>
                </w:p>
              </w:tc>
              <w:tc>
                <w:tcPr>
                  <w:tcW w:w="831" w:type="pct"/>
                  <w:vAlign w:val="center"/>
                </w:tcPr>
                <w:p w14:paraId="08503A0D">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收集回用于生产。</w:t>
                  </w:r>
                </w:p>
              </w:tc>
            </w:tr>
            <w:tr w14:paraId="259E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54" w:type="pct"/>
                  <w:vAlign w:val="center"/>
                </w:tcPr>
                <w:p w14:paraId="0AB41F9A">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447" w:type="pct"/>
                  <w:vAlign w:val="center"/>
                </w:tcPr>
                <w:p w14:paraId="1CDD1EC0">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不合格产品</w:t>
                  </w:r>
                </w:p>
              </w:tc>
              <w:tc>
                <w:tcPr>
                  <w:tcW w:w="481" w:type="pct"/>
                  <w:vAlign w:val="center"/>
                </w:tcPr>
                <w:p w14:paraId="3FA44A09">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砂、公分石石</w:t>
                  </w:r>
                </w:p>
              </w:tc>
              <w:tc>
                <w:tcPr>
                  <w:tcW w:w="493" w:type="pct"/>
                  <w:vAlign w:val="center"/>
                </w:tcPr>
                <w:p w14:paraId="4061B487">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w:t>
                  </w:r>
                </w:p>
                <w:p w14:paraId="112E1A1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固废</w:t>
                  </w:r>
                </w:p>
              </w:tc>
              <w:tc>
                <w:tcPr>
                  <w:tcW w:w="714" w:type="pct"/>
                  <w:vAlign w:val="center"/>
                </w:tcPr>
                <w:p w14:paraId="2BDDFDF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380" w:type="pct"/>
                  <w:vAlign w:val="center"/>
                </w:tcPr>
                <w:p w14:paraId="3C3520F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固态</w:t>
                  </w:r>
                </w:p>
              </w:tc>
              <w:tc>
                <w:tcPr>
                  <w:tcW w:w="852" w:type="pct"/>
                  <w:vAlign w:val="center"/>
                </w:tcPr>
                <w:p w14:paraId="544CB2F9">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4494.4893</w:t>
                  </w:r>
                </w:p>
              </w:tc>
              <w:tc>
                <w:tcPr>
                  <w:tcW w:w="1377" w:type="pct"/>
                  <w:gridSpan w:val="2"/>
                  <w:vAlign w:val="center"/>
                </w:tcPr>
                <w:p w14:paraId="0FFF58CC">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回用于生产。</w:t>
                  </w:r>
                </w:p>
              </w:tc>
            </w:tr>
            <w:tr w14:paraId="7B3B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254" w:type="pct"/>
                  <w:vAlign w:val="center"/>
                </w:tcPr>
                <w:p w14:paraId="0837A7D8">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447" w:type="pct"/>
                  <w:vAlign w:val="center"/>
                </w:tcPr>
                <w:p w14:paraId="0F4FA5F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生活垃圾</w:t>
                  </w:r>
                </w:p>
              </w:tc>
              <w:tc>
                <w:tcPr>
                  <w:tcW w:w="481" w:type="pct"/>
                  <w:vAlign w:val="center"/>
                </w:tcPr>
                <w:p w14:paraId="281AEA3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生活垃圾</w:t>
                  </w:r>
                </w:p>
              </w:tc>
              <w:tc>
                <w:tcPr>
                  <w:tcW w:w="493" w:type="pct"/>
                  <w:vAlign w:val="center"/>
                </w:tcPr>
                <w:p w14:paraId="52C86DE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w:t>
                  </w:r>
                </w:p>
                <w:p w14:paraId="7341610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714" w:type="pct"/>
                  <w:vAlign w:val="center"/>
                </w:tcPr>
                <w:p w14:paraId="05A1843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80" w:type="pct"/>
                  <w:vAlign w:val="center"/>
                </w:tcPr>
                <w:p w14:paraId="091727E8">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液态</w:t>
                  </w:r>
                </w:p>
              </w:tc>
              <w:tc>
                <w:tcPr>
                  <w:tcW w:w="852" w:type="pct"/>
                  <w:vAlign w:val="center"/>
                </w:tcPr>
                <w:p w14:paraId="5909CF66">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377" w:type="pct"/>
                  <w:gridSpan w:val="2"/>
                  <w:vAlign w:val="center"/>
                </w:tcPr>
                <w:p w14:paraId="3E7DE5A9">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生活垃圾集中收集后由管理人员定期清运至老厂乡垃圾收集点清运处置。</w:t>
                  </w:r>
                </w:p>
              </w:tc>
            </w:tr>
            <w:tr w14:paraId="4DEF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4" w:type="pct"/>
                  <w:vMerge w:val="restart"/>
                  <w:vAlign w:val="center"/>
                </w:tcPr>
                <w:p w14:paraId="7B210332">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447" w:type="pct"/>
                  <w:vMerge w:val="restart"/>
                  <w:vAlign w:val="center"/>
                </w:tcPr>
                <w:p w14:paraId="2C21B47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机修</w:t>
                  </w:r>
                </w:p>
              </w:tc>
              <w:tc>
                <w:tcPr>
                  <w:tcW w:w="481" w:type="pct"/>
                  <w:vAlign w:val="center"/>
                </w:tcPr>
                <w:p w14:paraId="647EE23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p>
              </w:tc>
              <w:tc>
                <w:tcPr>
                  <w:tcW w:w="493" w:type="pct"/>
                  <w:vAlign w:val="center"/>
                </w:tcPr>
                <w:p w14:paraId="0112877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w:t>
                  </w:r>
                </w:p>
                <w:p w14:paraId="6263EDB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w:t>
                  </w:r>
                </w:p>
              </w:tc>
              <w:tc>
                <w:tcPr>
                  <w:tcW w:w="714" w:type="pct"/>
                  <w:vAlign w:val="center"/>
                </w:tcPr>
                <w:p w14:paraId="01EA107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危废HW08，900-214-08</w:t>
                  </w:r>
                </w:p>
              </w:tc>
              <w:tc>
                <w:tcPr>
                  <w:tcW w:w="380" w:type="pct"/>
                  <w:vAlign w:val="center"/>
                </w:tcPr>
                <w:p w14:paraId="447673E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液态</w:t>
                  </w:r>
                </w:p>
              </w:tc>
              <w:tc>
                <w:tcPr>
                  <w:tcW w:w="852" w:type="pct"/>
                  <w:vMerge w:val="restart"/>
                  <w:vAlign w:val="center"/>
                </w:tcPr>
                <w:p w14:paraId="777CB5C1">
                  <w:pPr>
                    <w:adjustRightInd w:val="0"/>
                    <w:snapToGrid w:val="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0.1</w:t>
                  </w:r>
                </w:p>
              </w:tc>
              <w:tc>
                <w:tcPr>
                  <w:tcW w:w="546" w:type="pct"/>
                  <w:vMerge w:val="restart"/>
                  <w:vAlign w:val="center"/>
                </w:tcPr>
                <w:p w14:paraId="4DD9163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危废贮存库</w:t>
                  </w:r>
                </w:p>
              </w:tc>
              <w:tc>
                <w:tcPr>
                  <w:tcW w:w="831" w:type="pct"/>
                  <w:vMerge w:val="restart"/>
                  <w:vAlign w:val="center"/>
                </w:tcPr>
                <w:p w14:paraId="6B263B68">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定期委托有资质的单位清运处置</w:t>
                  </w:r>
                </w:p>
              </w:tc>
            </w:tr>
            <w:tr w14:paraId="41D8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14:paraId="31CD2037">
                  <w:pPr>
                    <w:adjustRightInd w:val="0"/>
                    <w:snapToGrid w:val="0"/>
                    <w:jc w:val="center"/>
                    <w:rPr>
                      <w:rFonts w:hint="default" w:ascii="Times New Roman" w:hAnsi="Times New Roman" w:cs="Times New Roman"/>
                      <w:color w:val="auto"/>
                      <w:sz w:val="21"/>
                      <w:szCs w:val="21"/>
                      <w:highlight w:val="yellow"/>
                      <w:lang w:eastAsia="zh-CN"/>
                    </w:rPr>
                  </w:pPr>
                </w:p>
              </w:tc>
              <w:tc>
                <w:tcPr>
                  <w:tcW w:w="447" w:type="pct"/>
                  <w:vMerge w:val="continue"/>
                  <w:vAlign w:val="center"/>
                </w:tcPr>
                <w:p w14:paraId="512B1515">
                  <w:pPr>
                    <w:adjustRightInd w:val="0"/>
                    <w:snapToGrid w:val="0"/>
                    <w:jc w:val="center"/>
                    <w:rPr>
                      <w:rFonts w:hint="default" w:ascii="Times New Roman" w:hAnsi="Times New Roman" w:cs="Times New Roman"/>
                      <w:color w:val="auto"/>
                      <w:sz w:val="21"/>
                      <w:szCs w:val="21"/>
                      <w:highlight w:val="yellow"/>
                      <w:lang w:eastAsia="zh-CN"/>
                    </w:rPr>
                  </w:pPr>
                </w:p>
              </w:tc>
              <w:tc>
                <w:tcPr>
                  <w:tcW w:w="481" w:type="pct"/>
                  <w:vAlign w:val="center"/>
                </w:tcPr>
                <w:p w14:paraId="0FA3A4BC">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废油桶</w:t>
                  </w:r>
                </w:p>
              </w:tc>
              <w:tc>
                <w:tcPr>
                  <w:tcW w:w="493" w:type="pct"/>
                  <w:vAlign w:val="center"/>
                </w:tcPr>
                <w:p w14:paraId="674E8793">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714" w:type="pct"/>
                  <w:vAlign w:val="center"/>
                </w:tcPr>
                <w:p w14:paraId="306EEABB">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危废HW08，900-214-08</w:t>
                  </w:r>
                </w:p>
              </w:tc>
              <w:tc>
                <w:tcPr>
                  <w:tcW w:w="380" w:type="pct"/>
                  <w:vAlign w:val="center"/>
                </w:tcPr>
                <w:p w14:paraId="32FEDA23">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固态</w:t>
                  </w:r>
                </w:p>
              </w:tc>
              <w:tc>
                <w:tcPr>
                  <w:tcW w:w="852" w:type="pct"/>
                  <w:vMerge w:val="continue"/>
                  <w:vAlign w:val="center"/>
                </w:tcPr>
                <w:p w14:paraId="5F2D1F0E">
                  <w:pPr>
                    <w:adjustRightInd w:val="0"/>
                    <w:snapToGrid w:val="0"/>
                    <w:jc w:val="center"/>
                    <w:rPr>
                      <w:rFonts w:hint="default" w:ascii="Times New Roman" w:hAnsi="Times New Roman" w:cs="Times New Roman"/>
                      <w:color w:val="auto"/>
                      <w:sz w:val="21"/>
                      <w:szCs w:val="21"/>
                      <w:lang w:eastAsia="zh-CN"/>
                    </w:rPr>
                  </w:pPr>
                </w:p>
              </w:tc>
              <w:tc>
                <w:tcPr>
                  <w:tcW w:w="546" w:type="pct"/>
                  <w:vMerge w:val="continue"/>
                  <w:vAlign w:val="center"/>
                </w:tcPr>
                <w:p w14:paraId="3A60BCCE">
                  <w:pPr>
                    <w:adjustRightInd w:val="0"/>
                    <w:snapToGrid w:val="0"/>
                    <w:jc w:val="center"/>
                    <w:rPr>
                      <w:rFonts w:hint="default" w:ascii="Times New Roman" w:hAnsi="Times New Roman" w:cs="Times New Roman"/>
                      <w:color w:val="auto"/>
                      <w:sz w:val="21"/>
                      <w:szCs w:val="21"/>
                      <w:lang w:eastAsia="zh-CN"/>
                    </w:rPr>
                  </w:pPr>
                </w:p>
              </w:tc>
              <w:tc>
                <w:tcPr>
                  <w:tcW w:w="831" w:type="pct"/>
                  <w:vMerge w:val="continue"/>
                  <w:vAlign w:val="center"/>
                </w:tcPr>
                <w:p w14:paraId="26C64417">
                  <w:pPr>
                    <w:adjustRightInd w:val="0"/>
                    <w:snapToGrid w:val="0"/>
                    <w:jc w:val="center"/>
                    <w:rPr>
                      <w:rFonts w:hint="default" w:ascii="Times New Roman" w:hAnsi="Times New Roman" w:cs="Times New Roman"/>
                      <w:color w:val="auto"/>
                      <w:sz w:val="21"/>
                      <w:szCs w:val="21"/>
                      <w:lang w:eastAsia="zh-CN"/>
                    </w:rPr>
                  </w:pPr>
                </w:p>
              </w:tc>
            </w:tr>
          </w:tbl>
          <w:p w14:paraId="7FC2B238">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（二）固体废物产生情况</w:t>
            </w:r>
          </w:p>
          <w:p w14:paraId="61531424">
            <w:pPr>
              <w:adjustRightInd w:val="0"/>
              <w:snapToGrid w:val="0"/>
              <w:spacing w:line="360" w:lineRule="auto"/>
              <w:ind w:firstLine="472" w:firstLineChars="200"/>
              <w:jc w:val="both"/>
              <w:rPr>
                <w:rFonts w:hint="default" w:ascii="Times New Roman" w:hAnsi="Times New Roman" w:cs="Times New Roman"/>
                <w:bCs/>
                <w:color w:val="auto"/>
                <w:sz w:val="24"/>
                <w:lang w:eastAsia="zh-CN"/>
              </w:rPr>
            </w:pPr>
            <w:r>
              <w:rPr>
                <w:rFonts w:hint="default" w:ascii="Times New Roman" w:hAnsi="Times New Roman" w:cs="Times New Roman"/>
                <w:color w:val="auto"/>
                <w:spacing w:val="-2"/>
                <w:sz w:val="24"/>
                <w:lang w:eastAsia="zh-CN"/>
              </w:rPr>
              <w:t>本项目</w:t>
            </w:r>
            <w:r>
              <w:rPr>
                <w:rFonts w:hint="default" w:ascii="Times New Roman" w:hAnsi="Times New Roman" w:cs="Times New Roman"/>
                <w:color w:val="auto"/>
                <w:spacing w:val="-2"/>
                <w:sz w:val="24"/>
                <w:lang w:val="en-US" w:eastAsia="zh-CN"/>
              </w:rPr>
              <w:t>运营期</w:t>
            </w:r>
            <w:r>
              <w:rPr>
                <w:rFonts w:hint="default" w:ascii="Times New Roman" w:hAnsi="Times New Roman" w:cs="Times New Roman"/>
                <w:color w:val="auto"/>
                <w:spacing w:val="-2"/>
                <w:sz w:val="24"/>
                <w:lang w:eastAsia="zh-CN"/>
              </w:rPr>
              <w:t>产生的固体废弃物主要为沉淀池沉渣、不合格产品、员工</w:t>
            </w:r>
            <w:r>
              <w:rPr>
                <w:rFonts w:hint="default" w:ascii="Times New Roman" w:hAnsi="Times New Roman" w:cs="Times New Roman"/>
                <w:color w:val="auto"/>
                <w:spacing w:val="-2"/>
                <w:sz w:val="24"/>
                <w:lang w:val="en-US" w:eastAsia="zh-CN"/>
              </w:rPr>
              <w:t>日常</w:t>
            </w:r>
            <w:r>
              <w:rPr>
                <w:rFonts w:hint="default" w:ascii="Times New Roman" w:hAnsi="Times New Roman" w:cs="Times New Roman"/>
                <w:color w:val="auto"/>
                <w:spacing w:val="-2"/>
                <w:sz w:val="24"/>
                <w:lang w:eastAsia="zh-CN"/>
              </w:rPr>
              <w:t>生活垃圾。</w:t>
            </w:r>
          </w:p>
          <w:p w14:paraId="117DB026">
            <w:pPr>
              <w:adjustRightInd w:val="0"/>
              <w:snapToGrid w:val="0"/>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（1）一般固废</w:t>
            </w:r>
          </w:p>
          <w:p w14:paraId="0CCCF52E">
            <w:pPr>
              <w:keepNext w:val="0"/>
              <w:keepLines w:val="0"/>
              <w:pageBreakBefore w:val="0"/>
              <w:widowControl w:val="0"/>
              <w:kinsoku/>
              <w:wordWrap/>
              <w:overflowPunct/>
              <w:topLinePunct w:val="0"/>
              <w:autoSpaceDE w:val="0"/>
              <w:autoSpaceDN w:val="0"/>
              <w:bidi w:val="0"/>
              <w:adjustRightInd w:val="0"/>
              <w:snapToGrid w:val="0"/>
              <w:spacing w:line="360" w:lineRule="auto"/>
              <w:ind w:firstLine="468" w:firstLineChars="200"/>
              <w:jc w:val="both"/>
              <w:textAlignment w:val="auto"/>
              <w:rPr>
                <w:rFonts w:hint="default" w:ascii="Times New Roman" w:hAnsi="Times New Roman" w:eastAsia="宋体" w:cs="Times New Roman"/>
                <w:color w:val="auto"/>
                <w:spacing w:val="-3"/>
                <w:sz w:val="24"/>
                <w:szCs w:val="22"/>
                <w:lang w:val="en-US" w:eastAsia="zh-CN" w:bidi="ar-SA"/>
              </w:rPr>
            </w:pPr>
            <w:r>
              <w:rPr>
                <w:rFonts w:hint="default" w:ascii="Times New Roman" w:hAnsi="Times New Roman" w:eastAsia="宋体" w:cs="Times New Roman"/>
                <w:color w:val="auto"/>
                <w:spacing w:val="-3"/>
                <w:sz w:val="24"/>
                <w:szCs w:val="22"/>
                <w:lang w:val="en-US" w:eastAsia="zh-CN" w:bidi="ar-SA"/>
              </w:rPr>
              <w:t>①沉淀池沉渣</w:t>
            </w:r>
          </w:p>
          <w:p w14:paraId="265030AF">
            <w:pPr>
              <w:keepNext w:val="0"/>
              <w:keepLines w:val="0"/>
              <w:pageBreakBefore w:val="0"/>
              <w:widowControl w:val="0"/>
              <w:kinsoku/>
              <w:wordWrap/>
              <w:overflowPunct/>
              <w:topLinePunct w:val="0"/>
              <w:autoSpaceDE w:val="0"/>
              <w:autoSpaceDN w:val="0"/>
              <w:bidi w:val="0"/>
              <w:adjustRightInd w:val="0"/>
              <w:snapToGrid w:val="0"/>
              <w:spacing w:line="360" w:lineRule="auto"/>
              <w:ind w:firstLine="468" w:firstLineChars="200"/>
              <w:jc w:val="both"/>
              <w:textAlignment w:val="auto"/>
              <w:rPr>
                <w:rFonts w:hint="default" w:ascii="Times New Roman" w:hAnsi="Times New Roman" w:cs="Times New Roman"/>
                <w:color w:val="auto"/>
                <w:spacing w:val="-2"/>
                <w:sz w:val="24"/>
                <w:lang w:eastAsia="zh-CN"/>
              </w:rPr>
            </w:pPr>
            <w:r>
              <w:rPr>
                <w:rFonts w:hint="default" w:ascii="Times New Roman" w:hAnsi="Times New Roman" w:eastAsia="宋体" w:cs="Times New Roman"/>
                <w:color w:val="auto"/>
                <w:spacing w:val="-3"/>
                <w:sz w:val="24"/>
                <w:szCs w:val="22"/>
                <w:lang w:val="en-US" w:eastAsia="zh-CN" w:bidi="ar-SA"/>
              </w:rPr>
              <w:t>沉淀池沉渣主要来源于车辆和设备冲洗过程，三级沉淀池废水污染物主要为SS，根据企业经验可知，三级沉淀池沉渣产生量约为500t/a，本项目沉淀池沉渣全部回用于</w:t>
            </w:r>
            <w:r>
              <w:rPr>
                <w:rFonts w:hint="default" w:ascii="Times New Roman" w:hAnsi="Times New Roman" w:cs="Times New Roman"/>
                <w:color w:val="auto"/>
                <w:spacing w:val="-3"/>
                <w:sz w:val="24"/>
                <w:szCs w:val="22"/>
                <w:lang w:val="en-US" w:eastAsia="zh-CN" w:bidi="ar-SA"/>
              </w:rPr>
              <w:t>拌合料</w:t>
            </w:r>
            <w:r>
              <w:rPr>
                <w:rFonts w:hint="default" w:ascii="Times New Roman" w:hAnsi="Times New Roman" w:eastAsia="宋体" w:cs="Times New Roman"/>
                <w:color w:val="auto"/>
                <w:spacing w:val="-3"/>
                <w:sz w:val="24"/>
                <w:szCs w:val="22"/>
                <w:lang w:val="en-US" w:eastAsia="zh-CN" w:bidi="ar-SA"/>
              </w:rPr>
              <w:t>生产工序</w:t>
            </w:r>
            <w:r>
              <w:rPr>
                <w:rFonts w:hint="default" w:ascii="Times New Roman" w:hAnsi="Times New Roman" w:cs="Times New Roman"/>
                <w:color w:val="auto"/>
                <w:spacing w:val="-2"/>
                <w:sz w:val="24"/>
                <w:lang w:eastAsia="zh-CN"/>
              </w:rPr>
              <w:t>。</w:t>
            </w:r>
          </w:p>
          <w:p w14:paraId="1EE3D7EC">
            <w:pPr>
              <w:adjustRightInd w:val="0"/>
              <w:snapToGrid w:val="0"/>
              <w:spacing w:line="360" w:lineRule="auto"/>
              <w:ind w:firstLine="480" w:firstLineChars="200"/>
              <w:jc w:val="both"/>
              <w:rPr>
                <w:rFonts w:hint="default" w:ascii="Times New Roman" w:hAnsi="Times New Roman" w:cs="Times New Roman"/>
                <w:bCs/>
                <w:color w:val="auto"/>
                <w:sz w:val="24"/>
                <w:lang w:val="en-US" w:eastAsia="zh-CN"/>
              </w:rPr>
            </w:pPr>
            <w:r>
              <w:rPr>
                <w:rFonts w:hint="default" w:ascii="Times New Roman" w:hAnsi="Times New Roman" w:cs="Times New Roman"/>
                <w:color w:val="auto"/>
                <w:sz w:val="24"/>
                <w:lang w:val="en-US" w:eastAsia="zh-CN"/>
              </w:rPr>
              <w:t>②不合格产品</w:t>
            </w:r>
          </w:p>
          <w:p w14:paraId="0C7E3EB5">
            <w:pPr>
              <w:adjustRightInd w:val="0"/>
              <w:snapToGrid w:val="0"/>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color w:val="auto"/>
                <w:sz w:val="24"/>
                <w:lang w:eastAsia="zh-CN"/>
              </w:rPr>
              <w:t>拌合料生产过程中会产生废弃物，主要为不合格产品，产生量</w:t>
            </w:r>
            <w:r>
              <w:rPr>
                <w:rFonts w:hint="default" w:ascii="Times New Roman" w:hAnsi="Times New Roman" w:cs="Times New Roman"/>
                <w:color w:val="auto"/>
                <w:sz w:val="24"/>
                <w:lang w:val="en-US" w:eastAsia="zh-CN"/>
              </w:rPr>
              <w:t>约</w:t>
            </w:r>
            <w:r>
              <w:rPr>
                <w:rFonts w:hint="default" w:ascii="Times New Roman" w:hAnsi="Times New Roman" w:cs="Times New Roman"/>
                <w:color w:val="auto"/>
                <w:sz w:val="24"/>
                <w:lang w:eastAsia="zh-CN"/>
              </w:rPr>
              <w:t>为4494.4893t/a，</w:t>
            </w:r>
            <w:r>
              <w:rPr>
                <w:rFonts w:hint="default" w:ascii="Times New Roman" w:hAnsi="Times New Roman" w:cs="Times New Roman"/>
                <w:color w:val="auto"/>
                <w:sz w:val="24"/>
                <w:lang w:val="en-US" w:eastAsia="zh-CN"/>
              </w:rPr>
              <w:t>全部可</w:t>
            </w:r>
            <w:r>
              <w:rPr>
                <w:rFonts w:hint="default" w:ascii="Times New Roman" w:hAnsi="Times New Roman" w:cs="Times New Roman"/>
                <w:color w:val="auto"/>
                <w:sz w:val="24"/>
                <w:lang w:eastAsia="zh-CN"/>
              </w:rPr>
              <w:t>回用于生产</w:t>
            </w:r>
            <w:r>
              <w:rPr>
                <w:rFonts w:hint="default" w:ascii="Times New Roman" w:hAnsi="Times New Roman" w:cs="Times New Roman"/>
                <w:color w:val="auto"/>
                <w:spacing w:val="-2"/>
                <w:sz w:val="24"/>
                <w:lang w:eastAsia="zh-CN"/>
              </w:rPr>
              <w:t>。</w:t>
            </w:r>
          </w:p>
          <w:p w14:paraId="71FD7661">
            <w:pPr>
              <w:adjustRightInd w:val="0"/>
              <w:snapToGrid w:val="0"/>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③生活垃圾</w:t>
            </w:r>
          </w:p>
          <w:p w14:paraId="779EB998">
            <w:pPr>
              <w:adjustRightInd w:val="0"/>
              <w:snapToGrid w:val="0"/>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项目运营过程中，生活垃圾的产生量按0.5kg/d·人计算，项目劳动定员为</w:t>
            </w:r>
            <w:r>
              <w:rPr>
                <w:rFonts w:hint="default" w:ascii="Times New Roman" w:hAnsi="Times New Roman" w:cs="Times New Roman"/>
                <w:bCs/>
                <w:color w:val="auto"/>
                <w:sz w:val="24"/>
                <w:lang w:val="en-US" w:eastAsia="zh-CN"/>
              </w:rPr>
              <w:t>30</w:t>
            </w:r>
            <w:r>
              <w:rPr>
                <w:rFonts w:hint="default" w:ascii="Times New Roman" w:hAnsi="Times New Roman" w:cs="Times New Roman"/>
                <w:bCs/>
                <w:color w:val="auto"/>
                <w:sz w:val="24"/>
                <w:lang w:eastAsia="zh-CN"/>
              </w:rPr>
              <w:t>人，则生活垃圾的产生量为</w:t>
            </w:r>
            <w:r>
              <w:rPr>
                <w:rFonts w:hint="default" w:ascii="Times New Roman" w:hAnsi="Times New Roman" w:cs="Times New Roman"/>
                <w:bCs/>
                <w:color w:val="auto"/>
                <w:sz w:val="24"/>
                <w:lang w:val="en-US" w:eastAsia="zh-CN"/>
              </w:rPr>
              <w:t>15</w:t>
            </w:r>
            <w:r>
              <w:rPr>
                <w:rFonts w:hint="default" w:ascii="Times New Roman" w:hAnsi="Times New Roman" w:cs="Times New Roman"/>
                <w:bCs/>
                <w:color w:val="auto"/>
                <w:sz w:val="24"/>
                <w:lang w:eastAsia="zh-CN"/>
              </w:rPr>
              <w:t>kg/d（</w:t>
            </w:r>
            <w:r>
              <w:rPr>
                <w:rFonts w:hint="default" w:ascii="Times New Roman" w:hAnsi="Times New Roman" w:cs="Times New Roman"/>
                <w:bCs/>
                <w:color w:val="auto"/>
                <w:sz w:val="24"/>
                <w:lang w:val="en-US" w:eastAsia="zh-CN"/>
              </w:rPr>
              <w:t>4.5</w:t>
            </w:r>
            <w:r>
              <w:rPr>
                <w:rFonts w:hint="default" w:ascii="Times New Roman" w:hAnsi="Times New Roman" w:cs="Times New Roman"/>
                <w:bCs/>
                <w:color w:val="auto"/>
                <w:sz w:val="24"/>
                <w:lang w:eastAsia="zh-CN"/>
              </w:rPr>
              <w:t>t/a），办公区布置垃圾桶，收集日常员工的生活垃圾，生活垃圾集中收集后由管理人员定期清运至</w:t>
            </w:r>
            <w:r>
              <w:rPr>
                <w:rFonts w:hint="default" w:ascii="Times New Roman" w:hAnsi="Times New Roman" w:cs="Times New Roman"/>
                <w:bCs/>
                <w:color w:val="auto"/>
                <w:sz w:val="24"/>
                <w:lang w:val="en-US" w:eastAsia="zh-CN"/>
              </w:rPr>
              <w:t>老厂乡</w:t>
            </w:r>
            <w:r>
              <w:rPr>
                <w:rFonts w:hint="default" w:ascii="Times New Roman" w:hAnsi="Times New Roman" w:cs="Times New Roman"/>
                <w:bCs/>
                <w:color w:val="auto"/>
                <w:sz w:val="24"/>
                <w:lang w:eastAsia="zh-CN"/>
              </w:rPr>
              <w:t>垃圾收集点清运处置。</w:t>
            </w:r>
          </w:p>
          <w:p w14:paraId="4965D3A3">
            <w:pPr>
              <w:spacing w:line="360" w:lineRule="auto"/>
              <w:ind w:firstLine="482" w:firstLineChars="200"/>
              <w:jc w:val="both"/>
              <w:rPr>
                <w:rFonts w:hint="default" w:ascii="Times New Roman" w:hAnsi="Times New Roman" w:cs="Times New Roman"/>
                <w:bCs/>
                <w:color w:val="auto"/>
                <w:sz w:val="24"/>
                <w:lang w:eastAsia="zh-CN"/>
              </w:rPr>
            </w:pPr>
            <w:r>
              <w:rPr>
                <w:rFonts w:hint="default" w:ascii="Times New Roman" w:hAnsi="Times New Roman" w:cs="Times New Roman"/>
                <w:b/>
                <w:color w:val="auto"/>
                <w:sz w:val="24"/>
                <w:lang w:eastAsia="zh-CN"/>
              </w:rPr>
              <w:t>（2）危险废物</w:t>
            </w:r>
          </w:p>
          <w:p w14:paraId="7EBA2685">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①废矿物油及废油桶</w:t>
            </w:r>
          </w:p>
          <w:p w14:paraId="29005B8E">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大型设备机修外委，只有少量机械设备自行修理，并对设备进行日常维护；日常保养维护中会产生少量废机油、废润滑油等，根据《国家危险废物名录》（2025版），废机油、润滑油属于危险废物，废物代码为900-214-08。维护过程中将产生少量废机油，每年产生废机油及废油桶量约0.1t/a。废机油及废油桶属于危险废物，根据《国家危险废物名录（2025年版）》，废机油及废油桶属于HW08（废矿物油与含矿物油废物），废物代码：900-249-08（其他生产、销售、使用过程中产生的废矿物油及含矿物油废物）。项目在</w:t>
            </w:r>
            <w:r>
              <w:rPr>
                <w:rFonts w:hint="default" w:ascii="Times New Roman" w:hAnsi="Times New Roman" w:cs="Times New Roman"/>
                <w:bCs/>
                <w:color w:val="auto"/>
                <w:sz w:val="24"/>
                <w:lang w:val="en-US" w:eastAsia="zh-CN"/>
              </w:rPr>
              <w:t>厂区</w:t>
            </w:r>
            <w:r>
              <w:rPr>
                <w:rFonts w:hint="default" w:ascii="Times New Roman" w:hAnsi="Times New Roman" w:cs="Times New Roman"/>
                <w:bCs/>
                <w:color w:val="auto"/>
                <w:sz w:val="24"/>
                <w:lang w:eastAsia="zh-CN"/>
              </w:rPr>
              <w:t>设置一个5m</w:t>
            </w:r>
            <w:r>
              <w:rPr>
                <w:rFonts w:hint="default" w:ascii="Times New Roman" w:hAnsi="Times New Roman" w:cs="Times New Roman"/>
                <w:bCs/>
                <w:color w:val="auto"/>
                <w:sz w:val="24"/>
                <w:vertAlign w:val="superscript"/>
                <w:lang w:eastAsia="zh-CN"/>
              </w:rPr>
              <w:t>2</w:t>
            </w:r>
            <w:r>
              <w:rPr>
                <w:rFonts w:hint="default" w:ascii="Times New Roman" w:hAnsi="Times New Roman" w:cs="Times New Roman"/>
                <w:bCs/>
                <w:color w:val="auto"/>
                <w:sz w:val="24"/>
                <w:lang w:eastAsia="zh-CN"/>
              </w:rPr>
              <w:t>的危废贮存库，对各危险废物进行暂存后定期委托有资质的单位清运处置。</w:t>
            </w:r>
          </w:p>
          <w:p w14:paraId="39BDC30B">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项目运营期固废处置率为100%，对周边环境影响较小。</w:t>
            </w:r>
          </w:p>
          <w:p w14:paraId="2E6C63A2">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（三）固废防治措施</w:t>
            </w:r>
          </w:p>
          <w:p w14:paraId="1020A92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①</w:t>
            </w:r>
            <w:r>
              <w:rPr>
                <w:rFonts w:hint="default" w:ascii="Times New Roman" w:hAnsi="Times New Roman" w:eastAsia="宋体" w:cs="Times New Roman"/>
                <w:color w:val="auto"/>
                <w:spacing w:val="-3"/>
                <w:sz w:val="24"/>
                <w:szCs w:val="22"/>
                <w:lang w:val="en-US" w:eastAsia="zh-CN" w:bidi="ar-SA"/>
              </w:rPr>
              <w:t>沉淀池沉渣</w:t>
            </w:r>
            <w:r>
              <w:rPr>
                <w:rFonts w:hint="default" w:ascii="Times New Roman" w:hAnsi="Times New Roman" w:cs="Times New Roman"/>
                <w:color w:val="auto"/>
                <w:spacing w:val="-2"/>
                <w:sz w:val="24"/>
                <w:lang w:eastAsia="zh-CN"/>
              </w:rPr>
              <w:t>收集后回用生产工序</w:t>
            </w:r>
            <w:r>
              <w:rPr>
                <w:rFonts w:hint="default" w:ascii="Times New Roman" w:hAnsi="Times New Roman" w:cs="Times New Roman"/>
                <w:bCs/>
                <w:color w:val="auto"/>
                <w:sz w:val="24"/>
                <w:lang w:eastAsia="zh-CN"/>
              </w:rPr>
              <w:t>；</w:t>
            </w:r>
          </w:p>
          <w:p w14:paraId="1D092A78">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②</w:t>
            </w:r>
            <w:r>
              <w:rPr>
                <w:rFonts w:hint="default" w:ascii="Times New Roman" w:hAnsi="Times New Roman" w:cs="Times New Roman"/>
                <w:color w:val="auto"/>
                <w:sz w:val="24"/>
                <w:lang w:val="en-US" w:eastAsia="zh-CN"/>
              </w:rPr>
              <w:t>不合格产品全部可</w:t>
            </w:r>
            <w:r>
              <w:rPr>
                <w:rFonts w:hint="default" w:ascii="Times New Roman" w:hAnsi="Times New Roman" w:cs="Times New Roman"/>
                <w:color w:val="auto"/>
                <w:sz w:val="24"/>
                <w:lang w:eastAsia="zh-CN"/>
              </w:rPr>
              <w:t>回用于生产</w:t>
            </w:r>
            <w:r>
              <w:rPr>
                <w:rFonts w:hint="default" w:ascii="Times New Roman" w:hAnsi="Times New Roman" w:cs="Times New Roman"/>
                <w:bCs/>
                <w:color w:val="auto"/>
                <w:sz w:val="24"/>
                <w:lang w:eastAsia="zh-CN"/>
              </w:rPr>
              <w:t>；</w:t>
            </w:r>
          </w:p>
          <w:p w14:paraId="7165868F">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③生活垃圾集中收集后由管理人员定期清运至</w:t>
            </w:r>
            <w:r>
              <w:rPr>
                <w:rFonts w:hint="default" w:ascii="Times New Roman" w:hAnsi="Times New Roman" w:cs="Times New Roman"/>
                <w:bCs/>
                <w:color w:val="auto"/>
                <w:sz w:val="24"/>
                <w:lang w:val="en-US" w:eastAsia="zh-CN"/>
              </w:rPr>
              <w:t>老厂乡</w:t>
            </w:r>
            <w:r>
              <w:rPr>
                <w:rFonts w:hint="default" w:ascii="Times New Roman" w:hAnsi="Times New Roman" w:cs="Times New Roman"/>
                <w:bCs/>
                <w:color w:val="auto"/>
                <w:sz w:val="24"/>
                <w:lang w:eastAsia="zh-CN"/>
              </w:rPr>
              <w:t>垃圾收集点清运处置；</w:t>
            </w:r>
          </w:p>
          <w:p w14:paraId="084EC4FF">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④废机油及废油桶属于危险废物，暂存于一个5m</w:t>
            </w:r>
            <w:r>
              <w:rPr>
                <w:rFonts w:hint="default" w:ascii="Times New Roman" w:hAnsi="Times New Roman" w:cs="Times New Roman"/>
                <w:bCs/>
                <w:color w:val="auto"/>
                <w:sz w:val="24"/>
                <w:vertAlign w:val="superscript"/>
                <w:lang w:eastAsia="zh-CN"/>
              </w:rPr>
              <w:t>2</w:t>
            </w:r>
            <w:r>
              <w:rPr>
                <w:rFonts w:hint="default" w:ascii="Times New Roman" w:hAnsi="Times New Roman" w:cs="Times New Roman"/>
                <w:bCs/>
                <w:color w:val="auto"/>
                <w:sz w:val="24"/>
                <w:lang w:eastAsia="zh-CN"/>
              </w:rPr>
              <w:t>的危废贮存库，定期委托有资质的单位清运处置。</w:t>
            </w:r>
          </w:p>
          <w:p w14:paraId="306AD6D1">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（四）固废环境影响分析</w:t>
            </w:r>
          </w:p>
          <w:p w14:paraId="6AE268CC">
            <w:pPr>
              <w:spacing w:line="360" w:lineRule="auto"/>
              <w:ind w:firstLine="468" w:firstLineChars="200"/>
              <w:jc w:val="both"/>
              <w:rPr>
                <w:rFonts w:hint="default" w:ascii="Times New Roman" w:hAnsi="Times New Roman" w:cs="Times New Roman"/>
                <w:bCs/>
                <w:color w:val="auto"/>
                <w:sz w:val="24"/>
                <w:lang w:eastAsia="zh-CN"/>
              </w:rPr>
            </w:pPr>
            <w:r>
              <w:rPr>
                <w:rFonts w:hint="default" w:ascii="Times New Roman" w:hAnsi="Times New Roman" w:eastAsia="宋体" w:cs="Times New Roman"/>
                <w:color w:val="auto"/>
                <w:spacing w:val="-3"/>
                <w:sz w:val="24"/>
                <w:szCs w:val="22"/>
                <w:lang w:val="en-US" w:eastAsia="zh-CN" w:bidi="ar-SA"/>
              </w:rPr>
              <w:t>沉淀池沉渣</w:t>
            </w:r>
            <w:r>
              <w:rPr>
                <w:rFonts w:hint="default" w:ascii="Times New Roman" w:hAnsi="Times New Roman" w:cs="Times New Roman"/>
                <w:color w:val="auto"/>
                <w:spacing w:val="-2"/>
                <w:sz w:val="24"/>
                <w:lang w:eastAsia="zh-CN"/>
              </w:rPr>
              <w:t>收集后回用生产工序</w:t>
            </w:r>
            <w:r>
              <w:rPr>
                <w:rFonts w:hint="default" w:ascii="Times New Roman" w:hAnsi="Times New Roman" w:cs="Times New Roman"/>
                <w:bCs/>
                <w:color w:val="auto"/>
                <w:sz w:val="24"/>
                <w:lang w:eastAsia="zh-CN"/>
              </w:rPr>
              <w:t>；</w:t>
            </w:r>
            <w:r>
              <w:rPr>
                <w:rFonts w:hint="default" w:ascii="Times New Roman" w:hAnsi="Times New Roman" w:cs="Times New Roman"/>
                <w:color w:val="auto"/>
                <w:sz w:val="24"/>
                <w:lang w:val="en-US" w:eastAsia="zh-CN"/>
              </w:rPr>
              <w:t>不合格产品全部可</w:t>
            </w:r>
            <w:r>
              <w:rPr>
                <w:rFonts w:hint="default" w:ascii="Times New Roman" w:hAnsi="Times New Roman" w:cs="Times New Roman"/>
                <w:color w:val="auto"/>
                <w:sz w:val="24"/>
                <w:lang w:eastAsia="zh-CN"/>
              </w:rPr>
              <w:t>回用于生产</w:t>
            </w:r>
            <w:r>
              <w:rPr>
                <w:rFonts w:hint="default" w:ascii="Times New Roman" w:hAnsi="Times New Roman" w:cs="Times New Roman"/>
                <w:bCs/>
                <w:color w:val="auto"/>
                <w:sz w:val="24"/>
                <w:lang w:eastAsia="zh-CN"/>
              </w:rPr>
              <w:t>；生活垃圾集中收集后由管理人员定期清运至</w:t>
            </w:r>
            <w:r>
              <w:rPr>
                <w:rFonts w:hint="default" w:ascii="Times New Roman" w:hAnsi="Times New Roman" w:cs="Times New Roman"/>
                <w:bCs/>
                <w:color w:val="auto"/>
                <w:sz w:val="24"/>
                <w:lang w:val="en-US" w:eastAsia="zh-CN"/>
              </w:rPr>
              <w:t>老厂乡</w:t>
            </w:r>
            <w:r>
              <w:rPr>
                <w:rFonts w:hint="default" w:ascii="Times New Roman" w:hAnsi="Times New Roman" w:cs="Times New Roman"/>
                <w:bCs/>
                <w:color w:val="auto"/>
                <w:sz w:val="24"/>
                <w:lang w:eastAsia="zh-CN"/>
              </w:rPr>
              <w:t>垃圾收集点清运处置；废机油及废油桶属于危险废物，暂存于一个5m</w:t>
            </w:r>
            <w:r>
              <w:rPr>
                <w:rFonts w:hint="default" w:ascii="Times New Roman" w:hAnsi="Times New Roman" w:cs="Times New Roman"/>
                <w:bCs/>
                <w:color w:val="auto"/>
                <w:sz w:val="24"/>
                <w:vertAlign w:val="superscript"/>
                <w:lang w:eastAsia="zh-CN"/>
              </w:rPr>
              <w:t>2</w:t>
            </w:r>
            <w:r>
              <w:rPr>
                <w:rFonts w:hint="default" w:ascii="Times New Roman" w:hAnsi="Times New Roman" w:cs="Times New Roman"/>
                <w:bCs/>
                <w:color w:val="auto"/>
                <w:sz w:val="24"/>
                <w:lang w:eastAsia="zh-CN"/>
              </w:rPr>
              <w:t>的危废贮存库，定期委托有资质的单位清运处置；项目在采取环评所提措施后，固体废物均得到有效处置，处置率100%，对周围环境影响不大。</w:t>
            </w:r>
          </w:p>
          <w:p w14:paraId="2E64DCB2">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综上，项目运营期产生的固体废弃物均可得到妥善的收集和处置，固体废物清运处置率为 100%，不会对外环境产生明显的影响。</w:t>
            </w:r>
          </w:p>
          <w:p w14:paraId="00E27A53">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（五）固体废物环境管理要求</w:t>
            </w:r>
          </w:p>
          <w:p w14:paraId="509A70C8">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本环评要求建设单位在厂区内新建1间危废贮存库，占地面积为5m</w:t>
            </w:r>
            <w:r>
              <w:rPr>
                <w:rFonts w:hint="default" w:ascii="Times New Roman" w:hAnsi="Times New Roman" w:cs="Times New Roman"/>
                <w:bCs/>
                <w:color w:val="auto"/>
                <w:sz w:val="24"/>
                <w:vertAlign w:val="superscript"/>
                <w:lang w:eastAsia="zh-CN"/>
              </w:rPr>
              <w:t>2</w:t>
            </w:r>
            <w:r>
              <w:rPr>
                <w:rFonts w:hint="default" w:ascii="Times New Roman" w:hAnsi="Times New Roman" w:cs="Times New Roman"/>
                <w:bCs/>
                <w:color w:val="auto"/>
                <w:sz w:val="24"/>
                <w:lang w:eastAsia="zh-CN"/>
              </w:rPr>
              <w:t>。根据《危险废物贮存污染控制标准》（GB18597-2023）的要求，危废贮存、危废贮存库的设置和危废管理要求如下：</w:t>
            </w:r>
          </w:p>
          <w:p w14:paraId="7EC27736">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1 \* GB2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⑴</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废矿物油贮存容器要求</w:t>
            </w:r>
          </w:p>
          <w:p w14:paraId="0765B350">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1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①</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危险废物的容器必须设置危险废物标识；</w:t>
            </w:r>
          </w:p>
          <w:p w14:paraId="31602790">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2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②</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装载危险废物的容器要完好无损，防渗漏；</w:t>
            </w:r>
          </w:p>
          <w:p w14:paraId="4D4DC9FD">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3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③</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盛装危险废物的容器材质和衬里要与危险废物相容（不相互反应）；</w:t>
            </w:r>
          </w:p>
          <w:p w14:paraId="2D19E651">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4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④</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装载危险废物的容器及材质要满足相应的强度要求。</w:t>
            </w:r>
          </w:p>
          <w:p w14:paraId="3BDB8ADD">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2 \* GB2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⑵</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危废贮存库设计及施工要求</w:t>
            </w:r>
          </w:p>
          <w:p w14:paraId="68D554AF">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1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①</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危废贮存库必须要密闭建设，地面做防渗、硬化措施，地面与裙脚要用坚固、防渗的材料建造，建筑材料必须与危险废物相容；</w:t>
            </w:r>
          </w:p>
          <w:p w14:paraId="1C09A441">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2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②</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危废间内必须设有收集装置，如托盘、导流沟、收集池等，用以存放装载液体、半固体危险废物容器的地方，必须有耐腐蚀的硬化地面，且表面无裂隙；</w:t>
            </w:r>
          </w:p>
          <w:p w14:paraId="133E826B">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3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③</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危废间门口张贴危险废物标识（详见图 4-2），危废间内要有安全照明设施和观察窗口；</w:t>
            </w:r>
          </w:p>
          <w:p w14:paraId="7F31BFCA">
            <w:pPr>
              <w:autoSpaceDE/>
              <w:autoSpaceDN/>
              <w:spacing w:after="120" w:afterLines="50"/>
              <w:ind w:firstLine="422" w:firstLineChars="20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drawing>
                <wp:anchor distT="0" distB="0" distL="114300" distR="114300" simplePos="0" relativeHeight="251662336" behindDoc="0" locked="0" layoutInCell="1" allowOverlap="1">
                  <wp:simplePos x="0" y="0"/>
                  <wp:positionH relativeFrom="column">
                    <wp:posOffset>994410</wp:posOffset>
                  </wp:positionH>
                  <wp:positionV relativeFrom="paragraph">
                    <wp:posOffset>122555</wp:posOffset>
                  </wp:positionV>
                  <wp:extent cx="3056890" cy="1628775"/>
                  <wp:effectExtent l="0" t="0" r="10160" b="9525"/>
                  <wp:wrapTopAndBottom/>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2"/>
                          <a:stretch>
                            <a:fillRect/>
                          </a:stretch>
                        </pic:blipFill>
                        <pic:spPr>
                          <a:xfrm>
                            <a:off x="0" y="0"/>
                            <a:ext cx="3056890" cy="1628775"/>
                          </a:xfrm>
                          <a:prstGeom prst="rect">
                            <a:avLst/>
                          </a:prstGeom>
                          <a:noFill/>
                          <a:ln>
                            <a:noFill/>
                          </a:ln>
                        </pic:spPr>
                      </pic:pic>
                    </a:graphicData>
                  </a:graphic>
                </wp:anchor>
              </w:drawing>
            </w:r>
            <w:r>
              <w:rPr>
                <w:rFonts w:hint="default" w:ascii="Times New Roman" w:hAnsi="Times New Roman" w:cs="Times New Roman"/>
                <w:b/>
                <w:color w:val="auto"/>
                <w:sz w:val="21"/>
                <w:szCs w:val="21"/>
                <w:lang w:eastAsia="zh-CN"/>
              </w:rPr>
              <w:t>图 4-</w:t>
            </w:r>
            <w:r>
              <w:rPr>
                <w:rFonts w:hint="default"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lang w:eastAsia="zh-CN"/>
              </w:rPr>
              <w:tab/>
            </w:r>
            <w:r>
              <w:rPr>
                <w:rFonts w:hint="default" w:ascii="Times New Roman" w:hAnsi="Times New Roman" w:cs="Times New Roman"/>
                <w:b/>
                <w:color w:val="auto"/>
                <w:sz w:val="21"/>
                <w:szCs w:val="21"/>
                <w:lang w:eastAsia="zh-CN"/>
              </w:rPr>
              <w:t>危险废物标识示意图</w:t>
            </w:r>
          </w:p>
          <w:p w14:paraId="1B5ADEED">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4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④</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应设计堵截泄漏的裙脚，地面与裙脚所围建的容积不低于堵截最大容器的最大储量的总储量的五分之一；</w:t>
            </w:r>
          </w:p>
          <w:p w14:paraId="7016F42A">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5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⑤</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不相容的危险废物必须分开存放，并设有隔离间隔断；</w:t>
            </w:r>
          </w:p>
          <w:p w14:paraId="53E6E2ED">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6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⑥</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危废贮存库施工中应做好施工记录，留存防渗等隐蔽工程的影像记录。</w:t>
            </w:r>
          </w:p>
          <w:p w14:paraId="6019F2C6">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3 \* GB2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⑶</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危险废物清运处置管理要求</w:t>
            </w:r>
          </w:p>
          <w:p w14:paraId="5DB5A533">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建设单位应委托有资质的单位按危险废物转移联单管理办法，定期将废矿物油清运处置。根据《危险废物管理工作手册》，危险废物清运处置应做到以下几点：</w:t>
            </w:r>
          </w:p>
          <w:p w14:paraId="362BF6A6">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1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①</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建立台账，注明危险废物的名称、来源、数量、特性和包装容器的类别，入库日期、存放库位、废物出库日期及</w:t>
            </w:r>
            <w:r>
              <w:rPr>
                <w:rFonts w:hint="default" w:ascii="Times New Roman" w:hAnsi="Times New Roman" w:cs="Times New Roman"/>
                <w:bCs/>
                <w:color w:val="auto"/>
                <w:sz w:val="24"/>
                <w:lang w:val="en-US" w:eastAsia="zh-CN"/>
              </w:rPr>
              <w:t>接收</w:t>
            </w:r>
            <w:r>
              <w:rPr>
                <w:rFonts w:hint="default" w:ascii="Times New Roman" w:hAnsi="Times New Roman" w:cs="Times New Roman"/>
                <w:bCs/>
                <w:color w:val="auto"/>
                <w:sz w:val="24"/>
                <w:lang w:eastAsia="zh-CN"/>
              </w:rPr>
              <w:t>单位名称；</w:t>
            </w:r>
          </w:p>
          <w:p w14:paraId="4F467B12">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2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②</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按要求填写转移联单，严格执行危险废物转移联单管理办法；</w:t>
            </w:r>
          </w:p>
          <w:p w14:paraId="54C04C3E">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3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③</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对装有危废的容器进行定期检查，容器泄漏损坏时必须立即处理，并将危废装入完好容器内，同时危险废物储存区设置警示标牌；</w:t>
            </w:r>
          </w:p>
          <w:p w14:paraId="189466FF">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4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④</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630B2D72">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fldChar w:fldCharType="begin"/>
            </w:r>
            <w:r>
              <w:rPr>
                <w:rFonts w:hint="default" w:ascii="Times New Roman" w:hAnsi="Times New Roman" w:cs="Times New Roman"/>
                <w:bCs/>
                <w:color w:val="auto"/>
                <w:sz w:val="24"/>
                <w:lang w:eastAsia="zh-CN"/>
              </w:rPr>
              <w:instrText xml:space="preserve"> = 5 \* GB3 </w:instrText>
            </w:r>
            <w:r>
              <w:rPr>
                <w:rFonts w:hint="default" w:ascii="Times New Roman" w:hAnsi="Times New Roman" w:cs="Times New Roman"/>
                <w:bCs/>
                <w:color w:val="auto"/>
                <w:sz w:val="24"/>
                <w:lang w:eastAsia="zh-CN"/>
              </w:rPr>
              <w:fldChar w:fldCharType="separate"/>
            </w:r>
            <w:r>
              <w:rPr>
                <w:rFonts w:hint="default" w:ascii="Times New Roman" w:hAnsi="Times New Roman" w:cs="Times New Roman"/>
                <w:bCs/>
                <w:color w:val="auto"/>
                <w:sz w:val="24"/>
                <w:lang w:eastAsia="zh-CN"/>
              </w:rPr>
              <w:t>⑤</w:t>
            </w:r>
            <w:r>
              <w:rPr>
                <w:rFonts w:hint="default" w:ascii="Times New Roman" w:hAnsi="Times New Roman" w:cs="Times New Roman"/>
                <w:bCs/>
                <w:color w:val="auto"/>
                <w:sz w:val="24"/>
                <w:lang w:eastAsia="zh-CN"/>
              </w:rPr>
              <w:fldChar w:fldCharType="end"/>
            </w:r>
            <w:r>
              <w:rPr>
                <w:rFonts w:hint="default" w:ascii="Times New Roman" w:hAnsi="Times New Roman" w:cs="Times New Roman"/>
                <w:bCs/>
                <w:color w:val="auto"/>
                <w:sz w:val="24"/>
                <w:lang w:eastAsia="zh-CN"/>
              </w:rPr>
              <w:t>组织危险废物的运输单位，在事先需作出周密的运输计划和行驶路线，其中包括有效的废物</w:t>
            </w:r>
            <w:r>
              <w:rPr>
                <w:rFonts w:hint="default" w:ascii="Times New Roman" w:hAnsi="Times New Roman" w:cs="Times New Roman"/>
                <w:bCs/>
                <w:color w:val="auto"/>
                <w:sz w:val="24"/>
                <w:lang w:val="en-US" w:eastAsia="zh-CN"/>
              </w:rPr>
              <w:t>泄漏</w:t>
            </w:r>
            <w:r>
              <w:rPr>
                <w:rFonts w:hint="default" w:ascii="Times New Roman" w:hAnsi="Times New Roman" w:cs="Times New Roman"/>
                <w:bCs/>
                <w:color w:val="auto"/>
                <w:sz w:val="24"/>
                <w:lang w:eastAsia="zh-CN"/>
              </w:rPr>
              <w:t>情况下的应急措施。</w:t>
            </w:r>
          </w:p>
          <w:p w14:paraId="7075BA85">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综上所述，本项目产生的固体废物均得到了合理的处置，对周围环境影响较小。</w:t>
            </w:r>
          </w:p>
          <w:p w14:paraId="1F553E58">
            <w:pPr>
              <w:adjustRightInd w:val="0"/>
              <w:snapToGrid w:val="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五、地下水和土壤影响分析</w:t>
            </w:r>
          </w:p>
          <w:p w14:paraId="3EB12633">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（1）地下水</w:t>
            </w:r>
          </w:p>
          <w:p w14:paraId="0F2E42A3">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按《环境影响评价技术导则地下水环境》（HJ610-2016）规定，依据建设项目行业分类和地下水环境敏感分级进行等级划分。本项目主要进行生物质的加工，属于附录A 中155.废旧资源（含生物质）加工，地下水环境影响评价项目类别为Ⅳ类，不进行地下水环境影响评价。</w:t>
            </w:r>
          </w:p>
          <w:p w14:paraId="215E6D36">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本项目主要以浩盛矿业磁选尾矿、公分石和老厂集镇西侧滑坡治理及综合开发利用项目建设开采的土石方作为原料，经</w:t>
            </w:r>
            <w:r>
              <w:rPr>
                <w:rFonts w:hint="default" w:ascii="Times New Roman" w:hAnsi="Times New Roman" w:cs="Times New Roman"/>
                <w:bCs/>
                <w:color w:val="auto"/>
                <w:sz w:val="24"/>
                <w:lang w:val="en-US" w:eastAsia="zh-CN"/>
              </w:rPr>
              <w:t>配比后等到</w:t>
            </w:r>
            <w:r>
              <w:rPr>
                <w:rFonts w:hint="default" w:ascii="Times New Roman" w:hAnsi="Times New Roman" w:cs="Times New Roman"/>
                <w:bCs/>
                <w:color w:val="auto"/>
                <w:sz w:val="24"/>
                <w:lang w:eastAsia="zh-CN"/>
              </w:rPr>
              <w:t>产品</w:t>
            </w:r>
            <w:r>
              <w:rPr>
                <w:rFonts w:hint="default" w:ascii="Times New Roman" w:hAnsi="Times New Roman" w:cs="Times New Roman"/>
                <w:bCs/>
                <w:color w:val="auto"/>
                <w:sz w:val="24"/>
                <w:lang w:val="en-US" w:eastAsia="zh-CN"/>
              </w:rPr>
              <w:t>拌合料</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kern w:val="2"/>
                <w:sz w:val="24"/>
                <w:szCs w:val="24"/>
                <w:lang w:val="en-US" w:eastAsia="zh-CN" w:bidi="ar-SA"/>
              </w:rPr>
              <w:t>根据2025年8月28日新平浩盛矿业发展有限公司委托云南省有色金属及制品质量监督检验站对公司尾矿库的尾矿浸出液进行了检测，检测结果表示，样品尾矿浸出液中的检测项目（列出项目）的检测结果均未超过《危险废物鉴别标准浸出毒性鉴别》（GB5085.3-2007）浸出毒性鉴别标准浓度限值，样品尾矿浸出液检测结果未体现出浸出毒性危险特性；样品尾矿浸出液中的腐蚀性pH值未在《危险废物鉴别标准腐蚀性鉴别》（GB5085.1-2007）标准限值规定的范围内，样品尾矿浸出液检测结果未体现出腐蚀性危险特性；样品尾矿浸出液中的检测项目（列出项目）的检测结果均未超过《污水综合排放标准》（GB8978-1996）最高允许排放浓度限值，样品尾矿浸出液检测结果符合第I类一般工业固体废物的判别要求。（详见附件</w:t>
            </w:r>
            <w:r>
              <w:rPr>
                <w:rFonts w:hint="default" w:ascii="Times New Roman" w:hAnsi="Times New Roman" w:cs="Times New Roman"/>
                <w:color w:val="auto"/>
                <w:kern w:val="2"/>
                <w:sz w:val="24"/>
                <w:szCs w:val="24"/>
                <w:lang w:val="en-US" w:eastAsia="zh-CN" w:bidi="ar-SA"/>
              </w:rPr>
              <w:t>13</w:t>
            </w:r>
            <w:r>
              <w:rPr>
                <w:rFonts w:hint="default" w:ascii="Times New Roman" w:hAnsi="Times New Roman" w:eastAsia="宋体" w:cs="Times New Roman"/>
                <w:color w:val="auto"/>
                <w:kern w:val="2"/>
                <w:sz w:val="24"/>
                <w:szCs w:val="24"/>
                <w:lang w:val="en-US" w:eastAsia="zh-CN" w:bidi="ar-SA"/>
              </w:rPr>
              <w:t>）。尾矿属于无毒无害的第I类一般工业固体废物，本项目原料中尾矿对周边地下水影响较小。</w:t>
            </w:r>
            <w:r>
              <w:rPr>
                <w:rFonts w:hint="default" w:ascii="Times New Roman" w:hAnsi="Times New Roman" w:cs="Times New Roman"/>
                <w:bCs/>
                <w:color w:val="auto"/>
                <w:sz w:val="24"/>
                <w:lang w:eastAsia="zh-CN"/>
              </w:rPr>
              <w:t>生产过程</w:t>
            </w:r>
            <w:r>
              <w:rPr>
                <w:rFonts w:hint="default" w:ascii="Times New Roman" w:hAnsi="Times New Roman" w:cs="Times New Roman"/>
                <w:bCs/>
                <w:color w:val="auto"/>
                <w:sz w:val="24"/>
                <w:lang w:val="en-US" w:eastAsia="zh-CN"/>
              </w:rPr>
              <w:t>无</w:t>
            </w:r>
            <w:r>
              <w:rPr>
                <w:rFonts w:hint="default" w:ascii="Times New Roman" w:hAnsi="Times New Roman" w:cs="Times New Roman"/>
                <w:bCs/>
                <w:color w:val="auto"/>
                <w:sz w:val="24"/>
                <w:lang w:eastAsia="zh-CN"/>
              </w:rPr>
              <w:t>废水</w:t>
            </w:r>
            <w:r>
              <w:rPr>
                <w:rFonts w:hint="default" w:ascii="Times New Roman" w:hAnsi="Times New Roman" w:cs="Times New Roman"/>
                <w:bCs/>
                <w:color w:val="auto"/>
                <w:sz w:val="24"/>
                <w:lang w:val="en-US" w:eastAsia="zh-CN"/>
              </w:rPr>
              <w:t>外排</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项目</w:t>
            </w:r>
            <w:r>
              <w:rPr>
                <w:rFonts w:hint="default" w:ascii="Times New Roman" w:hAnsi="Times New Roman" w:cs="Times New Roman"/>
                <w:bCs/>
                <w:color w:val="auto"/>
                <w:sz w:val="24"/>
                <w:lang w:eastAsia="zh-CN"/>
              </w:rPr>
              <w:t>对区域地下水环境影响小。</w:t>
            </w:r>
          </w:p>
          <w:p w14:paraId="6B65D7AB">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本项目对地下水有影响的主要是废机油的</w:t>
            </w:r>
            <w:r>
              <w:rPr>
                <w:rFonts w:hint="default" w:ascii="Times New Roman" w:hAnsi="Times New Roman" w:cs="Times New Roman"/>
                <w:bCs/>
                <w:color w:val="auto"/>
                <w:sz w:val="24"/>
                <w:lang w:val="en-US" w:eastAsia="zh-CN"/>
              </w:rPr>
              <w:t>泄漏</w:t>
            </w:r>
            <w:r>
              <w:rPr>
                <w:rFonts w:hint="default" w:ascii="Times New Roman" w:hAnsi="Times New Roman" w:cs="Times New Roman"/>
                <w:bCs/>
                <w:color w:val="auto"/>
                <w:sz w:val="24"/>
                <w:lang w:eastAsia="zh-CN"/>
              </w:rPr>
              <w:t>，废机油为危险废物，若废机油发生泄漏，危废贮存库防渗不符合要求时，会导致烃类物质下渗到土壤，从而对地表水、地下水构成威胁。因此，危废贮存库做到防风、防雨、防晒、防渗、防流失。</w:t>
            </w:r>
          </w:p>
          <w:p w14:paraId="572CD3CA">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危废贮存库做到防风、防雨、防晒、防渗、防流失，危废贮存库基础地面进行防渗，防渗层为至少1m厚粘土层（渗透系数≤10</w:t>
            </w:r>
            <w:r>
              <w:rPr>
                <w:rFonts w:hint="default" w:ascii="Times New Roman" w:hAnsi="Times New Roman" w:cs="Times New Roman"/>
                <w:bCs/>
                <w:color w:val="auto"/>
                <w:sz w:val="24"/>
                <w:vertAlign w:val="superscript"/>
                <w:lang w:eastAsia="zh-CN"/>
              </w:rPr>
              <w:t>-7</w:t>
            </w:r>
            <w:r>
              <w:rPr>
                <w:rFonts w:hint="default" w:ascii="Times New Roman" w:hAnsi="Times New Roman" w:cs="Times New Roman"/>
                <w:bCs/>
                <w:color w:val="auto"/>
                <w:sz w:val="24"/>
                <w:lang w:eastAsia="zh-CN"/>
              </w:rPr>
              <w:t>cm/s），或2mm厚高密度聚乙烯， 或至少2mm厚的其它人工材料，渗透系数≤10</w:t>
            </w:r>
            <w:r>
              <w:rPr>
                <w:rFonts w:hint="default" w:ascii="Times New Roman" w:hAnsi="Times New Roman" w:cs="Times New Roman"/>
                <w:bCs/>
                <w:color w:val="auto"/>
                <w:sz w:val="24"/>
                <w:vertAlign w:val="superscript"/>
                <w:lang w:eastAsia="zh-CN"/>
              </w:rPr>
              <w:t>-10</w:t>
            </w:r>
            <w:r>
              <w:rPr>
                <w:rFonts w:hint="default" w:ascii="Times New Roman" w:hAnsi="Times New Roman" w:cs="Times New Roman"/>
                <w:bCs/>
                <w:color w:val="auto"/>
                <w:sz w:val="24"/>
                <w:lang w:eastAsia="zh-CN"/>
              </w:rPr>
              <w:t>cm/s，并设置导流渠、收集池，能防止污染区域地下水环境。加强对危废贮存库的管理，防止污染地下水，具体措施如下应加强对危废贮存库的管理，防止污染地下水：</w:t>
            </w:r>
          </w:p>
          <w:p w14:paraId="2C2829BF">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①危废贮存库必须派专人管理，其他人员未经允许不得进入。</w:t>
            </w:r>
          </w:p>
          <w:p w14:paraId="4E1F94F8">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②危废贮存库不得存放除危险废物以外的其他废弃物。</w:t>
            </w:r>
          </w:p>
          <w:p w14:paraId="37BA526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③危废贮存库管理人员须做好危险废物情况的台账记录，记录上须注明危险废物的名称、来源、数量、入库日期、废物出库日期及接收单位名称，每月汇总一次。</w:t>
            </w:r>
          </w:p>
          <w:p w14:paraId="6D161663">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④危险废物暂存期间应定期进行检查，防止</w:t>
            </w:r>
            <w:r>
              <w:rPr>
                <w:rFonts w:hint="default" w:ascii="Times New Roman" w:hAnsi="Times New Roman" w:cs="Times New Roman"/>
                <w:bCs/>
                <w:color w:val="auto"/>
                <w:sz w:val="24"/>
                <w:lang w:val="en-US" w:eastAsia="zh-CN"/>
              </w:rPr>
              <w:t>泄漏</w:t>
            </w:r>
            <w:r>
              <w:rPr>
                <w:rFonts w:hint="default" w:ascii="Times New Roman" w:hAnsi="Times New Roman" w:cs="Times New Roman"/>
                <w:bCs/>
                <w:color w:val="auto"/>
                <w:sz w:val="24"/>
                <w:lang w:eastAsia="zh-CN"/>
              </w:rPr>
              <w:t>渗漏事故发生。</w:t>
            </w:r>
          </w:p>
          <w:p w14:paraId="2F2941D1">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⑤不定期对危废贮存库进行检查，门窗是否完好，包装容器是否完好无泄漏，地面是否有渗漏。</w:t>
            </w:r>
          </w:p>
          <w:p w14:paraId="2588B18C">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⑥定期委托资质单位处置，危废暂存期不超过一年。</w:t>
            </w:r>
          </w:p>
          <w:p w14:paraId="1A8C23FD">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⑦危废贮存库门口应设置危险废物警示标识；盛装容器上应张贴标识。</w:t>
            </w:r>
          </w:p>
          <w:p w14:paraId="5CFBD209">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⑧制定危险废物管理计划，严格执行危废转移联单制度，建立危险废物管理台账，相关台账应保存3年以上，以备相关管理部门检查。</w:t>
            </w:r>
          </w:p>
          <w:p w14:paraId="11BE8841">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结合项目污染特征因子及其污染控制难易程度，项目按照《地下水环境影响评价导则》（HJ610-2016）表7 规定要求实施分区防渗，将场地划分为重点防渗区、一般防渗区和简单防渗区分区，分区情况及防渗要求详见下表。</w:t>
            </w:r>
          </w:p>
          <w:p w14:paraId="3A2CB6CD">
            <w:pPr>
              <w:ind w:firstLine="482"/>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表4-</w:t>
            </w:r>
            <w:r>
              <w:rPr>
                <w:rFonts w:hint="eastAsia" w:ascii="Times New Roman" w:hAnsi="Times New Roman" w:cs="Times New Roman"/>
                <w:b/>
                <w:color w:val="auto"/>
                <w:lang w:val="en-US" w:eastAsia="zh-CN"/>
              </w:rPr>
              <w:t>9</w:t>
            </w:r>
            <w:r>
              <w:rPr>
                <w:rFonts w:hint="default" w:ascii="Times New Roman" w:hAnsi="Times New Roman" w:cs="Times New Roman"/>
                <w:b/>
                <w:color w:val="auto"/>
                <w:lang w:eastAsia="zh-CN"/>
              </w:rPr>
              <w:t xml:space="preserve"> 项目污染防渗分区及要求一览表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2315"/>
              <w:gridCol w:w="4792"/>
            </w:tblGrid>
            <w:tr w14:paraId="248C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58" w:type="pct"/>
                  <w:vAlign w:val="center"/>
                </w:tcPr>
                <w:p w14:paraId="17E8EC6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防渗分区</w:t>
                  </w:r>
                </w:p>
              </w:tc>
              <w:tc>
                <w:tcPr>
                  <w:tcW w:w="1381" w:type="pct"/>
                  <w:vAlign w:val="center"/>
                </w:tcPr>
                <w:p w14:paraId="004F6AAF">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项目构筑物及设施</w:t>
                  </w:r>
                </w:p>
                <w:p w14:paraId="616ED36E">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名称</w:t>
                  </w:r>
                </w:p>
              </w:tc>
              <w:tc>
                <w:tcPr>
                  <w:tcW w:w="2859" w:type="pct"/>
                  <w:vAlign w:val="center"/>
                </w:tcPr>
                <w:p w14:paraId="599B1D4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防渗技术要求</w:t>
                  </w:r>
                </w:p>
              </w:tc>
            </w:tr>
            <w:tr w14:paraId="61AF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58" w:type="pct"/>
                  <w:vAlign w:val="center"/>
                </w:tcPr>
                <w:p w14:paraId="0981FEE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w:t>
                  </w:r>
                </w:p>
              </w:tc>
              <w:tc>
                <w:tcPr>
                  <w:tcW w:w="1381" w:type="pct"/>
                  <w:vAlign w:val="center"/>
                </w:tcPr>
                <w:p w14:paraId="5F3A255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危废贮存库</w:t>
                  </w:r>
                </w:p>
              </w:tc>
              <w:tc>
                <w:tcPr>
                  <w:tcW w:w="2859" w:type="pct"/>
                  <w:vAlign w:val="center"/>
                </w:tcPr>
                <w:p w14:paraId="51F97484">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防渗层为至少1m厚粘土层（渗透系数≤10</w:t>
                  </w:r>
                  <w:r>
                    <w:rPr>
                      <w:rFonts w:hint="default" w:ascii="Times New Roman" w:hAnsi="Times New Roman" w:cs="Times New Roman"/>
                      <w:color w:val="auto"/>
                      <w:sz w:val="21"/>
                      <w:szCs w:val="21"/>
                      <w:vertAlign w:val="superscript"/>
                      <w:lang w:eastAsia="zh-CN"/>
                    </w:rPr>
                    <w:t>-7</w:t>
                  </w:r>
                  <w:r>
                    <w:rPr>
                      <w:rFonts w:hint="default" w:ascii="Times New Roman" w:hAnsi="Times New Roman" w:cs="Times New Roman"/>
                      <w:color w:val="auto"/>
                      <w:sz w:val="21"/>
                      <w:szCs w:val="21"/>
                      <w:lang w:eastAsia="zh-CN"/>
                    </w:rPr>
                    <w:t>cm/s），或2mm厚高密度聚乙烯，或至少2mm厚的其它人工材料，渗透系数≤10</w:t>
                  </w:r>
                  <w:r>
                    <w:rPr>
                      <w:rFonts w:hint="default" w:ascii="Times New Roman" w:hAnsi="Times New Roman" w:cs="Times New Roman"/>
                      <w:color w:val="auto"/>
                      <w:sz w:val="21"/>
                      <w:szCs w:val="21"/>
                      <w:vertAlign w:val="superscript"/>
                      <w:lang w:eastAsia="zh-CN"/>
                    </w:rPr>
                    <w:t>-10</w:t>
                  </w:r>
                  <w:r>
                    <w:rPr>
                      <w:rFonts w:hint="default" w:ascii="Times New Roman" w:hAnsi="Times New Roman" w:cs="Times New Roman"/>
                      <w:color w:val="auto"/>
                      <w:sz w:val="21"/>
                      <w:szCs w:val="21"/>
                      <w:lang w:eastAsia="zh-CN"/>
                    </w:rPr>
                    <w:t>cm/s；本次评价推荐采用防渗水泥+2mm的高密度聚乙烯材料进行防渗处理</w:t>
                  </w:r>
                </w:p>
              </w:tc>
            </w:tr>
            <w:tr w14:paraId="41ED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vAlign w:val="center"/>
                </w:tcPr>
                <w:p w14:paraId="20EB6E15">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一般防渗区</w:t>
                  </w:r>
                </w:p>
              </w:tc>
              <w:tc>
                <w:tcPr>
                  <w:tcW w:w="1381" w:type="pct"/>
                  <w:vAlign w:val="center"/>
                </w:tcPr>
                <w:p w14:paraId="7EFA350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原料堆场、</w:t>
                  </w:r>
                  <w:r>
                    <w:rPr>
                      <w:rFonts w:hint="default" w:ascii="Times New Roman" w:hAnsi="Times New Roman" w:cs="Times New Roman"/>
                      <w:color w:val="auto"/>
                      <w:sz w:val="21"/>
                      <w:szCs w:val="21"/>
                      <w:lang w:eastAsia="zh-CN"/>
                    </w:rPr>
                    <w:t>初期雨水收集池、</w:t>
                  </w:r>
                  <w:r>
                    <w:rPr>
                      <w:rFonts w:hint="default" w:ascii="Times New Roman" w:hAnsi="Times New Roman" w:cs="Times New Roman"/>
                      <w:color w:val="auto"/>
                      <w:sz w:val="21"/>
                      <w:szCs w:val="21"/>
                      <w:lang w:val="en-US" w:eastAsia="zh-CN"/>
                    </w:rPr>
                    <w:t>三级沉淀池</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生产区</w:t>
                  </w:r>
                </w:p>
              </w:tc>
              <w:tc>
                <w:tcPr>
                  <w:tcW w:w="2859" w:type="pct"/>
                  <w:vAlign w:val="center"/>
                </w:tcPr>
                <w:p w14:paraId="38F2AA66">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等效黏土防渗层厚度Mb≥1.5m，渗透系数K≤1.0×10</w:t>
                  </w:r>
                  <w:r>
                    <w:rPr>
                      <w:rFonts w:hint="default" w:ascii="Times New Roman" w:hAnsi="Times New Roman" w:cs="Times New Roman"/>
                      <w:color w:val="auto"/>
                      <w:sz w:val="21"/>
                      <w:szCs w:val="21"/>
                      <w:vertAlign w:val="superscript"/>
                      <w:lang w:eastAsia="zh-CN"/>
                    </w:rPr>
                    <w:t>-7</w:t>
                  </w:r>
                  <w:r>
                    <w:rPr>
                      <w:rFonts w:hint="default" w:ascii="Times New Roman" w:hAnsi="Times New Roman" w:cs="Times New Roman"/>
                      <w:color w:val="auto"/>
                      <w:sz w:val="21"/>
                      <w:szCs w:val="21"/>
                      <w:lang w:eastAsia="zh-CN"/>
                    </w:rPr>
                    <w:t>cm/s</w:t>
                  </w:r>
                </w:p>
              </w:tc>
            </w:tr>
            <w:tr w14:paraId="197C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58" w:type="pct"/>
                  <w:vAlign w:val="center"/>
                </w:tcPr>
                <w:p w14:paraId="388B769D">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简单防渗区</w:t>
                  </w:r>
                </w:p>
              </w:tc>
              <w:tc>
                <w:tcPr>
                  <w:tcW w:w="1381" w:type="pct"/>
                  <w:vAlign w:val="center"/>
                </w:tcPr>
                <w:p w14:paraId="565F5D43">
                  <w:pPr>
                    <w:adjustRightInd w:val="0"/>
                    <w:snapToGrid w:val="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办公区</w:t>
                  </w:r>
                </w:p>
              </w:tc>
              <w:tc>
                <w:tcPr>
                  <w:tcW w:w="2859" w:type="pct"/>
                  <w:vAlign w:val="center"/>
                </w:tcPr>
                <w:p w14:paraId="65B689D2">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地面采用混凝土硬化</w:t>
                  </w:r>
                </w:p>
              </w:tc>
            </w:tr>
          </w:tbl>
          <w:p w14:paraId="5BC42DAB">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（2）土壤</w:t>
            </w:r>
          </w:p>
          <w:p w14:paraId="155F22E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按《环境影响评价技术导则土壤环境（试行）》（HJ 964—2018）规定，项目土壤环境影响评价项目类别为Ⅳ类，不进行土壤环境影响评价。</w:t>
            </w:r>
          </w:p>
          <w:p w14:paraId="76997ABC">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本项目主要以浩盛矿业磁选尾矿、公分石和老厂集镇西侧滑坡治理及综合开发利用项目建设开采的土石方作为原料，经</w:t>
            </w:r>
            <w:r>
              <w:rPr>
                <w:rFonts w:hint="default" w:ascii="Times New Roman" w:hAnsi="Times New Roman" w:cs="Times New Roman"/>
                <w:bCs/>
                <w:color w:val="auto"/>
                <w:sz w:val="24"/>
                <w:lang w:val="en-US" w:eastAsia="zh-CN"/>
              </w:rPr>
              <w:t>配比后等到</w:t>
            </w:r>
            <w:r>
              <w:rPr>
                <w:rFonts w:hint="default" w:ascii="Times New Roman" w:hAnsi="Times New Roman" w:cs="Times New Roman"/>
                <w:bCs/>
                <w:color w:val="auto"/>
                <w:sz w:val="24"/>
                <w:lang w:eastAsia="zh-CN"/>
              </w:rPr>
              <w:t>产品</w:t>
            </w:r>
            <w:r>
              <w:rPr>
                <w:rFonts w:hint="default" w:ascii="Times New Roman" w:hAnsi="Times New Roman" w:cs="Times New Roman"/>
                <w:bCs/>
                <w:color w:val="auto"/>
                <w:sz w:val="24"/>
                <w:lang w:val="en-US" w:eastAsia="zh-CN"/>
              </w:rPr>
              <w:t>拌合料</w:t>
            </w:r>
            <w:r>
              <w:rPr>
                <w:rFonts w:hint="default" w:ascii="Times New Roman" w:hAnsi="Times New Roman" w:cs="Times New Roman"/>
                <w:bCs/>
                <w:color w:val="auto"/>
                <w:sz w:val="24"/>
                <w:lang w:eastAsia="zh-CN"/>
              </w:rPr>
              <w:t>，</w:t>
            </w:r>
            <w:r>
              <w:rPr>
                <w:rFonts w:hint="default" w:ascii="Times New Roman" w:hAnsi="Times New Roman" w:cs="Times New Roman"/>
                <w:color w:val="auto"/>
                <w:sz w:val="24"/>
                <w:lang w:val="en-US" w:eastAsia="zh-CN"/>
              </w:rPr>
              <w:t>专为《老厂集镇西侧滑坡治理及综合开发利用项目》回填配套工程服务。</w:t>
            </w:r>
            <w:r>
              <w:rPr>
                <w:rFonts w:hint="default" w:ascii="Times New Roman" w:hAnsi="Times New Roman" w:eastAsia="宋体" w:cs="Times New Roman"/>
                <w:color w:val="auto"/>
                <w:kern w:val="2"/>
                <w:sz w:val="24"/>
                <w:szCs w:val="24"/>
                <w:lang w:val="en-US" w:eastAsia="zh-CN" w:bidi="ar-SA"/>
              </w:rPr>
              <w:t>根据2025年8月28日新平浩盛矿业发展有限公司委托云南省有色金属及制品质量监督检验站对公司尾矿库的尾矿浸出液进行了检测，检测结果表示，样品尾矿浸出液中的检测项目（列出项目）的检测结果均未超过《危险废物鉴别标准浸出毒性鉴别》（GB5085.3-2007）浸出毒性鉴别标准浓度限值，样品尾矿浸出液检测结果未体现出浸出毒性危险特性；样品尾矿浸出液中的腐蚀性pH值未在《危险废物鉴别标准腐蚀性鉴别》（GB5085.1-2007）标准限值规定的范围内，样品尾矿浸出液检测结果未体现出腐蚀性危险特性；样品尾矿浸出液中的检测项目（列出项目）的检测结果均未超过《污水综合排放标准》（GB8978-1996）最高允许排放浓度限值，样品尾矿浸出液检测结果符合第I类一般工业固体废物的判别要求。（详见附件</w:t>
            </w:r>
            <w:r>
              <w:rPr>
                <w:rFonts w:hint="default" w:ascii="Times New Roman" w:hAnsi="Times New Roman" w:cs="Times New Roman"/>
                <w:color w:val="auto"/>
                <w:kern w:val="2"/>
                <w:sz w:val="24"/>
                <w:szCs w:val="24"/>
                <w:lang w:val="en-US" w:eastAsia="zh-CN" w:bidi="ar-SA"/>
              </w:rPr>
              <w:t>13</w:t>
            </w:r>
            <w:r>
              <w:rPr>
                <w:rFonts w:hint="default" w:ascii="Times New Roman" w:hAnsi="Times New Roman" w:eastAsia="宋体" w:cs="Times New Roman"/>
                <w:color w:val="auto"/>
                <w:kern w:val="2"/>
                <w:sz w:val="24"/>
                <w:szCs w:val="24"/>
                <w:lang w:val="en-US" w:eastAsia="zh-CN" w:bidi="ar-SA"/>
              </w:rPr>
              <w:t>）。尾矿属于无毒无害的第I类一般工业固体废物，</w:t>
            </w:r>
            <w:r>
              <w:rPr>
                <w:rFonts w:hint="default" w:ascii="Times New Roman" w:hAnsi="Times New Roman" w:cs="Times New Roman"/>
                <w:bCs/>
                <w:color w:val="auto"/>
                <w:sz w:val="24"/>
                <w:lang w:eastAsia="zh-CN"/>
              </w:rPr>
              <w:t>不含其它有毒有害物质，对土壤影响较小。项目运营期应加强污染治理设施的运营管理，避免粉尘治理设施运行不正常，粉尘通过大气沉降对土壤造成影响。</w:t>
            </w:r>
          </w:p>
          <w:p w14:paraId="06D492BF">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项目对土壤的影响主要是废机油若发生泄漏，若废机油发生泄漏，危废贮存库防渗不符合要求时，会导致烃类物质下渗到土壤，从而对地表水、地下水构成威胁。为减轻风险物质对项目区土壤环境的影响，建设单位应采取有关的防范措施以降低事故的发生概率。危废贮存库的渗层为至少1m 厚粘土层（渗透系数≤10</w:t>
            </w:r>
            <w:r>
              <w:rPr>
                <w:rFonts w:hint="default" w:ascii="Times New Roman" w:hAnsi="Times New Roman" w:cs="Times New Roman"/>
                <w:bCs/>
                <w:color w:val="auto"/>
                <w:sz w:val="24"/>
                <w:vertAlign w:val="superscript"/>
                <w:lang w:eastAsia="zh-CN"/>
              </w:rPr>
              <w:t>-7</w:t>
            </w:r>
            <w:r>
              <w:rPr>
                <w:rFonts w:hint="default" w:ascii="Times New Roman" w:hAnsi="Times New Roman" w:cs="Times New Roman"/>
                <w:bCs/>
                <w:color w:val="auto"/>
                <w:sz w:val="24"/>
                <w:lang w:eastAsia="zh-CN"/>
              </w:rPr>
              <w:t>cm/s），或2mm 厚高密度聚乙烯，或至少2mm 厚的其它人工材料，渗透系数≤10</w:t>
            </w:r>
            <w:r>
              <w:rPr>
                <w:rFonts w:hint="default" w:ascii="Times New Roman" w:hAnsi="Times New Roman" w:cs="Times New Roman"/>
                <w:bCs/>
                <w:color w:val="auto"/>
                <w:sz w:val="24"/>
                <w:vertAlign w:val="superscript"/>
                <w:lang w:eastAsia="zh-CN"/>
              </w:rPr>
              <w:t>-10</w:t>
            </w:r>
            <w:r>
              <w:rPr>
                <w:rFonts w:hint="default" w:ascii="Times New Roman" w:hAnsi="Times New Roman" w:cs="Times New Roman"/>
                <w:bCs/>
                <w:color w:val="auto"/>
                <w:sz w:val="24"/>
                <w:lang w:eastAsia="zh-CN"/>
              </w:rPr>
              <w:t>cm/s，本次评价推荐采用防渗水泥+2mm的高密度聚乙烯材料进行防渗处理。且做到表面无裂痕，并设置导流渠、收集池避免泄漏对土壤产生污染影响。</w:t>
            </w:r>
          </w:p>
          <w:p w14:paraId="21E4F3A7">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六、环境风险影响分析</w:t>
            </w:r>
          </w:p>
          <w:p w14:paraId="3D8D074C">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（1）风险调查</w:t>
            </w:r>
          </w:p>
          <w:p w14:paraId="0817042A">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根据《建设项目环境风险评价技术导则》（HJ169-2018）附录B及表B.2中健康危险急性毒性物质（类别2，类别3），对照本项目生产特点，运营期产生的废机油储存在危废贮存库涉及的主要风险物质为废机油。</w:t>
            </w:r>
          </w:p>
          <w:p w14:paraId="24AAB7A0">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（2）风险潜势初判及评价等级</w:t>
            </w:r>
          </w:p>
          <w:p w14:paraId="73DC7C8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根据《建设项目环境风险评价技术导则》（HJ169-2018），项目涉及的风险物质厂区存储量详见表4-</w:t>
            </w:r>
            <w:r>
              <w:rPr>
                <w:rFonts w:hint="eastAsia" w:ascii="Times New Roman" w:hAnsi="Times New Roman" w:cs="Times New Roman"/>
                <w:bCs/>
                <w:color w:val="auto"/>
                <w:sz w:val="24"/>
                <w:lang w:val="en-US" w:eastAsia="zh-CN"/>
              </w:rPr>
              <w:t>10</w:t>
            </w:r>
            <w:r>
              <w:rPr>
                <w:rFonts w:hint="default" w:ascii="Times New Roman" w:hAnsi="Times New Roman" w:cs="Times New Roman"/>
                <w:bCs/>
                <w:color w:val="auto"/>
                <w:sz w:val="24"/>
                <w:lang w:eastAsia="zh-CN"/>
              </w:rPr>
              <w:t>。</w:t>
            </w:r>
          </w:p>
          <w:p w14:paraId="52ABA91E">
            <w:pPr>
              <w:autoSpaceDE/>
              <w:autoSpaceDN/>
              <w:adjustRightInd w:val="0"/>
              <w:snapToGrid w:val="0"/>
              <w:spacing w:before="120" w:beforeLines="50"/>
              <w:ind w:firstLine="442"/>
              <w:jc w:val="center"/>
              <w:rPr>
                <w:rFonts w:hint="default" w:ascii="Times New Roman" w:hAnsi="Times New Roman" w:cs="Times New Roman"/>
                <w:b/>
                <w:bCs/>
                <w:color w:val="auto"/>
                <w:spacing w:val="-10"/>
                <w:lang w:eastAsia="zh-CN"/>
              </w:rPr>
            </w:pPr>
            <w:r>
              <w:rPr>
                <w:rFonts w:hint="default" w:ascii="Times New Roman" w:hAnsi="Times New Roman" w:cs="Times New Roman"/>
                <w:b/>
                <w:bCs/>
                <w:color w:val="auto"/>
                <w:spacing w:val="-10"/>
                <w:lang w:eastAsia="zh-CN"/>
              </w:rPr>
              <w:t>表4-</w:t>
            </w:r>
            <w:r>
              <w:rPr>
                <w:rFonts w:hint="default" w:ascii="Times New Roman" w:hAnsi="Times New Roman" w:cs="Times New Roman"/>
                <w:b/>
                <w:bCs/>
                <w:color w:val="auto"/>
                <w:spacing w:val="-10"/>
                <w:lang w:val="en-US" w:eastAsia="zh-CN"/>
              </w:rPr>
              <w:t>1</w:t>
            </w:r>
            <w:r>
              <w:rPr>
                <w:rFonts w:hint="eastAsia" w:ascii="Times New Roman" w:hAnsi="Times New Roman" w:cs="Times New Roman"/>
                <w:b/>
                <w:bCs/>
                <w:color w:val="auto"/>
                <w:spacing w:val="-10"/>
                <w:lang w:val="en-US" w:eastAsia="zh-CN"/>
              </w:rPr>
              <w:t>0</w:t>
            </w:r>
            <w:r>
              <w:rPr>
                <w:rFonts w:hint="default" w:ascii="Times New Roman" w:hAnsi="Times New Roman" w:cs="Times New Roman"/>
                <w:b/>
                <w:bCs/>
                <w:color w:val="auto"/>
                <w:spacing w:val="-10"/>
                <w:lang w:eastAsia="zh-CN"/>
              </w:rPr>
              <w:t xml:space="preserve">     建设项目环境风险物质识别表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187"/>
              <w:gridCol w:w="897"/>
              <w:gridCol w:w="2105"/>
              <w:gridCol w:w="1190"/>
              <w:gridCol w:w="1602"/>
            </w:tblGrid>
            <w:tr w14:paraId="462B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gridSpan w:val="2"/>
                  <w:shd w:val="clear" w:color="auto" w:fill="auto"/>
                </w:tcPr>
                <w:p w14:paraId="2E5D7744">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危险物质名称</w:t>
                  </w:r>
                </w:p>
              </w:tc>
              <w:tc>
                <w:tcPr>
                  <w:tcW w:w="535" w:type="pct"/>
                  <w:shd w:val="clear" w:color="auto" w:fill="auto"/>
                </w:tcPr>
                <w:p w14:paraId="3A3C4504">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CAS号</w:t>
                  </w:r>
                </w:p>
              </w:tc>
              <w:tc>
                <w:tcPr>
                  <w:tcW w:w="1256" w:type="pct"/>
                  <w:shd w:val="clear" w:color="auto" w:fill="auto"/>
                </w:tcPr>
                <w:p w14:paraId="2CB4C323">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最大存在总量/t</w:t>
                  </w:r>
                </w:p>
              </w:tc>
              <w:tc>
                <w:tcPr>
                  <w:tcW w:w="710" w:type="pct"/>
                  <w:shd w:val="clear" w:color="auto" w:fill="auto"/>
                </w:tcPr>
                <w:p w14:paraId="3DCAA1CE">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临界量/t</w:t>
                  </w:r>
                </w:p>
              </w:tc>
              <w:tc>
                <w:tcPr>
                  <w:tcW w:w="956" w:type="pct"/>
                  <w:shd w:val="clear" w:color="auto" w:fill="auto"/>
                </w:tcPr>
                <w:p w14:paraId="7DCEC0C8">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危险物质Q值</w:t>
                  </w:r>
                </w:p>
              </w:tc>
            </w:tr>
            <w:tr w14:paraId="1FB7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tcPr>
                <w:p w14:paraId="488C9132">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油类物质</w:t>
                  </w:r>
                </w:p>
              </w:tc>
              <w:tc>
                <w:tcPr>
                  <w:tcW w:w="707" w:type="pct"/>
                  <w:shd w:val="clear" w:color="auto" w:fill="auto"/>
                </w:tcPr>
                <w:p w14:paraId="6D1796C2">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废机油</w:t>
                  </w:r>
                </w:p>
              </w:tc>
              <w:tc>
                <w:tcPr>
                  <w:tcW w:w="535" w:type="pct"/>
                  <w:shd w:val="clear" w:color="auto" w:fill="auto"/>
                </w:tcPr>
                <w:p w14:paraId="0A708B68">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w:t>
                  </w:r>
                </w:p>
              </w:tc>
              <w:tc>
                <w:tcPr>
                  <w:tcW w:w="1256" w:type="pct"/>
                  <w:shd w:val="clear" w:color="auto" w:fill="auto"/>
                </w:tcPr>
                <w:p w14:paraId="153CEB94">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0.1</w:t>
                  </w:r>
                </w:p>
              </w:tc>
              <w:tc>
                <w:tcPr>
                  <w:tcW w:w="710" w:type="pct"/>
                  <w:shd w:val="clear" w:color="auto" w:fill="auto"/>
                </w:tcPr>
                <w:p w14:paraId="60982857">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2500</w:t>
                  </w:r>
                </w:p>
              </w:tc>
              <w:tc>
                <w:tcPr>
                  <w:tcW w:w="956" w:type="pct"/>
                  <w:shd w:val="clear" w:color="auto" w:fill="auto"/>
                </w:tcPr>
                <w:p w14:paraId="22D8494D">
                  <w:pPr>
                    <w:autoSpaceDE/>
                    <w:autoSpaceDN/>
                    <w:adjustRightInd w:val="0"/>
                    <w:snapToGrid w:val="0"/>
                    <w:jc w:val="center"/>
                    <w:rPr>
                      <w:rFonts w:hint="default" w:ascii="Times New Roman" w:hAnsi="Times New Roman" w:cs="Times New Roman"/>
                      <w:bCs/>
                      <w:color w:val="auto"/>
                      <w:spacing w:val="-10"/>
                      <w:sz w:val="21"/>
                      <w:szCs w:val="21"/>
                      <w:lang w:eastAsia="zh-CN"/>
                    </w:rPr>
                  </w:pPr>
                  <w:r>
                    <w:rPr>
                      <w:rFonts w:hint="default" w:ascii="Times New Roman" w:hAnsi="Times New Roman" w:cs="Times New Roman"/>
                      <w:bCs/>
                      <w:color w:val="auto"/>
                      <w:spacing w:val="-10"/>
                      <w:sz w:val="21"/>
                      <w:szCs w:val="21"/>
                      <w:lang w:eastAsia="zh-CN"/>
                    </w:rPr>
                    <w:t>0.00004</w:t>
                  </w:r>
                </w:p>
              </w:tc>
            </w:tr>
          </w:tbl>
          <w:p w14:paraId="67A412A3">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根据上表可以看出，厂区危险物质存在量与临界量比值 Q=0.00004&lt;1，因此本项目环境风险潜势为 I，据此判定风险评价工作等级为简单分析，不需进行专项评价。</w:t>
            </w:r>
          </w:p>
          <w:p w14:paraId="4ABD4F4D">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（3）废机油泄漏事故影响分析</w:t>
            </w:r>
          </w:p>
          <w:p w14:paraId="23AB5E97">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项目原辅材料和产品无有毒有害危险化学品等危险源项，危险物质主要涉及废机油。本项目生产系统风险所在主要为废机油收集及危废贮存库，废机油的泄漏或渗漏会造成地下水、地表水的污染，地下水一旦遭到机油的污染，将使地下水产生严重异味，渗漏必然穿过较厚的土层，使土壤层中吸附有大量的机油，土壤层吸附的机油不仅会造成植物生物的死亡，而且土壤层吸附的机油还会随着地表水的下渗对土壤层的冲刷补充到地下水。一旦进入地表河流，将造成地表河流的污染，污染首先将造成地表河流的景观破坏，产生严重的刺鼻性气味；其次造成水中溶解氧浓度降低，逐渐形成死水，致使水中生物死亡。机油几乎为有机化合物，其闪点低，燃点也低，极易燃烧，其中完全燃烧时产生二氧化碳，不完全燃烧时产生CO。CO对人的主要危害就是引起组织缺氧，导致急性或者慢性中毒甚至有死亡的威胁，此外，还可能造成听力与视力的损害，CO</w:t>
            </w:r>
            <w:r>
              <w:rPr>
                <w:rFonts w:hint="default" w:ascii="Times New Roman" w:hAnsi="Times New Roman" w:cs="Times New Roman"/>
                <w:bCs/>
                <w:color w:val="auto"/>
                <w:sz w:val="24"/>
                <w:vertAlign w:val="subscript"/>
                <w:lang w:eastAsia="zh-CN"/>
              </w:rPr>
              <w:t>2</w:t>
            </w:r>
            <w:r>
              <w:rPr>
                <w:rFonts w:hint="default" w:ascii="Times New Roman" w:hAnsi="Times New Roman" w:cs="Times New Roman"/>
                <w:bCs/>
                <w:color w:val="auto"/>
                <w:sz w:val="24"/>
                <w:lang w:eastAsia="zh-CN"/>
              </w:rPr>
              <w:t>对环境影响主要为温室效应。</w:t>
            </w:r>
          </w:p>
          <w:p w14:paraId="4EB7BCE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本项目废机油平时最大存在量仅为0.1t，出现火灾事故概率极小，排放CO、CO</w:t>
            </w:r>
            <w:r>
              <w:rPr>
                <w:rFonts w:hint="default" w:ascii="Times New Roman" w:hAnsi="Times New Roman" w:cs="Times New Roman"/>
                <w:bCs/>
                <w:color w:val="auto"/>
                <w:sz w:val="24"/>
                <w:vertAlign w:val="subscript"/>
                <w:lang w:eastAsia="zh-CN"/>
              </w:rPr>
              <w:t>2</w:t>
            </w:r>
            <w:r>
              <w:rPr>
                <w:rFonts w:hint="default" w:ascii="Times New Roman" w:hAnsi="Times New Roman" w:cs="Times New Roman"/>
                <w:bCs/>
                <w:color w:val="auto"/>
                <w:sz w:val="24"/>
                <w:lang w:eastAsia="zh-CN"/>
              </w:rPr>
              <w:t>经大气稀释、扩散后对周边大气环境影响不大。危废贮存库地面进行硬化，并按危险废物暂存技术要求进行防渗，渗漏风险较小。</w:t>
            </w:r>
          </w:p>
          <w:p w14:paraId="3645A99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（4）废机油风险防范措施</w:t>
            </w:r>
          </w:p>
          <w:p w14:paraId="1C2E8F6A">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废机油在储存过程中，根据《危险废物贮存污染控制标准》（GB18597-2023）中的相关内容，工程采取以下措施：</w:t>
            </w:r>
          </w:p>
          <w:p w14:paraId="46E289BA">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①按照危险废物贮存污染控制</w:t>
            </w:r>
            <w:r>
              <w:rPr>
                <w:rFonts w:hint="default" w:ascii="Times New Roman" w:hAnsi="Times New Roman" w:cs="Times New Roman"/>
                <w:color w:val="auto"/>
                <w:lang w:val="en-US" w:eastAsia="zh-CN"/>
              </w:rPr>
              <w:t>标准</w:t>
            </w:r>
            <w:r>
              <w:rPr>
                <w:rFonts w:hint="default" w:ascii="Times New Roman" w:hAnsi="Times New Roman" w:cs="Times New Roman"/>
                <w:bCs/>
                <w:color w:val="auto"/>
                <w:sz w:val="24"/>
                <w:lang w:eastAsia="zh-CN"/>
              </w:rPr>
              <w:t>要求，各种危险废物采用专用的容器存放，收集后置于危废间内，防止风吹雨淋和日晒。危废间设立危险废物警示标志，由专人进行管理，严格落实危险固废转移台账管理，做到每一笔危险固废的去向都有台账记录，包括厂区内部的和行政管理部门的。</w:t>
            </w:r>
          </w:p>
          <w:p w14:paraId="4CD5EE2F">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②危废贮存库设置堵截泄漏的裙脚，地面进行防渗处理，危废暂存场所危废贮存库地面做防渗，防渗层为至少1m厚粘土层（渗透系数≤10</w:t>
            </w:r>
            <w:r>
              <w:rPr>
                <w:rFonts w:hint="default" w:ascii="Times New Roman" w:hAnsi="Times New Roman" w:cs="Times New Roman"/>
                <w:bCs/>
                <w:color w:val="auto"/>
                <w:sz w:val="24"/>
                <w:vertAlign w:val="superscript"/>
                <w:lang w:eastAsia="zh-CN"/>
              </w:rPr>
              <w:t>-7</w:t>
            </w:r>
            <w:r>
              <w:rPr>
                <w:rFonts w:hint="default" w:ascii="Times New Roman" w:hAnsi="Times New Roman" w:cs="Times New Roman"/>
                <w:bCs/>
                <w:color w:val="auto"/>
                <w:sz w:val="24"/>
                <w:lang w:eastAsia="zh-CN"/>
              </w:rPr>
              <w:t>cm/s），或2mm厚高密度聚乙烯，或至少2mm厚的其它人工材料，渗透系数≤10</w:t>
            </w:r>
            <w:r>
              <w:rPr>
                <w:rFonts w:hint="default" w:ascii="Times New Roman" w:hAnsi="Times New Roman" w:cs="Times New Roman"/>
                <w:bCs/>
                <w:color w:val="auto"/>
                <w:sz w:val="24"/>
                <w:vertAlign w:val="superscript"/>
                <w:lang w:eastAsia="zh-CN"/>
              </w:rPr>
              <w:t>-10</w:t>
            </w:r>
            <w:r>
              <w:rPr>
                <w:rFonts w:hint="default" w:ascii="Times New Roman" w:hAnsi="Times New Roman" w:cs="Times New Roman"/>
                <w:bCs/>
                <w:color w:val="auto"/>
                <w:sz w:val="24"/>
                <w:lang w:eastAsia="zh-CN"/>
              </w:rPr>
              <w:t>cm/s，本次评价推荐采用防渗水泥+2mm的高密度聚乙烯材料进行防渗处理。</w:t>
            </w:r>
          </w:p>
          <w:p w14:paraId="459A64D4">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③对装有危废的容器进行定期检查，容器泄漏损坏时必须立即处理，并将危废装入完好容器内。同时危废贮存库设置警示标牌。</w:t>
            </w:r>
          </w:p>
          <w:p w14:paraId="31DBE25E">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④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7BFD7671">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（5）应急处置措施</w:t>
            </w:r>
          </w:p>
          <w:p w14:paraId="2469836B">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油类物质泄漏时应立即切断一切火源，设法通风；撤离现场人员至安全地方；抢救人员必须根据泄漏的物料性质，正确穿戴好防护服、防护鞋、防护眼镜、防护口罩、或防毒面罩等。抢救人员从上风向进入危险区域检查。发现少量泄漏，可就地堵漏，并进行倒罐。发生大量泄漏，应立即组织人员处理，防止外溢避免造成污染扩大。对吸附物的漏液和收集的漏液，回收利用。并及时报告当地生态环境部门，尽力将污染降到最低程度。除项目区环境风险措施外，本环评要求建设单位按照国务院办公厅关于印发《突发事件应急预案管理办法》（国办发〔2024〕5号）的要求，编制突发环境事件应急预案、风险评估，并到当地环境主管部门进行备案，应急预案包括内容如下：</w:t>
            </w:r>
          </w:p>
          <w:p w14:paraId="0C6CAD7C">
            <w:pPr>
              <w:autoSpaceDE/>
              <w:autoSpaceDN/>
              <w:adjustRightInd w:val="0"/>
              <w:snapToGrid w:val="0"/>
              <w:spacing w:before="120" w:beforeLines="5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表 4-1</w:t>
            </w:r>
            <w:r>
              <w:rPr>
                <w:rFonts w:hint="eastAsia"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lang w:eastAsia="zh-CN"/>
              </w:rPr>
              <w:t xml:space="preserve"> </w:t>
            </w:r>
            <w:r>
              <w:rPr>
                <w:rFonts w:hint="default" w:ascii="Times New Roman" w:hAnsi="Times New Roman" w:cs="Times New Roman"/>
                <w:b/>
                <w:color w:val="auto"/>
                <w:sz w:val="21"/>
                <w:szCs w:val="21"/>
                <w:lang w:eastAsia="zh-CN"/>
              </w:rPr>
              <w:tab/>
            </w:r>
            <w:r>
              <w:rPr>
                <w:rFonts w:hint="default" w:ascii="Times New Roman" w:hAnsi="Times New Roman" w:cs="Times New Roman"/>
                <w:b/>
                <w:color w:val="auto"/>
                <w:sz w:val="21"/>
                <w:szCs w:val="21"/>
                <w:lang w:eastAsia="zh-CN"/>
              </w:rPr>
              <w:t xml:space="preserve"> 突发环境风险应急预案内容</w:t>
            </w:r>
          </w:p>
          <w:tbl>
            <w:tblPr>
              <w:tblStyle w:val="20"/>
              <w:tblW w:w="4998" w:type="pct"/>
              <w:tblInd w:w="0" w:type="dxa"/>
              <w:tblLayout w:type="autofit"/>
              <w:tblCellMar>
                <w:top w:w="0" w:type="dxa"/>
                <w:left w:w="0" w:type="dxa"/>
                <w:bottom w:w="0" w:type="dxa"/>
                <w:right w:w="0" w:type="dxa"/>
              </w:tblCellMar>
            </w:tblPr>
            <w:tblGrid>
              <w:gridCol w:w="604"/>
              <w:gridCol w:w="1309"/>
              <w:gridCol w:w="6474"/>
            </w:tblGrid>
            <w:tr w14:paraId="766AA977">
              <w:tblPrEx>
                <w:tblCellMar>
                  <w:top w:w="0" w:type="dxa"/>
                  <w:left w:w="0" w:type="dxa"/>
                  <w:bottom w:w="0" w:type="dxa"/>
                  <w:right w:w="0" w:type="dxa"/>
                </w:tblCellMar>
              </w:tblPrEx>
              <w:trPr>
                <w:trHeight w:val="90" w:hRule="atLeast"/>
              </w:trPr>
              <w:tc>
                <w:tcPr>
                  <w:tcW w:w="360" w:type="pct"/>
                  <w:tcBorders>
                    <w:top w:val="single" w:color="000000" w:sz="6" w:space="0"/>
                    <w:left w:val="single" w:color="000000" w:sz="6" w:space="0"/>
                    <w:bottom w:val="single" w:color="000000" w:sz="6" w:space="0"/>
                    <w:right w:val="single" w:color="000000" w:sz="6" w:space="0"/>
                  </w:tcBorders>
                </w:tcPr>
                <w:p w14:paraId="3A683548">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780" w:type="pct"/>
                  <w:tcBorders>
                    <w:top w:val="single" w:color="000000" w:sz="6" w:space="0"/>
                    <w:left w:val="single" w:color="000000" w:sz="6" w:space="0"/>
                    <w:bottom w:val="single" w:color="000000" w:sz="6" w:space="0"/>
                    <w:right w:val="single" w:color="000000" w:sz="6" w:space="0"/>
                  </w:tcBorders>
                </w:tcPr>
                <w:p w14:paraId="09A8780B">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3858" w:type="pct"/>
                  <w:tcBorders>
                    <w:top w:val="single" w:color="000000" w:sz="6" w:space="0"/>
                    <w:left w:val="single" w:color="000000" w:sz="6" w:space="0"/>
                    <w:bottom w:val="single" w:color="000000" w:sz="6" w:space="0"/>
                    <w:right w:val="single" w:color="000000" w:sz="6" w:space="0"/>
                  </w:tcBorders>
                </w:tcPr>
                <w:p w14:paraId="4013E7E5">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内容及要求</w:t>
                  </w:r>
                </w:p>
              </w:tc>
            </w:tr>
            <w:tr w14:paraId="5F5980DF">
              <w:tblPrEx>
                <w:tblCellMar>
                  <w:top w:w="0" w:type="dxa"/>
                  <w:left w:w="0" w:type="dxa"/>
                  <w:bottom w:w="0" w:type="dxa"/>
                  <w:right w:w="0" w:type="dxa"/>
                </w:tblCellMar>
              </w:tblPrEx>
              <w:trPr>
                <w:trHeight w:val="90" w:hRule="atLeast"/>
              </w:trPr>
              <w:tc>
                <w:tcPr>
                  <w:tcW w:w="360" w:type="pct"/>
                  <w:tcBorders>
                    <w:top w:val="single" w:color="000000" w:sz="6" w:space="0"/>
                    <w:left w:val="single" w:color="000000" w:sz="6" w:space="0"/>
                    <w:bottom w:val="single" w:color="000000" w:sz="6" w:space="0"/>
                    <w:right w:val="single" w:color="000000" w:sz="6" w:space="0"/>
                  </w:tcBorders>
                </w:tcPr>
                <w:p w14:paraId="6F182258">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80" w:type="pct"/>
                  <w:tcBorders>
                    <w:top w:val="single" w:color="000000" w:sz="6" w:space="0"/>
                    <w:left w:val="single" w:color="000000" w:sz="6" w:space="0"/>
                    <w:bottom w:val="single" w:color="000000" w:sz="6" w:space="0"/>
                    <w:right w:val="single" w:color="000000" w:sz="6" w:space="0"/>
                  </w:tcBorders>
                </w:tcPr>
                <w:p w14:paraId="072C4F03">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总则</w:t>
                  </w:r>
                </w:p>
              </w:tc>
              <w:tc>
                <w:tcPr>
                  <w:tcW w:w="3858" w:type="pct"/>
                  <w:tcBorders>
                    <w:top w:val="single" w:color="000000" w:sz="6" w:space="0"/>
                    <w:left w:val="single" w:color="000000" w:sz="6" w:space="0"/>
                    <w:bottom w:val="single" w:color="000000" w:sz="6" w:space="0"/>
                    <w:right w:val="single" w:color="000000" w:sz="6" w:space="0"/>
                  </w:tcBorders>
                </w:tcPr>
                <w:p w14:paraId="432825CE">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编制目的、编制依据、预案分级</w:t>
                  </w:r>
                </w:p>
              </w:tc>
            </w:tr>
            <w:tr w14:paraId="3E853E59">
              <w:tblPrEx>
                <w:tblCellMar>
                  <w:top w:w="0" w:type="dxa"/>
                  <w:left w:w="0" w:type="dxa"/>
                  <w:bottom w:w="0" w:type="dxa"/>
                  <w:right w:w="0" w:type="dxa"/>
                </w:tblCellMar>
              </w:tblPrEx>
              <w:trPr>
                <w:trHeight w:val="90" w:hRule="atLeast"/>
              </w:trPr>
              <w:tc>
                <w:tcPr>
                  <w:tcW w:w="360" w:type="pct"/>
                  <w:tcBorders>
                    <w:top w:val="single" w:color="000000" w:sz="6" w:space="0"/>
                    <w:left w:val="single" w:color="000000" w:sz="6" w:space="0"/>
                    <w:bottom w:val="single" w:color="000000" w:sz="6" w:space="0"/>
                    <w:right w:val="single" w:color="000000" w:sz="6" w:space="0"/>
                  </w:tcBorders>
                </w:tcPr>
                <w:p w14:paraId="342DCB81">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80" w:type="pct"/>
                  <w:tcBorders>
                    <w:top w:val="single" w:color="000000" w:sz="6" w:space="0"/>
                    <w:left w:val="single" w:color="000000" w:sz="6" w:space="0"/>
                    <w:bottom w:val="single" w:color="000000" w:sz="6" w:space="0"/>
                    <w:right w:val="single" w:color="000000" w:sz="6" w:space="0"/>
                  </w:tcBorders>
                </w:tcPr>
                <w:p w14:paraId="7B5BE9EE">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公司基本情况</w:t>
                  </w:r>
                </w:p>
              </w:tc>
              <w:tc>
                <w:tcPr>
                  <w:tcW w:w="3858" w:type="pct"/>
                  <w:tcBorders>
                    <w:top w:val="single" w:color="000000" w:sz="6" w:space="0"/>
                    <w:left w:val="single" w:color="000000" w:sz="6" w:space="0"/>
                    <w:bottom w:val="single" w:color="000000" w:sz="6" w:space="0"/>
                    <w:right w:val="single" w:color="000000" w:sz="6" w:space="0"/>
                  </w:tcBorders>
                </w:tcPr>
                <w:p w14:paraId="6E3EBD37">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对项目基本情况的调查，以及三废的产生、排放情况等</w:t>
                  </w:r>
                </w:p>
              </w:tc>
            </w:tr>
            <w:tr w14:paraId="41DE2FBF">
              <w:tblPrEx>
                <w:tblCellMar>
                  <w:top w:w="0" w:type="dxa"/>
                  <w:left w:w="0" w:type="dxa"/>
                  <w:bottom w:w="0" w:type="dxa"/>
                  <w:right w:w="0" w:type="dxa"/>
                </w:tblCellMar>
              </w:tblPrEx>
              <w:trPr>
                <w:trHeight w:val="90" w:hRule="atLeast"/>
              </w:trPr>
              <w:tc>
                <w:tcPr>
                  <w:tcW w:w="360" w:type="pct"/>
                  <w:tcBorders>
                    <w:top w:val="single" w:color="000000" w:sz="6" w:space="0"/>
                    <w:left w:val="single" w:color="000000" w:sz="6" w:space="0"/>
                    <w:bottom w:val="single" w:color="000000" w:sz="6" w:space="0"/>
                    <w:right w:val="single" w:color="000000" w:sz="6" w:space="0"/>
                  </w:tcBorders>
                </w:tcPr>
                <w:p w14:paraId="75978709">
                  <w:pPr>
                    <w:autoSpaceDE/>
                    <w:autoSpaceDN/>
                    <w:adjustRightInd w:val="0"/>
                    <w:snapToGrid w:val="0"/>
                    <w:jc w:val="center"/>
                    <w:rPr>
                      <w:rFonts w:hint="default" w:ascii="Times New Roman" w:hAnsi="Times New Roman" w:cs="Times New Roman"/>
                      <w:color w:val="auto"/>
                      <w:sz w:val="21"/>
                      <w:szCs w:val="21"/>
                      <w:lang w:eastAsia="zh-CN"/>
                    </w:rPr>
                  </w:pPr>
                </w:p>
                <w:p w14:paraId="1063BC8E">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80" w:type="pct"/>
                  <w:tcBorders>
                    <w:top w:val="single" w:color="000000" w:sz="6" w:space="0"/>
                    <w:left w:val="single" w:color="000000" w:sz="6" w:space="0"/>
                    <w:bottom w:val="single" w:color="000000" w:sz="6" w:space="0"/>
                    <w:right w:val="single" w:color="000000" w:sz="6" w:space="0"/>
                  </w:tcBorders>
                </w:tcPr>
                <w:p w14:paraId="56CA88DE">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环境风险源及环境风险评价</w:t>
                  </w:r>
                </w:p>
              </w:tc>
              <w:tc>
                <w:tcPr>
                  <w:tcW w:w="3858" w:type="pct"/>
                  <w:tcBorders>
                    <w:top w:val="single" w:color="000000" w:sz="6" w:space="0"/>
                    <w:left w:val="single" w:color="000000" w:sz="6" w:space="0"/>
                    <w:bottom w:val="single" w:color="000000" w:sz="6" w:space="0"/>
                    <w:right w:val="single" w:color="000000" w:sz="6" w:space="0"/>
                  </w:tcBorders>
                </w:tcPr>
                <w:p w14:paraId="2B39F490">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结合项目实际情况，进行环境风险源识别，并对识别出的风险事故进行分析，并对环境风险事故提出预防措施</w:t>
                  </w:r>
                </w:p>
              </w:tc>
            </w:tr>
            <w:tr w14:paraId="69ABD376">
              <w:tblPrEx>
                <w:tblCellMar>
                  <w:top w:w="0" w:type="dxa"/>
                  <w:left w:w="0" w:type="dxa"/>
                  <w:bottom w:w="0" w:type="dxa"/>
                  <w:right w:w="0" w:type="dxa"/>
                </w:tblCellMar>
              </w:tblPrEx>
              <w:trPr>
                <w:trHeight w:val="1318" w:hRule="atLeast"/>
              </w:trPr>
              <w:tc>
                <w:tcPr>
                  <w:tcW w:w="360" w:type="pct"/>
                  <w:tcBorders>
                    <w:top w:val="single" w:color="000000" w:sz="6" w:space="0"/>
                    <w:left w:val="single" w:color="000000" w:sz="6" w:space="0"/>
                    <w:bottom w:val="single" w:color="000000" w:sz="6" w:space="0"/>
                    <w:right w:val="single" w:color="000000" w:sz="6" w:space="0"/>
                  </w:tcBorders>
                </w:tcPr>
                <w:p w14:paraId="419D0B8C">
                  <w:pPr>
                    <w:autoSpaceDE/>
                    <w:autoSpaceDN/>
                    <w:adjustRightInd w:val="0"/>
                    <w:snapToGrid w:val="0"/>
                    <w:jc w:val="center"/>
                    <w:rPr>
                      <w:rFonts w:hint="default" w:ascii="Times New Roman" w:hAnsi="Times New Roman" w:cs="Times New Roman"/>
                      <w:color w:val="auto"/>
                      <w:sz w:val="21"/>
                      <w:szCs w:val="21"/>
                      <w:lang w:eastAsia="zh-CN"/>
                    </w:rPr>
                  </w:pPr>
                </w:p>
                <w:p w14:paraId="564B4338">
                  <w:pPr>
                    <w:autoSpaceDE/>
                    <w:autoSpaceDN/>
                    <w:adjustRightInd w:val="0"/>
                    <w:snapToGrid w:val="0"/>
                    <w:jc w:val="center"/>
                    <w:rPr>
                      <w:rFonts w:hint="default" w:ascii="Times New Roman" w:hAnsi="Times New Roman" w:cs="Times New Roman"/>
                      <w:color w:val="auto"/>
                      <w:sz w:val="21"/>
                      <w:szCs w:val="21"/>
                      <w:lang w:eastAsia="zh-CN"/>
                    </w:rPr>
                  </w:pPr>
                </w:p>
                <w:p w14:paraId="72BA04A5">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780" w:type="pct"/>
                  <w:tcBorders>
                    <w:top w:val="single" w:color="000000" w:sz="6" w:space="0"/>
                    <w:left w:val="single" w:color="000000" w:sz="6" w:space="0"/>
                    <w:bottom w:val="single" w:color="000000" w:sz="6" w:space="0"/>
                    <w:right w:val="single" w:color="000000" w:sz="6" w:space="0"/>
                  </w:tcBorders>
                </w:tcPr>
                <w:p w14:paraId="748BD8AB">
                  <w:pPr>
                    <w:autoSpaceDE/>
                    <w:autoSpaceDN/>
                    <w:adjustRightInd w:val="0"/>
                    <w:snapToGrid w:val="0"/>
                    <w:jc w:val="center"/>
                    <w:rPr>
                      <w:rFonts w:hint="default" w:ascii="Times New Roman" w:hAnsi="Times New Roman" w:cs="Times New Roman"/>
                      <w:color w:val="auto"/>
                      <w:sz w:val="21"/>
                      <w:szCs w:val="21"/>
                    </w:rPr>
                  </w:pPr>
                </w:p>
                <w:p w14:paraId="2E9476B9">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应急组织机构及职责</w:t>
                  </w:r>
                </w:p>
              </w:tc>
              <w:tc>
                <w:tcPr>
                  <w:tcW w:w="3858" w:type="pct"/>
                  <w:tcBorders>
                    <w:top w:val="single" w:color="000000" w:sz="6" w:space="0"/>
                    <w:left w:val="single" w:color="000000" w:sz="6" w:space="0"/>
                    <w:bottom w:val="single" w:color="000000" w:sz="6" w:space="0"/>
                    <w:right w:val="single" w:color="000000" w:sz="6" w:space="0"/>
                  </w:tcBorders>
                </w:tcPr>
                <w:p w14:paraId="5AB67DD8">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公司成立以负责人为总指挥，分管生产负责人为副总指挥的事故应急救援队伍，指挥部下设安全环保组、现场处置组、疏散撤离组、后勤保障组、生产调度组，同时必须将单位重大危险源及有关安全措施、应急措</w:t>
                  </w:r>
                </w:p>
                <w:p w14:paraId="527C9475">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施报告给有关地方人民政府的安全生产监督管理部门和有关部门，以便政府及其有关部门能够及时掌握有关情况。</w:t>
                  </w:r>
                </w:p>
              </w:tc>
            </w:tr>
            <w:tr w14:paraId="131FB215">
              <w:tblPrEx>
                <w:tblCellMar>
                  <w:top w:w="0" w:type="dxa"/>
                  <w:left w:w="0" w:type="dxa"/>
                  <w:bottom w:w="0" w:type="dxa"/>
                  <w:right w:w="0" w:type="dxa"/>
                </w:tblCellMar>
              </w:tblPrEx>
              <w:trPr>
                <w:trHeight w:val="262" w:hRule="atLeast"/>
              </w:trPr>
              <w:tc>
                <w:tcPr>
                  <w:tcW w:w="360" w:type="pct"/>
                  <w:tcBorders>
                    <w:top w:val="single" w:color="000000" w:sz="6" w:space="0"/>
                    <w:left w:val="single" w:color="000000" w:sz="6" w:space="0"/>
                    <w:bottom w:val="single" w:color="000000" w:sz="6" w:space="0"/>
                    <w:right w:val="single" w:color="000000" w:sz="6" w:space="0"/>
                  </w:tcBorders>
                </w:tcPr>
                <w:p w14:paraId="0EB5160A">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80" w:type="pct"/>
                  <w:tcBorders>
                    <w:top w:val="single" w:color="000000" w:sz="6" w:space="0"/>
                    <w:left w:val="single" w:color="000000" w:sz="6" w:space="0"/>
                    <w:bottom w:val="single" w:color="000000" w:sz="6" w:space="0"/>
                    <w:right w:val="single" w:color="000000" w:sz="6" w:space="0"/>
                  </w:tcBorders>
                </w:tcPr>
                <w:p w14:paraId="1AE292A8">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预防及预警</w:t>
                  </w:r>
                </w:p>
              </w:tc>
              <w:tc>
                <w:tcPr>
                  <w:tcW w:w="3858" w:type="pct"/>
                  <w:tcBorders>
                    <w:top w:val="single" w:color="000000" w:sz="6" w:space="0"/>
                    <w:left w:val="single" w:color="000000" w:sz="6" w:space="0"/>
                    <w:bottom w:val="single" w:color="000000" w:sz="6" w:space="0"/>
                    <w:right w:val="single" w:color="000000" w:sz="6" w:space="0"/>
                  </w:tcBorders>
                </w:tcPr>
                <w:p w14:paraId="61BC18A6">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明确环境风险源监控方法，规定预警行动，明确报警、通讯及联络方式</w:t>
                  </w:r>
                </w:p>
              </w:tc>
            </w:tr>
            <w:tr w14:paraId="360A0924">
              <w:tblPrEx>
                <w:tblCellMar>
                  <w:top w:w="0" w:type="dxa"/>
                  <w:left w:w="0" w:type="dxa"/>
                  <w:bottom w:w="0" w:type="dxa"/>
                  <w:right w:w="0" w:type="dxa"/>
                </w:tblCellMar>
              </w:tblPrEx>
              <w:trPr>
                <w:trHeight w:val="2109" w:hRule="atLeast"/>
              </w:trPr>
              <w:tc>
                <w:tcPr>
                  <w:tcW w:w="360" w:type="pct"/>
                  <w:tcBorders>
                    <w:top w:val="single" w:color="000000" w:sz="6" w:space="0"/>
                    <w:left w:val="single" w:color="000000" w:sz="6" w:space="0"/>
                    <w:bottom w:val="single" w:color="000000" w:sz="6" w:space="0"/>
                    <w:right w:val="single" w:color="000000" w:sz="6" w:space="0"/>
                  </w:tcBorders>
                </w:tcPr>
                <w:p w14:paraId="2BA6CECB">
                  <w:pPr>
                    <w:autoSpaceDE/>
                    <w:autoSpaceDN/>
                    <w:adjustRightInd w:val="0"/>
                    <w:snapToGrid w:val="0"/>
                    <w:jc w:val="center"/>
                    <w:rPr>
                      <w:rFonts w:hint="default" w:ascii="Times New Roman" w:hAnsi="Times New Roman" w:cs="Times New Roman"/>
                      <w:color w:val="auto"/>
                      <w:sz w:val="21"/>
                      <w:szCs w:val="21"/>
                      <w:lang w:eastAsia="zh-CN"/>
                    </w:rPr>
                  </w:pPr>
                </w:p>
                <w:p w14:paraId="290FADBB">
                  <w:pPr>
                    <w:autoSpaceDE/>
                    <w:autoSpaceDN/>
                    <w:adjustRightInd w:val="0"/>
                    <w:snapToGrid w:val="0"/>
                    <w:jc w:val="center"/>
                    <w:rPr>
                      <w:rFonts w:hint="default" w:ascii="Times New Roman" w:hAnsi="Times New Roman" w:cs="Times New Roman"/>
                      <w:color w:val="auto"/>
                      <w:sz w:val="21"/>
                      <w:szCs w:val="21"/>
                      <w:lang w:eastAsia="zh-CN"/>
                    </w:rPr>
                  </w:pPr>
                </w:p>
                <w:p w14:paraId="67C97A79">
                  <w:pPr>
                    <w:autoSpaceDE/>
                    <w:autoSpaceDN/>
                    <w:adjustRightInd w:val="0"/>
                    <w:snapToGrid w:val="0"/>
                    <w:jc w:val="center"/>
                    <w:rPr>
                      <w:rFonts w:hint="default" w:ascii="Times New Roman" w:hAnsi="Times New Roman" w:cs="Times New Roman"/>
                      <w:color w:val="auto"/>
                      <w:sz w:val="21"/>
                      <w:szCs w:val="21"/>
                      <w:lang w:eastAsia="zh-CN"/>
                    </w:rPr>
                  </w:pPr>
                </w:p>
                <w:p w14:paraId="54B44B29">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780" w:type="pct"/>
                  <w:tcBorders>
                    <w:top w:val="single" w:color="000000" w:sz="6" w:space="0"/>
                    <w:left w:val="single" w:color="000000" w:sz="6" w:space="0"/>
                    <w:bottom w:val="single" w:color="000000" w:sz="6" w:space="0"/>
                    <w:right w:val="single" w:color="000000" w:sz="6" w:space="0"/>
                  </w:tcBorders>
                </w:tcPr>
                <w:p w14:paraId="44FB20F4">
                  <w:pPr>
                    <w:autoSpaceDE/>
                    <w:autoSpaceDN/>
                    <w:adjustRightInd w:val="0"/>
                    <w:snapToGrid w:val="0"/>
                    <w:jc w:val="center"/>
                    <w:rPr>
                      <w:rFonts w:hint="default" w:ascii="Times New Roman" w:hAnsi="Times New Roman" w:cs="Times New Roman"/>
                      <w:color w:val="auto"/>
                      <w:sz w:val="21"/>
                      <w:szCs w:val="21"/>
                    </w:rPr>
                  </w:pPr>
                </w:p>
                <w:p w14:paraId="26F0C788">
                  <w:pPr>
                    <w:autoSpaceDE/>
                    <w:autoSpaceDN/>
                    <w:adjustRightInd w:val="0"/>
                    <w:snapToGrid w:val="0"/>
                    <w:jc w:val="center"/>
                    <w:rPr>
                      <w:rFonts w:hint="default" w:ascii="Times New Roman" w:hAnsi="Times New Roman" w:cs="Times New Roman"/>
                      <w:color w:val="auto"/>
                      <w:sz w:val="21"/>
                      <w:szCs w:val="21"/>
                    </w:rPr>
                  </w:pPr>
                </w:p>
                <w:p w14:paraId="1CDD35D9">
                  <w:pPr>
                    <w:autoSpaceDE/>
                    <w:autoSpaceDN/>
                    <w:adjustRightInd w:val="0"/>
                    <w:snapToGrid w:val="0"/>
                    <w:jc w:val="center"/>
                    <w:rPr>
                      <w:rFonts w:hint="default" w:ascii="Times New Roman" w:hAnsi="Times New Roman" w:cs="Times New Roman"/>
                      <w:color w:val="auto"/>
                      <w:sz w:val="21"/>
                      <w:szCs w:val="21"/>
                    </w:rPr>
                  </w:pPr>
                </w:p>
                <w:p w14:paraId="5AC8F01B">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信息报告与</w:t>
                  </w:r>
                </w:p>
                <w:p w14:paraId="5796047B">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通报</w:t>
                  </w:r>
                </w:p>
              </w:tc>
              <w:tc>
                <w:tcPr>
                  <w:tcW w:w="3858" w:type="pct"/>
                  <w:tcBorders>
                    <w:top w:val="single" w:color="000000" w:sz="6" w:space="0"/>
                    <w:left w:val="single" w:color="000000" w:sz="6" w:space="0"/>
                    <w:bottom w:val="single" w:color="000000" w:sz="6" w:space="0"/>
                    <w:right w:val="single" w:color="000000" w:sz="6" w:space="0"/>
                  </w:tcBorders>
                </w:tcPr>
                <w:p w14:paraId="5D79B176">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应急状态下的报警通讯方式为电话报告，发现重大事故应立即向厂值班室报警，值班室接到报警后，迅速向各救援队（包括通讯队、治安队、消防队、医疗队、抢修队、侦检抢救队、后勤队等）报警，通知各有关单位采取紧急措施，防止事故扩大，通知事故车间迅速查明事故原因， 并将情况通知指挥部，治安队接到报警后，根据可能引起急性中毒和爆炸的浓度范围设置警戒线，封锁有关道路，避免无关人员进入，指挥各种抢救车车辆，有秩序进入抢救区域，安排好群众疏散路线，必要时通</w:t>
                  </w:r>
                </w:p>
                <w:p w14:paraId="77900182">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知厂门卫关闭厂门，禁止无关人员入厂围观。</w:t>
                  </w:r>
                </w:p>
              </w:tc>
            </w:tr>
            <w:tr w14:paraId="3403C58C">
              <w:tblPrEx>
                <w:tblCellMar>
                  <w:top w:w="0" w:type="dxa"/>
                  <w:left w:w="0" w:type="dxa"/>
                  <w:bottom w:w="0" w:type="dxa"/>
                  <w:right w:w="0" w:type="dxa"/>
                </w:tblCellMar>
              </w:tblPrEx>
              <w:trPr>
                <w:trHeight w:val="1580" w:hRule="atLeast"/>
              </w:trPr>
              <w:tc>
                <w:tcPr>
                  <w:tcW w:w="360" w:type="pct"/>
                  <w:tcBorders>
                    <w:top w:val="single" w:color="000000" w:sz="6" w:space="0"/>
                    <w:left w:val="single" w:color="000000" w:sz="6" w:space="0"/>
                    <w:bottom w:val="single" w:color="000000" w:sz="6" w:space="0"/>
                    <w:right w:val="single" w:color="000000" w:sz="6" w:space="0"/>
                  </w:tcBorders>
                </w:tcPr>
                <w:p w14:paraId="03FD37FB">
                  <w:pPr>
                    <w:autoSpaceDE/>
                    <w:autoSpaceDN/>
                    <w:adjustRightInd w:val="0"/>
                    <w:snapToGrid w:val="0"/>
                    <w:jc w:val="center"/>
                    <w:rPr>
                      <w:rFonts w:hint="default" w:ascii="Times New Roman" w:hAnsi="Times New Roman" w:cs="Times New Roman"/>
                      <w:color w:val="auto"/>
                      <w:sz w:val="21"/>
                      <w:szCs w:val="21"/>
                      <w:lang w:eastAsia="zh-CN"/>
                    </w:rPr>
                  </w:pPr>
                </w:p>
                <w:p w14:paraId="5EDD4ECF">
                  <w:pPr>
                    <w:autoSpaceDE/>
                    <w:autoSpaceDN/>
                    <w:adjustRightInd w:val="0"/>
                    <w:snapToGrid w:val="0"/>
                    <w:jc w:val="center"/>
                    <w:rPr>
                      <w:rFonts w:hint="default" w:ascii="Times New Roman" w:hAnsi="Times New Roman" w:cs="Times New Roman"/>
                      <w:color w:val="auto"/>
                      <w:sz w:val="21"/>
                      <w:szCs w:val="21"/>
                      <w:lang w:eastAsia="zh-CN"/>
                    </w:rPr>
                  </w:pPr>
                </w:p>
                <w:p w14:paraId="6D084F09">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780" w:type="pct"/>
                  <w:tcBorders>
                    <w:top w:val="single" w:color="000000" w:sz="6" w:space="0"/>
                    <w:left w:val="single" w:color="000000" w:sz="6" w:space="0"/>
                    <w:bottom w:val="single" w:color="000000" w:sz="6" w:space="0"/>
                    <w:right w:val="single" w:color="000000" w:sz="6" w:space="0"/>
                  </w:tcBorders>
                </w:tcPr>
                <w:p w14:paraId="77C2649B">
                  <w:pPr>
                    <w:autoSpaceDE/>
                    <w:autoSpaceDN/>
                    <w:adjustRightInd w:val="0"/>
                    <w:snapToGrid w:val="0"/>
                    <w:jc w:val="center"/>
                    <w:rPr>
                      <w:rFonts w:hint="default" w:ascii="Times New Roman" w:hAnsi="Times New Roman" w:cs="Times New Roman"/>
                      <w:color w:val="auto"/>
                      <w:sz w:val="21"/>
                      <w:szCs w:val="21"/>
                    </w:rPr>
                  </w:pPr>
                </w:p>
                <w:p w14:paraId="73029DE5">
                  <w:pPr>
                    <w:autoSpaceDE/>
                    <w:autoSpaceDN/>
                    <w:adjustRightInd w:val="0"/>
                    <w:snapToGrid w:val="0"/>
                    <w:jc w:val="center"/>
                    <w:rPr>
                      <w:rFonts w:hint="default" w:ascii="Times New Roman" w:hAnsi="Times New Roman" w:cs="Times New Roman"/>
                      <w:color w:val="auto"/>
                      <w:sz w:val="21"/>
                      <w:szCs w:val="21"/>
                    </w:rPr>
                  </w:pPr>
                </w:p>
                <w:p w14:paraId="48BFAD42">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应急响应与</w:t>
                  </w:r>
                </w:p>
                <w:p w14:paraId="0CBC9498">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3858" w:type="pct"/>
                  <w:tcBorders>
                    <w:top w:val="single" w:color="000000" w:sz="6" w:space="0"/>
                    <w:left w:val="single" w:color="000000" w:sz="6" w:space="0"/>
                    <w:bottom w:val="single" w:color="000000" w:sz="6" w:space="0"/>
                    <w:right w:val="single" w:color="000000" w:sz="6" w:space="0"/>
                  </w:tcBorders>
                </w:tcPr>
                <w:p w14:paraId="6DC73C0A">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根据预案分级情况，不同制定分级响应机制，并针对各风险事故提出相对应的应急措施。事故现场控制后，协助环境监测站负责对事故现场进行侦查监测，对事故性质、参数与后果进行评估，为指挥部门提供决策依据。抢险救援行动完成后，进入临时应急恢复阶段，现场指挥部要组织现场清理、人员清点和撤离，制定恢复生产、生活计划并组织</w:t>
                  </w:r>
                </w:p>
                <w:p w14:paraId="40F01232">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实施。</w:t>
                  </w:r>
                </w:p>
              </w:tc>
            </w:tr>
            <w:tr w14:paraId="4E17E56F">
              <w:tblPrEx>
                <w:tblCellMar>
                  <w:top w:w="0" w:type="dxa"/>
                  <w:left w:w="0" w:type="dxa"/>
                  <w:bottom w:w="0" w:type="dxa"/>
                  <w:right w:w="0" w:type="dxa"/>
                </w:tblCellMar>
              </w:tblPrEx>
              <w:trPr>
                <w:trHeight w:val="584" w:hRule="atLeast"/>
              </w:trPr>
              <w:tc>
                <w:tcPr>
                  <w:tcW w:w="360" w:type="pct"/>
                  <w:tcBorders>
                    <w:top w:val="single" w:color="000000" w:sz="6" w:space="0"/>
                    <w:left w:val="single" w:color="000000" w:sz="6" w:space="0"/>
                    <w:bottom w:val="single" w:color="000000" w:sz="6" w:space="0"/>
                    <w:right w:val="single" w:color="000000" w:sz="6" w:space="0"/>
                  </w:tcBorders>
                </w:tcPr>
                <w:p w14:paraId="1AB43D4A">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780" w:type="pct"/>
                  <w:tcBorders>
                    <w:top w:val="single" w:color="000000" w:sz="6" w:space="0"/>
                    <w:left w:val="single" w:color="000000" w:sz="6" w:space="0"/>
                    <w:bottom w:val="single" w:color="000000" w:sz="6" w:space="0"/>
                    <w:right w:val="single" w:color="000000" w:sz="6" w:space="0"/>
                  </w:tcBorders>
                </w:tcPr>
                <w:p w14:paraId="72CBB2B9">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后期处理</w:t>
                  </w:r>
                </w:p>
              </w:tc>
              <w:tc>
                <w:tcPr>
                  <w:tcW w:w="3858" w:type="pct"/>
                  <w:tcBorders>
                    <w:top w:val="single" w:color="000000" w:sz="6" w:space="0"/>
                    <w:left w:val="single" w:color="000000" w:sz="6" w:space="0"/>
                    <w:bottom w:val="single" w:color="000000" w:sz="6" w:space="0"/>
                    <w:right w:val="single" w:color="000000" w:sz="6" w:space="0"/>
                  </w:tcBorders>
                </w:tcPr>
                <w:p w14:paraId="02908D9F">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事故处置完后对造成的人员伤害进行善后处理，并对财产损失进行赔付，  对突发事件进行总结</w:t>
                  </w:r>
                </w:p>
              </w:tc>
            </w:tr>
            <w:tr w14:paraId="4EA89D8A">
              <w:tblPrEx>
                <w:tblCellMar>
                  <w:top w:w="0" w:type="dxa"/>
                  <w:left w:w="0" w:type="dxa"/>
                  <w:bottom w:w="0" w:type="dxa"/>
                  <w:right w:w="0" w:type="dxa"/>
                </w:tblCellMar>
              </w:tblPrEx>
              <w:trPr>
                <w:trHeight w:val="729" w:hRule="atLeast"/>
              </w:trPr>
              <w:tc>
                <w:tcPr>
                  <w:tcW w:w="360" w:type="pct"/>
                  <w:tcBorders>
                    <w:top w:val="single" w:color="000000" w:sz="6" w:space="0"/>
                    <w:left w:val="single" w:color="000000" w:sz="6" w:space="0"/>
                    <w:bottom w:val="single" w:color="000000" w:sz="6" w:space="0"/>
                    <w:right w:val="single" w:color="000000" w:sz="6" w:space="0"/>
                  </w:tcBorders>
                </w:tcPr>
                <w:p w14:paraId="193D8848">
                  <w:pPr>
                    <w:autoSpaceDE/>
                    <w:autoSpaceDN/>
                    <w:adjustRightInd w:val="0"/>
                    <w:snapToGrid w:val="0"/>
                    <w:jc w:val="center"/>
                    <w:rPr>
                      <w:rFonts w:hint="default" w:ascii="Times New Roman" w:hAnsi="Times New Roman" w:cs="Times New Roman"/>
                      <w:color w:val="auto"/>
                      <w:sz w:val="21"/>
                      <w:szCs w:val="21"/>
                      <w:lang w:eastAsia="zh-CN"/>
                    </w:rPr>
                  </w:pPr>
                </w:p>
                <w:p w14:paraId="490BECEA">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780" w:type="pct"/>
                  <w:tcBorders>
                    <w:top w:val="single" w:color="000000" w:sz="6" w:space="0"/>
                    <w:left w:val="single" w:color="000000" w:sz="6" w:space="0"/>
                    <w:bottom w:val="single" w:color="000000" w:sz="6" w:space="0"/>
                    <w:right w:val="single" w:color="000000" w:sz="6" w:space="0"/>
                  </w:tcBorders>
                </w:tcPr>
                <w:p w14:paraId="550B5774">
                  <w:pPr>
                    <w:autoSpaceDE/>
                    <w:autoSpaceDN/>
                    <w:adjustRightInd w:val="0"/>
                    <w:snapToGrid w:val="0"/>
                    <w:jc w:val="center"/>
                    <w:rPr>
                      <w:rFonts w:hint="default" w:ascii="Times New Roman" w:hAnsi="Times New Roman" w:cs="Times New Roman"/>
                      <w:color w:val="auto"/>
                      <w:sz w:val="21"/>
                      <w:szCs w:val="21"/>
                    </w:rPr>
                  </w:pPr>
                </w:p>
                <w:p w14:paraId="0678D1C3">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保障措施</w:t>
                  </w:r>
                </w:p>
              </w:tc>
              <w:tc>
                <w:tcPr>
                  <w:tcW w:w="3858" w:type="pct"/>
                  <w:tcBorders>
                    <w:top w:val="single" w:color="000000" w:sz="6" w:space="0"/>
                    <w:left w:val="single" w:color="000000" w:sz="6" w:space="0"/>
                    <w:bottom w:val="single" w:color="000000" w:sz="6" w:space="0"/>
                    <w:right w:val="single" w:color="000000" w:sz="6" w:space="0"/>
                  </w:tcBorders>
                </w:tcPr>
                <w:p w14:paraId="15461612">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建立通讯保障组，确保突发事故中通讯及信息稳定；组织应急救援队， 储备救援物资、救援医疗物品，预留应急经费。</w:t>
                  </w:r>
                </w:p>
              </w:tc>
            </w:tr>
            <w:tr w14:paraId="176713C9">
              <w:tblPrEx>
                <w:tblCellMar>
                  <w:top w:w="0" w:type="dxa"/>
                  <w:left w:w="0" w:type="dxa"/>
                  <w:bottom w:w="0" w:type="dxa"/>
                  <w:right w:w="0" w:type="dxa"/>
                </w:tblCellMar>
              </w:tblPrEx>
              <w:trPr>
                <w:trHeight w:val="526" w:hRule="atLeast"/>
              </w:trPr>
              <w:tc>
                <w:tcPr>
                  <w:tcW w:w="360" w:type="pct"/>
                  <w:tcBorders>
                    <w:top w:val="single" w:color="000000" w:sz="6" w:space="0"/>
                    <w:left w:val="single" w:color="000000" w:sz="6" w:space="0"/>
                    <w:bottom w:val="single" w:color="000000" w:sz="6" w:space="0"/>
                    <w:right w:val="single" w:color="000000" w:sz="6" w:space="0"/>
                  </w:tcBorders>
                </w:tcPr>
                <w:p w14:paraId="347F762D">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80" w:type="pct"/>
                  <w:tcBorders>
                    <w:top w:val="single" w:color="000000" w:sz="6" w:space="0"/>
                    <w:left w:val="single" w:color="000000" w:sz="6" w:space="0"/>
                    <w:bottom w:val="single" w:color="000000" w:sz="6" w:space="0"/>
                    <w:right w:val="single" w:color="000000" w:sz="6" w:space="0"/>
                  </w:tcBorders>
                </w:tcPr>
                <w:p w14:paraId="02C39531">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培训与演练</w:t>
                  </w:r>
                </w:p>
              </w:tc>
              <w:tc>
                <w:tcPr>
                  <w:tcW w:w="3858" w:type="pct"/>
                  <w:tcBorders>
                    <w:top w:val="single" w:color="000000" w:sz="6" w:space="0"/>
                    <w:left w:val="single" w:color="000000" w:sz="6" w:space="0"/>
                    <w:bottom w:val="single" w:color="000000" w:sz="6" w:space="0"/>
                    <w:right w:val="single" w:color="000000" w:sz="6" w:space="0"/>
                  </w:tcBorders>
                </w:tcPr>
                <w:p w14:paraId="09937785">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定期组织员工进行突发事件培训，并进行考核。应急计划制定后，每六</w:t>
                  </w:r>
                </w:p>
                <w:p w14:paraId="79DA4582">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个月安排人员培训与演练一次，并对每次培训、演练进行记录、考核。</w:t>
                  </w:r>
                </w:p>
              </w:tc>
            </w:tr>
            <w:tr w14:paraId="39823B72">
              <w:tblPrEx>
                <w:tblCellMar>
                  <w:top w:w="0" w:type="dxa"/>
                  <w:left w:w="0" w:type="dxa"/>
                  <w:bottom w:w="0" w:type="dxa"/>
                  <w:right w:w="0" w:type="dxa"/>
                </w:tblCellMar>
              </w:tblPrEx>
              <w:trPr>
                <w:trHeight w:val="526" w:hRule="atLeast"/>
              </w:trPr>
              <w:tc>
                <w:tcPr>
                  <w:tcW w:w="360" w:type="pct"/>
                  <w:tcBorders>
                    <w:top w:val="single" w:color="000000" w:sz="6" w:space="0"/>
                    <w:left w:val="single" w:color="000000" w:sz="6" w:space="0"/>
                    <w:bottom w:val="single" w:color="000000" w:sz="6" w:space="0"/>
                    <w:right w:val="single" w:color="000000" w:sz="6" w:space="0"/>
                  </w:tcBorders>
                </w:tcPr>
                <w:p w14:paraId="74D9D4D4">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780" w:type="pct"/>
                  <w:tcBorders>
                    <w:top w:val="single" w:color="000000" w:sz="6" w:space="0"/>
                    <w:left w:val="single" w:color="000000" w:sz="6" w:space="0"/>
                    <w:bottom w:val="single" w:color="000000" w:sz="6" w:space="0"/>
                    <w:right w:val="single" w:color="000000" w:sz="6" w:space="0"/>
                  </w:tcBorders>
                </w:tcPr>
                <w:p w14:paraId="4008A4A4">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奖惩</w:t>
                  </w:r>
                </w:p>
              </w:tc>
              <w:tc>
                <w:tcPr>
                  <w:tcW w:w="3858" w:type="pct"/>
                  <w:tcBorders>
                    <w:top w:val="single" w:color="000000" w:sz="6" w:space="0"/>
                    <w:left w:val="single" w:color="000000" w:sz="6" w:space="0"/>
                    <w:bottom w:val="single" w:color="000000" w:sz="6" w:space="0"/>
                    <w:right w:val="single" w:color="000000" w:sz="6" w:space="0"/>
                  </w:tcBorders>
                </w:tcPr>
                <w:p w14:paraId="5C08027C">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制定奖励及责任追究制度，对在突发性环境污染事件应急工作中有突出</w:t>
                  </w:r>
                </w:p>
                <w:p w14:paraId="74AD0A29">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贡献、成绩显著的部门和个人，依据有关规定给予表彰和奖励。</w:t>
                  </w:r>
                </w:p>
              </w:tc>
            </w:tr>
            <w:tr w14:paraId="6377DF1F">
              <w:tblPrEx>
                <w:tblCellMar>
                  <w:top w:w="0" w:type="dxa"/>
                  <w:left w:w="0" w:type="dxa"/>
                  <w:bottom w:w="0" w:type="dxa"/>
                  <w:right w:w="0" w:type="dxa"/>
                </w:tblCellMar>
              </w:tblPrEx>
              <w:trPr>
                <w:trHeight w:val="1844" w:hRule="atLeast"/>
              </w:trPr>
              <w:tc>
                <w:tcPr>
                  <w:tcW w:w="360" w:type="pct"/>
                  <w:tcBorders>
                    <w:top w:val="single" w:color="000000" w:sz="6" w:space="0"/>
                    <w:left w:val="single" w:color="000000" w:sz="6" w:space="0"/>
                    <w:bottom w:val="single" w:color="000000" w:sz="6" w:space="0"/>
                    <w:right w:val="single" w:color="000000" w:sz="6" w:space="0"/>
                  </w:tcBorders>
                </w:tcPr>
                <w:p w14:paraId="09F570C6">
                  <w:pPr>
                    <w:autoSpaceDE/>
                    <w:autoSpaceDN/>
                    <w:adjustRightInd w:val="0"/>
                    <w:snapToGrid w:val="0"/>
                    <w:jc w:val="center"/>
                    <w:rPr>
                      <w:rFonts w:hint="default" w:ascii="Times New Roman" w:hAnsi="Times New Roman" w:cs="Times New Roman"/>
                      <w:color w:val="auto"/>
                      <w:sz w:val="21"/>
                      <w:szCs w:val="21"/>
                      <w:lang w:eastAsia="zh-CN"/>
                    </w:rPr>
                  </w:pPr>
                </w:p>
                <w:p w14:paraId="041E78AB">
                  <w:pPr>
                    <w:autoSpaceDE/>
                    <w:autoSpaceDN/>
                    <w:adjustRightInd w:val="0"/>
                    <w:snapToGrid w:val="0"/>
                    <w:jc w:val="center"/>
                    <w:rPr>
                      <w:rFonts w:hint="default" w:ascii="Times New Roman" w:hAnsi="Times New Roman" w:cs="Times New Roman"/>
                      <w:color w:val="auto"/>
                      <w:sz w:val="21"/>
                      <w:szCs w:val="21"/>
                      <w:lang w:eastAsia="zh-CN"/>
                    </w:rPr>
                  </w:pPr>
                </w:p>
                <w:p w14:paraId="07A2F684">
                  <w:pPr>
                    <w:autoSpaceDE/>
                    <w:autoSpaceDN/>
                    <w:adjustRightInd w:val="0"/>
                    <w:snapToGrid w:val="0"/>
                    <w:jc w:val="center"/>
                    <w:rPr>
                      <w:rFonts w:hint="default" w:ascii="Times New Roman" w:hAnsi="Times New Roman" w:cs="Times New Roman"/>
                      <w:color w:val="auto"/>
                      <w:sz w:val="21"/>
                      <w:szCs w:val="21"/>
                      <w:lang w:eastAsia="zh-CN"/>
                    </w:rPr>
                  </w:pPr>
                </w:p>
                <w:p w14:paraId="2DC47D8C">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780" w:type="pct"/>
                  <w:tcBorders>
                    <w:top w:val="single" w:color="000000" w:sz="6" w:space="0"/>
                    <w:left w:val="single" w:color="000000" w:sz="6" w:space="0"/>
                    <w:bottom w:val="single" w:color="000000" w:sz="6" w:space="0"/>
                    <w:right w:val="single" w:color="000000" w:sz="6" w:space="0"/>
                  </w:tcBorders>
                </w:tcPr>
                <w:p w14:paraId="01D33579">
                  <w:pPr>
                    <w:autoSpaceDE/>
                    <w:autoSpaceDN/>
                    <w:adjustRightInd w:val="0"/>
                    <w:snapToGrid w:val="0"/>
                    <w:jc w:val="center"/>
                    <w:rPr>
                      <w:rFonts w:hint="default" w:ascii="Times New Roman" w:hAnsi="Times New Roman" w:cs="Times New Roman"/>
                      <w:color w:val="auto"/>
                      <w:sz w:val="21"/>
                      <w:szCs w:val="21"/>
                      <w:lang w:eastAsia="zh-CN"/>
                    </w:rPr>
                  </w:pPr>
                </w:p>
                <w:p w14:paraId="146F3DD0">
                  <w:pPr>
                    <w:autoSpaceDE/>
                    <w:autoSpaceDN/>
                    <w:adjustRightInd w:val="0"/>
                    <w:snapToGrid w:val="0"/>
                    <w:jc w:val="center"/>
                    <w:rPr>
                      <w:rFonts w:hint="default" w:ascii="Times New Roman" w:hAnsi="Times New Roman" w:cs="Times New Roman"/>
                      <w:color w:val="auto"/>
                      <w:sz w:val="21"/>
                      <w:szCs w:val="21"/>
                      <w:lang w:eastAsia="zh-CN"/>
                    </w:rPr>
                  </w:pPr>
                </w:p>
                <w:p w14:paraId="26F7E8F1">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预案备案、发布和更新</w:t>
                  </w:r>
                </w:p>
              </w:tc>
              <w:tc>
                <w:tcPr>
                  <w:tcW w:w="3858" w:type="pct"/>
                  <w:tcBorders>
                    <w:top w:val="single" w:color="000000" w:sz="6" w:space="0"/>
                    <w:left w:val="single" w:color="000000" w:sz="6" w:space="0"/>
                    <w:bottom w:val="single" w:color="000000" w:sz="6" w:space="0"/>
                    <w:right w:val="single" w:color="000000" w:sz="6" w:space="0"/>
                  </w:tcBorders>
                </w:tcPr>
                <w:p w14:paraId="250B287A">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预案经内部评审及外部评审通过完善后，由公司有关主管领导签署发布，  按规定报有关部门备案。随着应急救援相关法律法规的制定、修改和完善，部门职责或应急资源发生变化，或者应急演练、应急过程中发现存在的问题和出现新的情况，应及时修订完善预案，预案修订完善后，由公司最高管理者重新发布。</w:t>
                  </w:r>
                </w:p>
                <w:p w14:paraId="65B491C1">
                  <w:pPr>
                    <w:autoSpaceDE/>
                    <w:autoSpaceDN/>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应急预案每三年更新一次，当生产工艺变更及预案组人员变动时，应及时更新本预案。</w:t>
                  </w:r>
                </w:p>
              </w:tc>
            </w:tr>
          </w:tbl>
          <w:p w14:paraId="26290515">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（6）环境风险结论</w:t>
            </w:r>
          </w:p>
          <w:p w14:paraId="6AFB9B2D">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经上述风险评价可知，本项目运营过程中存在废矿物油泄漏、火灾、爆炸环境风险。通过对本项目运营过程中存在的风险潜势进行判断，本项目危险物质存在量与临界量比值 Q=0.00004&lt;1，环境风险潜势为 I，本评价认为只要在运营过程中不断加强生产安全和环境管理，对每一环节按风险评价和</w:t>
            </w:r>
            <w:r>
              <w:rPr>
                <w:rFonts w:hint="default" w:ascii="Times New Roman" w:hAnsi="Times New Roman" w:cs="Times New Roman"/>
                <w:bCs/>
                <w:color w:val="auto"/>
                <w:sz w:val="24"/>
                <w:lang w:val="en-US" w:eastAsia="zh-CN"/>
              </w:rPr>
              <w:t>更新后的</w:t>
            </w:r>
            <w:r>
              <w:rPr>
                <w:rFonts w:hint="default" w:ascii="Times New Roman" w:hAnsi="Times New Roman" w:cs="Times New Roman"/>
                <w:bCs/>
                <w:color w:val="auto"/>
                <w:sz w:val="24"/>
                <w:lang w:eastAsia="zh-CN"/>
              </w:rPr>
              <w:t>突发环境事件应急预案要求落实防范措施和应急措施，项目环境风险是可控制的，可以将环境风险降到最低程度。因此，从环境风险评价的角度上分析，本项目的风险水平及影响程度是可以接受的。</w:t>
            </w:r>
          </w:p>
          <w:p w14:paraId="1079B959">
            <w:pPr>
              <w:spacing w:line="360" w:lineRule="auto"/>
              <w:ind w:firstLine="482" w:firstLineChars="200"/>
              <w:jc w:val="both"/>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七、环境监测</w:t>
            </w:r>
          </w:p>
          <w:p w14:paraId="340455CA">
            <w:pPr>
              <w:spacing w:line="360" w:lineRule="auto"/>
              <w:ind w:firstLine="480" w:firstLineChars="200"/>
              <w:jc w:val="both"/>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项目竣工环保验收监测计划一览表4-</w:t>
            </w:r>
            <w:r>
              <w:rPr>
                <w:rFonts w:hint="default" w:ascii="Times New Roman" w:hAnsi="Times New Roman" w:cs="Times New Roman"/>
                <w:bCs/>
                <w:color w:val="auto"/>
                <w:sz w:val="24"/>
                <w:lang w:val="en-US" w:eastAsia="zh-CN"/>
              </w:rPr>
              <w:t>1</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w:t>
            </w:r>
          </w:p>
          <w:p w14:paraId="293C1286">
            <w:pPr>
              <w:autoSpaceDE/>
              <w:autoSpaceDN/>
              <w:adjustRightInd w:val="0"/>
              <w:snapToGrid w:val="0"/>
              <w:spacing w:before="120" w:beforeLines="50"/>
              <w:ind w:firstLine="442"/>
              <w:jc w:val="center"/>
              <w:rPr>
                <w:rFonts w:hint="default" w:ascii="Times New Roman" w:hAnsi="Times New Roman" w:eastAsia="宋体" w:cs="Times New Roman"/>
                <w:b/>
                <w:bCs/>
                <w:color w:val="auto"/>
                <w:spacing w:val="-10"/>
                <w:sz w:val="21"/>
                <w:szCs w:val="21"/>
                <w:lang w:eastAsia="zh-CN"/>
              </w:rPr>
            </w:pPr>
            <w:r>
              <w:rPr>
                <w:rFonts w:hint="default" w:ascii="Times New Roman" w:hAnsi="Times New Roman" w:cs="Times New Roman"/>
                <w:b/>
                <w:bCs/>
                <w:color w:val="auto"/>
                <w:spacing w:val="-10"/>
                <w:sz w:val="21"/>
                <w:szCs w:val="21"/>
              </w:rPr>
              <w:t>表</w:t>
            </w:r>
            <w:r>
              <w:rPr>
                <w:rFonts w:hint="default" w:ascii="Times New Roman" w:hAnsi="Times New Roman" w:cs="Times New Roman"/>
                <w:b/>
                <w:bCs/>
                <w:color w:val="auto"/>
                <w:spacing w:val="-10"/>
                <w:sz w:val="21"/>
                <w:szCs w:val="21"/>
                <w:lang w:eastAsia="zh-CN"/>
              </w:rPr>
              <w:t>4-</w:t>
            </w:r>
            <w:r>
              <w:rPr>
                <w:rFonts w:hint="default" w:ascii="Times New Roman" w:hAnsi="Times New Roman" w:cs="Times New Roman"/>
                <w:b/>
                <w:bCs/>
                <w:color w:val="auto"/>
                <w:spacing w:val="-10"/>
                <w:sz w:val="21"/>
                <w:szCs w:val="21"/>
                <w:lang w:val="en-US" w:eastAsia="zh-CN"/>
              </w:rPr>
              <w:t>1</w:t>
            </w:r>
            <w:r>
              <w:rPr>
                <w:rFonts w:hint="eastAsia" w:ascii="Times New Roman" w:hAnsi="Times New Roman" w:cs="Times New Roman"/>
                <w:b/>
                <w:bCs/>
                <w:color w:val="auto"/>
                <w:spacing w:val="-10"/>
                <w:sz w:val="21"/>
                <w:szCs w:val="21"/>
                <w:lang w:val="en-US" w:eastAsia="zh-CN"/>
              </w:rPr>
              <w:t>2</w:t>
            </w:r>
            <w:r>
              <w:rPr>
                <w:rFonts w:hint="default" w:ascii="Times New Roman" w:hAnsi="Times New Roman" w:cs="Times New Roman"/>
                <w:b/>
                <w:bCs/>
                <w:color w:val="auto"/>
                <w:spacing w:val="-10"/>
                <w:sz w:val="21"/>
                <w:szCs w:val="21"/>
                <w:lang w:eastAsia="zh-CN"/>
              </w:rPr>
              <w:t xml:space="preserve">   </w:t>
            </w:r>
            <w:r>
              <w:rPr>
                <w:rFonts w:hint="default" w:ascii="Times New Roman" w:hAnsi="Times New Roman" w:cs="Times New Roman"/>
                <w:b/>
                <w:bCs/>
                <w:color w:val="auto"/>
                <w:spacing w:val="-10"/>
                <w:sz w:val="21"/>
                <w:szCs w:val="21"/>
              </w:rPr>
              <w:t xml:space="preserve">  项目</w:t>
            </w:r>
            <w:r>
              <w:rPr>
                <w:rFonts w:hint="default" w:ascii="Times New Roman" w:hAnsi="Times New Roman" w:cs="Times New Roman"/>
                <w:b/>
                <w:bCs/>
                <w:color w:val="auto"/>
                <w:spacing w:val="-10"/>
                <w:sz w:val="21"/>
                <w:szCs w:val="21"/>
                <w:lang w:eastAsia="zh-CN"/>
              </w:rPr>
              <w:t>竣工环保验收监测计划一览表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796"/>
              <w:gridCol w:w="1005"/>
              <w:gridCol w:w="1096"/>
              <w:gridCol w:w="3482"/>
            </w:tblGrid>
            <w:tr w14:paraId="3E7B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Align w:val="center"/>
                </w:tcPr>
                <w:p w14:paraId="54606A3C">
                  <w:pPr>
                    <w:pStyle w:val="27"/>
                    <w:adjustRightInd w:val="0"/>
                    <w:snapToGrid w:val="0"/>
                    <w:rPr>
                      <w:rFonts w:hint="default" w:ascii="Times New Roman" w:hAnsi="Times New Roman" w:cs="Times New Roman"/>
                      <w:b/>
                      <w:color w:val="auto"/>
                    </w:rPr>
                  </w:pPr>
                  <w:r>
                    <w:rPr>
                      <w:rFonts w:hint="default" w:ascii="Times New Roman" w:hAnsi="Times New Roman" w:cs="Times New Roman"/>
                      <w:b/>
                      <w:color w:val="auto"/>
                    </w:rPr>
                    <w:t>监测项目</w:t>
                  </w:r>
                </w:p>
              </w:tc>
              <w:tc>
                <w:tcPr>
                  <w:tcW w:w="1796" w:type="dxa"/>
                  <w:vAlign w:val="center"/>
                </w:tcPr>
                <w:p w14:paraId="1CFA62FA">
                  <w:pPr>
                    <w:pStyle w:val="27"/>
                    <w:adjustRightInd w:val="0"/>
                    <w:snapToGrid w:val="0"/>
                    <w:rPr>
                      <w:rFonts w:hint="default" w:ascii="Times New Roman" w:hAnsi="Times New Roman" w:cs="Times New Roman"/>
                      <w:b/>
                      <w:color w:val="auto"/>
                    </w:rPr>
                  </w:pPr>
                  <w:r>
                    <w:rPr>
                      <w:rFonts w:hint="default" w:ascii="Times New Roman" w:hAnsi="Times New Roman" w:cs="Times New Roman"/>
                      <w:b/>
                      <w:color w:val="auto"/>
                    </w:rPr>
                    <w:t>点位</w:t>
                  </w:r>
                </w:p>
              </w:tc>
              <w:tc>
                <w:tcPr>
                  <w:tcW w:w="1005" w:type="dxa"/>
                  <w:vAlign w:val="center"/>
                </w:tcPr>
                <w:p w14:paraId="1AFD82F8">
                  <w:pPr>
                    <w:pStyle w:val="27"/>
                    <w:adjustRightInd w:val="0"/>
                    <w:snapToGrid w:val="0"/>
                    <w:rPr>
                      <w:rFonts w:hint="default" w:ascii="Times New Roman" w:hAnsi="Times New Roman" w:cs="Times New Roman"/>
                      <w:b/>
                      <w:color w:val="auto"/>
                    </w:rPr>
                  </w:pPr>
                  <w:r>
                    <w:rPr>
                      <w:rFonts w:hint="default" w:ascii="Times New Roman" w:hAnsi="Times New Roman" w:cs="Times New Roman"/>
                      <w:b/>
                      <w:color w:val="auto"/>
                    </w:rPr>
                    <w:t>监测</w:t>
                  </w:r>
                </w:p>
                <w:p w14:paraId="23AF335A">
                  <w:pPr>
                    <w:pStyle w:val="27"/>
                    <w:adjustRightInd w:val="0"/>
                    <w:snapToGrid w:val="0"/>
                    <w:rPr>
                      <w:rFonts w:hint="default" w:ascii="Times New Roman" w:hAnsi="Times New Roman" w:cs="Times New Roman"/>
                      <w:b/>
                      <w:color w:val="auto"/>
                    </w:rPr>
                  </w:pPr>
                  <w:r>
                    <w:rPr>
                      <w:rFonts w:hint="default" w:ascii="Times New Roman" w:hAnsi="Times New Roman" w:cs="Times New Roman"/>
                      <w:b/>
                      <w:color w:val="auto"/>
                    </w:rPr>
                    <w:t>参数</w:t>
                  </w:r>
                </w:p>
              </w:tc>
              <w:tc>
                <w:tcPr>
                  <w:tcW w:w="1096" w:type="dxa"/>
                  <w:vAlign w:val="center"/>
                </w:tcPr>
                <w:p w14:paraId="131DF8D2">
                  <w:pPr>
                    <w:pStyle w:val="27"/>
                    <w:adjustRightInd w:val="0"/>
                    <w:snapToGrid w:val="0"/>
                    <w:rPr>
                      <w:rFonts w:hint="default" w:ascii="Times New Roman" w:hAnsi="Times New Roman" w:cs="Times New Roman"/>
                      <w:b/>
                      <w:color w:val="auto"/>
                    </w:rPr>
                  </w:pPr>
                  <w:r>
                    <w:rPr>
                      <w:rFonts w:hint="default" w:ascii="Times New Roman" w:hAnsi="Times New Roman" w:cs="Times New Roman"/>
                      <w:b/>
                      <w:color w:val="auto"/>
                    </w:rPr>
                    <w:t>监测频率</w:t>
                  </w:r>
                </w:p>
              </w:tc>
              <w:tc>
                <w:tcPr>
                  <w:tcW w:w="3482" w:type="dxa"/>
                  <w:vAlign w:val="center"/>
                </w:tcPr>
                <w:p w14:paraId="1F10956B">
                  <w:pPr>
                    <w:pStyle w:val="27"/>
                    <w:adjustRightInd w:val="0"/>
                    <w:snapToGrid w:val="0"/>
                    <w:rPr>
                      <w:rFonts w:hint="default" w:ascii="Times New Roman" w:hAnsi="Times New Roman" w:cs="Times New Roman"/>
                      <w:b/>
                      <w:color w:val="auto"/>
                    </w:rPr>
                  </w:pPr>
                  <w:r>
                    <w:rPr>
                      <w:rFonts w:hint="default" w:ascii="Times New Roman" w:hAnsi="Times New Roman" w:cs="Times New Roman"/>
                      <w:b/>
                      <w:color w:val="auto"/>
                    </w:rPr>
                    <w:t>执行标准</w:t>
                  </w:r>
                </w:p>
              </w:tc>
            </w:tr>
            <w:tr w14:paraId="6995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1" w:type="dxa"/>
                  <w:vAlign w:val="center"/>
                </w:tcPr>
                <w:p w14:paraId="72171641">
                  <w:pPr>
                    <w:pStyle w:val="27"/>
                    <w:adjustRightInd w:val="0"/>
                    <w:snapToGrid w:val="0"/>
                    <w:rPr>
                      <w:rFonts w:hint="default" w:ascii="Times New Roman" w:hAnsi="Times New Roman" w:eastAsia="宋体" w:cs="Times New Roman"/>
                      <w:color w:val="auto"/>
                      <w:spacing w:val="-4"/>
                      <w:w w:val="95"/>
                      <w:sz w:val="21"/>
                      <w:szCs w:val="21"/>
                      <w:lang w:val="en-US" w:eastAsia="zh-CN" w:bidi="ar-SA"/>
                    </w:rPr>
                  </w:pPr>
                  <w:r>
                    <w:rPr>
                      <w:rFonts w:hint="default" w:ascii="Times New Roman" w:hAnsi="Times New Roman" w:eastAsia="宋体" w:cs="Times New Roman"/>
                      <w:color w:val="auto"/>
                      <w:spacing w:val="-4"/>
                      <w:w w:val="95"/>
                      <w:sz w:val="21"/>
                      <w:szCs w:val="21"/>
                      <w:lang w:val="en-US" w:eastAsia="zh-CN" w:bidi="ar-SA"/>
                    </w:rPr>
                    <w:t>废气</w:t>
                  </w:r>
                </w:p>
              </w:tc>
              <w:tc>
                <w:tcPr>
                  <w:tcW w:w="1796" w:type="dxa"/>
                  <w:vAlign w:val="center"/>
                </w:tcPr>
                <w:p w14:paraId="0F2D4A96">
                  <w:pPr>
                    <w:pStyle w:val="30"/>
                    <w:adjustRightInd w:val="0"/>
                    <w:snapToGrid w:val="0"/>
                    <w:jc w:val="center"/>
                    <w:rPr>
                      <w:rFonts w:hint="default" w:ascii="Times New Roman" w:hAnsi="Times New Roman" w:cs="Times New Roman"/>
                      <w:bCs/>
                      <w:color w:val="auto"/>
                      <w:lang w:eastAsia="zh-CN"/>
                    </w:rPr>
                  </w:pPr>
                  <w:r>
                    <w:rPr>
                      <w:rFonts w:hint="default" w:ascii="Times New Roman" w:hAnsi="Times New Roman" w:cs="Times New Roman"/>
                      <w:color w:val="auto"/>
                      <w:sz w:val="21"/>
                      <w:szCs w:val="21"/>
                      <w:lang w:eastAsia="zh-CN"/>
                    </w:rPr>
                    <w:t>厂界上风</w:t>
                  </w:r>
                  <w:r>
                    <w:rPr>
                      <w:rFonts w:hint="default" w:ascii="Times New Roman" w:hAnsi="Times New Roman" w:cs="Times New Roman"/>
                      <w:color w:val="auto"/>
                      <w:spacing w:val="-30"/>
                      <w:sz w:val="21"/>
                      <w:szCs w:val="21"/>
                      <w:lang w:eastAsia="zh-CN"/>
                    </w:rPr>
                    <w:t xml:space="preserve">向 </w:t>
                  </w:r>
                  <w:r>
                    <w:rPr>
                      <w:rFonts w:hint="default" w:ascii="Times New Roman" w:hAnsi="Times New Roman" w:cs="Times New Roman"/>
                      <w:color w:val="auto"/>
                      <w:sz w:val="21"/>
                      <w:szCs w:val="21"/>
                      <w:lang w:eastAsia="zh-CN"/>
                    </w:rPr>
                    <w:t>1个</w:t>
                  </w:r>
                  <w:r>
                    <w:rPr>
                      <w:rFonts w:hint="default" w:ascii="Times New Roman" w:hAnsi="Times New Roman" w:cs="Times New Roman"/>
                      <w:color w:val="auto"/>
                      <w:spacing w:val="-4"/>
                      <w:w w:val="95"/>
                      <w:sz w:val="21"/>
                      <w:szCs w:val="21"/>
                      <w:lang w:eastAsia="zh-CN"/>
                    </w:rPr>
                    <w:t>点，下</w:t>
                  </w:r>
                  <w:r>
                    <w:rPr>
                      <w:rFonts w:hint="default" w:ascii="Times New Roman" w:hAnsi="Times New Roman" w:cs="Times New Roman"/>
                      <w:color w:val="auto"/>
                      <w:spacing w:val="-21"/>
                      <w:sz w:val="21"/>
                      <w:szCs w:val="21"/>
                      <w:lang w:eastAsia="zh-CN"/>
                    </w:rPr>
                    <w:t xml:space="preserve">风向 </w:t>
                  </w:r>
                  <w:r>
                    <w:rPr>
                      <w:rFonts w:hint="default" w:ascii="Times New Roman" w:hAnsi="Times New Roman" w:cs="Times New Roman"/>
                      <w:color w:val="auto"/>
                      <w:sz w:val="21"/>
                      <w:szCs w:val="21"/>
                      <w:lang w:eastAsia="zh-CN"/>
                    </w:rPr>
                    <w:t>3个点</w:t>
                  </w:r>
                </w:p>
              </w:tc>
              <w:tc>
                <w:tcPr>
                  <w:tcW w:w="1005" w:type="dxa"/>
                  <w:vAlign w:val="center"/>
                </w:tcPr>
                <w:p w14:paraId="6C7EC29F">
                  <w:pPr>
                    <w:pStyle w:val="3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1096" w:type="dxa"/>
                  <w:vMerge w:val="restart"/>
                  <w:vAlign w:val="center"/>
                </w:tcPr>
                <w:p w14:paraId="133BA4A4">
                  <w:pPr>
                    <w:pStyle w:val="27"/>
                    <w:adjustRightInd w:val="0"/>
                    <w:snapToGrid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验收时监测，连续监测2天，每天按昼夜监测</w:t>
                  </w:r>
                </w:p>
              </w:tc>
              <w:tc>
                <w:tcPr>
                  <w:tcW w:w="3482" w:type="dxa"/>
                  <w:vAlign w:val="center"/>
                </w:tcPr>
                <w:p w14:paraId="02C3516E">
                  <w:pPr>
                    <w:pStyle w:val="3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《水泥工业大气污染物排放标准》（GB4915-2013）表3；0.5mg/m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（监控点与参照点总悬浮颗粒物小时浓度值的差值，厂界外20m处上风向设参照点，下风向设监控点）。</w:t>
                  </w:r>
                </w:p>
              </w:tc>
            </w:tr>
            <w:tr w14:paraId="0178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Align w:val="center"/>
                </w:tcPr>
                <w:p w14:paraId="2E78FCEB">
                  <w:pPr>
                    <w:pStyle w:val="27"/>
                    <w:adjustRightInd w:val="0"/>
                    <w:snapToGrid w:val="0"/>
                    <w:rPr>
                      <w:rFonts w:hint="default" w:ascii="Times New Roman" w:hAnsi="Times New Roman" w:cs="Times New Roman"/>
                      <w:bCs/>
                      <w:color w:val="auto"/>
                    </w:rPr>
                  </w:pPr>
                  <w:r>
                    <w:rPr>
                      <w:rFonts w:hint="default" w:ascii="Times New Roman" w:hAnsi="Times New Roman" w:cs="Times New Roman"/>
                      <w:bCs/>
                      <w:color w:val="auto"/>
                    </w:rPr>
                    <w:t>噪声</w:t>
                  </w:r>
                </w:p>
              </w:tc>
              <w:tc>
                <w:tcPr>
                  <w:tcW w:w="1796" w:type="dxa"/>
                  <w:vAlign w:val="center"/>
                </w:tcPr>
                <w:p w14:paraId="2AD0B7E6">
                  <w:pPr>
                    <w:pStyle w:val="27"/>
                    <w:adjustRightInd w:val="0"/>
                    <w:snapToGrid w:val="0"/>
                    <w:rPr>
                      <w:rFonts w:hint="default" w:ascii="Times New Roman" w:hAnsi="Times New Roman" w:cs="Times New Roman"/>
                      <w:bCs/>
                      <w:color w:val="auto"/>
                    </w:rPr>
                  </w:pPr>
                  <w:r>
                    <w:rPr>
                      <w:rFonts w:hint="default" w:ascii="Times New Roman" w:hAnsi="Times New Roman" w:cs="Times New Roman"/>
                      <w:bCs/>
                      <w:color w:val="auto"/>
                    </w:rPr>
                    <w:t>厂界四周</w:t>
                  </w:r>
                </w:p>
              </w:tc>
              <w:tc>
                <w:tcPr>
                  <w:tcW w:w="1005" w:type="dxa"/>
                  <w:vAlign w:val="center"/>
                </w:tcPr>
                <w:p w14:paraId="30ED73F9">
                  <w:pPr>
                    <w:pStyle w:val="27"/>
                    <w:adjustRightInd w:val="0"/>
                    <w:snapToGrid w:val="0"/>
                    <w:rPr>
                      <w:rFonts w:hint="default" w:ascii="Times New Roman" w:hAnsi="Times New Roman" w:cs="Times New Roman"/>
                      <w:bCs/>
                      <w:color w:val="auto"/>
                    </w:rPr>
                  </w:pPr>
                  <w:r>
                    <w:rPr>
                      <w:rFonts w:hint="default" w:ascii="Times New Roman" w:hAnsi="Times New Roman" w:cs="Times New Roman"/>
                      <w:color w:val="auto"/>
                      <w:szCs w:val="21"/>
                    </w:rPr>
                    <w:t>等效连续 A 声级</w:t>
                  </w:r>
                </w:p>
              </w:tc>
              <w:tc>
                <w:tcPr>
                  <w:tcW w:w="1096" w:type="dxa"/>
                  <w:vMerge w:val="continue"/>
                  <w:vAlign w:val="center"/>
                </w:tcPr>
                <w:p w14:paraId="67FC7AD4">
                  <w:pPr>
                    <w:pStyle w:val="27"/>
                    <w:adjustRightInd w:val="0"/>
                    <w:snapToGrid w:val="0"/>
                    <w:rPr>
                      <w:rFonts w:hint="default" w:ascii="Times New Roman" w:hAnsi="Times New Roman" w:cs="Times New Roman"/>
                      <w:bCs/>
                      <w:color w:val="auto"/>
                    </w:rPr>
                  </w:pPr>
                </w:p>
              </w:tc>
              <w:tc>
                <w:tcPr>
                  <w:tcW w:w="3482" w:type="dxa"/>
                  <w:vAlign w:val="center"/>
                </w:tcPr>
                <w:p w14:paraId="5F0577FD">
                  <w:pPr>
                    <w:pStyle w:val="27"/>
                    <w:adjustRightInd w:val="0"/>
                    <w:snapToGrid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执行《工业企业厂界环境噪声排放标准》（GB12348-2008）中2类</w:t>
                  </w:r>
                </w:p>
                <w:p w14:paraId="25C33665">
                  <w:pPr>
                    <w:pStyle w:val="27"/>
                    <w:adjustRightInd w:val="0"/>
                    <w:snapToGrid w:val="0"/>
                    <w:rPr>
                      <w:rFonts w:hint="default" w:ascii="Times New Roman" w:hAnsi="Times New Roman" w:eastAsia="宋体" w:cs="Times New Roman"/>
                      <w:bCs/>
                      <w:color w:val="auto"/>
                      <w:lang w:eastAsia="zh-CN"/>
                    </w:rPr>
                  </w:pPr>
                  <w:r>
                    <w:rPr>
                      <w:rFonts w:hint="default" w:ascii="Times New Roman" w:hAnsi="Times New Roman" w:cs="Times New Roman"/>
                      <w:color w:val="auto"/>
                      <w:szCs w:val="21"/>
                    </w:rPr>
                    <w:t>标准</w:t>
                  </w:r>
                  <w:r>
                    <w:rPr>
                      <w:rFonts w:hint="default" w:ascii="Times New Roman" w:hAnsi="Times New Roman" w:eastAsia="宋体" w:cs="Times New Roman"/>
                      <w:color w:val="auto"/>
                      <w:szCs w:val="21"/>
                      <w:lang w:eastAsia="zh-CN"/>
                    </w:rPr>
                    <w:t>。</w:t>
                  </w:r>
                </w:p>
              </w:tc>
            </w:tr>
            <w:tr w14:paraId="474C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0" w:type="dxa"/>
                  <w:gridSpan w:val="5"/>
                  <w:vAlign w:val="center"/>
                </w:tcPr>
                <w:p w14:paraId="0439292A">
                  <w:pPr>
                    <w:pStyle w:val="27"/>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cs="Times New Roman"/>
                      <w:b/>
                      <w:bCs/>
                      <w:color w:val="auto"/>
                      <w:szCs w:val="21"/>
                      <w:lang w:val="en-US" w:eastAsia="zh-CN"/>
                    </w:rPr>
                    <w:t>环境质量监测计划</w:t>
                  </w:r>
                </w:p>
              </w:tc>
            </w:tr>
            <w:tr w14:paraId="3FA4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Align w:val="center"/>
                </w:tcPr>
                <w:p w14:paraId="4CEF1385">
                  <w:pPr>
                    <w:pStyle w:val="27"/>
                    <w:adjustRightInd w:val="0"/>
                    <w:snapToGrid w:val="0"/>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lang w:val="en-US" w:eastAsia="zh-CN"/>
                    </w:rPr>
                    <w:t>地下水</w:t>
                  </w:r>
                </w:p>
              </w:tc>
              <w:tc>
                <w:tcPr>
                  <w:tcW w:w="1796" w:type="dxa"/>
                  <w:vAlign w:val="center"/>
                </w:tcPr>
                <w:p w14:paraId="00C54F4A">
                  <w:pPr>
                    <w:pStyle w:val="27"/>
                    <w:adjustRightInd w:val="0"/>
                    <w:snapToGrid w:val="0"/>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lang w:val="en-US" w:eastAsia="zh-CN"/>
                    </w:rPr>
                    <w:t>项目区内上下游监测井</w:t>
                  </w:r>
                </w:p>
              </w:tc>
              <w:tc>
                <w:tcPr>
                  <w:tcW w:w="1005" w:type="dxa"/>
                  <w:vAlign w:val="center"/>
                </w:tcPr>
                <w:p w14:paraId="5C28BC31">
                  <w:pPr>
                    <w:pStyle w:val="27"/>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pH、总硬度、硫酸盐、氯化物、铁、锰、硫化物、亚硝酸盐氮、硝酸盐氮、汞、铜、锌、硒、镉、铬 (六价)、铊、挥发酚</w:t>
                  </w:r>
                  <w:r>
                    <w:rPr>
                      <w:rFonts w:hint="default" w:ascii="Times New Roman" w:hAnsi="Times New Roman" w:cs="Times New Roman"/>
                      <w:color w:val="auto"/>
                      <w:szCs w:val="21"/>
                      <w:lang w:eastAsia="zh-CN"/>
                    </w:rPr>
                    <w:t>。</w:t>
                  </w:r>
                </w:p>
              </w:tc>
              <w:tc>
                <w:tcPr>
                  <w:tcW w:w="1096" w:type="dxa"/>
                  <w:vAlign w:val="center"/>
                </w:tcPr>
                <w:p w14:paraId="0D1292C4">
                  <w:pPr>
                    <w:pStyle w:val="27"/>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1次/年</w:t>
                  </w:r>
                </w:p>
              </w:tc>
              <w:tc>
                <w:tcPr>
                  <w:tcW w:w="3482" w:type="dxa"/>
                  <w:vAlign w:val="center"/>
                </w:tcPr>
                <w:p w14:paraId="3A74C4C8">
                  <w:pPr>
                    <w:pStyle w:val="2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《地下水质量标准》（GB/T 14848-2017） Ⅲ类</w:t>
                  </w:r>
                </w:p>
              </w:tc>
            </w:tr>
          </w:tbl>
          <w:p w14:paraId="7A7DB943">
            <w:pPr>
              <w:pStyle w:val="27"/>
              <w:jc w:val="both"/>
              <w:rPr>
                <w:rFonts w:hint="default" w:ascii="Times New Roman" w:hAnsi="Times New Roman" w:cs="Times New Roman"/>
                <w:bCs/>
                <w:color w:val="auto"/>
              </w:rPr>
            </w:pPr>
          </w:p>
        </w:tc>
      </w:tr>
    </w:tbl>
    <w:p w14:paraId="3FB733DD">
      <w:pPr>
        <w:pStyle w:val="27"/>
        <w:jc w:val="both"/>
        <w:rPr>
          <w:rFonts w:hint="default" w:ascii="Times New Roman" w:hAnsi="Times New Roman" w:cs="Times New Roman"/>
          <w:bCs/>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7BCDA54">
      <w:pPr>
        <w:pStyle w:val="4"/>
        <w:jc w:val="both"/>
        <w:rPr>
          <w:rFonts w:hint="default" w:ascii="Times New Roman" w:hAnsi="Times New Roman" w:cs="Times New Roman"/>
          <w:snapToGrid w:val="0"/>
          <w:color w:val="auto"/>
          <w:lang w:eastAsia="zh-CN"/>
        </w:rPr>
      </w:pPr>
      <w:bookmarkStart w:id="48" w:name="_Toc22022"/>
      <w:bookmarkStart w:id="49" w:name="_Toc77840040"/>
      <w:r>
        <w:rPr>
          <w:rFonts w:hint="default" w:ascii="Times New Roman" w:hAnsi="Times New Roman" w:cs="Times New Roman"/>
          <w:snapToGrid w:val="0"/>
          <w:color w:val="auto"/>
          <w:lang w:eastAsia="zh-CN"/>
        </w:rPr>
        <w:t>五、</w:t>
      </w:r>
      <w:bookmarkStart w:id="50" w:name="_Hlk54167917"/>
      <w:r>
        <w:rPr>
          <w:rFonts w:hint="default" w:ascii="Times New Roman" w:hAnsi="Times New Roman" w:cs="Times New Roman"/>
          <w:snapToGrid w:val="0"/>
          <w:color w:val="auto"/>
          <w:lang w:eastAsia="zh-CN"/>
        </w:rPr>
        <w:t>环境保护措施监督检查清单</w:t>
      </w:r>
      <w:bookmarkEnd w:id="48"/>
      <w:bookmarkEnd w:id="49"/>
      <w:bookmarkEnd w:id="50"/>
    </w:p>
    <w:tbl>
      <w:tblPr>
        <w:tblStyle w:val="2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772"/>
        <w:gridCol w:w="991"/>
        <w:gridCol w:w="2554"/>
        <w:gridCol w:w="1898"/>
      </w:tblGrid>
      <w:tr w14:paraId="606EB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tcBorders>
              <w:tl2br w:val="single" w:color="auto" w:sz="4" w:space="0"/>
            </w:tcBorders>
          </w:tcPr>
          <w:p w14:paraId="4E351566">
            <w:pPr>
              <w:pStyle w:val="27"/>
              <w:rPr>
                <w:rFonts w:hint="default" w:ascii="Times New Roman" w:hAnsi="Times New Roman" w:cs="Times New Roman"/>
                <w:b/>
                <w:bCs/>
                <w:color w:val="auto"/>
              </w:rPr>
            </w:pPr>
            <w:r>
              <w:rPr>
                <w:rFonts w:hint="default" w:ascii="Times New Roman" w:hAnsi="Times New Roman" w:cs="Times New Roman"/>
                <w:b/>
                <w:bCs/>
                <w:color w:val="auto"/>
              </w:rPr>
              <w:t>内容</w:t>
            </w:r>
          </w:p>
          <w:p w14:paraId="64B8A6A4">
            <w:pPr>
              <w:pStyle w:val="27"/>
              <w:rPr>
                <w:rFonts w:hint="default" w:ascii="Times New Roman" w:hAnsi="Times New Roman" w:cs="Times New Roman"/>
                <w:b/>
                <w:bCs/>
                <w:color w:val="auto"/>
              </w:rPr>
            </w:pPr>
            <w:r>
              <w:rPr>
                <w:rFonts w:hint="default" w:ascii="Times New Roman" w:hAnsi="Times New Roman" w:cs="Times New Roman"/>
                <w:b/>
                <w:bCs/>
                <w:color w:val="auto"/>
              </w:rPr>
              <w:t>要素</w:t>
            </w:r>
          </w:p>
        </w:tc>
        <w:tc>
          <w:tcPr>
            <w:tcW w:w="1772" w:type="dxa"/>
            <w:vAlign w:val="center"/>
          </w:tcPr>
          <w:p w14:paraId="647B4860">
            <w:pPr>
              <w:pStyle w:val="27"/>
              <w:rPr>
                <w:rFonts w:hint="default" w:ascii="Times New Roman" w:hAnsi="Times New Roman" w:cs="Times New Roman"/>
                <w:b/>
                <w:bCs/>
                <w:color w:val="auto"/>
              </w:rPr>
            </w:pPr>
            <w:r>
              <w:rPr>
                <w:rFonts w:hint="default" w:ascii="Times New Roman" w:hAnsi="Times New Roman" w:cs="Times New Roman"/>
                <w:b/>
                <w:bCs/>
                <w:color w:val="auto"/>
              </w:rPr>
              <w:t>排放口</w:t>
            </w:r>
            <w:r>
              <w:rPr>
                <w:rFonts w:hint="default" w:ascii="Times New Roman" w:hAnsi="Times New Roman" w:cs="Times New Roman"/>
                <w:b/>
                <w:bCs/>
                <w:color w:val="auto"/>
                <w:lang w:eastAsia="zh-CN"/>
              </w:rPr>
              <w:t>（</w:t>
            </w:r>
            <w:r>
              <w:rPr>
                <w:rFonts w:hint="default" w:ascii="Times New Roman" w:hAnsi="Times New Roman" w:cs="Times New Roman"/>
                <w:b/>
                <w:bCs/>
                <w:color w:val="auto"/>
              </w:rPr>
              <w:t>编号、</w:t>
            </w:r>
          </w:p>
          <w:p w14:paraId="339B4645">
            <w:pPr>
              <w:pStyle w:val="27"/>
              <w:rPr>
                <w:rFonts w:hint="default" w:ascii="Times New Roman" w:hAnsi="Times New Roman" w:cs="Times New Roman"/>
                <w:b/>
                <w:bCs/>
                <w:color w:val="auto"/>
              </w:rPr>
            </w:pPr>
            <w:r>
              <w:rPr>
                <w:rFonts w:hint="default" w:ascii="Times New Roman" w:hAnsi="Times New Roman" w:cs="Times New Roman"/>
                <w:b/>
                <w:bCs/>
                <w:color w:val="auto"/>
              </w:rPr>
              <w:t>名称</w:t>
            </w:r>
            <w:r>
              <w:rPr>
                <w:rFonts w:hint="default" w:ascii="Times New Roman" w:hAnsi="Times New Roman" w:cs="Times New Roman"/>
                <w:b/>
                <w:bCs/>
                <w:color w:val="auto"/>
                <w:lang w:eastAsia="zh-CN"/>
              </w:rPr>
              <w:t>）</w:t>
            </w:r>
            <w:r>
              <w:rPr>
                <w:rFonts w:hint="default" w:ascii="Times New Roman" w:hAnsi="Times New Roman" w:cs="Times New Roman"/>
                <w:b/>
                <w:bCs/>
                <w:color w:val="auto"/>
              </w:rPr>
              <w:t>/污染源</w:t>
            </w:r>
          </w:p>
        </w:tc>
        <w:tc>
          <w:tcPr>
            <w:tcW w:w="991" w:type="dxa"/>
            <w:vAlign w:val="center"/>
          </w:tcPr>
          <w:p w14:paraId="3A06F3B3">
            <w:pPr>
              <w:pStyle w:val="27"/>
              <w:rPr>
                <w:rFonts w:hint="default" w:ascii="Times New Roman" w:hAnsi="Times New Roman" w:cs="Times New Roman"/>
                <w:b/>
                <w:bCs/>
                <w:color w:val="auto"/>
              </w:rPr>
            </w:pPr>
            <w:r>
              <w:rPr>
                <w:rFonts w:hint="default" w:ascii="Times New Roman" w:hAnsi="Times New Roman" w:cs="Times New Roman"/>
                <w:b/>
                <w:bCs/>
                <w:color w:val="auto"/>
              </w:rPr>
              <w:t>污染物项目</w:t>
            </w:r>
          </w:p>
        </w:tc>
        <w:tc>
          <w:tcPr>
            <w:tcW w:w="2554" w:type="dxa"/>
            <w:vAlign w:val="center"/>
          </w:tcPr>
          <w:p w14:paraId="54EAC2FD">
            <w:pPr>
              <w:pStyle w:val="27"/>
              <w:rPr>
                <w:rFonts w:hint="default" w:ascii="Times New Roman" w:hAnsi="Times New Roman" w:cs="Times New Roman"/>
                <w:b/>
                <w:bCs/>
                <w:color w:val="auto"/>
              </w:rPr>
            </w:pPr>
            <w:r>
              <w:rPr>
                <w:rFonts w:hint="default" w:ascii="Times New Roman" w:hAnsi="Times New Roman" w:cs="Times New Roman"/>
                <w:b/>
                <w:bCs/>
                <w:color w:val="auto"/>
              </w:rPr>
              <w:t>环境保护措施</w:t>
            </w:r>
          </w:p>
        </w:tc>
        <w:tc>
          <w:tcPr>
            <w:tcW w:w="1898" w:type="dxa"/>
            <w:vAlign w:val="center"/>
          </w:tcPr>
          <w:p w14:paraId="28794EB6">
            <w:pPr>
              <w:pStyle w:val="27"/>
              <w:rPr>
                <w:rFonts w:hint="default" w:ascii="Times New Roman" w:hAnsi="Times New Roman" w:cs="Times New Roman"/>
                <w:b/>
                <w:bCs/>
                <w:color w:val="auto"/>
              </w:rPr>
            </w:pPr>
            <w:r>
              <w:rPr>
                <w:rFonts w:hint="default" w:ascii="Times New Roman" w:hAnsi="Times New Roman" w:cs="Times New Roman"/>
                <w:b/>
                <w:bCs/>
                <w:color w:val="auto"/>
              </w:rPr>
              <w:t>执行标准</w:t>
            </w:r>
          </w:p>
        </w:tc>
      </w:tr>
      <w:tr w14:paraId="3A300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6" w:type="dxa"/>
            <w:vMerge w:val="restart"/>
            <w:vAlign w:val="center"/>
          </w:tcPr>
          <w:p w14:paraId="62C655DE">
            <w:pPr>
              <w:pStyle w:val="27"/>
              <w:rPr>
                <w:rFonts w:hint="default" w:ascii="Times New Roman" w:hAnsi="Times New Roman" w:cs="Times New Roman"/>
                <w:color w:val="auto"/>
              </w:rPr>
            </w:pPr>
            <w:r>
              <w:rPr>
                <w:rFonts w:hint="default" w:ascii="Times New Roman" w:hAnsi="Times New Roman" w:cs="Times New Roman"/>
                <w:color w:val="auto"/>
              </w:rPr>
              <w:t>大气环境</w:t>
            </w:r>
          </w:p>
        </w:tc>
        <w:tc>
          <w:tcPr>
            <w:tcW w:w="1772" w:type="dxa"/>
            <w:vAlign w:val="center"/>
          </w:tcPr>
          <w:p w14:paraId="52D3C6A0">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bCs/>
                <w:color w:val="auto"/>
                <w:sz w:val="21"/>
                <w:szCs w:val="21"/>
                <w:lang w:val="en-US" w:eastAsia="zh-CN"/>
              </w:rPr>
              <w:t>装载机上料</w:t>
            </w:r>
            <w:r>
              <w:rPr>
                <w:rFonts w:hint="default" w:ascii="Times New Roman" w:hAnsi="Times New Roman" w:cs="Times New Roman"/>
                <w:bCs/>
                <w:color w:val="auto"/>
                <w:szCs w:val="21"/>
              </w:rPr>
              <w:t>粉尘</w:t>
            </w:r>
          </w:p>
        </w:tc>
        <w:tc>
          <w:tcPr>
            <w:tcW w:w="991" w:type="dxa"/>
            <w:vMerge w:val="restart"/>
            <w:vAlign w:val="center"/>
          </w:tcPr>
          <w:p w14:paraId="0A28FA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2554" w:type="dxa"/>
            <w:vMerge w:val="restart"/>
            <w:vAlign w:val="center"/>
          </w:tcPr>
          <w:p w14:paraId="62483D45">
            <w:pPr>
              <w:pStyle w:val="2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洒水降尘</w:t>
            </w:r>
            <w:r>
              <w:rPr>
                <w:rFonts w:hint="default" w:ascii="Times New Roman" w:hAnsi="Times New Roman" w:cs="Times New Roman"/>
                <w:color w:val="auto"/>
                <w:szCs w:val="21"/>
              </w:rPr>
              <w:t>。</w:t>
            </w:r>
          </w:p>
        </w:tc>
        <w:tc>
          <w:tcPr>
            <w:tcW w:w="1898" w:type="dxa"/>
            <w:vMerge w:val="restart"/>
            <w:vAlign w:val="center"/>
          </w:tcPr>
          <w:p w14:paraId="58B322C7">
            <w:pPr>
              <w:pStyle w:val="27"/>
              <w:rPr>
                <w:rFonts w:hint="default" w:ascii="Times New Roman" w:hAnsi="Times New Roman" w:cs="Times New Roman"/>
                <w:color w:val="auto"/>
              </w:rPr>
            </w:pPr>
            <w:r>
              <w:rPr>
                <w:rFonts w:hint="default" w:ascii="Times New Roman" w:hAnsi="Times New Roman" w:cs="Times New Roman"/>
                <w:color w:val="auto"/>
              </w:rPr>
              <w:t>《水泥工业大气污染物排放标准》（GB4915-2013）表3</w:t>
            </w:r>
          </w:p>
        </w:tc>
      </w:tr>
      <w:tr w14:paraId="78BE2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6" w:type="dxa"/>
            <w:vMerge w:val="continue"/>
            <w:vAlign w:val="center"/>
          </w:tcPr>
          <w:p w14:paraId="11567FF7">
            <w:pPr>
              <w:pStyle w:val="27"/>
              <w:rPr>
                <w:rFonts w:hint="default" w:ascii="Times New Roman" w:hAnsi="Times New Roman" w:cs="Times New Roman"/>
                <w:color w:val="auto"/>
              </w:rPr>
            </w:pPr>
          </w:p>
        </w:tc>
        <w:tc>
          <w:tcPr>
            <w:tcW w:w="1772" w:type="dxa"/>
            <w:vAlign w:val="center"/>
          </w:tcPr>
          <w:p w14:paraId="0D0BAB82">
            <w:pPr>
              <w:pStyle w:val="2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运输过程扬尘</w:t>
            </w:r>
          </w:p>
        </w:tc>
        <w:tc>
          <w:tcPr>
            <w:tcW w:w="991" w:type="dxa"/>
            <w:vMerge w:val="continue"/>
            <w:vAlign w:val="center"/>
          </w:tcPr>
          <w:p w14:paraId="2579C750">
            <w:pPr>
              <w:jc w:val="center"/>
              <w:rPr>
                <w:rFonts w:hint="default" w:ascii="Times New Roman" w:hAnsi="Times New Roman" w:cs="Times New Roman"/>
                <w:color w:val="auto"/>
                <w:sz w:val="21"/>
                <w:szCs w:val="21"/>
                <w:lang w:eastAsia="zh-CN"/>
              </w:rPr>
            </w:pPr>
          </w:p>
        </w:tc>
        <w:tc>
          <w:tcPr>
            <w:tcW w:w="2554" w:type="dxa"/>
            <w:vMerge w:val="continue"/>
            <w:vAlign w:val="center"/>
          </w:tcPr>
          <w:p w14:paraId="64EDA644">
            <w:pPr>
              <w:pStyle w:val="5"/>
              <w:autoSpaceDE/>
              <w:autoSpaceDN/>
              <w:adjustRightInd w:val="0"/>
              <w:snapToGrid w:val="0"/>
              <w:spacing w:line="240" w:lineRule="auto"/>
              <w:rPr>
                <w:rFonts w:hint="default" w:ascii="Times New Roman" w:hAnsi="Times New Roman" w:cs="Times New Roman"/>
                <w:b w:val="0"/>
                <w:bCs w:val="0"/>
                <w:color w:val="auto"/>
                <w:szCs w:val="21"/>
              </w:rPr>
            </w:pPr>
          </w:p>
        </w:tc>
        <w:tc>
          <w:tcPr>
            <w:tcW w:w="1898" w:type="dxa"/>
            <w:vMerge w:val="continue"/>
            <w:vAlign w:val="center"/>
          </w:tcPr>
          <w:p w14:paraId="2B2B6A28">
            <w:pPr>
              <w:pStyle w:val="27"/>
              <w:rPr>
                <w:rFonts w:hint="default" w:ascii="Times New Roman" w:hAnsi="Times New Roman" w:cs="Times New Roman"/>
                <w:color w:val="auto"/>
              </w:rPr>
            </w:pPr>
          </w:p>
        </w:tc>
      </w:tr>
      <w:tr w14:paraId="511D9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56" w:type="dxa"/>
            <w:vMerge w:val="continue"/>
            <w:vAlign w:val="center"/>
          </w:tcPr>
          <w:p w14:paraId="45D44F60">
            <w:pPr>
              <w:pStyle w:val="27"/>
              <w:rPr>
                <w:rFonts w:hint="default" w:ascii="Times New Roman" w:hAnsi="Times New Roman" w:cs="Times New Roman"/>
                <w:color w:val="auto"/>
              </w:rPr>
            </w:pPr>
          </w:p>
        </w:tc>
        <w:tc>
          <w:tcPr>
            <w:tcW w:w="1772" w:type="dxa"/>
            <w:vAlign w:val="center"/>
          </w:tcPr>
          <w:p w14:paraId="10C8E3C4">
            <w:pPr>
              <w:pStyle w:val="2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原料堆场</w:t>
            </w:r>
            <w:r>
              <w:rPr>
                <w:rFonts w:hint="default" w:ascii="Times New Roman" w:hAnsi="Times New Roman" w:cs="Times New Roman"/>
                <w:color w:val="auto"/>
                <w:szCs w:val="21"/>
              </w:rPr>
              <w:t>粉尘</w:t>
            </w:r>
          </w:p>
        </w:tc>
        <w:tc>
          <w:tcPr>
            <w:tcW w:w="991" w:type="dxa"/>
            <w:vMerge w:val="continue"/>
            <w:vAlign w:val="center"/>
          </w:tcPr>
          <w:p w14:paraId="21D1DEAF">
            <w:pPr>
              <w:jc w:val="center"/>
              <w:rPr>
                <w:rFonts w:hint="default" w:ascii="Times New Roman" w:hAnsi="Times New Roman" w:eastAsia="宋体" w:cs="Times New Roman"/>
                <w:b w:val="0"/>
                <w:bCs w:val="0"/>
                <w:color w:val="auto"/>
                <w:kern w:val="2"/>
                <w:sz w:val="21"/>
                <w:szCs w:val="21"/>
                <w:lang w:val="en-US" w:eastAsia="zh-CN" w:bidi="ar-SA"/>
              </w:rPr>
            </w:pPr>
          </w:p>
        </w:tc>
        <w:tc>
          <w:tcPr>
            <w:tcW w:w="2554" w:type="dxa"/>
            <w:vAlign w:val="center"/>
          </w:tcPr>
          <w:p w14:paraId="6DFD7221">
            <w:pPr>
              <w:pStyle w:val="5"/>
              <w:autoSpaceDE/>
              <w:autoSpaceDN/>
              <w:adjustRightInd w:val="0"/>
              <w:snapToGrid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三面</w:t>
            </w:r>
            <w:r>
              <w:rPr>
                <w:rFonts w:hint="default" w:ascii="Times New Roman" w:hAnsi="Times New Roman" w:eastAsia="宋体" w:cs="Times New Roman"/>
                <w:b w:val="0"/>
                <w:bCs w:val="0"/>
                <w:color w:val="auto"/>
                <w:kern w:val="2"/>
                <w:sz w:val="21"/>
                <w:szCs w:val="21"/>
                <w:lang w:val="en-US" w:eastAsia="zh-CN" w:bidi="ar-SA"/>
              </w:rPr>
              <w:t>围挡＋</w:t>
            </w:r>
            <w:r>
              <w:rPr>
                <w:rFonts w:hint="default" w:ascii="Times New Roman" w:hAnsi="Times New Roman" w:cs="Times New Roman"/>
                <w:b w:val="0"/>
                <w:bCs w:val="0"/>
                <w:color w:val="auto"/>
                <w:kern w:val="2"/>
                <w:sz w:val="21"/>
                <w:szCs w:val="21"/>
                <w:lang w:val="en-US" w:eastAsia="zh-CN" w:bidi="ar-SA"/>
              </w:rPr>
              <w:t>顶棚+</w:t>
            </w:r>
            <w:r>
              <w:rPr>
                <w:rFonts w:hint="default" w:ascii="Times New Roman" w:hAnsi="Times New Roman" w:eastAsia="宋体" w:cs="Times New Roman"/>
                <w:b w:val="0"/>
                <w:bCs w:val="0"/>
                <w:color w:val="auto"/>
                <w:kern w:val="2"/>
                <w:sz w:val="21"/>
                <w:szCs w:val="21"/>
                <w:lang w:val="en-US" w:eastAsia="zh-CN" w:bidi="ar-SA"/>
              </w:rPr>
              <w:t>苫布遮盖措施以及洒水降尘</w:t>
            </w:r>
          </w:p>
        </w:tc>
        <w:tc>
          <w:tcPr>
            <w:tcW w:w="1898" w:type="dxa"/>
            <w:vMerge w:val="continue"/>
            <w:vAlign w:val="center"/>
          </w:tcPr>
          <w:p w14:paraId="43D8838B">
            <w:pPr>
              <w:pStyle w:val="27"/>
              <w:rPr>
                <w:rFonts w:hint="default" w:ascii="Times New Roman" w:hAnsi="Times New Roman" w:cs="Times New Roman"/>
                <w:color w:val="auto"/>
              </w:rPr>
            </w:pPr>
          </w:p>
        </w:tc>
      </w:tr>
      <w:tr w14:paraId="0C48B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56" w:type="dxa"/>
            <w:vMerge w:val="continue"/>
            <w:vAlign w:val="center"/>
          </w:tcPr>
          <w:p w14:paraId="3591C745">
            <w:pPr>
              <w:pStyle w:val="27"/>
              <w:rPr>
                <w:rFonts w:hint="default" w:ascii="Times New Roman" w:hAnsi="Times New Roman" w:cs="Times New Roman"/>
                <w:color w:val="auto"/>
              </w:rPr>
            </w:pPr>
          </w:p>
        </w:tc>
        <w:tc>
          <w:tcPr>
            <w:tcW w:w="1772" w:type="dxa"/>
            <w:vAlign w:val="center"/>
          </w:tcPr>
          <w:p w14:paraId="23907280">
            <w:pPr>
              <w:pStyle w:val="27"/>
              <w:rPr>
                <w:rFonts w:hint="default" w:ascii="Times New Roman" w:hAnsi="Times New Roman" w:cs="Times New Roman"/>
                <w:color w:val="auto"/>
                <w:szCs w:val="21"/>
              </w:rPr>
            </w:pPr>
            <w:r>
              <w:rPr>
                <w:rFonts w:hint="default" w:ascii="Times New Roman" w:hAnsi="Times New Roman" w:cs="Times New Roman"/>
                <w:bCs/>
                <w:color w:val="auto"/>
                <w:szCs w:val="21"/>
                <w:lang w:val="en-US" w:eastAsia="zh-CN"/>
              </w:rPr>
              <w:t>搅拌机粉尘</w:t>
            </w:r>
          </w:p>
        </w:tc>
        <w:tc>
          <w:tcPr>
            <w:tcW w:w="991" w:type="dxa"/>
            <w:vMerge w:val="continue"/>
            <w:vAlign w:val="center"/>
          </w:tcPr>
          <w:p w14:paraId="0B512CC2">
            <w:pPr>
              <w:pStyle w:val="27"/>
              <w:rPr>
                <w:rFonts w:hint="default" w:ascii="Times New Roman" w:hAnsi="Times New Roman" w:cs="Times New Roman"/>
                <w:color w:val="auto"/>
                <w:szCs w:val="21"/>
              </w:rPr>
            </w:pPr>
          </w:p>
        </w:tc>
        <w:tc>
          <w:tcPr>
            <w:tcW w:w="2554" w:type="dxa"/>
            <w:vAlign w:val="center"/>
          </w:tcPr>
          <w:p w14:paraId="3BC88BD2">
            <w:pPr>
              <w:pStyle w:val="27"/>
              <w:rPr>
                <w:rFonts w:hint="default" w:ascii="Times New Roman" w:hAnsi="Times New Roman" w:cs="Times New Roman"/>
                <w:color w:val="auto"/>
                <w:szCs w:val="21"/>
              </w:rPr>
            </w:pPr>
            <w:r>
              <w:rPr>
                <w:rFonts w:hint="default" w:ascii="Times New Roman" w:hAnsi="Times New Roman" w:cs="Times New Roman"/>
                <w:bCs/>
                <w:color w:val="auto"/>
                <w:szCs w:val="21"/>
              </w:rPr>
              <w:t>搅拌机和投料口进行整体封闭</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洒水降尘。</w:t>
            </w:r>
          </w:p>
        </w:tc>
        <w:tc>
          <w:tcPr>
            <w:tcW w:w="1898" w:type="dxa"/>
            <w:vAlign w:val="center"/>
          </w:tcPr>
          <w:p w14:paraId="69EAEE15">
            <w:pPr>
              <w:pStyle w:val="27"/>
              <w:rPr>
                <w:rFonts w:hint="default" w:ascii="Times New Roman" w:hAnsi="Times New Roman" w:cs="Times New Roman"/>
                <w:color w:val="auto"/>
              </w:rPr>
            </w:pPr>
            <w:r>
              <w:rPr>
                <w:rFonts w:hint="default" w:ascii="Times New Roman" w:hAnsi="Times New Roman" w:cs="Times New Roman"/>
                <w:color w:val="auto"/>
              </w:rPr>
              <w:t>《水泥工业大气污染物排放标准》（GB4915-2013）表3</w:t>
            </w:r>
          </w:p>
        </w:tc>
      </w:tr>
      <w:tr w14:paraId="55DDB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Merge w:val="continue"/>
            <w:vAlign w:val="center"/>
          </w:tcPr>
          <w:p w14:paraId="204893DC">
            <w:pPr>
              <w:pStyle w:val="27"/>
              <w:rPr>
                <w:rFonts w:hint="default" w:ascii="Times New Roman" w:hAnsi="Times New Roman" w:cs="Times New Roman"/>
                <w:color w:val="auto"/>
              </w:rPr>
            </w:pPr>
          </w:p>
        </w:tc>
        <w:tc>
          <w:tcPr>
            <w:tcW w:w="1772" w:type="dxa"/>
            <w:vAlign w:val="center"/>
          </w:tcPr>
          <w:p w14:paraId="5FD62533">
            <w:pPr>
              <w:pStyle w:val="27"/>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汽车尾气</w:t>
            </w:r>
          </w:p>
        </w:tc>
        <w:tc>
          <w:tcPr>
            <w:tcW w:w="991" w:type="dxa"/>
            <w:vAlign w:val="center"/>
          </w:tcPr>
          <w:p w14:paraId="290FA1E3">
            <w:pPr>
              <w:pStyle w:val="27"/>
              <w:ind w:firstLine="0" w:firstLineChars="0"/>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Cs w:val="21"/>
              </w:rPr>
              <w:t>TSP</w:t>
            </w:r>
          </w:p>
        </w:tc>
        <w:tc>
          <w:tcPr>
            <w:tcW w:w="2554" w:type="dxa"/>
            <w:vAlign w:val="center"/>
          </w:tcPr>
          <w:p w14:paraId="3B3ECFB0">
            <w:pPr>
              <w:pStyle w:val="27"/>
              <w:ind w:firstLine="0" w:firstLineChars="0"/>
              <w:rPr>
                <w:rFonts w:hint="default" w:ascii="Times New Roman" w:hAnsi="Times New Roman" w:cs="Times New Roman"/>
                <w:color w:val="auto"/>
                <w:kern w:val="2"/>
                <w:sz w:val="21"/>
                <w:szCs w:val="21"/>
                <w:lang w:eastAsia="zh-CN"/>
              </w:rPr>
            </w:pPr>
            <w:r>
              <w:rPr>
                <w:rFonts w:hint="default" w:ascii="Times New Roman" w:hAnsi="Times New Roman" w:cs="Times New Roman"/>
                <w:bCs/>
                <w:color w:val="auto"/>
              </w:rPr>
              <w:t>自然扩散</w:t>
            </w:r>
          </w:p>
        </w:tc>
        <w:tc>
          <w:tcPr>
            <w:tcW w:w="1898" w:type="dxa"/>
            <w:vAlign w:val="center"/>
          </w:tcPr>
          <w:p w14:paraId="5937123E">
            <w:pPr>
              <w:pStyle w:val="27"/>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r>
      <w:tr w14:paraId="5C4D5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Merge w:val="restart"/>
            <w:vAlign w:val="center"/>
          </w:tcPr>
          <w:p w14:paraId="2E339D60">
            <w:pPr>
              <w:pStyle w:val="27"/>
              <w:rPr>
                <w:rFonts w:hint="default" w:ascii="Times New Roman" w:hAnsi="Times New Roman" w:cs="Times New Roman"/>
                <w:color w:val="auto"/>
              </w:rPr>
            </w:pPr>
            <w:r>
              <w:rPr>
                <w:rFonts w:hint="default" w:ascii="Times New Roman" w:hAnsi="Times New Roman" w:cs="Times New Roman"/>
                <w:color w:val="auto"/>
              </w:rPr>
              <w:t>地表水环境</w:t>
            </w:r>
          </w:p>
        </w:tc>
        <w:tc>
          <w:tcPr>
            <w:tcW w:w="1772" w:type="dxa"/>
            <w:vAlign w:val="center"/>
          </w:tcPr>
          <w:p w14:paraId="31810677">
            <w:pPr>
              <w:jc w:val="center"/>
              <w:rPr>
                <w:rFonts w:hint="default" w:ascii="Times New Roman" w:hAnsi="Times New Roman" w:cs="Times New Roman"/>
                <w:color w:val="auto"/>
                <w:kern w:val="2"/>
                <w:sz w:val="21"/>
                <w:szCs w:val="52"/>
                <w:lang w:eastAsia="zh-CN"/>
              </w:rPr>
            </w:pPr>
            <w:r>
              <w:rPr>
                <w:rFonts w:hint="default" w:ascii="Times New Roman" w:hAnsi="Times New Roman" w:cs="Times New Roman"/>
                <w:color w:val="auto"/>
                <w:kern w:val="2"/>
                <w:sz w:val="21"/>
                <w:szCs w:val="52"/>
                <w:lang w:val="en-US" w:eastAsia="zh-CN"/>
              </w:rPr>
              <w:t>道路、场地抑尘</w:t>
            </w:r>
          </w:p>
          <w:p w14:paraId="71AE178E">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52"/>
                <w:lang w:eastAsia="zh-CN"/>
              </w:rPr>
              <w:t>用水</w:t>
            </w:r>
          </w:p>
        </w:tc>
        <w:tc>
          <w:tcPr>
            <w:tcW w:w="991" w:type="dxa"/>
            <w:vAlign w:val="center"/>
          </w:tcPr>
          <w:p w14:paraId="3D66EC84">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SS</w:t>
            </w:r>
          </w:p>
        </w:tc>
        <w:tc>
          <w:tcPr>
            <w:tcW w:w="2554" w:type="dxa"/>
            <w:vAlign w:val="center"/>
          </w:tcPr>
          <w:p w14:paraId="18A5CA31">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rPr>
              <w:t>道路、场地抑尘用水此过程用水全部自然蒸发，无废水产生。</w:t>
            </w:r>
          </w:p>
        </w:tc>
        <w:tc>
          <w:tcPr>
            <w:tcW w:w="1898" w:type="dxa"/>
            <w:vAlign w:val="center"/>
          </w:tcPr>
          <w:p w14:paraId="00D01BA2">
            <w:pPr>
              <w:adjustRightInd w:val="0"/>
              <w:snapToGrid w:val="0"/>
              <w:jc w:val="both"/>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蒸发损耗，不外排。</w:t>
            </w:r>
          </w:p>
        </w:tc>
      </w:tr>
      <w:tr w14:paraId="5332F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Merge w:val="continue"/>
            <w:vAlign w:val="center"/>
          </w:tcPr>
          <w:p w14:paraId="03FD15E0">
            <w:pPr>
              <w:pStyle w:val="27"/>
              <w:rPr>
                <w:rFonts w:hint="default" w:ascii="Times New Roman" w:hAnsi="Times New Roman" w:cs="Times New Roman"/>
                <w:color w:val="auto"/>
              </w:rPr>
            </w:pPr>
          </w:p>
        </w:tc>
        <w:tc>
          <w:tcPr>
            <w:tcW w:w="1772" w:type="dxa"/>
            <w:vAlign w:val="center"/>
          </w:tcPr>
          <w:p w14:paraId="060DF7AC">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52"/>
                <w:lang w:val="en-US" w:eastAsia="zh-CN"/>
              </w:rPr>
              <w:t>喷雾降尘用水</w:t>
            </w:r>
          </w:p>
        </w:tc>
        <w:tc>
          <w:tcPr>
            <w:tcW w:w="991" w:type="dxa"/>
            <w:vAlign w:val="center"/>
          </w:tcPr>
          <w:p w14:paraId="5533CAB4">
            <w:pPr>
              <w:adjustRightInd w:val="0"/>
              <w:snapToGrid w:val="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SS</w:t>
            </w:r>
          </w:p>
        </w:tc>
        <w:tc>
          <w:tcPr>
            <w:tcW w:w="2554" w:type="dxa"/>
            <w:vAlign w:val="center"/>
          </w:tcPr>
          <w:p w14:paraId="5ECA9E55">
            <w:pPr>
              <w:adjustRightInd w:val="0"/>
              <w:snapToGrid w:val="0"/>
              <w:rPr>
                <w:rFonts w:hint="default" w:ascii="Times New Roman" w:hAnsi="Times New Roman" w:cs="Times New Roman"/>
                <w:bCs w:val="0"/>
                <w:color w:val="auto"/>
                <w:kern w:val="2"/>
                <w:sz w:val="21"/>
                <w:szCs w:val="21"/>
                <w:lang w:eastAsia="zh-CN"/>
              </w:rPr>
            </w:pPr>
            <w:r>
              <w:rPr>
                <w:rFonts w:hint="default" w:ascii="Times New Roman" w:hAnsi="Times New Roman" w:cs="Times New Roman"/>
                <w:color w:val="auto"/>
              </w:rPr>
              <w:t>此部分用水全部分蒸发消耗，不外排。</w:t>
            </w:r>
          </w:p>
        </w:tc>
        <w:tc>
          <w:tcPr>
            <w:tcW w:w="1898" w:type="dxa"/>
            <w:vAlign w:val="center"/>
          </w:tcPr>
          <w:p w14:paraId="5A631D92">
            <w:pPr>
              <w:adjustRightInd w:val="0"/>
              <w:snapToGrid w:val="0"/>
              <w:jc w:val="both"/>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蒸发损耗，不外排。</w:t>
            </w:r>
          </w:p>
        </w:tc>
      </w:tr>
      <w:tr w14:paraId="79FEA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856" w:type="dxa"/>
            <w:vMerge w:val="continue"/>
            <w:vAlign w:val="center"/>
          </w:tcPr>
          <w:p w14:paraId="5595D976">
            <w:pPr>
              <w:pStyle w:val="27"/>
              <w:rPr>
                <w:rFonts w:hint="default" w:ascii="Times New Roman" w:hAnsi="Times New Roman" w:cs="Times New Roman"/>
                <w:color w:val="auto"/>
              </w:rPr>
            </w:pPr>
          </w:p>
        </w:tc>
        <w:tc>
          <w:tcPr>
            <w:tcW w:w="1772" w:type="dxa"/>
            <w:vAlign w:val="center"/>
          </w:tcPr>
          <w:p w14:paraId="46E88ABF">
            <w:pPr>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52"/>
                <w:lang w:val="en-US" w:eastAsia="zh-CN"/>
              </w:rPr>
              <w:t>拌合用水</w:t>
            </w:r>
          </w:p>
        </w:tc>
        <w:tc>
          <w:tcPr>
            <w:tcW w:w="991" w:type="dxa"/>
            <w:vAlign w:val="center"/>
          </w:tcPr>
          <w:p w14:paraId="3358859C">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SS</w:t>
            </w:r>
          </w:p>
        </w:tc>
        <w:tc>
          <w:tcPr>
            <w:tcW w:w="2554" w:type="dxa"/>
            <w:vAlign w:val="center"/>
          </w:tcPr>
          <w:p w14:paraId="622AEC72">
            <w:pPr>
              <w:pStyle w:val="27"/>
              <w:jc w:val="both"/>
              <w:rPr>
                <w:rFonts w:hint="default" w:ascii="Times New Roman" w:hAnsi="Times New Roman" w:cs="Times New Roman"/>
                <w:color w:val="auto"/>
                <w:szCs w:val="21"/>
              </w:rPr>
            </w:pPr>
            <w:r>
              <w:rPr>
                <w:rFonts w:hint="default" w:ascii="Times New Roman" w:hAnsi="Times New Roman" w:cs="Times New Roman"/>
                <w:bCs/>
                <w:color w:val="auto"/>
                <w:kern w:val="2"/>
                <w:sz w:val="21"/>
                <w:szCs w:val="21"/>
                <w:lang w:eastAsia="zh-CN"/>
              </w:rPr>
              <w:t>原料混合搅拌用水全部进入产品，不外排，故不产生废水。</w:t>
            </w:r>
          </w:p>
        </w:tc>
        <w:tc>
          <w:tcPr>
            <w:tcW w:w="1898" w:type="dxa"/>
            <w:vAlign w:val="center"/>
          </w:tcPr>
          <w:p w14:paraId="632C1858">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蒸发损耗，不外排。</w:t>
            </w:r>
          </w:p>
        </w:tc>
      </w:tr>
      <w:tr w14:paraId="112EC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856" w:type="dxa"/>
            <w:vMerge w:val="continue"/>
            <w:vAlign w:val="center"/>
          </w:tcPr>
          <w:p w14:paraId="411C5B1E">
            <w:pPr>
              <w:pStyle w:val="27"/>
              <w:rPr>
                <w:rFonts w:hint="default" w:ascii="Times New Roman" w:hAnsi="Times New Roman" w:cs="Times New Roman"/>
                <w:color w:val="auto"/>
              </w:rPr>
            </w:pPr>
          </w:p>
        </w:tc>
        <w:tc>
          <w:tcPr>
            <w:tcW w:w="1772" w:type="dxa"/>
            <w:vAlign w:val="center"/>
          </w:tcPr>
          <w:p w14:paraId="3BA90BF6">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搅拌机清洗用水、运输车辆冲洗用水</w:t>
            </w:r>
          </w:p>
        </w:tc>
        <w:tc>
          <w:tcPr>
            <w:tcW w:w="991" w:type="dxa"/>
            <w:vAlign w:val="center"/>
          </w:tcPr>
          <w:p w14:paraId="4FFAFE52">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SS</w:t>
            </w:r>
          </w:p>
        </w:tc>
        <w:tc>
          <w:tcPr>
            <w:tcW w:w="2554" w:type="dxa"/>
            <w:vAlign w:val="center"/>
          </w:tcPr>
          <w:p w14:paraId="626561FA">
            <w:pPr>
              <w:pStyle w:val="27"/>
              <w:jc w:val="both"/>
              <w:rPr>
                <w:rFonts w:hint="default" w:ascii="Times New Roman" w:hAnsi="Times New Roman" w:cs="Times New Roman"/>
                <w:bCs/>
                <w:color w:val="auto"/>
                <w:kern w:val="2"/>
                <w:sz w:val="21"/>
                <w:szCs w:val="21"/>
                <w:lang w:eastAsia="zh-CN"/>
              </w:rPr>
            </w:pPr>
            <w:r>
              <w:rPr>
                <w:rFonts w:hint="default" w:ascii="Times New Roman" w:hAnsi="Times New Roman" w:cs="Times New Roman"/>
                <w:bCs/>
                <w:color w:val="auto"/>
                <w:kern w:val="2"/>
                <w:sz w:val="21"/>
                <w:szCs w:val="21"/>
                <w:lang w:eastAsia="zh-CN"/>
              </w:rPr>
              <w:t>搅拌机冲洗废水和运输车辆冲洗废水经三级沉淀池（</w:t>
            </w:r>
            <w:r>
              <w:rPr>
                <w:rFonts w:hint="default" w:ascii="Times New Roman" w:hAnsi="Times New Roman" w:cs="Times New Roman"/>
                <w:bCs/>
                <w:color w:val="auto"/>
                <w:kern w:val="2"/>
                <w:sz w:val="21"/>
                <w:szCs w:val="21"/>
                <w:lang w:val="en-US" w:eastAsia="zh-CN"/>
              </w:rPr>
              <w:t>容积200m</w:t>
            </w:r>
            <w:r>
              <w:rPr>
                <w:rFonts w:hint="default" w:ascii="Times New Roman" w:hAnsi="Times New Roman" w:cs="Times New Roman"/>
                <w:bCs/>
                <w:color w:val="auto"/>
                <w:kern w:val="2"/>
                <w:sz w:val="21"/>
                <w:szCs w:val="21"/>
                <w:vertAlign w:val="superscript"/>
                <w:lang w:val="en-US" w:eastAsia="zh-CN"/>
              </w:rPr>
              <w:t>3</w:t>
            </w:r>
            <w:r>
              <w:rPr>
                <w:rFonts w:hint="default" w:ascii="Times New Roman" w:hAnsi="Times New Roman" w:cs="Times New Roman"/>
                <w:bCs/>
                <w:color w:val="auto"/>
                <w:kern w:val="2"/>
                <w:sz w:val="21"/>
                <w:szCs w:val="21"/>
                <w:lang w:eastAsia="zh-CN"/>
              </w:rPr>
              <w:t>）处理后循环使用，不外排。</w:t>
            </w:r>
          </w:p>
        </w:tc>
        <w:tc>
          <w:tcPr>
            <w:tcW w:w="1898" w:type="dxa"/>
            <w:vAlign w:val="center"/>
          </w:tcPr>
          <w:p w14:paraId="0062ABD5">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bidi="ar"/>
              </w:rPr>
              <w:t>回用于生产或洒水降尘，不外排。</w:t>
            </w:r>
          </w:p>
        </w:tc>
      </w:tr>
      <w:tr w14:paraId="59CB6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856" w:type="dxa"/>
            <w:vMerge w:val="continue"/>
            <w:vAlign w:val="center"/>
          </w:tcPr>
          <w:p w14:paraId="26EEF03E">
            <w:pPr>
              <w:pStyle w:val="27"/>
              <w:rPr>
                <w:rFonts w:hint="default" w:ascii="Times New Roman" w:hAnsi="Times New Roman" w:cs="Times New Roman"/>
                <w:color w:val="auto"/>
              </w:rPr>
            </w:pPr>
          </w:p>
        </w:tc>
        <w:tc>
          <w:tcPr>
            <w:tcW w:w="1772" w:type="dxa"/>
            <w:vAlign w:val="center"/>
          </w:tcPr>
          <w:p w14:paraId="795F65B9">
            <w:pPr>
              <w:jc w:val="center"/>
              <w:rPr>
                <w:rFonts w:hint="default" w:ascii="Times New Roman" w:hAnsi="Times New Roman" w:cs="Times New Roman"/>
                <w:color w:val="auto"/>
                <w:kern w:val="2"/>
                <w:sz w:val="21"/>
                <w:szCs w:val="52"/>
                <w:lang w:val="en-US" w:eastAsia="zh-CN"/>
              </w:rPr>
            </w:pPr>
            <w:r>
              <w:rPr>
                <w:rFonts w:hint="default" w:ascii="Times New Roman" w:hAnsi="Times New Roman" w:cs="Times New Roman"/>
                <w:color w:val="auto"/>
                <w:kern w:val="2"/>
                <w:sz w:val="21"/>
                <w:szCs w:val="52"/>
                <w:lang w:val="en-US" w:eastAsia="zh-CN"/>
              </w:rPr>
              <w:t>生活污水</w:t>
            </w:r>
          </w:p>
        </w:tc>
        <w:tc>
          <w:tcPr>
            <w:tcW w:w="991" w:type="dxa"/>
            <w:vAlign w:val="center"/>
          </w:tcPr>
          <w:p w14:paraId="465FBB2B">
            <w:pPr>
              <w:adjustRightInd w:val="0"/>
              <w:snapToGrid w:val="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CODcr、BOD</w:t>
            </w:r>
            <w:r>
              <w:rPr>
                <w:rFonts w:hint="default" w:ascii="Times New Roman" w:hAnsi="Times New Roman" w:cs="Times New Roman"/>
                <w:color w:val="auto"/>
                <w:kern w:val="2"/>
                <w:sz w:val="21"/>
                <w:szCs w:val="21"/>
                <w:vertAlign w:val="subscript"/>
                <w:lang w:eastAsia="zh-CN"/>
              </w:rPr>
              <w:t>5</w:t>
            </w:r>
            <w:r>
              <w:rPr>
                <w:rFonts w:hint="default" w:ascii="Times New Roman" w:hAnsi="Times New Roman" w:cs="Times New Roman"/>
                <w:color w:val="auto"/>
                <w:kern w:val="2"/>
                <w:sz w:val="21"/>
                <w:szCs w:val="21"/>
                <w:lang w:eastAsia="zh-CN"/>
              </w:rPr>
              <w:t>、SS、NH</w:t>
            </w:r>
            <w:r>
              <w:rPr>
                <w:rFonts w:hint="default" w:ascii="Times New Roman" w:hAnsi="Times New Roman" w:cs="Times New Roman"/>
                <w:color w:val="auto"/>
                <w:kern w:val="2"/>
                <w:sz w:val="21"/>
                <w:szCs w:val="21"/>
                <w:vertAlign w:val="subscript"/>
                <w:lang w:eastAsia="zh-CN"/>
              </w:rPr>
              <w:t>3</w:t>
            </w:r>
            <w:r>
              <w:rPr>
                <w:rFonts w:hint="default" w:ascii="Times New Roman" w:hAnsi="Times New Roman" w:cs="Times New Roman"/>
                <w:color w:val="auto"/>
                <w:kern w:val="2"/>
                <w:sz w:val="21"/>
                <w:szCs w:val="21"/>
                <w:lang w:eastAsia="zh-CN"/>
              </w:rPr>
              <w:t>-N</w:t>
            </w:r>
          </w:p>
        </w:tc>
        <w:tc>
          <w:tcPr>
            <w:tcW w:w="2554" w:type="dxa"/>
            <w:vAlign w:val="center"/>
          </w:tcPr>
          <w:p w14:paraId="3F390FE3">
            <w:pPr>
              <w:pStyle w:val="27"/>
              <w:jc w:val="both"/>
              <w:rPr>
                <w:rFonts w:hint="default" w:ascii="Times New Roman" w:hAnsi="Times New Roman" w:cs="Times New Roman"/>
                <w:bCs/>
                <w:color w:val="auto"/>
                <w:kern w:val="2"/>
                <w:sz w:val="21"/>
                <w:szCs w:val="21"/>
                <w:lang w:eastAsia="zh-CN"/>
              </w:rPr>
            </w:pPr>
            <w:r>
              <w:rPr>
                <w:rFonts w:hint="default" w:ascii="Times New Roman" w:hAnsi="Times New Roman" w:cs="Times New Roman"/>
                <w:bCs/>
                <w:color w:val="auto"/>
                <w:kern w:val="2"/>
                <w:sz w:val="21"/>
                <w:szCs w:val="21"/>
                <w:lang w:eastAsia="zh-CN"/>
              </w:rPr>
              <w:t>本项目产生的生活污水经化粪池（容积3m</w:t>
            </w:r>
            <w:r>
              <w:rPr>
                <w:rFonts w:hint="default" w:ascii="Times New Roman" w:hAnsi="Times New Roman" w:cs="Times New Roman"/>
                <w:bCs/>
                <w:color w:val="auto"/>
                <w:kern w:val="2"/>
                <w:sz w:val="21"/>
                <w:szCs w:val="21"/>
                <w:vertAlign w:val="superscript"/>
                <w:lang w:eastAsia="zh-CN"/>
              </w:rPr>
              <w:t>3</w:t>
            </w:r>
            <w:r>
              <w:rPr>
                <w:rFonts w:hint="default" w:ascii="Times New Roman" w:hAnsi="Times New Roman" w:cs="Times New Roman"/>
                <w:bCs/>
                <w:color w:val="auto"/>
                <w:kern w:val="2"/>
                <w:sz w:val="21"/>
                <w:szCs w:val="21"/>
                <w:lang w:eastAsia="zh-CN"/>
              </w:rPr>
              <w:t>）预处理后进1个规模为2m</w:t>
            </w:r>
            <w:r>
              <w:rPr>
                <w:rFonts w:hint="default" w:ascii="Times New Roman" w:hAnsi="Times New Roman" w:cs="Times New Roman"/>
                <w:bCs/>
                <w:color w:val="auto"/>
                <w:kern w:val="2"/>
                <w:sz w:val="21"/>
                <w:szCs w:val="21"/>
                <w:vertAlign w:val="superscript"/>
                <w:lang w:eastAsia="zh-CN"/>
              </w:rPr>
              <w:t>3</w:t>
            </w:r>
            <w:r>
              <w:rPr>
                <w:rFonts w:hint="default" w:ascii="Times New Roman" w:hAnsi="Times New Roman" w:cs="Times New Roman"/>
                <w:bCs/>
                <w:color w:val="auto"/>
                <w:kern w:val="2"/>
                <w:sz w:val="21"/>
                <w:szCs w:val="21"/>
                <w:lang w:eastAsia="zh-CN"/>
              </w:rPr>
              <w:t>/d的一体化污水处理站处理达《城市污水再生利用 城市杂用水水质》（GB/T 18920-2020）中城市绿化、道路清扫、消防、建筑施工标准后回用于项目区洒水降尘。</w:t>
            </w:r>
          </w:p>
        </w:tc>
        <w:tc>
          <w:tcPr>
            <w:tcW w:w="1898" w:type="dxa"/>
            <w:vAlign w:val="center"/>
          </w:tcPr>
          <w:p w14:paraId="35DA40AD">
            <w:pPr>
              <w:adjustRightInd w:val="0"/>
              <w:snapToGrid w:val="0"/>
              <w:jc w:val="center"/>
              <w:rPr>
                <w:rFonts w:hint="default" w:ascii="Times New Roman" w:hAnsi="Times New Roman" w:cs="Times New Roman"/>
                <w:color w:val="auto"/>
                <w:sz w:val="21"/>
                <w:szCs w:val="21"/>
                <w:lang w:eastAsia="zh-CN" w:bidi="ar"/>
              </w:rPr>
            </w:pPr>
            <w:r>
              <w:rPr>
                <w:rFonts w:hint="default" w:ascii="Times New Roman" w:hAnsi="Times New Roman" w:cs="Times New Roman"/>
                <w:bCs/>
                <w:color w:val="auto"/>
                <w:kern w:val="2"/>
                <w:sz w:val="21"/>
                <w:szCs w:val="21"/>
                <w:lang w:eastAsia="zh-CN"/>
              </w:rPr>
              <w:t>《城市污水再生利用 城市杂用水水质》（GB/T 18920-2020）中城市绿化、道路清扫、消防、建筑施工标准</w:t>
            </w:r>
          </w:p>
        </w:tc>
      </w:tr>
      <w:tr w14:paraId="16792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856" w:type="dxa"/>
            <w:vMerge w:val="continue"/>
            <w:vAlign w:val="center"/>
          </w:tcPr>
          <w:p w14:paraId="0C2A0870">
            <w:pPr>
              <w:pStyle w:val="27"/>
              <w:rPr>
                <w:rFonts w:hint="default" w:ascii="Times New Roman" w:hAnsi="Times New Roman" w:cs="Times New Roman"/>
                <w:color w:val="auto"/>
              </w:rPr>
            </w:pPr>
          </w:p>
        </w:tc>
        <w:tc>
          <w:tcPr>
            <w:tcW w:w="1772" w:type="dxa"/>
            <w:vAlign w:val="center"/>
          </w:tcPr>
          <w:p w14:paraId="11B2A51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初期雨水</w:t>
            </w:r>
          </w:p>
        </w:tc>
        <w:tc>
          <w:tcPr>
            <w:tcW w:w="991" w:type="dxa"/>
            <w:vAlign w:val="center"/>
          </w:tcPr>
          <w:p w14:paraId="3F2ED62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SS</w:t>
            </w:r>
          </w:p>
        </w:tc>
        <w:tc>
          <w:tcPr>
            <w:tcW w:w="2554" w:type="dxa"/>
            <w:vAlign w:val="center"/>
          </w:tcPr>
          <w:p w14:paraId="222BDCD2">
            <w:pPr>
              <w:pStyle w:val="27"/>
              <w:rPr>
                <w:rFonts w:hint="default" w:ascii="Times New Roman" w:hAnsi="Times New Roman" w:cs="Times New Roman"/>
                <w:color w:val="auto"/>
                <w:szCs w:val="21"/>
              </w:rPr>
            </w:pPr>
            <w:r>
              <w:rPr>
                <w:rFonts w:hint="default" w:ascii="Times New Roman" w:hAnsi="Times New Roman" w:cs="Times New Roman"/>
                <w:color w:val="auto"/>
                <w:szCs w:val="21"/>
              </w:rPr>
              <w:t>在项目区西南侧地势较低处设置1个容积为54m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的初期雨水收集池，</w:t>
            </w:r>
            <w:r>
              <w:rPr>
                <w:rFonts w:hint="default" w:ascii="Times New Roman" w:hAnsi="Times New Roman" w:cs="Times New Roman"/>
                <w:color w:val="auto"/>
                <w:kern w:val="0"/>
                <w:szCs w:val="21"/>
                <w:lang w:bidi="ar"/>
              </w:rPr>
              <w:t>项目区实行雨污分流。初期雨水经项目内新建的雨水排水沟（东侧拟布设有混凝土排水沟，尺寸0.4×0.4m，长206m）汇集后进入</w:t>
            </w:r>
            <w:r>
              <w:rPr>
                <w:rFonts w:hint="default" w:ascii="Times New Roman" w:hAnsi="Times New Roman" w:cs="Times New Roman"/>
                <w:color w:val="auto"/>
                <w:kern w:val="0"/>
                <w:szCs w:val="21"/>
                <w:lang w:val="en-US" w:eastAsia="zh-CN" w:bidi="ar"/>
              </w:rPr>
              <w:t>54</w:t>
            </w:r>
            <w:r>
              <w:rPr>
                <w:rFonts w:hint="default" w:ascii="Times New Roman" w:hAnsi="Times New Roman" w:cs="Times New Roman"/>
                <w:color w:val="auto"/>
                <w:kern w:val="0"/>
                <w:szCs w:val="21"/>
                <w:lang w:bidi="ar"/>
              </w:rPr>
              <w:t>m</w:t>
            </w:r>
            <w:r>
              <w:rPr>
                <w:rFonts w:hint="default" w:ascii="Times New Roman" w:hAnsi="Times New Roman" w:cs="Times New Roman"/>
                <w:color w:val="auto"/>
                <w:kern w:val="0"/>
                <w:szCs w:val="21"/>
                <w:vertAlign w:val="superscript"/>
                <w:lang w:bidi="ar"/>
              </w:rPr>
              <w:t>3</w:t>
            </w:r>
            <w:r>
              <w:rPr>
                <w:rFonts w:hint="default" w:ascii="Times New Roman" w:hAnsi="Times New Roman" w:cs="Times New Roman"/>
                <w:color w:val="auto"/>
                <w:kern w:val="0"/>
                <w:szCs w:val="21"/>
                <w:lang w:bidi="ar"/>
              </w:rPr>
              <w:t>初期雨水收集池内，回用于生产或洒水降尘，不外排。</w:t>
            </w:r>
          </w:p>
        </w:tc>
        <w:tc>
          <w:tcPr>
            <w:tcW w:w="1898" w:type="dxa"/>
            <w:vAlign w:val="center"/>
          </w:tcPr>
          <w:p w14:paraId="59EB22DF">
            <w:pPr>
              <w:adjustRightInd w:val="0"/>
              <w:snapToGrid w:val="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bidi="ar"/>
              </w:rPr>
              <w:t>回用于生产或洒水降尘，不外排。</w:t>
            </w:r>
          </w:p>
        </w:tc>
      </w:tr>
      <w:tr w14:paraId="3B0B4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73A5B8DE">
            <w:pPr>
              <w:pStyle w:val="27"/>
              <w:rPr>
                <w:rFonts w:hint="default" w:ascii="Times New Roman" w:hAnsi="Times New Roman" w:cs="Times New Roman"/>
                <w:color w:val="auto"/>
              </w:rPr>
            </w:pPr>
            <w:r>
              <w:rPr>
                <w:rFonts w:hint="default" w:ascii="Times New Roman" w:hAnsi="Times New Roman" w:cs="Times New Roman"/>
                <w:color w:val="auto"/>
              </w:rPr>
              <w:t>声环境</w:t>
            </w:r>
          </w:p>
        </w:tc>
        <w:tc>
          <w:tcPr>
            <w:tcW w:w="1772" w:type="dxa"/>
            <w:vAlign w:val="center"/>
          </w:tcPr>
          <w:p w14:paraId="1887D00D">
            <w:pPr>
              <w:pStyle w:val="27"/>
              <w:rPr>
                <w:rFonts w:hint="default" w:ascii="Times New Roman" w:hAnsi="Times New Roman" w:cs="Times New Roman"/>
                <w:color w:val="auto"/>
              </w:rPr>
            </w:pPr>
            <w:r>
              <w:rPr>
                <w:rFonts w:hint="default" w:ascii="Times New Roman" w:hAnsi="Times New Roman" w:cs="Times New Roman"/>
                <w:color w:val="auto"/>
              </w:rPr>
              <w:t>机械设备</w:t>
            </w:r>
          </w:p>
        </w:tc>
        <w:tc>
          <w:tcPr>
            <w:tcW w:w="991" w:type="dxa"/>
            <w:vAlign w:val="center"/>
          </w:tcPr>
          <w:p w14:paraId="33BB7F70">
            <w:pPr>
              <w:pStyle w:val="27"/>
              <w:rPr>
                <w:rFonts w:hint="default" w:ascii="Times New Roman" w:hAnsi="Times New Roman" w:cs="Times New Roman"/>
                <w:color w:val="auto"/>
              </w:rPr>
            </w:pPr>
            <w:r>
              <w:rPr>
                <w:rFonts w:hint="default" w:ascii="Times New Roman" w:hAnsi="Times New Roman" w:cs="Times New Roman"/>
                <w:color w:val="auto"/>
              </w:rPr>
              <w:t>噪声，</w:t>
            </w:r>
            <w:r>
              <w:rPr>
                <w:rFonts w:hint="default" w:ascii="Times New Roman" w:hAnsi="Times New Roman" w:cs="Times New Roman"/>
                <w:color w:val="auto"/>
                <w:lang w:val="en-US" w:eastAsia="zh-CN"/>
              </w:rPr>
              <w:t>60</w:t>
            </w:r>
            <w:r>
              <w:rPr>
                <w:rFonts w:hint="default" w:ascii="Times New Roman" w:hAnsi="Times New Roman" w:cs="Times New Roman"/>
                <w:color w:val="auto"/>
              </w:rPr>
              <w:t>~</w:t>
            </w:r>
            <w:r>
              <w:rPr>
                <w:rFonts w:hint="default" w:ascii="Times New Roman" w:hAnsi="Times New Roman" w:cs="Times New Roman"/>
                <w:color w:val="auto"/>
                <w:lang w:val="en-US" w:eastAsia="zh-CN"/>
              </w:rPr>
              <w:t>80</w:t>
            </w:r>
            <w:r>
              <w:rPr>
                <w:rFonts w:hint="default" w:ascii="Times New Roman" w:hAnsi="Times New Roman" w:cs="Times New Roman"/>
                <w:color w:val="auto"/>
              </w:rPr>
              <w:t>dB</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A</w:t>
            </w:r>
            <w:r>
              <w:rPr>
                <w:rFonts w:hint="default" w:ascii="Times New Roman" w:hAnsi="Times New Roman" w:cs="Times New Roman"/>
                <w:color w:val="auto"/>
                <w:lang w:eastAsia="zh-CN"/>
              </w:rPr>
              <w:t>）</w:t>
            </w:r>
          </w:p>
        </w:tc>
        <w:tc>
          <w:tcPr>
            <w:tcW w:w="2554" w:type="dxa"/>
            <w:vAlign w:val="center"/>
          </w:tcPr>
          <w:p w14:paraId="374E4321">
            <w:pPr>
              <w:pStyle w:val="27"/>
              <w:rPr>
                <w:rFonts w:hint="default" w:ascii="Times New Roman" w:hAnsi="Times New Roman" w:cs="Times New Roman"/>
                <w:color w:val="auto"/>
              </w:rPr>
            </w:pPr>
            <w:r>
              <w:rPr>
                <w:rFonts w:hint="default" w:ascii="Times New Roman" w:hAnsi="Times New Roman" w:cs="Times New Roman"/>
                <w:bCs/>
                <w:color w:val="auto"/>
                <w:spacing w:val="-10"/>
              </w:rPr>
              <w:t>设置产噪设备设安装减震垫，从源头降低噪声值，做好设备日常维护和保养工作，防止因故障导致高噪声的产生；合理安排生产线各设备运行时间，合理布局，降低项目设备噪声对周围环境的影响。</w:t>
            </w:r>
          </w:p>
        </w:tc>
        <w:tc>
          <w:tcPr>
            <w:tcW w:w="1898" w:type="dxa"/>
            <w:vAlign w:val="center"/>
          </w:tcPr>
          <w:p w14:paraId="50CF4083">
            <w:pPr>
              <w:pStyle w:val="27"/>
              <w:rPr>
                <w:rFonts w:hint="default" w:ascii="Times New Roman" w:hAnsi="Times New Roman" w:cs="Times New Roman"/>
                <w:color w:val="auto"/>
              </w:rPr>
            </w:pPr>
            <w:r>
              <w:rPr>
                <w:rFonts w:hint="default" w:ascii="Times New Roman" w:hAnsi="Times New Roman" w:cs="Times New Roman"/>
                <w:bCs w:val="0"/>
                <w:color w:val="auto"/>
                <w:sz w:val="21"/>
                <w:szCs w:val="21"/>
                <w:lang w:val="en-US" w:eastAsia="zh-CN" w:bidi="ar"/>
              </w:rPr>
              <w:t>其余厂界噪声执行</w:t>
            </w:r>
            <w:r>
              <w:rPr>
                <w:rFonts w:hint="default" w:ascii="Times New Roman" w:hAnsi="Times New Roman" w:cs="Times New Roman"/>
                <w:bCs w:val="0"/>
                <w:color w:val="auto"/>
                <w:sz w:val="21"/>
                <w:szCs w:val="21"/>
                <w:lang w:eastAsia="zh-CN" w:bidi="ar"/>
              </w:rPr>
              <w:t>《工业企业厂界环境噪声排放标准》（GB12348-2008）中2类标准</w:t>
            </w:r>
            <w:r>
              <w:rPr>
                <w:rFonts w:hint="default" w:ascii="Times New Roman" w:hAnsi="Times New Roman" w:cs="Times New Roman"/>
                <w:color w:val="auto"/>
                <w:sz w:val="21"/>
                <w:szCs w:val="21"/>
                <w:lang w:val="en-US" w:eastAsia="zh-CN" w:bidi="ar"/>
              </w:rPr>
              <w:t>限值要求。</w:t>
            </w:r>
          </w:p>
        </w:tc>
      </w:tr>
      <w:tr w14:paraId="0EB44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339DC93A">
            <w:pPr>
              <w:pStyle w:val="27"/>
              <w:rPr>
                <w:rFonts w:hint="default" w:ascii="Times New Roman" w:hAnsi="Times New Roman" w:cs="Times New Roman"/>
                <w:color w:val="auto"/>
              </w:rPr>
            </w:pPr>
            <w:r>
              <w:rPr>
                <w:rFonts w:hint="default" w:ascii="Times New Roman" w:hAnsi="Times New Roman" w:cs="Times New Roman"/>
                <w:color w:val="auto"/>
              </w:rPr>
              <w:t>电磁辐射</w:t>
            </w:r>
          </w:p>
        </w:tc>
        <w:tc>
          <w:tcPr>
            <w:tcW w:w="1772" w:type="dxa"/>
            <w:vAlign w:val="center"/>
          </w:tcPr>
          <w:p w14:paraId="33E000EE">
            <w:pPr>
              <w:pStyle w:val="27"/>
              <w:rPr>
                <w:rFonts w:hint="default" w:ascii="Times New Roman" w:hAnsi="Times New Roman" w:cs="Times New Roman"/>
                <w:color w:val="auto"/>
              </w:rPr>
            </w:pPr>
            <w:r>
              <w:rPr>
                <w:rFonts w:hint="default" w:ascii="Times New Roman" w:hAnsi="Times New Roman" w:cs="Times New Roman"/>
                <w:color w:val="auto"/>
              </w:rPr>
              <w:t>无</w:t>
            </w:r>
          </w:p>
        </w:tc>
        <w:tc>
          <w:tcPr>
            <w:tcW w:w="991" w:type="dxa"/>
            <w:vAlign w:val="center"/>
          </w:tcPr>
          <w:p w14:paraId="3BFDEBA7">
            <w:pPr>
              <w:pStyle w:val="27"/>
              <w:rPr>
                <w:rFonts w:hint="default" w:ascii="Times New Roman" w:hAnsi="Times New Roman" w:cs="Times New Roman"/>
                <w:color w:val="auto"/>
              </w:rPr>
            </w:pPr>
            <w:r>
              <w:rPr>
                <w:rFonts w:hint="default" w:ascii="Times New Roman" w:hAnsi="Times New Roman" w:cs="Times New Roman"/>
                <w:color w:val="auto"/>
              </w:rPr>
              <w:t>无</w:t>
            </w:r>
          </w:p>
        </w:tc>
        <w:tc>
          <w:tcPr>
            <w:tcW w:w="2554" w:type="dxa"/>
            <w:vAlign w:val="center"/>
          </w:tcPr>
          <w:p w14:paraId="232F20B7">
            <w:pPr>
              <w:pStyle w:val="27"/>
              <w:rPr>
                <w:rFonts w:hint="default" w:ascii="Times New Roman" w:hAnsi="Times New Roman" w:cs="Times New Roman"/>
                <w:color w:val="auto"/>
              </w:rPr>
            </w:pPr>
            <w:r>
              <w:rPr>
                <w:rFonts w:hint="default" w:ascii="Times New Roman" w:hAnsi="Times New Roman" w:cs="Times New Roman"/>
                <w:color w:val="auto"/>
              </w:rPr>
              <w:t>无</w:t>
            </w:r>
          </w:p>
        </w:tc>
        <w:tc>
          <w:tcPr>
            <w:tcW w:w="1898" w:type="dxa"/>
            <w:vAlign w:val="center"/>
          </w:tcPr>
          <w:p w14:paraId="0E280992">
            <w:pPr>
              <w:pStyle w:val="27"/>
              <w:rPr>
                <w:rFonts w:hint="default" w:ascii="Times New Roman" w:hAnsi="Times New Roman" w:cs="Times New Roman"/>
                <w:color w:val="auto"/>
              </w:rPr>
            </w:pPr>
            <w:r>
              <w:rPr>
                <w:rFonts w:hint="default" w:ascii="Times New Roman" w:hAnsi="Times New Roman" w:cs="Times New Roman"/>
                <w:color w:val="auto"/>
              </w:rPr>
              <w:t>无</w:t>
            </w:r>
          </w:p>
        </w:tc>
      </w:tr>
      <w:tr w14:paraId="23E1D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856" w:type="dxa"/>
            <w:vAlign w:val="center"/>
          </w:tcPr>
          <w:p w14:paraId="7D16CCE1">
            <w:pPr>
              <w:pStyle w:val="27"/>
              <w:rPr>
                <w:rFonts w:hint="default" w:ascii="Times New Roman" w:hAnsi="Times New Roman" w:cs="Times New Roman"/>
                <w:color w:val="auto"/>
              </w:rPr>
            </w:pPr>
            <w:r>
              <w:rPr>
                <w:rFonts w:hint="default" w:ascii="Times New Roman" w:hAnsi="Times New Roman" w:cs="Times New Roman"/>
                <w:color w:val="auto"/>
              </w:rPr>
              <w:t>固体废物</w:t>
            </w:r>
          </w:p>
        </w:tc>
        <w:tc>
          <w:tcPr>
            <w:tcW w:w="7215" w:type="dxa"/>
            <w:gridSpan w:val="4"/>
            <w:vAlign w:val="center"/>
          </w:tcPr>
          <w:p w14:paraId="129DC545">
            <w:pPr>
              <w:pStyle w:val="27"/>
              <w:jc w:val="both"/>
              <w:rPr>
                <w:rFonts w:hint="default" w:ascii="Times New Roman" w:hAnsi="Times New Roman" w:cs="Times New Roman"/>
                <w:color w:val="auto"/>
              </w:rPr>
            </w:pPr>
            <w:r>
              <w:rPr>
                <w:rFonts w:hint="default" w:ascii="Times New Roman" w:hAnsi="Times New Roman" w:cs="Times New Roman"/>
                <w:color w:val="auto"/>
              </w:rPr>
              <w:t>①沉淀池沉渣收集后回用生产工序；</w:t>
            </w:r>
          </w:p>
          <w:p w14:paraId="0D5F9BFD">
            <w:pPr>
              <w:pStyle w:val="27"/>
              <w:jc w:val="both"/>
              <w:rPr>
                <w:rFonts w:hint="default" w:ascii="Times New Roman" w:hAnsi="Times New Roman" w:cs="Times New Roman"/>
                <w:color w:val="auto"/>
              </w:rPr>
            </w:pPr>
            <w:r>
              <w:rPr>
                <w:rFonts w:hint="default" w:ascii="Times New Roman" w:hAnsi="Times New Roman" w:cs="Times New Roman"/>
                <w:color w:val="auto"/>
              </w:rPr>
              <w:t>②不合格产品全部可回用于生产；</w:t>
            </w:r>
          </w:p>
          <w:p w14:paraId="5928160E">
            <w:pPr>
              <w:pStyle w:val="27"/>
              <w:jc w:val="both"/>
              <w:rPr>
                <w:rFonts w:hint="default" w:ascii="Times New Roman" w:hAnsi="Times New Roman" w:cs="Times New Roman"/>
                <w:color w:val="auto"/>
              </w:rPr>
            </w:pPr>
            <w:r>
              <w:rPr>
                <w:rFonts w:hint="default" w:ascii="Times New Roman" w:hAnsi="Times New Roman" w:cs="Times New Roman"/>
                <w:color w:val="auto"/>
              </w:rPr>
              <w:t>③生活垃圾集中收集后由管理人员定期清运至老厂乡垃圾收集点清运处置；</w:t>
            </w:r>
          </w:p>
          <w:p w14:paraId="6A5D1B4E">
            <w:pPr>
              <w:pStyle w:val="27"/>
              <w:jc w:val="both"/>
              <w:rPr>
                <w:rFonts w:hint="default" w:ascii="Times New Roman" w:hAnsi="Times New Roman" w:cs="Times New Roman"/>
                <w:color w:val="auto"/>
              </w:rPr>
            </w:pPr>
            <w:r>
              <w:rPr>
                <w:rFonts w:hint="default" w:ascii="Times New Roman" w:hAnsi="Times New Roman" w:cs="Times New Roman"/>
                <w:color w:val="auto"/>
              </w:rPr>
              <w:t>④废机油及废油桶属于危险废物，暂存于一个5m</w:t>
            </w:r>
            <w:r>
              <w:rPr>
                <w:rFonts w:hint="default" w:ascii="Times New Roman" w:hAnsi="Times New Roman" w:cs="Times New Roman"/>
                <w:color w:val="auto"/>
                <w:vertAlign w:val="superscript"/>
              </w:rPr>
              <w:t>2</w:t>
            </w:r>
            <w:r>
              <w:rPr>
                <w:rFonts w:hint="default" w:ascii="Times New Roman" w:hAnsi="Times New Roman" w:cs="Times New Roman"/>
                <w:color w:val="auto"/>
              </w:rPr>
              <w:t>的危废贮存库，定期委托有资质的单位清运处置。</w:t>
            </w:r>
          </w:p>
        </w:tc>
      </w:tr>
      <w:tr w14:paraId="5A081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15240DE4">
            <w:pPr>
              <w:pStyle w:val="27"/>
              <w:rPr>
                <w:rFonts w:hint="default" w:ascii="Times New Roman" w:hAnsi="Times New Roman" w:cs="Times New Roman"/>
                <w:color w:val="auto"/>
              </w:rPr>
            </w:pPr>
            <w:r>
              <w:rPr>
                <w:rFonts w:hint="default" w:ascii="Times New Roman" w:hAnsi="Times New Roman" w:cs="Times New Roman"/>
                <w:color w:val="auto"/>
              </w:rPr>
              <w:t>土壤及地下水</w:t>
            </w:r>
          </w:p>
          <w:p w14:paraId="785DA589">
            <w:pPr>
              <w:pStyle w:val="27"/>
              <w:rPr>
                <w:rFonts w:hint="default" w:ascii="Times New Roman" w:hAnsi="Times New Roman" w:cs="Times New Roman"/>
                <w:color w:val="auto"/>
              </w:rPr>
            </w:pPr>
            <w:r>
              <w:rPr>
                <w:rFonts w:hint="default" w:ascii="Times New Roman" w:hAnsi="Times New Roman" w:cs="Times New Roman"/>
                <w:color w:val="auto"/>
              </w:rPr>
              <w:t>污染防治措施</w:t>
            </w:r>
          </w:p>
        </w:tc>
        <w:tc>
          <w:tcPr>
            <w:tcW w:w="7215" w:type="dxa"/>
            <w:gridSpan w:val="4"/>
            <w:vAlign w:val="center"/>
          </w:tcPr>
          <w:p w14:paraId="1A4A12C4">
            <w:pPr>
              <w:pStyle w:val="27"/>
              <w:jc w:val="both"/>
              <w:rPr>
                <w:rFonts w:hint="default" w:ascii="Times New Roman" w:hAnsi="Times New Roman" w:cs="Times New Roman"/>
                <w:color w:val="auto"/>
              </w:rPr>
            </w:pPr>
            <w:r>
              <w:rPr>
                <w:rFonts w:hint="default" w:ascii="Times New Roman" w:hAnsi="Times New Roman" w:cs="Times New Roman"/>
                <w:color w:val="auto"/>
              </w:rPr>
              <w:t>（1）重点防渗区：</w:t>
            </w:r>
            <w:r>
              <w:rPr>
                <w:rFonts w:hint="default" w:ascii="Times New Roman" w:hAnsi="Times New Roman" w:cs="Times New Roman"/>
                <w:color w:val="auto"/>
                <w:lang w:eastAsia="zh-CN"/>
              </w:rPr>
              <w:t>危废贮存库</w:t>
            </w:r>
            <w:r>
              <w:rPr>
                <w:rFonts w:hint="default" w:ascii="Times New Roman" w:hAnsi="Times New Roman" w:cs="Times New Roman"/>
                <w:color w:val="auto"/>
              </w:rPr>
              <w:t>按照《危险废物贮存和污染控制标准》（GB18597-2023）中基础必须防渗，防渗层为至少1m厚粘土层(渗透系数≤10</w:t>
            </w:r>
            <w:r>
              <w:rPr>
                <w:rFonts w:hint="default" w:ascii="Times New Roman" w:hAnsi="Times New Roman" w:cs="Times New Roman"/>
                <w:color w:val="auto"/>
                <w:vertAlign w:val="superscript"/>
              </w:rPr>
              <w:t>-7</w:t>
            </w:r>
            <w:r>
              <w:rPr>
                <w:rFonts w:hint="default" w:ascii="Times New Roman" w:hAnsi="Times New Roman" w:cs="Times New Roman"/>
                <w:color w:val="auto"/>
              </w:rPr>
              <w:t>cm/s)，或2mm厚高密度聚乙烯，或至少2mm厚的其它人工材料，渗透系数≤10</w:t>
            </w:r>
            <w:r>
              <w:rPr>
                <w:rFonts w:hint="default" w:ascii="Times New Roman" w:hAnsi="Times New Roman" w:cs="Times New Roman"/>
                <w:color w:val="auto"/>
                <w:vertAlign w:val="superscript"/>
              </w:rPr>
              <w:t>-10</w:t>
            </w:r>
            <w:r>
              <w:rPr>
                <w:rFonts w:hint="default" w:ascii="Times New Roman" w:hAnsi="Times New Roman" w:cs="Times New Roman"/>
                <w:color w:val="auto"/>
              </w:rPr>
              <w:t>cm/s 进行防渗；</w:t>
            </w:r>
          </w:p>
          <w:p w14:paraId="54C9FB41">
            <w:pPr>
              <w:pStyle w:val="27"/>
              <w:jc w:val="left"/>
              <w:rPr>
                <w:rFonts w:hint="default" w:ascii="Times New Roman" w:hAnsi="Times New Roman" w:cs="Times New Roman"/>
                <w:color w:val="auto"/>
              </w:rPr>
            </w:pPr>
            <w:r>
              <w:rPr>
                <w:rFonts w:hint="default" w:ascii="Times New Roman" w:hAnsi="Times New Roman" w:cs="Times New Roman"/>
                <w:color w:val="auto"/>
              </w:rPr>
              <w:t>（2）一般防渗区：</w:t>
            </w:r>
            <w:r>
              <w:rPr>
                <w:rFonts w:hint="default" w:ascii="Times New Roman" w:hAnsi="Times New Roman" w:cs="Times New Roman"/>
                <w:color w:val="auto"/>
                <w:lang w:val="en-US" w:eastAsia="zh-CN"/>
              </w:rPr>
              <w:t>原料堆场、生产区、</w:t>
            </w:r>
            <w:r>
              <w:rPr>
                <w:rFonts w:hint="default" w:ascii="Times New Roman" w:hAnsi="Times New Roman" w:cs="Times New Roman"/>
                <w:color w:val="auto"/>
              </w:rPr>
              <w:t>初期雨水收集池</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三级沉淀池</w:t>
            </w:r>
            <w:r>
              <w:rPr>
                <w:rFonts w:hint="default" w:ascii="Times New Roman" w:hAnsi="Times New Roman" w:cs="Times New Roman"/>
                <w:color w:val="auto"/>
              </w:rPr>
              <w:t>按照《环境影响评价技术导则 地下水环境》（HJ610-2016）中技术要求等效粘土防渗层 Mb≥1.5m，K≤1× 10</w:t>
            </w:r>
            <w:r>
              <w:rPr>
                <w:rFonts w:hint="default" w:ascii="Times New Roman" w:hAnsi="Times New Roman" w:cs="Times New Roman"/>
                <w:color w:val="auto"/>
                <w:vertAlign w:val="superscript"/>
              </w:rPr>
              <w:t>-7</w:t>
            </w:r>
            <w:r>
              <w:rPr>
                <w:rFonts w:hint="default" w:ascii="Times New Roman" w:hAnsi="Times New Roman" w:cs="Times New Roman"/>
                <w:color w:val="auto"/>
              </w:rPr>
              <w:t>cm/s 进行防渗。</w:t>
            </w:r>
          </w:p>
          <w:p w14:paraId="70C6C6F9">
            <w:pPr>
              <w:pStyle w:val="27"/>
              <w:jc w:val="both"/>
              <w:rPr>
                <w:rFonts w:hint="default" w:ascii="Times New Roman" w:hAnsi="Times New Roman" w:cs="Times New Roman"/>
                <w:color w:val="auto"/>
                <w:lang w:eastAsia="zh-CN"/>
              </w:rPr>
            </w:pPr>
            <w:r>
              <w:rPr>
                <w:rFonts w:hint="default" w:ascii="Times New Roman" w:hAnsi="Times New Roman" w:cs="Times New Roman"/>
                <w:color w:val="auto"/>
              </w:rPr>
              <w:t>（3）简单防渗区：</w:t>
            </w:r>
            <w:r>
              <w:rPr>
                <w:rFonts w:hint="default" w:ascii="Times New Roman" w:hAnsi="Times New Roman" w:cs="Times New Roman"/>
                <w:color w:val="auto"/>
                <w:lang w:val="en-US" w:eastAsia="zh-CN"/>
              </w:rPr>
              <w:t>办公</w:t>
            </w:r>
            <w:r>
              <w:rPr>
                <w:rFonts w:hint="default" w:ascii="Times New Roman" w:hAnsi="Times New Roman" w:cs="Times New Roman"/>
                <w:color w:val="auto"/>
              </w:rPr>
              <w:t>区、道路等，防渗技术要求为地面硬化</w:t>
            </w:r>
            <w:r>
              <w:rPr>
                <w:rFonts w:hint="default" w:ascii="Times New Roman" w:hAnsi="Times New Roman" w:cs="Times New Roman"/>
                <w:color w:val="auto"/>
                <w:lang w:eastAsia="zh-CN"/>
              </w:rPr>
              <w:t>；</w:t>
            </w:r>
          </w:p>
          <w:p w14:paraId="3AABF205">
            <w:pPr>
              <w:pStyle w:val="27"/>
              <w:jc w:val="both"/>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定期按照要求开展地下水和土壤环境质量监测</w:t>
            </w:r>
            <w:r>
              <w:rPr>
                <w:rFonts w:hint="default" w:ascii="Times New Roman" w:hAnsi="Times New Roman" w:cs="Times New Roman"/>
                <w:color w:val="auto"/>
              </w:rPr>
              <w:t>。</w:t>
            </w:r>
          </w:p>
        </w:tc>
      </w:tr>
      <w:tr w14:paraId="79DD3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6860B713">
            <w:pPr>
              <w:pStyle w:val="27"/>
              <w:jc w:val="both"/>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生态保护措施</w:t>
            </w:r>
          </w:p>
        </w:tc>
        <w:tc>
          <w:tcPr>
            <w:tcW w:w="7215" w:type="dxa"/>
            <w:gridSpan w:val="4"/>
            <w:vAlign w:val="center"/>
          </w:tcPr>
          <w:p w14:paraId="1B844187">
            <w:pPr>
              <w:pStyle w:val="27"/>
              <w:jc w:val="both"/>
              <w:rPr>
                <w:rFonts w:hint="default" w:ascii="Times New Roman" w:hAnsi="Times New Roman" w:cs="Times New Roman"/>
                <w:color w:val="auto"/>
                <w:spacing w:val="-10"/>
                <w:szCs w:val="21"/>
                <w:lang w:eastAsia="zh-CN"/>
              </w:rPr>
            </w:pPr>
            <w:r>
              <w:rPr>
                <w:rFonts w:hint="default" w:ascii="Times New Roman" w:hAnsi="Times New Roman" w:cs="Times New Roman"/>
                <w:color w:val="auto"/>
                <w:spacing w:val="-10"/>
                <w:szCs w:val="21"/>
              </w:rPr>
              <w:t>做好项目区内截排水沟的设置，以及初期雨水的收集处理措施，尽量减少项目区水土流失，做好项目粉尘防治工作，减少项目粉尘排放量，降低项目粉尘排放对周围植被的影响。</w:t>
            </w:r>
          </w:p>
        </w:tc>
      </w:tr>
      <w:tr w14:paraId="033F7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1A442481">
            <w:pPr>
              <w:pStyle w:val="27"/>
              <w:keepNext w:val="0"/>
              <w:keepLines w:val="0"/>
              <w:pageBreakBefore w:val="0"/>
              <w:widowControl w:val="0"/>
              <w:kinsoku/>
              <w:wordWrap/>
              <w:overflowPunct/>
              <w:topLinePunct/>
              <w:autoSpaceDE w:val="0"/>
              <w:autoSpaceDN w:val="0"/>
              <w:bidi w:val="0"/>
              <w:textAlignment w:val="auto"/>
              <w:rPr>
                <w:rFonts w:hint="default" w:ascii="Times New Roman" w:hAnsi="Times New Roman" w:cs="Times New Roman"/>
                <w:color w:val="auto"/>
                <w:spacing w:val="-8"/>
              </w:rPr>
            </w:pPr>
            <w:r>
              <w:rPr>
                <w:rFonts w:hint="default" w:ascii="Times New Roman" w:hAnsi="Times New Roman" w:cs="Times New Roman"/>
                <w:color w:val="auto"/>
                <w:spacing w:val="-8"/>
              </w:rPr>
              <w:t>环境风险</w:t>
            </w:r>
          </w:p>
          <w:p w14:paraId="1DCEE4BA">
            <w:pPr>
              <w:pStyle w:val="27"/>
              <w:keepNext w:val="0"/>
              <w:keepLines w:val="0"/>
              <w:pageBreakBefore w:val="0"/>
              <w:widowControl w:val="0"/>
              <w:kinsoku/>
              <w:wordWrap/>
              <w:overflowPunct/>
              <w:topLinePunct/>
              <w:autoSpaceDE w:val="0"/>
              <w:autoSpaceDN w:val="0"/>
              <w:bidi w:val="0"/>
              <w:textAlignment w:val="auto"/>
              <w:rPr>
                <w:rFonts w:hint="default" w:ascii="Times New Roman" w:hAnsi="Times New Roman" w:cs="Times New Roman"/>
                <w:color w:val="auto"/>
                <w:spacing w:val="-8"/>
              </w:rPr>
            </w:pPr>
            <w:r>
              <w:rPr>
                <w:rFonts w:hint="default" w:ascii="Times New Roman" w:hAnsi="Times New Roman" w:cs="Times New Roman"/>
                <w:color w:val="auto"/>
                <w:spacing w:val="-8"/>
              </w:rPr>
              <w:t>防范措施</w:t>
            </w:r>
          </w:p>
        </w:tc>
        <w:tc>
          <w:tcPr>
            <w:tcW w:w="7215" w:type="dxa"/>
            <w:gridSpan w:val="4"/>
            <w:vAlign w:val="center"/>
          </w:tcPr>
          <w:p w14:paraId="1C033C9F">
            <w:pPr>
              <w:keepNext w:val="0"/>
              <w:keepLines w:val="0"/>
              <w:pageBreakBefore w:val="0"/>
              <w:widowControl w:val="0"/>
              <w:kinsoku/>
              <w:wordWrap/>
              <w:overflowPunct/>
              <w:topLinePunct/>
              <w:autoSpaceDE w:val="0"/>
              <w:autoSpaceDN w:val="0"/>
              <w:bidi w:val="0"/>
              <w:adjustRightInd w:val="0"/>
              <w:snapToGrid w:val="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（1）定期巡视厂区，巡检环保设施运行情况；</w:t>
            </w:r>
          </w:p>
          <w:p w14:paraId="3DD8694E">
            <w:pPr>
              <w:keepNext w:val="0"/>
              <w:keepLines w:val="0"/>
              <w:pageBreakBefore w:val="0"/>
              <w:widowControl w:val="0"/>
              <w:kinsoku/>
              <w:wordWrap/>
              <w:overflowPunct/>
              <w:topLinePunct/>
              <w:autoSpaceDE w:val="0"/>
              <w:autoSpaceDN w:val="0"/>
              <w:bidi w:val="0"/>
              <w:adjustRightInd w:val="0"/>
              <w:snapToGrid w:val="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（2）建立健全各项应急保障制度，如：值班制度、检查制度、考核制度、培训制度、环境管理制度以及应急演练制度等；</w:t>
            </w:r>
          </w:p>
          <w:p w14:paraId="3B36927C">
            <w:pPr>
              <w:keepNext w:val="0"/>
              <w:keepLines w:val="0"/>
              <w:pageBreakBefore w:val="0"/>
              <w:widowControl w:val="0"/>
              <w:kinsoku/>
              <w:wordWrap/>
              <w:overflowPunct/>
              <w:topLinePunct/>
              <w:autoSpaceDE w:val="0"/>
              <w:autoSpaceDN w:val="0"/>
              <w:bidi w:val="0"/>
              <w:adjustRightInd w:val="0"/>
              <w:snapToGrid w:val="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（3）制定严格的工艺操作规程，防止工人操作失误导致事故发生；</w:t>
            </w:r>
          </w:p>
          <w:p w14:paraId="4884F009">
            <w:pPr>
              <w:keepNext w:val="0"/>
              <w:keepLines w:val="0"/>
              <w:pageBreakBefore w:val="0"/>
              <w:widowControl w:val="0"/>
              <w:kinsoku/>
              <w:wordWrap/>
              <w:overflowPunct/>
              <w:topLinePunct/>
              <w:autoSpaceDE w:val="0"/>
              <w:autoSpaceDN w:val="0"/>
              <w:bidi w:val="0"/>
              <w:adjustRightInd w:val="0"/>
              <w:snapToGrid w:val="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（4）按照危险废物贮存污染控制</w:t>
            </w:r>
            <w:r>
              <w:rPr>
                <w:rFonts w:hint="default"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eastAsia="zh-CN"/>
              </w:rPr>
              <w:t>要求，各种危险废物采用专用的容器存放；对装有危废的容器进行定期检查，容器泄漏损坏时必须立即处理，并将危废装入完好容器内，危险废物储存区设置警示标牌；</w:t>
            </w:r>
          </w:p>
          <w:p w14:paraId="04D1540F">
            <w:pPr>
              <w:pStyle w:val="27"/>
              <w:keepNext w:val="0"/>
              <w:keepLines w:val="0"/>
              <w:pageBreakBefore w:val="0"/>
              <w:widowControl w:val="0"/>
              <w:kinsoku/>
              <w:wordWrap/>
              <w:overflowPunct/>
              <w:topLinePunct/>
              <w:autoSpaceDE w:val="0"/>
              <w:autoSpaceDN w:val="0"/>
              <w:bidi w:val="0"/>
              <w:jc w:val="both"/>
              <w:textAlignment w:val="auto"/>
              <w:rPr>
                <w:rFonts w:hint="default" w:ascii="Times New Roman" w:hAnsi="Times New Roman" w:cs="Times New Roman"/>
                <w:color w:val="auto"/>
              </w:rPr>
            </w:pPr>
            <w:r>
              <w:rPr>
                <w:rFonts w:hint="default" w:ascii="Times New Roman" w:hAnsi="Times New Roman" w:cs="Times New Roman"/>
                <w:color w:val="auto"/>
                <w:szCs w:val="21"/>
              </w:rPr>
              <w:t>（5）严格执行国家、行业有关劳动安全卫生的法规和标准规范。为预防火灾事故的发生，应成立应急事故领导小组，健全安全操作规程。</w:t>
            </w:r>
          </w:p>
        </w:tc>
      </w:tr>
      <w:tr w14:paraId="5CE0E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6" w:type="dxa"/>
            <w:vAlign w:val="center"/>
          </w:tcPr>
          <w:p w14:paraId="72152BB5">
            <w:pPr>
              <w:pStyle w:val="27"/>
              <w:rPr>
                <w:rFonts w:hint="default" w:ascii="Times New Roman" w:hAnsi="Times New Roman" w:cs="Times New Roman"/>
                <w:color w:val="auto"/>
                <w:spacing w:val="-8"/>
              </w:rPr>
            </w:pPr>
            <w:r>
              <w:rPr>
                <w:rFonts w:hint="default" w:ascii="Times New Roman" w:hAnsi="Times New Roman" w:cs="Times New Roman"/>
                <w:color w:val="auto"/>
                <w:spacing w:val="-8"/>
              </w:rPr>
              <w:t>其他环境</w:t>
            </w:r>
          </w:p>
          <w:p w14:paraId="1C7E3910">
            <w:pPr>
              <w:pStyle w:val="27"/>
              <w:rPr>
                <w:rFonts w:hint="default" w:ascii="Times New Roman" w:hAnsi="Times New Roman" w:cs="Times New Roman"/>
                <w:color w:val="auto"/>
                <w:spacing w:val="-8"/>
              </w:rPr>
            </w:pPr>
            <w:r>
              <w:rPr>
                <w:rFonts w:hint="default" w:ascii="Times New Roman" w:hAnsi="Times New Roman" w:cs="Times New Roman"/>
                <w:color w:val="auto"/>
                <w:spacing w:val="-8"/>
              </w:rPr>
              <w:t>管理要求</w:t>
            </w:r>
          </w:p>
        </w:tc>
        <w:tc>
          <w:tcPr>
            <w:tcW w:w="7215" w:type="dxa"/>
            <w:gridSpan w:val="4"/>
            <w:vAlign w:val="center"/>
          </w:tcPr>
          <w:p w14:paraId="40B20745">
            <w:pPr>
              <w:adjustRightInd w:val="0"/>
              <w:snapToGrid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（1）设置环保专员，做好危废和固废的暂存和转运工作，保证危废和固废去向合理；</w:t>
            </w:r>
          </w:p>
          <w:p w14:paraId="73CF0775">
            <w:pPr>
              <w:adjustRightInd w:val="0"/>
              <w:snapToGrid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（2）按要求完成竣工环境保护验收、排污许可申报及环境监测计划；</w:t>
            </w:r>
          </w:p>
          <w:p w14:paraId="0DF1A4C0">
            <w:pPr>
              <w:adjustRightInd w:val="0"/>
              <w:snapToGrid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（3）加强环境管理工作，建立一套完善的环保管理制度，制定专门的环境管理规章制度，加强环境保护工作的管理；</w:t>
            </w:r>
          </w:p>
          <w:p w14:paraId="04954090">
            <w:pPr>
              <w:pStyle w:val="27"/>
              <w:jc w:val="both"/>
              <w:rPr>
                <w:rFonts w:hint="default" w:ascii="Times New Roman" w:hAnsi="Times New Roman" w:cs="Times New Roman"/>
                <w:color w:val="auto"/>
                <w:szCs w:val="21"/>
              </w:rPr>
            </w:pPr>
            <w:r>
              <w:rPr>
                <w:rFonts w:hint="default" w:ascii="Times New Roman" w:hAnsi="Times New Roman" w:cs="Times New Roman"/>
                <w:color w:val="auto"/>
                <w:szCs w:val="21"/>
              </w:rPr>
              <w:t>（4）尽快编制突发环境事件应急预案并上报备案。</w:t>
            </w:r>
          </w:p>
          <w:p w14:paraId="0F5873A1">
            <w:pPr>
              <w:pStyle w:val="27"/>
              <w:jc w:val="both"/>
              <w:rPr>
                <w:rFonts w:hint="default" w:ascii="Times New Roman" w:hAnsi="Times New Roman" w:cs="Times New Roman"/>
                <w:color w:val="auto"/>
                <w:szCs w:val="21"/>
              </w:rPr>
            </w:pPr>
          </w:p>
          <w:p w14:paraId="75037F7E">
            <w:pPr>
              <w:pStyle w:val="27"/>
              <w:jc w:val="both"/>
              <w:rPr>
                <w:rFonts w:hint="default" w:ascii="Times New Roman" w:hAnsi="Times New Roman" w:cs="Times New Roman"/>
                <w:color w:val="auto"/>
                <w:szCs w:val="21"/>
              </w:rPr>
            </w:pPr>
          </w:p>
          <w:p w14:paraId="79109EB2">
            <w:pPr>
              <w:pStyle w:val="27"/>
              <w:jc w:val="both"/>
              <w:rPr>
                <w:rFonts w:hint="default" w:ascii="Times New Roman" w:hAnsi="Times New Roman" w:cs="Times New Roman"/>
                <w:color w:val="auto"/>
                <w:szCs w:val="21"/>
              </w:rPr>
            </w:pPr>
          </w:p>
          <w:p w14:paraId="5898CC10">
            <w:pPr>
              <w:pStyle w:val="27"/>
              <w:jc w:val="both"/>
              <w:rPr>
                <w:rFonts w:hint="default" w:ascii="Times New Roman" w:hAnsi="Times New Roman" w:cs="Times New Roman"/>
                <w:color w:val="auto"/>
                <w:szCs w:val="21"/>
              </w:rPr>
            </w:pPr>
          </w:p>
          <w:p w14:paraId="4ACAEE98">
            <w:pPr>
              <w:pStyle w:val="27"/>
              <w:jc w:val="both"/>
              <w:rPr>
                <w:rFonts w:hint="default" w:ascii="Times New Roman" w:hAnsi="Times New Roman" w:cs="Times New Roman"/>
                <w:color w:val="auto"/>
                <w:szCs w:val="21"/>
              </w:rPr>
            </w:pPr>
          </w:p>
          <w:p w14:paraId="0674E2A9">
            <w:pPr>
              <w:pStyle w:val="27"/>
              <w:jc w:val="both"/>
              <w:rPr>
                <w:rFonts w:hint="default" w:ascii="Times New Roman" w:hAnsi="Times New Roman" w:cs="Times New Roman"/>
                <w:color w:val="auto"/>
                <w:szCs w:val="21"/>
              </w:rPr>
            </w:pPr>
          </w:p>
          <w:p w14:paraId="13E8CD9D">
            <w:pPr>
              <w:pStyle w:val="27"/>
              <w:jc w:val="both"/>
              <w:rPr>
                <w:rFonts w:hint="default" w:ascii="Times New Roman" w:hAnsi="Times New Roman" w:cs="Times New Roman"/>
                <w:color w:val="auto"/>
                <w:szCs w:val="21"/>
              </w:rPr>
            </w:pPr>
          </w:p>
          <w:p w14:paraId="111B70AA">
            <w:pPr>
              <w:pStyle w:val="27"/>
              <w:jc w:val="both"/>
              <w:rPr>
                <w:rFonts w:hint="default" w:ascii="Times New Roman" w:hAnsi="Times New Roman" w:cs="Times New Roman"/>
                <w:color w:val="auto"/>
                <w:szCs w:val="21"/>
              </w:rPr>
            </w:pPr>
          </w:p>
          <w:p w14:paraId="2307AD2C">
            <w:pPr>
              <w:pStyle w:val="27"/>
              <w:jc w:val="both"/>
              <w:rPr>
                <w:rFonts w:hint="default" w:ascii="Times New Roman" w:hAnsi="Times New Roman" w:cs="Times New Roman"/>
                <w:color w:val="auto"/>
                <w:szCs w:val="21"/>
              </w:rPr>
            </w:pPr>
          </w:p>
          <w:p w14:paraId="5EAD2E0C">
            <w:pPr>
              <w:pStyle w:val="27"/>
              <w:jc w:val="both"/>
              <w:rPr>
                <w:rFonts w:hint="default" w:ascii="Times New Roman" w:hAnsi="Times New Roman" w:cs="Times New Roman"/>
                <w:color w:val="auto"/>
                <w:szCs w:val="21"/>
              </w:rPr>
            </w:pPr>
          </w:p>
        </w:tc>
      </w:tr>
    </w:tbl>
    <w:p w14:paraId="236B7CF9">
      <w:pPr>
        <w:pStyle w:val="4"/>
        <w:ind w:lef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eastAsia="zh-CN"/>
        </w:rPr>
        <w:br w:type="page"/>
      </w:r>
      <w:bookmarkStart w:id="51" w:name="_Toc77840041"/>
      <w:bookmarkStart w:id="52" w:name="_Toc21910"/>
      <w:r>
        <w:rPr>
          <w:rFonts w:hint="default" w:ascii="Times New Roman" w:hAnsi="Times New Roman" w:cs="Times New Roman"/>
          <w:snapToGrid w:val="0"/>
          <w:color w:val="auto"/>
        </w:rPr>
        <w:t>六、结论</w:t>
      </w:r>
      <w:bookmarkEnd w:id="51"/>
      <w:bookmarkEnd w:id="52"/>
    </w:p>
    <w:tbl>
      <w:tblPr>
        <w:tblStyle w:val="2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73F1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36" w:hRule="atLeast"/>
          <w:jc w:val="center"/>
        </w:trPr>
        <w:tc>
          <w:tcPr>
            <w:tcW w:w="8865" w:type="dxa"/>
          </w:tcPr>
          <w:p w14:paraId="533AE3DC">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w:t>老厂太桥双壹拌合站建设项目</w:t>
            </w:r>
            <w:r>
              <w:rPr>
                <w:rFonts w:hint="default" w:ascii="Times New Roman" w:hAnsi="Times New Roman" w:cs="Times New Roman"/>
                <w:color w:val="auto"/>
                <w:sz w:val="24"/>
                <w:lang w:eastAsia="zh-CN" w:bidi="ar"/>
              </w:rPr>
              <w:t>于202</w:t>
            </w:r>
            <w:r>
              <w:rPr>
                <w:rFonts w:hint="default" w:ascii="Times New Roman" w:hAnsi="Times New Roman" w:cs="Times New Roman"/>
                <w:color w:val="auto"/>
                <w:sz w:val="24"/>
                <w:lang w:val="en-US" w:eastAsia="zh-CN" w:bidi="ar"/>
              </w:rPr>
              <w:t>6</w:t>
            </w:r>
            <w:r>
              <w:rPr>
                <w:rFonts w:hint="default" w:ascii="Times New Roman" w:hAnsi="Times New Roman" w:cs="Times New Roman"/>
                <w:color w:val="auto"/>
                <w:sz w:val="24"/>
                <w:lang w:eastAsia="zh-CN" w:bidi="ar"/>
              </w:rPr>
              <w:t>年</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eastAsia="zh-CN" w:bidi="ar"/>
              </w:rPr>
              <w:t>月</w:t>
            </w:r>
            <w:r>
              <w:rPr>
                <w:rFonts w:hint="default" w:ascii="Times New Roman" w:hAnsi="Times New Roman" w:cs="Times New Roman"/>
                <w:color w:val="auto"/>
                <w:sz w:val="24"/>
                <w:lang w:val="en-US" w:eastAsia="zh-CN" w:bidi="ar"/>
              </w:rPr>
              <w:t>13</w:t>
            </w:r>
            <w:r>
              <w:rPr>
                <w:rFonts w:hint="default" w:ascii="Times New Roman" w:hAnsi="Times New Roman" w:cs="Times New Roman"/>
                <w:color w:val="auto"/>
                <w:sz w:val="24"/>
                <w:lang w:eastAsia="zh-CN" w:bidi="ar"/>
              </w:rPr>
              <w:t>日取得</w:t>
            </w:r>
            <w:r>
              <w:rPr>
                <w:rFonts w:hint="default" w:ascii="Times New Roman" w:hAnsi="Times New Roman" w:cs="Times New Roman"/>
                <w:color w:val="auto"/>
                <w:sz w:val="24"/>
                <w:szCs w:val="21"/>
                <w:lang w:eastAsia="zh-CN"/>
              </w:rPr>
              <w:t>新平县发展和改革局</w:t>
            </w:r>
            <w:r>
              <w:rPr>
                <w:rFonts w:hint="default" w:ascii="Times New Roman" w:hAnsi="Times New Roman" w:cs="Times New Roman"/>
                <w:color w:val="auto"/>
                <w:sz w:val="24"/>
                <w:lang w:eastAsia="zh-CN" w:bidi="ar"/>
              </w:rPr>
              <w:t>出具的投资项目备案证（详见附件</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eastAsia="zh-CN" w:bidi="ar"/>
              </w:rPr>
              <w:t>），项目代码：2602-530427-04-01-908689</w:t>
            </w:r>
            <w:r>
              <w:rPr>
                <w:rFonts w:hint="default" w:ascii="Times New Roman" w:hAnsi="Times New Roman" w:cs="Times New Roman"/>
                <w:color w:val="auto"/>
                <w:sz w:val="24"/>
                <w:szCs w:val="24"/>
                <w:lang w:eastAsia="zh-CN"/>
              </w:rPr>
              <w:t>。项目建设符合国家现行相关产业政策。</w:t>
            </w:r>
          </w:p>
          <w:p w14:paraId="661132AB">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lang w:eastAsia="zh-CN"/>
              </w:rPr>
              <w:t>根据分析评价，本项目符合国家和地方相关产业政策，符合达标排放和总量控制要求，场内平面布置合理。该项目的建设，对当地经济发展起到一定的促进作用。对产生的废气、污水、噪声、固废采取措施治理后，能够实现污染物的达标排放，不会对环境造成大的影响，不会降低当地的环境功能。在严格执行有关环保法规和“三同时”制度，认真落实本报告提出的各项污染防治措施的基础上，该项目能够实现社会效益、经济效益和环境效益的协调发展。</w:t>
            </w:r>
            <w:r>
              <w:rPr>
                <w:rFonts w:hint="default" w:ascii="Times New Roman" w:hAnsi="Times New Roman" w:cs="Times New Roman"/>
                <w:color w:val="auto"/>
                <w:sz w:val="24"/>
                <w:szCs w:val="24"/>
              </w:rPr>
              <w:t>从环境保护角</w:t>
            </w:r>
            <w:bookmarkStart w:id="58" w:name="_GoBack"/>
            <w:bookmarkEnd w:id="58"/>
            <w:r>
              <w:rPr>
                <w:rFonts w:hint="default" w:ascii="Times New Roman" w:hAnsi="Times New Roman" w:cs="Times New Roman"/>
                <w:color w:val="auto"/>
                <w:sz w:val="24"/>
                <w:szCs w:val="24"/>
              </w:rPr>
              <w:t>度分析，该项目可行。</w:t>
            </w:r>
          </w:p>
        </w:tc>
      </w:tr>
    </w:tbl>
    <w:p w14:paraId="45BCA3DF">
      <w:pPr>
        <w:ind w:firstLine="480"/>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9D6258E">
      <w:pPr>
        <w:pStyle w:val="18"/>
        <w:adjustRightInd w:val="0"/>
        <w:snapToGrid w:val="0"/>
        <w:spacing w:before="0" w:beforeAutospacing="0" w:after="0" w:afterAutospacing="0"/>
        <w:ind w:firstLine="643"/>
        <w:outlineLvl w:val="0"/>
        <w:rPr>
          <w:rFonts w:hint="default" w:ascii="Times New Roman" w:hAnsi="Times New Roman" w:cs="Times New Roman"/>
          <w:snapToGrid w:val="0"/>
          <w:color w:val="auto"/>
          <w:sz w:val="32"/>
          <w:szCs w:val="32"/>
        </w:rPr>
      </w:pPr>
      <w:bookmarkStart w:id="53" w:name="_Toc19890"/>
      <w:bookmarkStart w:id="54" w:name="_Toc77840042"/>
      <w:bookmarkStart w:id="55" w:name="_Toc18104"/>
      <w:r>
        <w:rPr>
          <w:rFonts w:hint="default" w:ascii="Times New Roman" w:hAnsi="Times New Roman" w:cs="Times New Roman"/>
          <w:b/>
          <w:bCs/>
          <w:snapToGrid w:val="0"/>
          <w:color w:val="auto"/>
          <w:sz w:val="32"/>
          <w:szCs w:val="32"/>
        </w:rPr>
        <w:t>附表</w:t>
      </w:r>
      <w:bookmarkEnd w:id="53"/>
      <w:bookmarkEnd w:id="54"/>
      <w:bookmarkEnd w:id="55"/>
    </w:p>
    <w:p w14:paraId="20C39825">
      <w:pPr>
        <w:pStyle w:val="4"/>
        <w:ind w:left="0"/>
        <w:jc w:val="center"/>
        <w:rPr>
          <w:rFonts w:hint="default" w:ascii="Times New Roman" w:hAnsi="Times New Roman" w:cs="Times New Roman"/>
          <w:snapToGrid w:val="0"/>
          <w:color w:val="auto"/>
          <w:lang w:eastAsia="zh-CN"/>
        </w:rPr>
      </w:pPr>
      <w:bookmarkStart w:id="56" w:name="_Toc21555"/>
      <w:bookmarkStart w:id="57" w:name="_Toc77840043"/>
      <w:r>
        <w:rPr>
          <w:rFonts w:hint="default" w:ascii="Times New Roman" w:hAnsi="Times New Roman" w:cs="Times New Roman"/>
          <w:snapToGrid w:val="0"/>
          <w:color w:val="auto"/>
          <w:lang w:eastAsia="zh-CN"/>
        </w:rPr>
        <w:t>建设项目污染物排放量汇总表</w:t>
      </w:r>
      <w:bookmarkEnd w:id="56"/>
      <w:bookmarkEnd w:id="57"/>
    </w:p>
    <w:tbl>
      <w:tblPr>
        <w:tblStyle w:val="20"/>
        <w:tblW w:w="1395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693"/>
        <w:gridCol w:w="1392"/>
        <w:gridCol w:w="1746"/>
        <w:gridCol w:w="1445"/>
      </w:tblGrid>
      <w:tr w14:paraId="59737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tcBorders>
              <w:tl2br w:val="single" w:color="auto" w:sz="4" w:space="0"/>
            </w:tcBorders>
            <w:tcMar>
              <w:left w:w="28" w:type="dxa"/>
              <w:right w:w="28" w:type="dxa"/>
            </w:tcMar>
            <w:vAlign w:val="center"/>
          </w:tcPr>
          <w:p w14:paraId="118FF9BC">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 xml:space="preserve">          项目</w:t>
            </w:r>
          </w:p>
          <w:p w14:paraId="4B839F3E">
            <w:pPr>
              <w:pStyle w:val="27"/>
              <w:rPr>
                <w:rFonts w:hint="default" w:ascii="Times New Roman" w:hAnsi="Times New Roman" w:cs="Times New Roman"/>
                <w:snapToGrid w:val="0"/>
                <w:color w:val="auto"/>
              </w:rPr>
            </w:pPr>
          </w:p>
          <w:p w14:paraId="003543BE">
            <w:pPr>
              <w:pStyle w:val="27"/>
              <w:jc w:val="both"/>
              <w:rPr>
                <w:rFonts w:hint="default" w:ascii="Times New Roman" w:hAnsi="Times New Roman" w:cs="Times New Roman"/>
                <w:snapToGrid w:val="0"/>
                <w:color w:val="auto"/>
              </w:rPr>
            </w:pPr>
            <w:r>
              <w:rPr>
                <w:rFonts w:hint="default" w:ascii="Times New Roman" w:hAnsi="Times New Roman" w:cs="Times New Roman"/>
                <w:snapToGrid w:val="0"/>
                <w:color w:val="auto"/>
              </w:rPr>
              <w:t>分类</w:t>
            </w:r>
          </w:p>
        </w:tc>
        <w:tc>
          <w:tcPr>
            <w:tcW w:w="1417" w:type="dxa"/>
            <w:tcMar>
              <w:left w:w="28" w:type="dxa"/>
              <w:right w:w="28" w:type="dxa"/>
            </w:tcMar>
            <w:vAlign w:val="center"/>
          </w:tcPr>
          <w:p w14:paraId="6EEE64A9">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污染物名称</w:t>
            </w:r>
          </w:p>
        </w:tc>
        <w:tc>
          <w:tcPr>
            <w:tcW w:w="1701" w:type="dxa"/>
            <w:tcMar>
              <w:left w:w="28" w:type="dxa"/>
              <w:right w:w="28" w:type="dxa"/>
            </w:tcMar>
            <w:vAlign w:val="center"/>
          </w:tcPr>
          <w:p w14:paraId="715ADFD4">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现有工程</w:t>
            </w:r>
          </w:p>
          <w:p w14:paraId="6B00EE13">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排放量（固体废物产生量）</w:t>
            </w: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1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①</w:t>
            </w:r>
            <w:r>
              <w:rPr>
                <w:rFonts w:hint="default" w:ascii="Times New Roman" w:hAnsi="Times New Roman" w:cs="Times New Roman"/>
                <w:snapToGrid w:val="0"/>
                <w:color w:val="auto"/>
              </w:rPr>
              <w:fldChar w:fldCharType="end"/>
            </w:r>
          </w:p>
        </w:tc>
        <w:tc>
          <w:tcPr>
            <w:tcW w:w="1276" w:type="dxa"/>
            <w:tcMar>
              <w:left w:w="28" w:type="dxa"/>
              <w:right w:w="28" w:type="dxa"/>
            </w:tcMar>
            <w:vAlign w:val="center"/>
          </w:tcPr>
          <w:p w14:paraId="697FF1EC">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现有工程</w:t>
            </w:r>
          </w:p>
          <w:p w14:paraId="631E2C2A">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许可排放量</w:t>
            </w:r>
          </w:p>
          <w:p w14:paraId="6176F442">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2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snapToGrid w:val="0"/>
                <w:color w:val="auto"/>
              </w:rPr>
              <w:t>②</w:t>
            </w:r>
            <w:r>
              <w:rPr>
                <w:rFonts w:hint="default" w:ascii="Times New Roman" w:hAnsi="Times New Roman" w:cs="Times New Roman"/>
                <w:snapToGrid w:val="0"/>
                <w:color w:val="auto"/>
              </w:rPr>
              <w:fldChar w:fldCharType="end"/>
            </w:r>
          </w:p>
        </w:tc>
        <w:tc>
          <w:tcPr>
            <w:tcW w:w="1701" w:type="dxa"/>
            <w:tcMar>
              <w:left w:w="28" w:type="dxa"/>
              <w:right w:w="28" w:type="dxa"/>
            </w:tcMar>
            <w:vAlign w:val="center"/>
          </w:tcPr>
          <w:p w14:paraId="12543952">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在建工程</w:t>
            </w:r>
          </w:p>
          <w:p w14:paraId="19F2B956">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排放量（固体废物产生量）</w:t>
            </w: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3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③</w:t>
            </w:r>
            <w:r>
              <w:rPr>
                <w:rFonts w:hint="default" w:ascii="Times New Roman" w:hAnsi="Times New Roman" w:cs="Times New Roman"/>
                <w:snapToGrid w:val="0"/>
                <w:color w:val="auto"/>
              </w:rPr>
              <w:fldChar w:fldCharType="end"/>
            </w:r>
          </w:p>
        </w:tc>
        <w:tc>
          <w:tcPr>
            <w:tcW w:w="1693" w:type="dxa"/>
            <w:tcMar>
              <w:left w:w="28" w:type="dxa"/>
              <w:right w:w="28" w:type="dxa"/>
            </w:tcMar>
            <w:vAlign w:val="center"/>
          </w:tcPr>
          <w:p w14:paraId="5A833D83">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本项目</w:t>
            </w:r>
          </w:p>
          <w:p w14:paraId="6E1696D9">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排放量（固体废物产生量）</w:t>
            </w: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4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④</w:t>
            </w:r>
            <w:r>
              <w:rPr>
                <w:rFonts w:hint="default" w:ascii="Times New Roman" w:hAnsi="Times New Roman" w:cs="Times New Roman"/>
                <w:snapToGrid w:val="0"/>
                <w:color w:val="auto"/>
              </w:rPr>
              <w:fldChar w:fldCharType="end"/>
            </w:r>
          </w:p>
        </w:tc>
        <w:tc>
          <w:tcPr>
            <w:tcW w:w="1392" w:type="dxa"/>
            <w:tcMar>
              <w:left w:w="28" w:type="dxa"/>
              <w:right w:w="28" w:type="dxa"/>
            </w:tcMar>
            <w:vAlign w:val="center"/>
          </w:tcPr>
          <w:p w14:paraId="4BBD4B06">
            <w:pPr>
              <w:pStyle w:val="27"/>
              <w:rPr>
                <w:rFonts w:hint="default" w:ascii="Times New Roman" w:hAnsi="Times New Roman" w:cs="Times New Roman"/>
                <w:snapToGrid w:val="0"/>
                <w:color w:val="auto"/>
                <w:spacing w:val="-16"/>
              </w:rPr>
            </w:pPr>
            <w:r>
              <w:rPr>
                <w:rFonts w:hint="default" w:ascii="Times New Roman" w:hAnsi="Times New Roman" w:cs="Times New Roman"/>
                <w:snapToGrid w:val="0"/>
                <w:color w:val="auto"/>
                <w:spacing w:val="-16"/>
              </w:rPr>
              <w:t>以新带老削减量</w:t>
            </w:r>
          </w:p>
          <w:p w14:paraId="3154DA9A">
            <w:pPr>
              <w:pStyle w:val="27"/>
              <w:rPr>
                <w:rFonts w:hint="default" w:ascii="Times New Roman" w:hAnsi="Times New Roman" w:cs="Times New Roman"/>
                <w:snapToGrid w:val="0"/>
                <w:color w:val="auto"/>
                <w:spacing w:val="-16"/>
              </w:rPr>
            </w:pPr>
            <w:r>
              <w:rPr>
                <w:rFonts w:hint="default" w:ascii="Times New Roman" w:hAnsi="Times New Roman" w:cs="Times New Roman"/>
                <w:snapToGrid w:val="0"/>
                <w:color w:val="auto"/>
                <w:spacing w:val="-16"/>
              </w:rPr>
              <w:t>（新建项目不填）</w:t>
            </w:r>
            <w:r>
              <w:rPr>
                <w:rFonts w:hint="default" w:ascii="Times New Roman" w:hAnsi="Times New Roman" w:cs="Times New Roman"/>
                <w:snapToGrid w:val="0"/>
                <w:color w:val="auto"/>
                <w:spacing w:val="-16"/>
              </w:rPr>
              <w:fldChar w:fldCharType="begin"/>
            </w:r>
            <w:r>
              <w:rPr>
                <w:rFonts w:hint="default" w:ascii="Times New Roman" w:hAnsi="Times New Roman" w:cs="Times New Roman"/>
                <w:snapToGrid w:val="0"/>
                <w:color w:val="auto"/>
                <w:spacing w:val="-16"/>
              </w:rPr>
              <w:instrText xml:space="preserve"> = 5 \* GB3 \* MERGEFORMAT </w:instrText>
            </w:r>
            <w:r>
              <w:rPr>
                <w:rFonts w:hint="default" w:ascii="Times New Roman" w:hAnsi="Times New Roman" w:cs="Times New Roman"/>
                <w:snapToGrid w:val="0"/>
                <w:color w:val="auto"/>
                <w:spacing w:val="-16"/>
              </w:rPr>
              <w:fldChar w:fldCharType="separate"/>
            </w:r>
            <w:r>
              <w:rPr>
                <w:rFonts w:hint="default" w:ascii="Times New Roman" w:hAnsi="Times New Roman" w:cs="Times New Roman"/>
                <w:color w:val="auto"/>
              </w:rPr>
              <w:t>⑤</w:t>
            </w:r>
            <w:r>
              <w:rPr>
                <w:rFonts w:hint="default" w:ascii="Times New Roman" w:hAnsi="Times New Roman" w:cs="Times New Roman"/>
                <w:snapToGrid w:val="0"/>
                <w:color w:val="auto"/>
                <w:spacing w:val="-16"/>
              </w:rPr>
              <w:fldChar w:fldCharType="end"/>
            </w:r>
          </w:p>
        </w:tc>
        <w:tc>
          <w:tcPr>
            <w:tcW w:w="1746" w:type="dxa"/>
            <w:tcMar>
              <w:left w:w="28" w:type="dxa"/>
              <w:right w:w="28" w:type="dxa"/>
            </w:tcMar>
            <w:vAlign w:val="center"/>
          </w:tcPr>
          <w:p w14:paraId="3EFC81B1">
            <w:pPr>
              <w:pStyle w:val="27"/>
              <w:rPr>
                <w:rFonts w:hint="default" w:ascii="Times New Roman" w:hAnsi="Times New Roman" w:cs="Times New Roman"/>
                <w:snapToGrid w:val="0"/>
                <w:color w:val="auto"/>
                <w:spacing w:val="-16"/>
              </w:rPr>
            </w:pPr>
            <w:r>
              <w:rPr>
                <w:rFonts w:hint="default" w:ascii="Times New Roman" w:hAnsi="Times New Roman" w:cs="Times New Roman"/>
                <w:snapToGrid w:val="0"/>
                <w:color w:val="auto"/>
                <w:spacing w:val="-16"/>
              </w:rPr>
              <w:t>本项目建成后</w:t>
            </w:r>
          </w:p>
          <w:p w14:paraId="1655D39E">
            <w:pPr>
              <w:pStyle w:val="27"/>
              <w:rPr>
                <w:rFonts w:hint="default" w:ascii="Times New Roman" w:hAnsi="Times New Roman" w:cs="Times New Roman"/>
                <w:snapToGrid w:val="0"/>
                <w:color w:val="auto"/>
                <w:spacing w:val="-16"/>
              </w:rPr>
            </w:pPr>
            <w:r>
              <w:rPr>
                <w:rFonts w:hint="default" w:ascii="Times New Roman" w:hAnsi="Times New Roman" w:cs="Times New Roman"/>
                <w:snapToGrid w:val="0"/>
                <w:color w:val="auto"/>
                <w:spacing w:val="-16"/>
              </w:rPr>
              <w:t>全厂排放量（固体废物产生量）</w:t>
            </w:r>
            <w:r>
              <w:rPr>
                <w:rFonts w:hint="default" w:ascii="Times New Roman" w:hAnsi="Times New Roman" w:cs="Times New Roman"/>
                <w:snapToGrid w:val="0"/>
                <w:color w:val="auto"/>
                <w:spacing w:val="-16"/>
              </w:rPr>
              <w:fldChar w:fldCharType="begin"/>
            </w:r>
            <w:r>
              <w:rPr>
                <w:rFonts w:hint="default" w:ascii="Times New Roman" w:hAnsi="Times New Roman" w:cs="Times New Roman"/>
                <w:snapToGrid w:val="0"/>
                <w:color w:val="auto"/>
                <w:spacing w:val="-16"/>
              </w:rPr>
              <w:instrText xml:space="preserve"> = 6 \* GB3 \* MERGEFORMAT </w:instrText>
            </w:r>
            <w:r>
              <w:rPr>
                <w:rFonts w:hint="default" w:ascii="Times New Roman" w:hAnsi="Times New Roman" w:cs="Times New Roman"/>
                <w:snapToGrid w:val="0"/>
                <w:color w:val="auto"/>
                <w:spacing w:val="-16"/>
              </w:rPr>
              <w:fldChar w:fldCharType="separate"/>
            </w:r>
            <w:r>
              <w:rPr>
                <w:rFonts w:hint="default" w:ascii="Times New Roman" w:hAnsi="Times New Roman" w:cs="Times New Roman"/>
                <w:color w:val="auto"/>
              </w:rPr>
              <w:t>⑥</w:t>
            </w:r>
            <w:r>
              <w:rPr>
                <w:rFonts w:hint="default" w:ascii="Times New Roman" w:hAnsi="Times New Roman" w:cs="Times New Roman"/>
                <w:snapToGrid w:val="0"/>
                <w:color w:val="auto"/>
                <w:spacing w:val="-16"/>
              </w:rPr>
              <w:fldChar w:fldCharType="end"/>
            </w:r>
          </w:p>
        </w:tc>
        <w:tc>
          <w:tcPr>
            <w:tcW w:w="1445" w:type="dxa"/>
            <w:tcMar>
              <w:left w:w="28" w:type="dxa"/>
              <w:right w:w="28" w:type="dxa"/>
            </w:tcMar>
            <w:vAlign w:val="center"/>
          </w:tcPr>
          <w:p w14:paraId="7A8F21E5">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变化量</w:t>
            </w:r>
          </w:p>
          <w:p w14:paraId="5A417A79">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7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⑦</w:t>
            </w:r>
            <w:r>
              <w:rPr>
                <w:rFonts w:hint="default" w:ascii="Times New Roman" w:hAnsi="Times New Roman" w:cs="Times New Roman"/>
                <w:snapToGrid w:val="0"/>
                <w:color w:val="auto"/>
              </w:rPr>
              <w:fldChar w:fldCharType="end"/>
            </w:r>
          </w:p>
        </w:tc>
      </w:tr>
      <w:tr w14:paraId="304B1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restart"/>
            <w:vAlign w:val="center"/>
          </w:tcPr>
          <w:p w14:paraId="16A85DF7">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废气</w:t>
            </w:r>
          </w:p>
        </w:tc>
        <w:tc>
          <w:tcPr>
            <w:tcW w:w="1417" w:type="dxa"/>
            <w:vAlign w:val="center"/>
          </w:tcPr>
          <w:p w14:paraId="2AC686E0">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颗粒物</w:t>
            </w:r>
          </w:p>
        </w:tc>
        <w:tc>
          <w:tcPr>
            <w:tcW w:w="1701" w:type="dxa"/>
            <w:vAlign w:val="center"/>
          </w:tcPr>
          <w:p w14:paraId="459A004D">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276" w:type="dxa"/>
            <w:vAlign w:val="center"/>
          </w:tcPr>
          <w:p w14:paraId="43A006E0">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01" w:type="dxa"/>
            <w:vAlign w:val="center"/>
          </w:tcPr>
          <w:p w14:paraId="546B5A53">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693" w:type="dxa"/>
            <w:vAlign w:val="center"/>
          </w:tcPr>
          <w:p w14:paraId="402A6A1A">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5.5107</w:t>
            </w:r>
            <w:r>
              <w:rPr>
                <w:rFonts w:hint="default" w:ascii="Times New Roman" w:hAnsi="Times New Roman" w:cs="Times New Roman"/>
                <w:snapToGrid w:val="0"/>
                <w:color w:val="auto"/>
              </w:rPr>
              <w:t>t/a</w:t>
            </w:r>
          </w:p>
        </w:tc>
        <w:tc>
          <w:tcPr>
            <w:tcW w:w="1392" w:type="dxa"/>
            <w:vAlign w:val="center"/>
          </w:tcPr>
          <w:p w14:paraId="7E781C3F">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46" w:type="dxa"/>
            <w:vAlign w:val="center"/>
          </w:tcPr>
          <w:p w14:paraId="662220A4">
            <w:pPr>
              <w:pStyle w:val="27"/>
              <w:jc w:val="center"/>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val="en-US" w:eastAsia="zh-CN"/>
              </w:rPr>
              <w:t>5.5107</w:t>
            </w:r>
            <w:r>
              <w:rPr>
                <w:rFonts w:hint="default" w:ascii="Times New Roman" w:hAnsi="Times New Roman" w:cs="Times New Roman"/>
                <w:snapToGrid w:val="0"/>
                <w:color w:val="auto"/>
              </w:rPr>
              <w:t>t/a</w:t>
            </w:r>
          </w:p>
        </w:tc>
        <w:tc>
          <w:tcPr>
            <w:tcW w:w="1445" w:type="dxa"/>
            <w:vAlign w:val="center"/>
          </w:tcPr>
          <w:p w14:paraId="1D76F009">
            <w:pPr>
              <w:jc w:val="center"/>
              <w:rPr>
                <w:rFonts w:hint="default" w:ascii="Times New Roman" w:hAnsi="Times New Roman" w:cs="Times New Roman"/>
                <w:snapToGrid w:val="0"/>
                <w:color w:val="auto"/>
                <w:lang w:eastAsia="zh-CN"/>
              </w:rPr>
            </w:pPr>
          </w:p>
        </w:tc>
      </w:tr>
      <w:tr w14:paraId="3A680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14:paraId="0A07AA89">
            <w:pPr>
              <w:pStyle w:val="27"/>
              <w:rPr>
                <w:rFonts w:hint="default" w:ascii="Times New Roman" w:hAnsi="Times New Roman" w:cs="Times New Roman"/>
                <w:snapToGrid w:val="0"/>
                <w:color w:val="auto"/>
              </w:rPr>
            </w:pPr>
          </w:p>
        </w:tc>
        <w:tc>
          <w:tcPr>
            <w:tcW w:w="1417" w:type="dxa"/>
            <w:vAlign w:val="center"/>
          </w:tcPr>
          <w:p w14:paraId="7CA4A896">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二氧化硫</w:t>
            </w:r>
          </w:p>
        </w:tc>
        <w:tc>
          <w:tcPr>
            <w:tcW w:w="1701" w:type="dxa"/>
            <w:vAlign w:val="center"/>
          </w:tcPr>
          <w:p w14:paraId="6BCE0E3F">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276" w:type="dxa"/>
            <w:vAlign w:val="center"/>
          </w:tcPr>
          <w:p w14:paraId="20ED265C">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01" w:type="dxa"/>
            <w:vAlign w:val="center"/>
          </w:tcPr>
          <w:p w14:paraId="2169E18A">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693" w:type="dxa"/>
            <w:vAlign w:val="center"/>
          </w:tcPr>
          <w:p w14:paraId="35F4CA0F">
            <w:pPr>
              <w:pStyle w:val="27"/>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w:t>
            </w:r>
          </w:p>
        </w:tc>
        <w:tc>
          <w:tcPr>
            <w:tcW w:w="1392" w:type="dxa"/>
            <w:vAlign w:val="center"/>
          </w:tcPr>
          <w:p w14:paraId="5BEFF23A">
            <w:pPr>
              <w:pStyle w:val="27"/>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w:t>
            </w:r>
          </w:p>
        </w:tc>
        <w:tc>
          <w:tcPr>
            <w:tcW w:w="1746" w:type="dxa"/>
            <w:vAlign w:val="center"/>
          </w:tcPr>
          <w:p w14:paraId="2C9773DA">
            <w:pPr>
              <w:pStyle w:val="27"/>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w:t>
            </w:r>
          </w:p>
        </w:tc>
        <w:tc>
          <w:tcPr>
            <w:tcW w:w="1445" w:type="dxa"/>
            <w:vAlign w:val="center"/>
          </w:tcPr>
          <w:p w14:paraId="196FB3A6">
            <w:pPr>
              <w:jc w:val="center"/>
              <w:rPr>
                <w:rFonts w:hint="default" w:ascii="Times New Roman" w:hAnsi="Times New Roman" w:cs="Times New Roman"/>
                <w:snapToGrid w:val="0"/>
                <w:color w:val="auto"/>
                <w:lang w:eastAsia="zh-CN"/>
              </w:rPr>
            </w:pPr>
          </w:p>
        </w:tc>
      </w:tr>
      <w:tr w14:paraId="58F57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14:paraId="0F2DC5DB">
            <w:pPr>
              <w:pStyle w:val="27"/>
              <w:rPr>
                <w:rFonts w:hint="default" w:ascii="Times New Roman" w:hAnsi="Times New Roman" w:cs="Times New Roman"/>
                <w:snapToGrid w:val="0"/>
                <w:color w:val="auto"/>
              </w:rPr>
            </w:pPr>
          </w:p>
        </w:tc>
        <w:tc>
          <w:tcPr>
            <w:tcW w:w="1417" w:type="dxa"/>
            <w:vAlign w:val="center"/>
          </w:tcPr>
          <w:p w14:paraId="73DC8042">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氮氧化物</w:t>
            </w:r>
          </w:p>
        </w:tc>
        <w:tc>
          <w:tcPr>
            <w:tcW w:w="1701" w:type="dxa"/>
            <w:vAlign w:val="center"/>
          </w:tcPr>
          <w:p w14:paraId="162BC5CB">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276" w:type="dxa"/>
            <w:vAlign w:val="center"/>
          </w:tcPr>
          <w:p w14:paraId="18AEA694">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01" w:type="dxa"/>
            <w:vAlign w:val="center"/>
          </w:tcPr>
          <w:p w14:paraId="682C64EB">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693" w:type="dxa"/>
            <w:vAlign w:val="center"/>
          </w:tcPr>
          <w:p w14:paraId="02F2CF4C">
            <w:pPr>
              <w:pStyle w:val="27"/>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w:t>
            </w:r>
          </w:p>
        </w:tc>
        <w:tc>
          <w:tcPr>
            <w:tcW w:w="1392" w:type="dxa"/>
            <w:vAlign w:val="center"/>
          </w:tcPr>
          <w:p w14:paraId="69141A14">
            <w:pPr>
              <w:pStyle w:val="27"/>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w:t>
            </w:r>
          </w:p>
        </w:tc>
        <w:tc>
          <w:tcPr>
            <w:tcW w:w="1746" w:type="dxa"/>
            <w:vAlign w:val="center"/>
          </w:tcPr>
          <w:p w14:paraId="3CD70BBF">
            <w:pPr>
              <w:pStyle w:val="27"/>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w:t>
            </w:r>
          </w:p>
        </w:tc>
        <w:tc>
          <w:tcPr>
            <w:tcW w:w="1445" w:type="dxa"/>
            <w:vAlign w:val="center"/>
          </w:tcPr>
          <w:p w14:paraId="5FAC1235">
            <w:pPr>
              <w:jc w:val="center"/>
              <w:rPr>
                <w:rFonts w:hint="default" w:ascii="Times New Roman" w:hAnsi="Times New Roman" w:cs="Times New Roman"/>
                <w:b/>
                <w:bCs/>
                <w:snapToGrid w:val="0"/>
                <w:color w:val="auto"/>
              </w:rPr>
            </w:pPr>
          </w:p>
        </w:tc>
      </w:tr>
      <w:tr w14:paraId="5F6EE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Align w:val="center"/>
          </w:tcPr>
          <w:p w14:paraId="1AC6ECD0">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废水</w:t>
            </w:r>
          </w:p>
        </w:tc>
        <w:tc>
          <w:tcPr>
            <w:tcW w:w="1417" w:type="dxa"/>
            <w:vAlign w:val="center"/>
          </w:tcPr>
          <w:p w14:paraId="35CF4A0F">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生活污水</w:t>
            </w:r>
          </w:p>
        </w:tc>
        <w:tc>
          <w:tcPr>
            <w:tcW w:w="1701" w:type="dxa"/>
            <w:vAlign w:val="center"/>
          </w:tcPr>
          <w:p w14:paraId="30070CD0">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276" w:type="dxa"/>
            <w:vAlign w:val="center"/>
          </w:tcPr>
          <w:p w14:paraId="5F99A026">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01" w:type="dxa"/>
            <w:vAlign w:val="center"/>
          </w:tcPr>
          <w:p w14:paraId="4BFE4EFB">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693" w:type="dxa"/>
            <w:vAlign w:val="center"/>
          </w:tcPr>
          <w:p w14:paraId="6F32D52C">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392" w:type="dxa"/>
            <w:vAlign w:val="center"/>
          </w:tcPr>
          <w:p w14:paraId="3A930E7D">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46" w:type="dxa"/>
            <w:vAlign w:val="center"/>
          </w:tcPr>
          <w:p w14:paraId="6CC071A3">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445" w:type="dxa"/>
            <w:vAlign w:val="center"/>
          </w:tcPr>
          <w:p w14:paraId="529372EB">
            <w:pPr>
              <w:pStyle w:val="27"/>
              <w:rPr>
                <w:rFonts w:hint="default" w:ascii="Times New Roman" w:hAnsi="Times New Roman" w:cs="Times New Roman"/>
                <w:snapToGrid w:val="0"/>
                <w:color w:val="auto"/>
              </w:rPr>
            </w:pPr>
          </w:p>
        </w:tc>
      </w:tr>
      <w:tr w14:paraId="25EA6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restart"/>
            <w:vAlign w:val="center"/>
          </w:tcPr>
          <w:p w14:paraId="3097DF66">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一般工业固体废物</w:t>
            </w:r>
          </w:p>
        </w:tc>
        <w:tc>
          <w:tcPr>
            <w:tcW w:w="1417" w:type="dxa"/>
            <w:vMerge w:val="restart"/>
            <w:vAlign w:val="center"/>
          </w:tcPr>
          <w:p w14:paraId="0CEDD788">
            <w:pPr>
              <w:pStyle w:val="27"/>
              <w:rPr>
                <w:rFonts w:hint="default" w:ascii="Times New Roman" w:hAnsi="Times New Roman" w:cs="Times New Roman"/>
                <w:snapToGrid w:val="0"/>
                <w:color w:val="auto"/>
              </w:rPr>
            </w:pPr>
            <w:r>
              <w:rPr>
                <w:rFonts w:hint="default" w:ascii="Times New Roman" w:hAnsi="Times New Roman" w:cs="Times New Roman"/>
                <w:color w:val="auto"/>
                <w:sz w:val="21"/>
                <w:szCs w:val="21"/>
                <w:lang w:val="en-US" w:eastAsia="zh-CN"/>
              </w:rPr>
              <w:t>沉淀池沉渣</w:t>
            </w:r>
          </w:p>
        </w:tc>
        <w:tc>
          <w:tcPr>
            <w:tcW w:w="1701" w:type="dxa"/>
            <w:vMerge w:val="restart"/>
            <w:vAlign w:val="center"/>
          </w:tcPr>
          <w:p w14:paraId="74E7C4C9">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276" w:type="dxa"/>
            <w:vMerge w:val="restart"/>
            <w:vAlign w:val="center"/>
          </w:tcPr>
          <w:p w14:paraId="2648043D">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01" w:type="dxa"/>
            <w:vMerge w:val="restart"/>
            <w:vAlign w:val="center"/>
          </w:tcPr>
          <w:p w14:paraId="04713112">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693" w:type="dxa"/>
            <w:vAlign w:val="center"/>
          </w:tcPr>
          <w:p w14:paraId="7E4DFE26">
            <w:pPr>
              <w:pStyle w:val="27"/>
              <w:rPr>
                <w:rFonts w:hint="default" w:ascii="Times New Roman" w:hAnsi="Times New Roman" w:cs="Times New Roman"/>
                <w:snapToGrid w:val="0"/>
                <w:color w:val="auto"/>
              </w:rPr>
            </w:pPr>
            <w:r>
              <w:rPr>
                <w:rFonts w:hint="default" w:ascii="Times New Roman" w:hAnsi="Times New Roman" w:cs="Times New Roman"/>
                <w:color w:val="auto"/>
                <w:sz w:val="21"/>
                <w:szCs w:val="21"/>
                <w:lang w:val="en-US" w:eastAsia="zh-CN"/>
              </w:rPr>
              <w:t>500</w:t>
            </w:r>
            <w:r>
              <w:rPr>
                <w:rFonts w:hint="default" w:ascii="Times New Roman" w:hAnsi="Times New Roman" w:cs="Times New Roman"/>
                <w:color w:val="auto"/>
              </w:rPr>
              <w:t>t/a</w:t>
            </w:r>
          </w:p>
        </w:tc>
        <w:tc>
          <w:tcPr>
            <w:tcW w:w="1392" w:type="dxa"/>
            <w:vMerge w:val="restart"/>
            <w:vAlign w:val="center"/>
          </w:tcPr>
          <w:p w14:paraId="4BEDF4B4">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46" w:type="dxa"/>
            <w:vAlign w:val="center"/>
          </w:tcPr>
          <w:p w14:paraId="5FDF6C7E">
            <w:pPr>
              <w:pStyle w:val="27"/>
              <w:rPr>
                <w:rFonts w:hint="default" w:ascii="Times New Roman" w:hAnsi="Times New Roman" w:cs="Times New Roman"/>
                <w:snapToGrid w:val="0"/>
                <w:color w:val="auto"/>
              </w:rPr>
            </w:pPr>
            <w:r>
              <w:rPr>
                <w:rFonts w:hint="default" w:ascii="Times New Roman" w:hAnsi="Times New Roman" w:cs="Times New Roman"/>
                <w:color w:val="auto"/>
                <w:sz w:val="21"/>
                <w:szCs w:val="21"/>
                <w:lang w:val="en-US" w:eastAsia="zh-CN"/>
              </w:rPr>
              <w:t>500</w:t>
            </w:r>
            <w:r>
              <w:rPr>
                <w:rFonts w:hint="default" w:ascii="Times New Roman" w:hAnsi="Times New Roman" w:cs="Times New Roman"/>
                <w:color w:val="auto"/>
              </w:rPr>
              <w:t>t/a</w:t>
            </w:r>
          </w:p>
        </w:tc>
        <w:tc>
          <w:tcPr>
            <w:tcW w:w="1445" w:type="dxa"/>
            <w:vMerge w:val="restart"/>
            <w:vAlign w:val="center"/>
          </w:tcPr>
          <w:p w14:paraId="498875FF">
            <w:pPr>
              <w:jc w:val="center"/>
              <w:rPr>
                <w:rFonts w:hint="default" w:ascii="Times New Roman" w:hAnsi="Times New Roman" w:cs="Times New Roman"/>
                <w:snapToGrid w:val="0"/>
                <w:color w:val="auto"/>
                <w:sz w:val="21"/>
                <w:szCs w:val="21"/>
              </w:rPr>
            </w:pPr>
          </w:p>
        </w:tc>
      </w:tr>
      <w:tr w14:paraId="3F4FE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14:paraId="4F024F82">
            <w:pPr>
              <w:pStyle w:val="27"/>
              <w:rPr>
                <w:rFonts w:hint="default" w:ascii="Times New Roman" w:hAnsi="Times New Roman" w:cs="Times New Roman"/>
                <w:snapToGrid w:val="0"/>
                <w:color w:val="auto"/>
              </w:rPr>
            </w:pPr>
          </w:p>
        </w:tc>
        <w:tc>
          <w:tcPr>
            <w:tcW w:w="1417" w:type="dxa"/>
            <w:vAlign w:val="center"/>
          </w:tcPr>
          <w:p w14:paraId="7967A20C">
            <w:pPr>
              <w:pStyle w:val="27"/>
              <w:rPr>
                <w:rFonts w:hint="default" w:ascii="Times New Roman" w:hAnsi="Times New Roman" w:cs="Times New Roman"/>
                <w:snapToGrid w:val="0"/>
                <w:color w:val="auto"/>
              </w:rPr>
            </w:pPr>
            <w:r>
              <w:rPr>
                <w:rFonts w:hint="default" w:ascii="Times New Roman" w:hAnsi="Times New Roman" w:cs="Times New Roman"/>
                <w:color w:val="auto"/>
                <w:sz w:val="21"/>
                <w:szCs w:val="21"/>
                <w:lang w:val="en-US" w:eastAsia="zh-CN"/>
              </w:rPr>
              <w:t>不合格产品</w:t>
            </w:r>
          </w:p>
        </w:tc>
        <w:tc>
          <w:tcPr>
            <w:tcW w:w="1701" w:type="dxa"/>
            <w:vAlign w:val="center"/>
          </w:tcPr>
          <w:p w14:paraId="168DD021">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276" w:type="dxa"/>
            <w:vAlign w:val="center"/>
          </w:tcPr>
          <w:p w14:paraId="7F94B9B3">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01" w:type="dxa"/>
            <w:vAlign w:val="center"/>
          </w:tcPr>
          <w:p w14:paraId="4DC21C97">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693" w:type="dxa"/>
            <w:vAlign w:val="center"/>
          </w:tcPr>
          <w:p w14:paraId="610CD474">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4494.4893</w:t>
            </w:r>
            <w:r>
              <w:rPr>
                <w:rFonts w:hint="default" w:ascii="Times New Roman" w:hAnsi="Times New Roman" w:cs="Times New Roman"/>
                <w:snapToGrid w:val="0"/>
                <w:color w:val="auto"/>
              </w:rPr>
              <w:t>t/a</w:t>
            </w:r>
          </w:p>
        </w:tc>
        <w:tc>
          <w:tcPr>
            <w:tcW w:w="1392" w:type="dxa"/>
            <w:vAlign w:val="center"/>
          </w:tcPr>
          <w:p w14:paraId="348F0649">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46" w:type="dxa"/>
            <w:vAlign w:val="center"/>
          </w:tcPr>
          <w:p w14:paraId="035D6EAF">
            <w:pPr>
              <w:pStyle w:val="2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4494.4893</w:t>
            </w:r>
            <w:r>
              <w:rPr>
                <w:rFonts w:hint="default" w:ascii="Times New Roman" w:hAnsi="Times New Roman" w:cs="Times New Roman"/>
                <w:snapToGrid w:val="0"/>
                <w:color w:val="auto"/>
              </w:rPr>
              <w:t>t/a</w:t>
            </w:r>
          </w:p>
        </w:tc>
        <w:tc>
          <w:tcPr>
            <w:tcW w:w="1445" w:type="dxa"/>
            <w:vAlign w:val="center"/>
          </w:tcPr>
          <w:p w14:paraId="1AF9DF9C">
            <w:pPr>
              <w:pStyle w:val="27"/>
              <w:rPr>
                <w:rFonts w:hint="default" w:ascii="Times New Roman" w:hAnsi="Times New Roman" w:cs="Times New Roman"/>
                <w:snapToGrid w:val="0"/>
                <w:color w:val="auto"/>
              </w:rPr>
            </w:pPr>
          </w:p>
        </w:tc>
      </w:tr>
      <w:tr w14:paraId="0C4A5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14:paraId="1694B0C4">
            <w:pPr>
              <w:pStyle w:val="27"/>
              <w:rPr>
                <w:rFonts w:hint="default" w:ascii="Times New Roman" w:hAnsi="Times New Roman" w:cs="Times New Roman"/>
                <w:snapToGrid w:val="0"/>
                <w:color w:val="auto"/>
              </w:rPr>
            </w:pPr>
          </w:p>
        </w:tc>
        <w:tc>
          <w:tcPr>
            <w:tcW w:w="1417" w:type="dxa"/>
            <w:vAlign w:val="center"/>
          </w:tcPr>
          <w:p w14:paraId="3281C35D">
            <w:pPr>
              <w:pStyle w:val="27"/>
              <w:rPr>
                <w:rFonts w:hint="default" w:ascii="Times New Roman" w:hAnsi="Times New Roman" w:cs="Times New Roman"/>
                <w:snapToGrid w:val="0"/>
                <w:color w:val="auto"/>
              </w:rPr>
            </w:pPr>
            <w:r>
              <w:rPr>
                <w:rFonts w:hint="default" w:ascii="Times New Roman" w:hAnsi="Times New Roman" w:cs="Times New Roman"/>
                <w:color w:val="auto"/>
                <w:sz w:val="21"/>
                <w:szCs w:val="21"/>
                <w:lang w:val="en-US" w:eastAsia="zh-CN"/>
              </w:rPr>
              <w:t>生活垃圾</w:t>
            </w:r>
          </w:p>
        </w:tc>
        <w:tc>
          <w:tcPr>
            <w:tcW w:w="1701" w:type="dxa"/>
            <w:vAlign w:val="center"/>
          </w:tcPr>
          <w:p w14:paraId="4D04E661">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276" w:type="dxa"/>
            <w:vAlign w:val="center"/>
          </w:tcPr>
          <w:p w14:paraId="034A6587">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01" w:type="dxa"/>
            <w:vAlign w:val="center"/>
          </w:tcPr>
          <w:p w14:paraId="2B152679">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693" w:type="dxa"/>
            <w:vAlign w:val="center"/>
          </w:tcPr>
          <w:p w14:paraId="52C397DD">
            <w:pPr>
              <w:pStyle w:val="27"/>
              <w:rPr>
                <w:rFonts w:hint="default" w:ascii="Times New Roman" w:hAnsi="Times New Roman" w:cs="Times New Roman"/>
                <w:snapToGrid w:val="0"/>
                <w:color w:val="auto"/>
              </w:rPr>
            </w:pPr>
            <w:r>
              <w:rPr>
                <w:rFonts w:hint="default" w:ascii="Times New Roman" w:hAnsi="Times New Roman" w:cs="Times New Roman"/>
                <w:color w:val="auto"/>
                <w:lang w:val="en-US" w:eastAsia="zh-CN"/>
              </w:rPr>
              <w:t>4.5</w:t>
            </w:r>
            <w:r>
              <w:rPr>
                <w:rFonts w:hint="default" w:ascii="Times New Roman" w:hAnsi="Times New Roman" w:cs="Times New Roman"/>
                <w:color w:val="auto"/>
                <w:szCs w:val="21"/>
              </w:rPr>
              <w:t>t/a</w:t>
            </w:r>
          </w:p>
        </w:tc>
        <w:tc>
          <w:tcPr>
            <w:tcW w:w="1392" w:type="dxa"/>
            <w:vAlign w:val="center"/>
          </w:tcPr>
          <w:p w14:paraId="5F7ADE86">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46" w:type="dxa"/>
            <w:vAlign w:val="center"/>
          </w:tcPr>
          <w:p w14:paraId="24108B9D">
            <w:pPr>
              <w:pStyle w:val="27"/>
              <w:rPr>
                <w:rFonts w:hint="default" w:ascii="Times New Roman" w:hAnsi="Times New Roman" w:cs="Times New Roman"/>
                <w:snapToGrid w:val="0"/>
                <w:color w:val="auto"/>
              </w:rPr>
            </w:pPr>
            <w:r>
              <w:rPr>
                <w:rFonts w:hint="default" w:ascii="Times New Roman" w:hAnsi="Times New Roman" w:cs="Times New Roman"/>
                <w:color w:val="auto"/>
                <w:lang w:val="en-US" w:eastAsia="zh-CN"/>
              </w:rPr>
              <w:t>4.5</w:t>
            </w:r>
            <w:r>
              <w:rPr>
                <w:rFonts w:hint="default" w:ascii="Times New Roman" w:hAnsi="Times New Roman" w:cs="Times New Roman"/>
                <w:color w:val="auto"/>
                <w:szCs w:val="21"/>
              </w:rPr>
              <w:t>t/a</w:t>
            </w:r>
          </w:p>
        </w:tc>
        <w:tc>
          <w:tcPr>
            <w:tcW w:w="1445" w:type="dxa"/>
            <w:vAlign w:val="center"/>
          </w:tcPr>
          <w:p w14:paraId="63C302DD">
            <w:pPr>
              <w:jc w:val="center"/>
              <w:rPr>
                <w:rFonts w:hint="default" w:ascii="Times New Roman" w:hAnsi="Times New Roman" w:cs="Times New Roman"/>
                <w:snapToGrid w:val="0"/>
                <w:color w:val="auto"/>
              </w:rPr>
            </w:pPr>
          </w:p>
        </w:tc>
      </w:tr>
      <w:tr w14:paraId="657F9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588" w:type="dxa"/>
            <w:vMerge w:val="restart"/>
            <w:vAlign w:val="center"/>
          </w:tcPr>
          <w:p w14:paraId="14EAB786">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危险废物</w:t>
            </w:r>
          </w:p>
        </w:tc>
        <w:tc>
          <w:tcPr>
            <w:tcW w:w="1417" w:type="dxa"/>
            <w:vAlign w:val="center"/>
          </w:tcPr>
          <w:p w14:paraId="77F7BD29">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废矿物油</w:t>
            </w:r>
          </w:p>
        </w:tc>
        <w:tc>
          <w:tcPr>
            <w:tcW w:w="1701" w:type="dxa"/>
            <w:vMerge w:val="restart"/>
            <w:vAlign w:val="center"/>
          </w:tcPr>
          <w:p w14:paraId="221F1465">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0</w:t>
            </w:r>
          </w:p>
        </w:tc>
        <w:tc>
          <w:tcPr>
            <w:tcW w:w="1276" w:type="dxa"/>
            <w:vMerge w:val="restart"/>
            <w:vAlign w:val="center"/>
          </w:tcPr>
          <w:p w14:paraId="3F1BE35B">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0</w:t>
            </w:r>
          </w:p>
        </w:tc>
        <w:tc>
          <w:tcPr>
            <w:tcW w:w="1701" w:type="dxa"/>
            <w:vMerge w:val="restart"/>
            <w:vAlign w:val="center"/>
          </w:tcPr>
          <w:p w14:paraId="4DAECDDD">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0</w:t>
            </w:r>
          </w:p>
        </w:tc>
        <w:tc>
          <w:tcPr>
            <w:tcW w:w="1693" w:type="dxa"/>
            <w:vMerge w:val="restart"/>
            <w:vAlign w:val="center"/>
          </w:tcPr>
          <w:p w14:paraId="72F7173B">
            <w:pPr>
              <w:pStyle w:val="27"/>
              <w:rPr>
                <w:rFonts w:hint="default" w:ascii="Times New Roman" w:hAnsi="Times New Roman" w:cs="Times New Roman"/>
                <w:color w:val="auto"/>
                <w:szCs w:val="21"/>
              </w:rPr>
            </w:pPr>
            <w:r>
              <w:rPr>
                <w:rFonts w:hint="default" w:ascii="Times New Roman" w:hAnsi="Times New Roman" w:cs="Times New Roman"/>
                <w:color w:val="auto"/>
                <w:szCs w:val="21"/>
              </w:rPr>
              <w:t>0.1t/a</w:t>
            </w:r>
          </w:p>
        </w:tc>
        <w:tc>
          <w:tcPr>
            <w:tcW w:w="1392" w:type="dxa"/>
            <w:vMerge w:val="restart"/>
            <w:vAlign w:val="center"/>
          </w:tcPr>
          <w:p w14:paraId="4C874291">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w:t>
            </w:r>
          </w:p>
        </w:tc>
        <w:tc>
          <w:tcPr>
            <w:tcW w:w="1746" w:type="dxa"/>
            <w:vMerge w:val="restart"/>
            <w:vAlign w:val="center"/>
          </w:tcPr>
          <w:p w14:paraId="0A79B9AA">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0.1</w:t>
            </w:r>
            <w:r>
              <w:rPr>
                <w:rFonts w:hint="default" w:ascii="Times New Roman" w:hAnsi="Times New Roman" w:cs="Times New Roman"/>
                <w:color w:val="auto"/>
                <w:szCs w:val="21"/>
              </w:rPr>
              <w:t>t/a</w:t>
            </w:r>
          </w:p>
        </w:tc>
        <w:tc>
          <w:tcPr>
            <w:tcW w:w="1445" w:type="dxa"/>
            <w:vMerge w:val="restart"/>
            <w:vAlign w:val="center"/>
          </w:tcPr>
          <w:p w14:paraId="19C44AA7">
            <w:pPr>
              <w:jc w:val="center"/>
              <w:rPr>
                <w:rFonts w:hint="default" w:ascii="Times New Roman" w:hAnsi="Times New Roman" w:cs="Times New Roman"/>
                <w:snapToGrid w:val="0"/>
                <w:color w:val="auto"/>
              </w:rPr>
            </w:pPr>
          </w:p>
        </w:tc>
      </w:tr>
      <w:tr w14:paraId="1D789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88" w:type="dxa"/>
            <w:vMerge w:val="continue"/>
            <w:vAlign w:val="center"/>
          </w:tcPr>
          <w:p w14:paraId="75D25BB1">
            <w:pPr>
              <w:pStyle w:val="27"/>
              <w:rPr>
                <w:rFonts w:hint="default" w:ascii="Times New Roman" w:hAnsi="Times New Roman" w:cs="Times New Roman"/>
                <w:snapToGrid w:val="0"/>
                <w:color w:val="auto"/>
              </w:rPr>
            </w:pPr>
          </w:p>
        </w:tc>
        <w:tc>
          <w:tcPr>
            <w:tcW w:w="1417" w:type="dxa"/>
            <w:vAlign w:val="center"/>
          </w:tcPr>
          <w:p w14:paraId="432F9749">
            <w:pPr>
              <w:pStyle w:val="27"/>
              <w:rPr>
                <w:rFonts w:hint="default" w:ascii="Times New Roman" w:hAnsi="Times New Roman" w:cs="Times New Roman"/>
                <w:snapToGrid w:val="0"/>
                <w:color w:val="auto"/>
              </w:rPr>
            </w:pPr>
            <w:r>
              <w:rPr>
                <w:rFonts w:hint="default" w:ascii="Times New Roman" w:hAnsi="Times New Roman" w:cs="Times New Roman"/>
                <w:snapToGrid w:val="0"/>
                <w:color w:val="auto"/>
              </w:rPr>
              <w:t>废油桶</w:t>
            </w:r>
          </w:p>
        </w:tc>
        <w:tc>
          <w:tcPr>
            <w:tcW w:w="1701" w:type="dxa"/>
            <w:vMerge w:val="continue"/>
            <w:vAlign w:val="center"/>
          </w:tcPr>
          <w:p w14:paraId="5E696D8E">
            <w:pPr>
              <w:pStyle w:val="27"/>
              <w:rPr>
                <w:rFonts w:hint="default" w:ascii="Times New Roman" w:hAnsi="Times New Roman" w:cs="Times New Roman"/>
                <w:snapToGrid w:val="0"/>
                <w:color w:val="auto"/>
              </w:rPr>
            </w:pPr>
          </w:p>
        </w:tc>
        <w:tc>
          <w:tcPr>
            <w:tcW w:w="1276" w:type="dxa"/>
            <w:vMerge w:val="continue"/>
            <w:vAlign w:val="center"/>
          </w:tcPr>
          <w:p w14:paraId="2132F06C">
            <w:pPr>
              <w:pStyle w:val="27"/>
              <w:rPr>
                <w:rFonts w:hint="default" w:ascii="Times New Roman" w:hAnsi="Times New Roman" w:cs="Times New Roman"/>
                <w:snapToGrid w:val="0"/>
                <w:color w:val="auto"/>
              </w:rPr>
            </w:pPr>
          </w:p>
        </w:tc>
        <w:tc>
          <w:tcPr>
            <w:tcW w:w="1701" w:type="dxa"/>
            <w:vMerge w:val="continue"/>
            <w:vAlign w:val="center"/>
          </w:tcPr>
          <w:p w14:paraId="2D30B30E">
            <w:pPr>
              <w:pStyle w:val="27"/>
              <w:rPr>
                <w:rFonts w:hint="default" w:ascii="Times New Roman" w:hAnsi="Times New Roman" w:cs="Times New Roman"/>
                <w:snapToGrid w:val="0"/>
                <w:color w:val="auto"/>
              </w:rPr>
            </w:pPr>
          </w:p>
        </w:tc>
        <w:tc>
          <w:tcPr>
            <w:tcW w:w="1693" w:type="dxa"/>
            <w:vMerge w:val="continue"/>
            <w:vAlign w:val="center"/>
          </w:tcPr>
          <w:p w14:paraId="3F79A441">
            <w:pPr>
              <w:pStyle w:val="27"/>
              <w:rPr>
                <w:rFonts w:hint="default" w:ascii="Times New Roman" w:hAnsi="Times New Roman" w:cs="Times New Roman"/>
                <w:color w:val="auto"/>
                <w:szCs w:val="21"/>
              </w:rPr>
            </w:pPr>
          </w:p>
        </w:tc>
        <w:tc>
          <w:tcPr>
            <w:tcW w:w="1392" w:type="dxa"/>
            <w:vMerge w:val="continue"/>
            <w:vAlign w:val="center"/>
          </w:tcPr>
          <w:p w14:paraId="1A976617">
            <w:pPr>
              <w:pStyle w:val="27"/>
              <w:rPr>
                <w:rFonts w:hint="default" w:ascii="Times New Roman" w:hAnsi="Times New Roman" w:cs="Times New Roman"/>
                <w:snapToGrid w:val="0"/>
                <w:color w:val="auto"/>
              </w:rPr>
            </w:pPr>
          </w:p>
        </w:tc>
        <w:tc>
          <w:tcPr>
            <w:tcW w:w="1746" w:type="dxa"/>
            <w:vMerge w:val="continue"/>
            <w:vAlign w:val="center"/>
          </w:tcPr>
          <w:p w14:paraId="66BF508A">
            <w:pPr>
              <w:rPr>
                <w:rFonts w:hint="default" w:ascii="Times New Roman" w:hAnsi="Times New Roman" w:cs="Times New Roman"/>
                <w:color w:val="auto"/>
                <w:szCs w:val="21"/>
              </w:rPr>
            </w:pPr>
          </w:p>
        </w:tc>
        <w:tc>
          <w:tcPr>
            <w:tcW w:w="1445" w:type="dxa"/>
            <w:vMerge w:val="continue"/>
            <w:vAlign w:val="center"/>
          </w:tcPr>
          <w:p w14:paraId="5BB2299D">
            <w:pPr>
              <w:rPr>
                <w:rFonts w:hint="default" w:ascii="Times New Roman" w:hAnsi="Times New Roman" w:cs="Times New Roman"/>
                <w:snapToGrid w:val="0"/>
                <w:color w:val="auto"/>
              </w:rPr>
            </w:pPr>
          </w:p>
        </w:tc>
      </w:tr>
    </w:tbl>
    <w:p w14:paraId="51C347A7">
      <w:pPr>
        <w:pStyle w:val="35"/>
        <w:spacing w:before="192" w:beforeLines="80" w:after="24"/>
        <w:ind w:firstLine="480"/>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14:paraId="1C5AFA71">
      <w:pPr>
        <w:ind w:firstLine="480"/>
        <w:rPr>
          <w:rFonts w:hint="default" w:ascii="Times New Roman" w:hAnsi="Times New Roman" w:cs="Times New Roman"/>
          <w:color w:val="auto"/>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0345532">
      <w:pPr>
        <w:rPr>
          <w:rFonts w:hint="default" w:ascii="Times New Roman" w:hAnsi="Times New Roman" w:cs="Times New Roman"/>
          <w:color w:val="auto"/>
        </w:rPr>
      </w:pPr>
    </w:p>
    <w:p w14:paraId="1EAF4E1A">
      <w:pPr>
        <w:rPr>
          <w:rFonts w:hint="default" w:ascii="Times New Roman" w:hAnsi="Times New Roman" w:cs="Times New Roman"/>
          <w:color w:val="auto"/>
        </w:rPr>
      </w:pPr>
    </w:p>
    <w:p w14:paraId="63965A54">
      <w:pPr>
        <w:rPr>
          <w:rFonts w:hint="default" w:ascii="Times New Roman" w:hAnsi="Times New Roman" w:cs="Times New Roman"/>
          <w:color w:val="auto"/>
        </w:rPr>
      </w:pPr>
    </w:p>
    <w:p w14:paraId="46B99A6C">
      <w:pPr>
        <w:rPr>
          <w:rFonts w:hint="default" w:ascii="Times New Roman" w:hAnsi="Times New Roman" w:cs="Times New Roman"/>
          <w:color w:val="auto"/>
        </w:rPr>
      </w:pPr>
    </w:p>
    <w:p w14:paraId="7F7ED39C">
      <w:pPr>
        <w:rPr>
          <w:rFonts w:hint="default" w:ascii="Times New Roman" w:hAnsi="Times New Roman" w:cs="Times New Roman"/>
          <w:color w:val="auto"/>
        </w:rPr>
      </w:pPr>
    </w:p>
    <w:p w14:paraId="6E61730F">
      <w:pPr>
        <w:rPr>
          <w:rFonts w:hint="default" w:ascii="Times New Roman" w:hAnsi="Times New Roman" w:cs="Times New Roman"/>
          <w:color w:val="auto"/>
        </w:rPr>
      </w:pPr>
    </w:p>
    <w:p w14:paraId="631B67FD">
      <w:pPr>
        <w:rPr>
          <w:rFonts w:hint="default" w:ascii="Times New Roman" w:hAnsi="Times New Roman" w:cs="Times New Roman"/>
          <w:color w:val="auto"/>
        </w:rPr>
      </w:pPr>
    </w:p>
    <w:p w14:paraId="188F42BE">
      <w:pPr>
        <w:rPr>
          <w:rFonts w:hint="default" w:ascii="Times New Roman" w:hAnsi="Times New Roman" w:cs="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FA938A-C059-43A8-AC33-7B6AD6956EA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
    <w:altName w:val="Times New Roman"/>
    <w:panose1 w:val="00000000000000000000"/>
    <w:charset w:val="00"/>
    <w:family w:val="roman"/>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embedRegular r:id="rId2" w:fontKey="{C67E68F3-9905-42B3-9023-084A7A6C7BCD}"/>
  </w:font>
  <w:font w:name="等线">
    <w:panose1 w:val="02010600030101010101"/>
    <w:charset w:val="86"/>
    <w:family w:val="auto"/>
    <w:pitch w:val="default"/>
    <w:sig w:usb0="A00002BF" w:usb1="38CF7CFA" w:usb2="00000016" w:usb3="00000000" w:csb0="0004000F" w:csb1="00000000"/>
    <w:embedRegular r:id="rId3" w:fontKey="{539BBB22-6890-4496-B064-275C211D1704}"/>
  </w:font>
  <w:font w:name="Cambria Math">
    <w:panose1 w:val="02040503050406030204"/>
    <w:charset w:val="00"/>
    <w:family w:val="roman"/>
    <w:pitch w:val="default"/>
    <w:sig w:usb0="E00006FF" w:usb1="420024FF" w:usb2="02000000" w:usb3="00000000" w:csb0="2000019F" w:csb1="00000000"/>
    <w:embedRegular r:id="rId4" w:fontKey="{F8967929-D6A7-4E94-BD94-B1FE0EC31CDA}"/>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962A2">
    <w:pPr>
      <w:pStyle w:val="7"/>
      <w:spacing w:line="14" w:lineRule="auto"/>
      <w:rPr>
        <w:rFonts w:hint="eastAsia"/>
        <w:sz w:val="20"/>
      </w:rPr>
    </w:pPr>
    <w:r>
      <mc:AlternateContent>
        <mc:Choice Requires="wps">
          <w:drawing>
            <wp:anchor distT="0" distB="0" distL="114300" distR="114300" simplePos="0" relativeHeight="251660288" behindDoc="1" locked="0" layoutInCell="1" allowOverlap="1">
              <wp:simplePos x="0" y="0"/>
              <wp:positionH relativeFrom="page">
                <wp:posOffset>3672205</wp:posOffset>
              </wp:positionH>
              <wp:positionV relativeFrom="page">
                <wp:posOffset>9916795</wp:posOffset>
              </wp:positionV>
              <wp:extent cx="214630" cy="1524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14630" cy="152400"/>
                      </a:xfrm>
                      <a:prstGeom prst="rect">
                        <a:avLst/>
                      </a:prstGeom>
                      <a:noFill/>
                      <a:ln>
                        <a:noFill/>
                      </a:ln>
                    </wps:spPr>
                    <wps:txbx>
                      <w:txbxContent>
                        <w:p w14:paraId="6A695692">
                          <w:pPr>
                            <w:spacing w:before="12"/>
                            <w:ind w:left="20"/>
                            <w:rPr>
                              <w:rFonts w:hint="eastAsia"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wps:txbx>
                    <wps:bodyPr lIns="0" tIns="0" rIns="0" bIns="0" upright="1"/>
                  </wps:wsp>
                </a:graphicData>
              </a:graphic>
            </wp:anchor>
          </w:drawing>
        </mc:Choice>
        <mc:Fallback>
          <w:pict>
            <v:shape id="_x0000_s1026" o:spid="_x0000_s1026" o:spt="202" type="#_x0000_t202" style="position:absolute;left:0pt;margin-left:289.15pt;margin-top:780.85pt;height:12pt;width:16.9pt;mso-position-horizontal-relative:page;mso-position-vertical-relative:page;z-index:-251656192;mso-width-relative:page;mso-height-relative:page;" filled="f" stroked="f" coordsize="21600,21600" o:gfxdata="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l2TAm2gAAAA0BAAAPAAAAAAAAAAEAIAAAACIAAABkcnMvZG93bnJldi54bWxQSwEC&#10;FAAUAAAACACHTuJA6KAyzbkBAABxAwAADgAAAAAAAAABACAAAAApAQAAZHJzL2Uyb0RvYy54bWxQ&#10;SwUGAAAAAAYABgBZAQAAVAUAAAAA&#10;">
              <v:fill on="f" focussize="0,0"/>
              <v:stroke on="f"/>
              <v:imagedata o:title=""/>
              <o:lock v:ext="edit" aspectratio="f"/>
              <v:textbox inset="0mm,0mm,0mm,0mm">
                <w:txbxContent>
                  <w:p w14:paraId="6A695692">
                    <w:pPr>
                      <w:spacing w:before="12"/>
                      <w:ind w:left="20"/>
                      <w:rPr>
                        <w:rFonts w:hint="eastAsia"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A6A4C">
    <w:pPr>
      <w:pStyle w:val="7"/>
      <w:spacing w:line="14" w:lineRule="auto"/>
      <w:rPr>
        <w:rFonts w:hint="eastAsia"/>
        <w:sz w:val="20"/>
      </w:rPr>
    </w:pPr>
    <w:r>
      <mc:AlternateContent>
        <mc:Choice Requires="wps">
          <w:drawing>
            <wp:anchor distT="0" distB="0" distL="114300" distR="114300" simplePos="0" relativeHeight="251663360" behindDoc="1" locked="0" layoutInCell="1" allowOverlap="1">
              <wp:simplePos x="0" y="0"/>
              <wp:positionH relativeFrom="page">
                <wp:posOffset>3642995</wp:posOffset>
              </wp:positionH>
              <wp:positionV relativeFrom="page">
                <wp:posOffset>9916795</wp:posOffset>
              </wp:positionV>
              <wp:extent cx="272415" cy="1524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14:paraId="10E2F64B">
                          <w:pPr>
                            <w:spacing w:before="12"/>
                            <w:ind w:left="20"/>
                            <w:rPr>
                              <w:rFonts w:hint="eastAsia"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10</w:t>
                          </w:r>
                          <w:r>
                            <w:fldChar w:fldCharType="end"/>
                          </w:r>
                          <w:r>
                            <w:rPr>
                              <w:rFonts w:ascii="Times New Roman"/>
                              <w:sz w:val="18"/>
                            </w:rPr>
                            <w:t xml:space="preserve"> -</w:t>
                          </w:r>
                        </w:p>
                      </w:txbxContent>
                    </wps:txbx>
                    <wps:bodyPr lIns="0" tIns="0" rIns="0" bIns="0" upright="1"/>
                  </wps:wsp>
                </a:graphicData>
              </a:graphic>
            </wp:anchor>
          </w:drawing>
        </mc:Choice>
        <mc:Fallback>
          <w:pict>
            <v:shape id="_x0000_s1026" o:spid="_x0000_s1026" o:spt="202" type="#_x0000_t202" style="position:absolute;left:0pt;margin-left:286.85pt;margin-top:780.85pt;height:12pt;width:21.45pt;mso-position-horizontal-relative:page;mso-position-vertical-relative:page;z-index:-251653120;mso-width-relative:page;mso-height-relative:page;" filled="f" stroked="f" coordsize="21600,21600" o:gfxdata="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L1bDjbAAAADQEAAA8AAAAAAAAAAQAgAAAAIgAAAGRycy9kb3ducmV2LnhtbFBL&#10;AQIUABQAAAAIAIdO4kCGtG3DugEAAHMDAAAOAAAAAAAAAAEAIAAAACoBAABkcnMvZTJvRG9jLnht&#10;bFBLBQYAAAAABgAGAFkBAABWBQAAAAA=&#10;">
              <v:fill on="f" focussize="0,0"/>
              <v:stroke on="f"/>
              <v:imagedata o:title=""/>
              <o:lock v:ext="edit" aspectratio="f"/>
              <v:textbox inset="0mm,0mm,0mm,0mm">
                <w:txbxContent>
                  <w:p w14:paraId="10E2F64B">
                    <w:pPr>
                      <w:spacing w:before="12"/>
                      <w:ind w:left="20"/>
                      <w:rPr>
                        <w:rFonts w:hint="eastAsia"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10</w:t>
                    </w:r>
                    <w:r>
                      <w:fldChar w:fldCharType="end"/>
                    </w:r>
                    <w:r>
                      <w:rPr>
                        <w:rFonts w:ascii="Times New Roman"/>
                        <w:sz w:val="1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DC450">
    <w:pPr>
      <w:pStyle w:val="15"/>
      <w:ind w:right="360" w:firstLine="360"/>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D6424F">
                          <w:pPr>
                            <w:pStyle w:val="15"/>
                            <w:ind w:firstLine="400"/>
                            <w:rPr>
                              <w:rStyle w:val="23"/>
                              <w:rFonts w:hint="eastAsia"/>
                              <w:szCs w:val="18"/>
                            </w:rPr>
                          </w:pPr>
                          <w:r>
                            <w:rPr>
                              <w:rStyle w:val="23"/>
                              <w:rFonts w:hint="eastAsia"/>
                              <w:sz w:val="20"/>
                            </w:rPr>
                            <w:t xml:space="preserve"> </w:t>
                          </w:r>
                          <w:r>
                            <w:rPr>
                              <w:rStyle w:val="23"/>
                              <w:rFonts w:hint="eastAsia"/>
                              <w:szCs w:val="18"/>
                            </w:rPr>
                            <w:t xml:space="preserve"> </w:t>
                          </w:r>
                          <w:r>
                            <w:rPr>
                              <w:szCs w:val="18"/>
                            </w:rPr>
                            <w:fldChar w:fldCharType="begin"/>
                          </w:r>
                          <w:r>
                            <w:rPr>
                              <w:rStyle w:val="23"/>
                              <w:szCs w:val="18"/>
                            </w:rPr>
                            <w:instrText xml:space="preserve">PAGE  </w:instrText>
                          </w:r>
                          <w:r>
                            <w:rPr>
                              <w:szCs w:val="18"/>
                            </w:rPr>
                            <w:fldChar w:fldCharType="separate"/>
                          </w:r>
                          <w:r>
                            <w:rPr>
                              <w:rStyle w:val="23"/>
                              <w:szCs w:val="18"/>
                            </w:rPr>
                            <w:t>88</w:t>
                          </w:r>
                          <w:r>
                            <w:rPr>
                              <w:szCs w:val="18"/>
                            </w:rPr>
                            <w:fldChar w:fldCharType="end"/>
                          </w:r>
                          <w:r>
                            <w:rPr>
                              <w:rStyle w:val="23"/>
                              <w:rFonts w:hint="eastAsia"/>
                              <w:szCs w:val="1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0++GsMBAACR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3iJrx9Q4njFkd+/vnj/OvP+fd3&#10;kp0oUR+gxszbgLlpeO8HTJ/9gM7MfFDR5i9yIhhHgU8XgeWQiMiPVsvVqsKQwNh8QXx2/zxESB+k&#10;tyQbDY04wSIsP36CNKbOKbma8zfamDJF4/5zIGb2sNz72GO20rAbJkI7356QT4/Db6jDXafEfHSo&#10;bd6T2YizsZuMXAPCu0PCwqWfjDpCTcVwUoXRtFV5Ff69l6z7P2n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DT74awwEAAJEDAAAOAAAAAAAAAAEAIAAAAB4BAABkcnMvZTJvRG9jLnhtbFBL&#10;BQYAAAAABgAGAFkBAABTBQAAAAA=&#10;">
              <v:fill on="f" focussize="0,0"/>
              <v:stroke on="f"/>
              <v:imagedata o:title=""/>
              <o:lock v:ext="edit" aspectratio="f"/>
              <v:textbox inset="0mm,0mm,0mm,0mm" style="mso-fit-shape-to-text:t;">
                <w:txbxContent>
                  <w:p w14:paraId="21D6424F">
                    <w:pPr>
                      <w:pStyle w:val="15"/>
                      <w:ind w:firstLine="400"/>
                      <w:rPr>
                        <w:rStyle w:val="23"/>
                        <w:rFonts w:hint="eastAsia"/>
                        <w:szCs w:val="18"/>
                      </w:rPr>
                    </w:pPr>
                    <w:r>
                      <w:rPr>
                        <w:rStyle w:val="23"/>
                        <w:rFonts w:hint="eastAsia"/>
                        <w:sz w:val="20"/>
                      </w:rPr>
                      <w:t xml:space="preserve"> </w:t>
                    </w:r>
                    <w:r>
                      <w:rPr>
                        <w:rStyle w:val="23"/>
                        <w:rFonts w:hint="eastAsia"/>
                        <w:szCs w:val="18"/>
                      </w:rPr>
                      <w:t xml:space="preserve"> </w:t>
                    </w:r>
                    <w:r>
                      <w:rPr>
                        <w:szCs w:val="18"/>
                      </w:rPr>
                      <w:fldChar w:fldCharType="begin"/>
                    </w:r>
                    <w:r>
                      <w:rPr>
                        <w:rStyle w:val="23"/>
                        <w:szCs w:val="18"/>
                      </w:rPr>
                      <w:instrText xml:space="preserve">PAGE  </w:instrText>
                    </w:r>
                    <w:r>
                      <w:rPr>
                        <w:szCs w:val="18"/>
                      </w:rPr>
                      <w:fldChar w:fldCharType="separate"/>
                    </w:r>
                    <w:r>
                      <w:rPr>
                        <w:rStyle w:val="23"/>
                        <w:szCs w:val="18"/>
                      </w:rPr>
                      <w:t>88</w:t>
                    </w:r>
                    <w:r>
                      <w:rPr>
                        <w:szCs w:val="18"/>
                      </w:rPr>
                      <w:fldChar w:fldCharType="end"/>
                    </w:r>
                    <w:r>
                      <w:rPr>
                        <w:rStyle w:val="23"/>
                        <w:rFonts w:hint="eastAsia"/>
                        <w:szCs w:val="1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3C200">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66A6DA"/>
    <w:multiLevelType w:val="singleLevel"/>
    <w:tmpl w:val="0666A6DA"/>
    <w:lvl w:ilvl="0" w:tentative="0">
      <w:start w:val="12"/>
      <w:numFmt w:val="chineseCounting"/>
      <w:suff w:val="nothing"/>
      <w:lvlText w:val="%1、"/>
      <w:lvlJc w:val="left"/>
      <w:rPr>
        <w:rFonts w:hint="eastAsia"/>
      </w:rPr>
    </w:lvl>
  </w:abstractNum>
  <w:abstractNum w:abstractNumId="1">
    <w:nsid w:val="1F9BC61A"/>
    <w:multiLevelType w:val="singleLevel"/>
    <w:tmpl w:val="1F9BC61A"/>
    <w:lvl w:ilvl="0" w:tentative="0">
      <w:start w:val="18"/>
      <w:numFmt w:val="chineseCounting"/>
      <w:suff w:val="nothing"/>
      <w:lvlText w:val="%1、"/>
      <w:lvlJc w:val="left"/>
      <w:rPr>
        <w:rFonts w:hint="eastAsia"/>
      </w:rPr>
    </w:lvl>
  </w:abstractNum>
  <w:abstractNum w:abstractNumId="2">
    <w:nsid w:val="7265ECDC"/>
    <w:multiLevelType w:val="singleLevel"/>
    <w:tmpl w:val="7265ECDC"/>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A97F42"/>
    <w:rsid w:val="00066EBC"/>
    <w:rsid w:val="0031380D"/>
    <w:rsid w:val="00610597"/>
    <w:rsid w:val="006B133E"/>
    <w:rsid w:val="007535B9"/>
    <w:rsid w:val="007C2CDB"/>
    <w:rsid w:val="007F01EB"/>
    <w:rsid w:val="00A24FC2"/>
    <w:rsid w:val="00AD558A"/>
    <w:rsid w:val="00B52690"/>
    <w:rsid w:val="00B76409"/>
    <w:rsid w:val="00B769EE"/>
    <w:rsid w:val="00EA233A"/>
    <w:rsid w:val="00F51C95"/>
    <w:rsid w:val="00F53609"/>
    <w:rsid w:val="00FA28B7"/>
    <w:rsid w:val="00FC206D"/>
    <w:rsid w:val="01302AC5"/>
    <w:rsid w:val="01317F69"/>
    <w:rsid w:val="013C690E"/>
    <w:rsid w:val="015123B9"/>
    <w:rsid w:val="015974C0"/>
    <w:rsid w:val="01722330"/>
    <w:rsid w:val="0185498B"/>
    <w:rsid w:val="01D803E5"/>
    <w:rsid w:val="01DA20AA"/>
    <w:rsid w:val="01DA23AF"/>
    <w:rsid w:val="01E202A3"/>
    <w:rsid w:val="01F33470"/>
    <w:rsid w:val="01F82835"/>
    <w:rsid w:val="02011047"/>
    <w:rsid w:val="021533E7"/>
    <w:rsid w:val="02203B3A"/>
    <w:rsid w:val="02290C40"/>
    <w:rsid w:val="02445A7A"/>
    <w:rsid w:val="024912E2"/>
    <w:rsid w:val="025F388A"/>
    <w:rsid w:val="02950671"/>
    <w:rsid w:val="02BD2415"/>
    <w:rsid w:val="02DD2416"/>
    <w:rsid w:val="02F86A38"/>
    <w:rsid w:val="02FA712B"/>
    <w:rsid w:val="02FE36C8"/>
    <w:rsid w:val="031B2C7F"/>
    <w:rsid w:val="032B6C3A"/>
    <w:rsid w:val="034F152E"/>
    <w:rsid w:val="036B6853"/>
    <w:rsid w:val="03886477"/>
    <w:rsid w:val="039B791C"/>
    <w:rsid w:val="039C3694"/>
    <w:rsid w:val="03D87802"/>
    <w:rsid w:val="03F4702C"/>
    <w:rsid w:val="03F51722"/>
    <w:rsid w:val="04115E30"/>
    <w:rsid w:val="042913CB"/>
    <w:rsid w:val="04472DF8"/>
    <w:rsid w:val="044C142D"/>
    <w:rsid w:val="04504BAA"/>
    <w:rsid w:val="04790C11"/>
    <w:rsid w:val="047B3B7E"/>
    <w:rsid w:val="04826D2E"/>
    <w:rsid w:val="049D76C3"/>
    <w:rsid w:val="04A86794"/>
    <w:rsid w:val="04BC3FEE"/>
    <w:rsid w:val="04FC6AE0"/>
    <w:rsid w:val="050D0411"/>
    <w:rsid w:val="05121E5F"/>
    <w:rsid w:val="05173FCA"/>
    <w:rsid w:val="055A55B4"/>
    <w:rsid w:val="05687A1E"/>
    <w:rsid w:val="056F47F6"/>
    <w:rsid w:val="05850883"/>
    <w:rsid w:val="05946D18"/>
    <w:rsid w:val="059705B7"/>
    <w:rsid w:val="059B00A7"/>
    <w:rsid w:val="05B127F3"/>
    <w:rsid w:val="05BE3D95"/>
    <w:rsid w:val="05C04DF3"/>
    <w:rsid w:val="05CF6D44"/>
    <w:rsid w:val="05FB28F4"/>
    <w:rsid w:val="060A2B37"/>
    <w:rsid w:val="061340E1"/>
    <w:rsid w:val="06231E4A"/>
    <w:rsid w:val="06317BB8"/>
    <w:rsid w:val="064F2408"/>
    <w:rsid w:val="065564A8"/>
    <w:rsid w:val="066C559F"/>
    <w:rsid w:val="06915006"/>
    <w:rsid w:val="06A72A7B"/>
    <w:rsid w:val="06B74E06"/>
    <w:rsid w:val="06BD160A"/>
    <w:rsid w:val="06E15F8D"/>
    <w:rsid w:val="073B4231"/>
    <w:rsid w:val="074A1D85"/>
    <w:rsid w:val="076B3AA9"/>
    <w:rsid w:val="07723DB9"/>
    <w:rsid w:val="07C36277"/>
    <w:rsid w:val="07D275EB"/>
    <w:rsid w:val="07D47BD7"/>
    <w:rsid w:val="07DA3D25"/>
    <w:rsid w:val="08350492"/>
    <w:rsid w:val="08403A8C"/>
    <w:rsid w:val="084648A5"/>
    <w:rsid w:val="084E1401"/>
    <w:rsid w:val="086F75C9"/>
    <w:rsid w:val="087D3BA5"/>
    <w:rsid w:val="088E7A4F"/>
    <w:rsid w:val="08901A19"/>
    <w:rsid w:val="08BB45BC"/>
    <w:rsid w:val="08BF0B80"/>
    <w:rsid w:val="08C01BD2"/>
    <w:rsid w:val="08FB286E"/>
    <w:rsid w:val="092D6FD3"/>
    <w:rsid w:val="094822F4"/>
    <w:rsid w:val="094A20CE"/>
    <w:rsid w:val="09585107"/>
    <w:rsid w:val="095D5673"/>
    <w:rsid w:val="09641007"/>
    <w:rsid w:val="097906FF"/>
    <w:rsid w:val="099F7A3A"/>
    <w:rsid w:val="09A17D0C"/>
    <w:rsid w:val="09A3577C"/>
    <w:rsid w:val="09AA1C76"/>
    <w:rsid w:val="09DD2324"/>
    <w:rsid w:val="09E013D8"/>
    <w:rsid w:val="09EA6F07"/>
    <w:rsid w:val="09FA2624"/>
    <w:rsid w:val="09FC30DE"/>
    <w:rsid w:val="0A0213CF"/>
    <w:rsid w:val="0A037FC9"/>
    <w:rsid w:val="0A161434"/>
    <w:rsid w:val="0A165F4E"/>
    <w:rsid w:val="0A4A7645"/>
    <w:rsid w:val="0A803119"/>
    <w:rsid w:val="0A96708F"/>
    <w:rsid w:val="0A9D666F"/>
    <w:rsid w:val="0AA55524"/>
    <w:rsid w:val="0AAB1308"/>
    <w:rsid w:val="0ADD6A6C"/>
    <w:rsid w:val="0B030599"/>
    <w:rsid w:val="0B0A6810"/>
    <w:rsid w:val="0B664CB3"/>
    <w:rsid w:val="0B784B6C"/>
    <w:rsid w:val="0B8C6B1D"/>
    <w:rsid w:val="0B8D51C0"/>
    <w:rsid w:val="0BCF3A4D"/>
    <w:rsid w:val="0BE429B8"/>
    <w:rsid w:val="0C012C2E"/>
    <w:rsid w:val="0C0555AD"/>
    <w:rsid w:val="0C0D3381"/>
    <w:rsid w:val="0C1666D9"/>
    <w:rsid w:val="0C193AD3"/>
    <w:rsid w:val="0C333E9B"/>
    <w:rsid w:val="0C361799"/>
    <w:rsid w:val="0C4072B2"/>
    <w:rsid w:val="0C434FF4"/>
    <w:rsid w:val="0C6805B7"/>
    <w:rsid w:val="0C774C9E"/>
    <w:rsid w:val="0C7B653C"/>
    <w:rsid w:val="0C9B098C"/>
    <w:rsid w:val="0CA21D1B"/>
    <w:rsid w:val="0CBD33D0"/>
    <w:rsid w:val="0CBD4DA7"/>
    <w:rsid w:val="0CFD39AA"/>
    <w:rsid w:val="0D020A0B"/>
    <w:rsid w:val="0D0D4B69"/>
    <w:rsid w:val="0D1349C7"/>
    <w:rsid w:val="0D22141A"/>
    <w:rsid w:val="0D3B5CCB"/>
    <w:rsid w:val="0D4728C2"/>
    <w:rsid w:val="0DF465A6"/>
    <w:rsid w:val="0DF94100"/>
    <w:rsid w:val="0DFE2B13"/>
    <w:rsid w:val="0E344BF5"/>
    <w:rsid w:val="0E3C7F4D"/>
    <w:rsid w:val="0E5D0FE9"/>
    <w:rsid w:val="0E5D6419"/>
    <w:rsid w:val="0E74336A"/>
    <w:rsid w:val="0E910652"/>
    <w:rsid w:val="0EB04152"/>
    <w:rsid w:val="0ECE329B"/>
    <w:rsid w:val="0ED46221"/>
    <w:rsid w:val="0F064AB2"/>
    <w:rsid w:val="0F135898"/>
    <w:rsid w:val="0F46331D"/>
    <w:rsid w:val="0F827226"/>
    <w:rsid w:val="0F9718DF"/>
    <w:rsid w:val="0FA7463C"/>
    <w:rsid w:val="0FC3468D"/>
    <w:rsid w:val="0FCC1A3A"/>
    <w:rsid w:val="0FDE1CCB"/>
    <w:rsid w:val="0FE64614"/>
    <w:rsid w:val="10030D22"/>
    <w:rsid w:val="1034712E"/>
    <w:rsid w:val="103C4234"/>
    <w:rsid w:val="104650B3"/>
    <w:rsid w:val="105656D9"/>
    <w:rsid w:val="105E699F"/>
    <w:rsid w:val="10602F00"/>
    <w:rsid w:val="109202F8"/>
    <w:rsid w:val="10BE5294"/>
    <w:rsid w:val="10DD5A17"/>
    <w:rsid w:val="1105306B"/>
    <w:rsid w:val="110B729A"/>
    <w:rsid w:val="112F361F"/>
    <w:rsid w:val="11622CD3"/>
    <w:rsid w:val="117D2E08"/>
    <w:rsid w:val="119838F5"/>
    <w:rsid w:val="11BD3153"/>
    <w:rsid w:val="11C269BB"/>
    <w:rsid w:val="11DC1EBA"/>
    <w:rsid w:val="11DF756D"/>
    <w:rsid w:val="11E176DE"/>
    <w:rsid w:val="11E9219A"/>
    <w:rsid w:val="11E95829"/>
    <w:rsid w:val="121C0216"/>
    <w:rsid w:val="12274A70"/>
    <w:rsid w:val="124E7455"/>
    <w:rsid w:val="12617F82"/>
    <w:rsid w:val="126C30D5"/>
    <w:rsid w:val="129723B8"/>
    <w:rsid w:val="12B72982"/>
    <w:rsid w:val="12C25238"/>
    <w:rsid w:val="12CE31C0"/>
    <w:rsid w:val="130715C6"/>
    <w:rsid w:val="13187776"/>
    <w:rsid w:val="13230497"/>
    <w:rsid w:val="134766EE"/>
    <w:rsid w:val="13537037"/>
    <w:rsid w:val="1364253C"/>
    <w:rsid w:val="137168CF"/>
    <w:rsid w:val="138E4DA7"/>
    <w:rsid w:val="139D30F4"/>
    <w:rsid w:val="139D323C"/>
    <w:rsid w:val="13AC7923"/>
    <w:rsid w:val="13BE5C21"/>
    <w:rsid w:val="13C53E8E"/>
    <w:rsid w:val="13C80B59"/>
    <w:rsid w:val="13D44674"/>
    <w:rsid w:val="13E34020"/>
    <w:rsid w:val="13FD5547"/>
    <w:rsid w:val="143D4C2A"/>
    <w:rsid w:val="14480F03"/>
    <w:rsid w:val="1448576D"/>
    <w:rsid w:val="14535FF1"/>
    <w:rsid w:val="14651130"/>
    <w:rsid w:val="146A27B3"/>
    <w:rsid w:val="14755F67"/>
    <w:rsid w:val="14877E44"/>
    <w:rsid w:val="14BF17D8"/>
    <w:rsid w:val="14C8078D"/>
    <w:rsid w:val="14D41776"/>
    <w:rsid w:val="14D709D0"/>
    <w:rsid w:val="14E8338B"/>
    <w:rsid w:val="14FC21E4"/>
    <w:rsid w:val="15177DF7"/>
    <w:rsid w:val="15455939"/>
    <w:rsid w:val="156E6271"/>
    <w:rsid w:val="15744470"/>
    <w:rsid w:val="157B75AD"/>
    <w:rsid w:val="157D2F01"/>
    <w:rsid w:val="15836462"/>
    <w:rsid w:val="159643E7"/>
    <w:rsid w:val="15995C85"/>
    <w:rsid w:val="15AC3C0A"/>
    <w:rsid w:val="15B70E67"/>
    <w:rsid w:val="15CD3D97"/>
    <w:rsid w:val="160457F4"/>
    <w:rsid w:val="162723E1"/>
    <w:rsid w:val="164E69C7"/>
    <w:rsid w:val="166D339A"/>
    <w:rsid w:val="16ED6DA6"/>
    <w:rsid w:val="16FE3FF2"/>
    <w:rsid w:val="17092996"/>
    <w:rsid w:val="1733471B"/>
    <w:rsid w:val="1742207E"/>
    <w:rsid w:val="177E6EB9"/>
    <w:rsid w:val="17967B91"/>
    <w:rsid w:val="179761F4"/>
    <w:rsid w:val="179E2818"/>
    <w:rsid w:val="17A355EF"/>
    <w:rsid w:val="17A54DB5"/>
    <w:rsid w:val="17A776A1"/>
    <w:rsid w:val="17B9616B"/>
    <w:rsid w:val="17D336D0"/>
    <w:rsid w:val="17EF7DDE"/>
    <w:rsid w:val="17FB2C27"/>
    <w:rsid w:val="17FF4DE1"/>
    <w:rsid w:val="183A54FD"/>
    <w:rsid w:val="18435F26"/>
    <w:rsid w:val="18870050"/>
    <w:rsid w:val="188B6E9F"/>
    <w:rsid w:val="18B319A9"/>
    <w:rsid w:val="18B74823"/>
    <w:rsid w:val="18D85379"/>
    <w:rsid w:val="18D95B8F"/>
    <w:rsid w:val="18E366B4"/>
    <w:rsid w:val="18EF0876"/>
    <w:rsid w:val="19257F5C"/>
    <w:rsid w:val="195E16BF"/>
    <w:rsid w:val="1960646A"/>
    <w:rsid w:val="19667CA9"/>
    <w:rsid w:val="1977008B"/>
    <w:rsid w:val="199B021E"/>
    <w:rsid w:val="19A01E2B"/>
    <w:rsid w:val="19AA66B3"/>
    <w:rsid w:val="1A082D25"/>
    <w:rsid w:val="1A3B4396"/>
    <w:rsid w:val="1A4428B3"/>
    <w:rsid w:val="1A5B79AD"/>
    <w:rsid w:val="1A5F0CF1"/>
    <w:rsid w:val="1A676352"/>
    <w:rsid w:val="1A6F204B"/>
    <w:rsid w:val="1A89451A"/>
    <w:rsid w:val="1AE814A8"/>
    <w:rsid w:val="1AEB0D31"/>
    <w:rsid w:val="1B0F3B71"/>
    <w:rsid w:val="1B23671D"/>
    <w:rsid w:val="1B3A2A7C"/>
    <w:rsid w:val="1B3A75C2"/>
    <w:rsid w:val="1B506DE6"/>
    <w:rsid w:val="1B6342C4"/>
    <w:rsid w:val="1BA11DBE"/>
    <w:rsid w:val="1BA333BA"/>
    <w:rsid w:val="1BAA299A"/>
    <w:rsid w:val="1C1845C0"/>
    <w:rsid w:val="1C286BE5"/>
    <w:rsid w:val="1C3C36F1"/>
    <w:rsid w:val="1C3D736A"/>
    <w:rsid w:val="1C457F9A"/>
    <w:rsid w:val="1C522778"/>
    <w:rsid w:val="1C7B60E4"/>
    <w:rsid w:val="1CA86413"/>
    <w:rsid w:val="1CAC44F0"/>
    <w:rsid w:val="1CB6082D"/>
    <w:rsid w:val="1CFA7196"/>
    <w:rsid w:val="1D0165EA"/>
    <w:rsid w:val="1D132DC5"/>
    <w:rsid w:val="1D39591A"/>
    <w:rsid w:val="1D550375"/>
    <w:rsid w:val="1D8B2357"/>
    <w:rsid w:val="1D9B4C90"/>
    <w:rsid w:val="1DA9212D"/>
    <w:rsid w:val="1DB7139E"/>
    <w:rsid w:val="1DE71C83"/>
    <w:rsid w:val="1DF77DC1"/>
    <w:rsid w:val="1DFB6AD0"/>
    <w:rsid w:val="1E0F04F4"/>
    <w:rsid w:val="1E1578D9"/>
    <w:rsid w:val="1E1E28AB"/>
    <w:rsid w:val="1E214A6A"/>
    <w:rsid w:val="1E2917CC"/>
    <w:rsid w:val="1E2E78B2"/>
    <w:rsid w:val="1E4D0963"/>
    <w:rsid w:val="1E647772"/>
    <w:rsid w:val="1E86425F"/>
    <w:rsid w:val="1E893F5A"/>
    <w:rsid w:val="1EAB7E95"/>
    <w:rsid w:val="1EBB4EBE"/>
    <w:rsid w:val="1EC60780"/>
    <w:rsid w:val="1ED146E2"/>
    <w:rsid w:val="1ED4527F"/>
    <w:rsid w:val="1EDA4C95"/>
    <w:rsid w:val="1EF444BD"/>
    <w:rsid w:val="1F185E1F"/>
    <w:rsid w:val="1F1D139B"/>
    <w:rsid w:val="1F50638D"/>
    <w:rsid w:val="1F703EFB"/>
    <w:rsid w:val="1F8D7783"/>
    <w:rsid w:val="1FA871F0"/>
    <w:rsid w:val="1FAF4A23"/>
    <w:rsid w:val="1FDE3C53"/>
    <w:rsid w:val="1FE30F60"/>
    <w:rsid w:val="203D651D"/>
    <w:rsid w:val="204D5FEA"/>
    <w:rsid w:val="206155F1"/>
    <w:rsid w:val="20855784"/>
    <w:rsid w:val="208E288A"/>
    <w:rsid w:val="2091237A"/>
    <w:rsid w:val="20937EA1"/>
    <w:rsid w:val="209E6CC6"/>
    <w:rsid w:val="20B53430"/>
    <w:rsid w:val="20BF7883"/>
    <w:rsid w:val="20C07E7A"/>
    <w:rsid w:val="20E16435"/>
    <w:rsid w:val="21215ED1"/>
    <w:rsid w:val="212E1977"/>
    <w:rsid w:val="21303941"/>
    <w:rsid w:val="21617F9F"/>
    <w:rsid w:val="21993A30"/>
    <w:rsid w:val="21A97250"/>
    <w:rsid w:val="21BA145D"/>
    <w:rsid w:val="21BF17F5"/>
    <w:rsid w:val="21C35F1E"/>
    <w:rsid w:val="21E62243"/>
    <w:rsid w:val="21FE759C"/>
    <w:rsid w:val="220B7F0B"/>
    <w:rsid w:val="220D5A31"/>
    <w:rsid w:val="22132C12"/>
    <w:rsid w:val="221C2390"/>
    <w:rsid w:val="222D7E81"/>
    <w:rsid w:val="223615FD"/>
    <w:rsid w:val="224D407F"/>
    <w:rsid w:val="226C09A9"/>
    <w:rsid w:val="229E0014"/>
    <w:rsid w:val="22A5210D"/>
    <w:rsid w:val="22A939AB"/>
    <w:rsid w:val="22AC1F65"/>
    <w:rsid w:val="22AD4B1E"/>
    <w:rsid w:val="22BF14F8"/>
    <w:rsid w:val="22CD6F6E"/>
    <w:rsid w:val="2303032F"/>
    <w:rsid w:val="230371D1"/>
    <w:rsid w:val="232057F5"/>
    <w:rsid w:val="234822FE"/>
    <w:rsid w:val="234D65E4"/>
    <w:rsid w:val="23522813"/>
    <w:rsid w:val="235F319E"/>
    <w:rsid w:val="23751ADF"/>
    <w:rsid w:val="23814D41"/>
    <w:rsid w:val="238D5D3D"/>
    <w:rsid w:val="239161EE"/>
    <w:rsid w:val="23C6233B"/>
    <w:rsid w:val="23D85A19"/>
    <w:rsid w:val="23F8626D"/>
    <w:rsid w:val="23F944BF"/>
    <w:rsid w:val="240942D8"/>
    <w:rsid w:val="240A49D7"/>
    <w:rsid w:val="24215577"/>
    <w:rsid w:val="242A28CA"/>
    <w:rsid w:val="24472BFB"/>
    <w:rsid w:val="244871F4"/>
    <w:rsid w:val="244D0366"/>
    <w:rsid w:val="244D480A"/>
    <w:rsid w:val="24D4382A"/>
    <w:rsid w:val="24D61965"/>
    <w:rsid w:val="24F133E8"/>
    <w:rsid w:val="25097451"/>
    <w:rsid w:val="25301B2A"/>
    <w:rsid w:val="25371422"/>
    <w:rsid w:val="253E5F41"/>
    <w:rsid w:val="25407ECB"/>
    <w:rsid w:val="255319AC"/>
    <w:rsid w:val="2580651A"/>
    <w:rsid w:val="25827C82"/>
    <w:rsid w:val="259A7F19"/>
    <w:rsid w:val="25CB1E8B"/>
    <w:rsid w:val="25E77A00"/>
    <w:rsid w:val="25F36015"/>
    <w:rsid w:val="2609132E"/>
    <w:rsid w:val="26306760"/>
    <w:rsid w:val="26864004"/>
    <w:rsid w:val="2697330D"/>
    <w:rsid w:val="26B23E11"/>
    <w:rsid w:val="26B24DF9"/>
    <w:rsid w:val="270C275B"/>
    <w:rsid w:val="27AB3D22"/>
    <w:rsid w:val="27D668C5"/>
    <w:rsid w:val="28017DE6"/>
    <w:rsid w:val="282C39BE"/>
    <w:rsid w:val="28546167"/>
    <w:rsid w:val="28557849"/>
    <w:rsid w:val="285A69A0"/>
    <w:rsid w:val="287C041E"/>
    <w:rsid w:val="288D5AE2"/>
    <w:rsid w:val="289E3886"/>
    <w:rsid w:val="28B40744"/>
    <w:rsid w:val="28EA4406"/>
    <w:rsid w:val="29157C90"/>
    <w:rsid w:val="29233D8C"/>
    <w:rsid w:val="293E4722"/>
    <w:rsid w:val="29451F54"/>
    <w:rsid w:val="295126A7"/>
    <w:rsid w:val="295128E2"/>
    <w:rsid w:val="29BF51B1"/>
    <w:rsid w:val="29FA5373"/>
    <w:rsid w:val="2A36189D"/>
    <w:rsid w:val="2A50319E"/>
    <w:rsid w:val="2A506E02"/>
    <w:rsid w:val="2A5306A1"/>
    <w:rsid w:val="2A647F86"/>
    <w:rsid w:val="2A6A2ACF"/>
    <w:rsid w:val="2A77613D"/>
    <w:rsid w:val="2AAF3CA6"/>
    <w:rsid w:val="2AB56C65"/>
    <w:rsid w:val="2AB57BE7"/>
    <w:rsid w:val="2ABF7AE4"/>
    <w:rsid w:val="2AD51ED6"/>
    <w:rsid w:val="2AE85674"/>
    <w:rsid w:val="2AFC6642"/>
    <w:rsid w:val="2B2D7144"/>
    <w:rsid w:val="2B4D50F0"/>
    <w:rsid w:val="2B613131"/>
    <w:rsid w:val="2B6573AB"/>
    <w:rsid w:val="2B7E52A9"/>
    <w:rsid w:val="2B8C00D9"/>
    <w:rsid w:val="2B8E0647"/>
    <w:rsid w:val="2C232F76"/>
    <w:rsid w:val="2C2475FA"/>
    <w:rsid w:val="2C267E1B"/>
    <w:rsid w:val="2C277DD3"/>
    <w:rsid w:val="2CA156F3"/>
    <w:rsid w:val="2CF021D7"/>
    <w:rsid w:val="2CFC6DCE"/>
    <w:rsid w:val="2D28743E"/>
    <w:rsid w:val="2D3130E3"/>
    <w:rsid w:val="2D32459D"/>
    <w:rsid w:val="2D532382"/>
    <w:rsid w:val="2D5C609F"/>
    <w:rsid w:val="2D957BDB"/>
    <w:rsid w:val="2DA23F11"/>
    <w:rsid w:val="2DC54C2F"/>
    <w:rsid w:val="2DD469DF"/>
    <w:rsid w:val="2DFF5BF4"/>
    <w:rsid w:val="2E0777D8"/>
    <w:rsid w:val="2E114410"/>
    <w:rsid w:val="2E226D4D"/>
    <w:rsid w:val="2E232138"/>
    <w:rsid w:val="2E2E2FB7"/>
    <w:rsid w:val="2E495B50"/>
    <w:rsid w:val="2E544B59"/>
    <w:rsid w:val="2E644C2A"/>
    <w:rsid w:val="2E6828E8"/>
    <w:rsid w:val="2EA6073F"/>
    <w:rsid w:val="2EA94D33"/>
    <w:rsid w:val="2EB813E6"/>
    <w:rsid w:val="2EC35DF5"/>
    <w:rsid w:val="2EC95B71"/>
    <w:rsid w:val="2EDF2503"/>
    <w:rsid w:val="2EEC3F58"/>
    <w:rsid w:val="2F044E1C"/>
    <w:rsid w:val="2F10090E"/>
    <w:rsid w:val="2F25260C"/>
    <w:rsid w:val="2F6B13F4"/>
    <w:rsid w:val="2F7E5CB0"/>
    <w:rsid w:val="2F7E78CF"/>
    <w:rsid w:val="2F8A185C"/>
    <w:rsid w:val="2FDC6A42"/>
    <w:rsid w:val="30197C97"/>
    <w:rsid w:val="30464C8A"/>
    <w:rsid w:val="305C2C5A"/>
    <w:rsid w:val="30A05CC2"/>
    <w:rsid w:val="30BB2AFC"/>
    <w:rsid w:val="30C711DB"/>
    <w:rsid w:val="30E411B5"/>
    <w:rsid w:val="30F435D5"/>
    <w:rsid w:val="30FA6E42"/>
    <w:rsid w:val="31327262"/>
    <w:rsid w:val="31341444"/>
    <w:rsid w:val="31505D6B"/>
    <w:rsid w:val="315216B2"/>
    <w:rsid w:val="318F1FBE"/>
    <w:rsid w:val="31AF717C"/>
    <w:rsid w:val="31CA128A"/>
    <w:rsid w:val="31F2079F"/>
    <w:rsid w:val="3207249C"/>
    <w:rsid w:val="322724D4"/>
    <w:rsid w:val="322E7A29"/>
    <w:rsid w:val="32472899"/>
    <w:rsid w:val="324F5D5C"/>
    <w:rsid w:val="32715B68"/>
    <w:rsid w:val="32777CC8"/>
    <w:rsid w:val="32B015EE"/>
    <w:rsid w:val="32B048E2"/>
    <w:rsid w:val="33042538"/>
    <w:rsid w:val="330723DC"/>
    <w:rsid w:val="330B1B18"/>
    <w:rsid w:val="33254BC2"/>
    <w:rsid w:val="33356B95"/>
    <w:rsid w:val="335C2374"/>
    <w:rsid w:val="33900270"/>
    <w:rsid w:val="33995376"/>
    <w:rsid w:val="33A8380B"/>
    <w:rsid w:val="33AD0E22"/>
    <w:rsid w:val="33B75806"/>
    <w:rsid w:val="33F47ECB"/>
    <w:rsid w:val="34006B03"/>
    <w:rsid w:val="341306E4"/>
    <w:rsid w:val="341E3ACD"/>
    <w:rsid w:val="348C4EDB"/>
    <w:rsid w:val="34B01683"/>
    <w:rsid w:val="34C74165"/>
    <w:rsid w:val="34E15227"/>
    <w:rsid w:val="34EC6639"/>
    <w:rsid w:val="35080CFF"/>
    <w:rsid w:val="350902DA"/>
    <w:rsid w:val="35143688"/>
    <w:rsid w:val="353A4937"/>
    <w:rsid w:val="356D67CB"/>
    <w:rsid w:val="35736EFB"/>
    <w:rsid w:val="357772AC"/>
    <w:rsid w:val="357E2A76"/>
    <w:rsid w:val="35847960"/>
    <w:rsid w:val="35BE7316"/>
    <w:rsid w:val="362B4280"/>
    <w:rsid w:val="36473EC1"/>
    <w:rsid w:val="36486BE0"/>
    <w:rsid w:val="365513C3"/>
    <w:rsid w:val="36567A1C"/>
    <w:rsid w:val="3659703F"/>
    <w:rsid w:val="3660217B"/>
    <w:rsid w:val="36637EBD"/>
    <w:rsid w:val="36657792"/>
    <w:rsid w:val="367F5952"/>
    <w:rsid w:val="36897924"/>
    <w:rsid w:val="369D33CF"/>
    <w:rsid w:val="36B64491"/>
    <w:rsid w:val="36BC0DFF"/>
    <w:rsid w:val="36CD7D09"/>
    <w:rsid w:val="36CF10AF"/>
    <w:rsid w:val="36DA61CC"/>
    <w:rsid w:val="37490265"/>
    <w:rsid w:val="37493898"/>
    <w:rsid w:val="37795F17"/>
    <w:rsid w:val="378325C5"/>
    <w:rsid w:val="379C086E"/>
    <w:rsid w:val="379F6C20"/>
    <w:rsid w:val="37A4253C"/>
    <w:rsid w:val="37A83DDA"/>
    <w:rsid w:val="37AF0A14"/>
    <w:rsid w:val="37B57733"/>
    <w:rsid w:val="37BC7B98"/>
    <w:rsid w:val="38157F40"/>
    <w:rsid w:val="382A0958"/>
    <w:rsid w:val="383513E6"/>
    <w:rsid w:val="383712E9"/>
    <w:rsid w:val="383C1935"/>
    <w:rsid w:val="387243E8"/>
    <w:rsid w:val="387E0FDF"/>
    <w:rsid w:val="3882287D"/>
    <w:rsid w:val="38A8605B"/>
    <w:rsid w:val="38B247E4"/>
    <w:rsid w:val="38BD5663"/>
    <w:rsid w:val="38C41F7E"/>
    <w:rsid w:val="38CE2A4B"/>
    <w:rsid w:val="38CF35E8"/>
    <w:rsid w:val="38D96D53"/>
    <w:rsid w:val="390E2362"/>
    <w:rsid w:val="39314151"/>
    <w:rsid w:val="396106E4"/>
    <w:rsid w:val="39706B79"/>
    <w:rsid w:val="39A22AAB"/>
    <w:rsid w:val="39A44A75"/>
    <w:rsid w:val="39A85B1E"/>
    <w:rsid w:val="39D37108"/>
    <w:rsid w:val="39E17F0D"/>
    <w:rsid w:val="39E902C9"/>
    <w:rsid w:val="39F81B43"/>
    <w:rsid w:val="39FF0D34"/>
    <w:rsid w:val="3A383AE9"/>
    <w:rsid w:val="3A4E0A72"/>
    <w:rsid w:val="3A540249"/>
    <w:rsid w:val="3A6A181A"/>
    <w:rsid w:val="3A764C66"/>
    <w:rsid w:val="3AA67957"/>
    <w:rsid w:val="3AC16F61"/>
    <w:rsid w:val="3ADC17FF"/>
    <w:rsid w:val="3AEA4709"/>
    <w:rsid w:val="3B1B038C"/>
    <w:rsid w:val="3B2220F5"/>
    <w:rsid w:val="3B5A363D"/>
    <w:rsid w:val="3B637EE0"/>
    <w:rsid w:val="3B9D5C20"/>
    <w:rsid w:val="3BC92571"/>
    <w:rsid w:val="3BC9358E"/>
    <w:rsid w:val="3BDC4281"/>
    <w:rsid w:val="3BF82E56"/>
    <w:rsid w:val="3C187054"/>
    <w:rsid w:val="3C1F6635"/>
    <w:rsid w:val="3C221C81"/>
    <w:rsid w:val="3C3437AC"/>
    <w:rsid w:val="3C575DCE"/>
    <w:rsid w:val="3C77021F"/>
    <w:rsid w:val="3C8D359E"/>
    <w:rsid w:val="3C9115FB"/>
    <w:rsid w:val="3C931288"/>
    <w:rsid w:val="3CA07775"/>
    <w:rsid w:val="3CB27223"/>
    <w:rsid w:val="3CBB2C8E"/>
    <w:rsid w:val="3CBD0327"/>
    <w:rsid w:val="3CC80A7A"/>
    <w:rsid w:val="3CF604DE"/>
    <w:rsid w:val="3D1014ED"/>
    <w:rsid w:val="3D2C4F95"/>
    <w:rsid w:val="3DAA6743"/>
    <w:rsid w:val="3DD31D46"/>
    <w:rsid w:val="3DDC1B5E"/>
    <w:rsid w:val="3DE15BC8"/>
    <w:rsid w:val="3E143A42"/>
    <w:rsid w:val="3E3A7756"/>
    <w:rsid w:val="3E7441A5"/>
    <w:rsid w:val="3E786B8F"/>
    <w:rsid w:val="3E913E6E"/>
    <w:rsid w:val="3EC5537B"/>
    <w:rsid w:val="3ED16309"/>
    <w:rsid w:val="3ED26D52"/>
    <w:rsid w:val="3EE75A46"/>
    <w:rsid w:val="3EE8492E"/>
    <w:rsid w:val="3EEF0540"/>
    <w:rsid w:val="3EF861A9"/>
    <w:rsid w:val="3EFB5050"/>
    <w:rsid w:val="3F4E55F8"/>
    <w:rsid w:val="3F7C008D"/>
    <w:rsid w:val="3F95020B"/>
    <w:rsid w:val="3FA16FFD"/>
    <w:rsid w:val="3FA27361"/>
    <w:rsid w:val="3FB02111"/>
    <w:rsid w:val="3FB86B84"/>
    <w:rsid w:val="3FC11F91"/>
    <w:rsid w:val="3FDE7815"/>
    <w:rsid w:val="3FE65187"/>
    <w:rsid w:val="3FF83425"/>
    <w:rsid w:val="3FF937BF"/>
    <w:rsid w:val="406B7573"/>
    <w:rsid w:val="40776A3F"/>
    <w:rsid w:val="40855342"/>
    <w:rsid w:val="40860A30"/>
    <w:rsid w:val="40965A05"/>
    <w:rsid w:val="40A67501"/>
    <w:rsid w:val="40BE58C5"/>
    <w:rsid w:val="40C47845"/>
    <w:rsid w:val="40D07EFD"/>
    <w:rsid w:val="40DA0D7C"/>
    <w:rsid w:val="40DC68A2"/>
    <w:rsid w:val="40F63E08"/>
    <w:rsid w:val="410F480F"/>
    <w:rsid w:val="411C75E7"/>
    <w:rsid w:val="412344D1"/>
    <w:rsid w:val="4125649B"/>
    <w:rsid w:val="41275288"/>
    <w:rsid w:val="414C1C7A"/>
    <w:rsid w:val="4185518C"/>
    <w:rsid w:val="41A43131"/>
    <w:rsid w:val="41AF045B"/>
    <w:rsid w:val="41D61543"/>
    <w:rsid w:val="41E7246F"/>
    <w:rsid w:val="41EB3789"/>
    <w:rsid w:val="41F540C0"/>
    <w:rsid w:val="41F67E38"/>
    <w:rsid w:val="41FB2532"/>
    <w:rsid w:val="42022339"/>
    <w:rsid w:val="421A6164"/>
    <w:rsid w:val="422C3859"/>
    <w:rsid w:val="42334364"/>
    <w:rsid w:val="42360234"/>
    <w:rsid w:val="424D3BD3"/>
    <w:rsid w:val="425639AF"/>
    <w:rsid w:val="4267663F"/>
    <w:rsid w:val="426F745B"/>
    <w:rsid w:val="427E2307"/>
    <w:rsid w:val="42B51AA1"/>
    <w:rsid w:val="42D33CD5"/>
    <w:rsid w:val="42EB54C2"/>
    <w:rsid w:val="43120CA1"/>
    <w:rsid w:val="437B6846"/>
    <w:rsid w:val="43E97C54"/>
    <w:rsid w:val="43FC3F5B"/>
    <w:rsid w:val="440E1469"/>
    <w:rsid w:val="441D5B50"/>
    <w:rsid w:val="441F577B"/>
    <w:rsid w:val="445F1CC4"/>
    <w:rsid w:val="44894F93"/>
    <w:rsid w:val="44913E48"/>
    <w:rsid w:val="44AB7F10"/>
    <w:rsid w:val="45034D45"/>
    <w:rsid w:val="45640AF4"/>
    <w:rsid w:val="45717F01"/>
    <w:rsid w:val="457271D8"/>
    <w:rsid w:val="458B0E76"/>
    <w:rsid w:val="459800B0"/>
    <w:rsid w:val="459C2AA4"/>
    <w:rsid w:val="459C5503"/>
    <w:rsid w:val="459C71FB"/>
    <w:rsid w:val="45CA0399"/>
    <w:rsid w:val="45E52835"/>
    <w:rsid w:val="45E5444B"/>
    <w:rsid w:val="45F96148"/>
    <w:rsid w:val="45FA0F01"/>
    <w:rsid w:val="45FB77CB"/>
    <w:rsid w:val="460F2D79"/>
    <w:rsid w:val="46242373"/>
    <w:rsid w:val="46396545"/>
    <w:rsid w:val="464A2500"/>
    <w:rsid w:val="46737CA9"/>
    <w:rsid w:val="46A47E62"/>
    <w:rsid w:val="47321A2D"/>
    <w:rsid w:val="47376F28"/>
    <w:rsid w:val="474433F3"/>
    <w:rsid w:val="4751723A"/>
    <w:rsid w:val="475B5E8D"/>
    <w:rsid w:val="477912EF"/>
    <w:rsid w:val="47857C94"/>
    <w:rsid w:val="47867568"/>
    <w:rsid w:val="479954ED"/>
    <w:rsid w:val="479F0324"/>
    <w:rsid w:val="47B42327"/>
    <w:rsid w:val="47BF1E36"/>
    <w:rsid w:val="47C57487"/>
    <w:rsid w:val="47D471F9"/>
    <w:rsid w:val="47DD2A07"/>
    <w:rsid w:val="47EA5D49"/>
    <w:rsid w:val="47ED4A81"/>
    <w:rsid w:val="47F06548"/>
    <w:rsid w:val="482243D0"/>
    <w:rsid w:val="483A5E88"/>
    <w:rsid w:val="483F6AC4"/>
    <w:rsid w:val="484A67E7"/>
    <w:rsid w:val="48587156"/>
    <w:rsid w:val="485B6C46"/>
    <w:rsid w:val="48684DC2"/>
    <w:rsid w:val="486C2C02"/>
    <w:rsid w:val="488345C4"/>
    <w:rsid w:val="489F1C54"/>
    <w:rsid w:val="490E5A67"/>
    <w:rsid w:val="493014BE"/>
    <w:rsid w:val="4940325A"/>
    <w:rsid w:val="496D4D42"/>
    <w:rsid w:val="496E2CBA"/>
    <w:rsid w:val="4972249A"/>
    <w:rsid w:val="49A5428F"/>
    <w:rsid w:val="49C03205"/>
    <w:rsid w:val="49CB09BA"/>
    <w:rsid w:val="49D81610"/>
    <w:rsid w:val="49F92273"/>
    <w:rsid w:val="4A001853"/>
    <w:rsid w:val="4A11580F"/>
    <w:rsid w:val="4A1C0EA1"/>
    <w:rsid w:val="4A5E657A"/>
    <w:rsid w:val="4A625D30"/>
    <w:rsid w:val="4A631DE2"/>
    <w:rsid w:val="4A6C0C97"/>
    <w:rsid w:val="4A743FEF"/>
    <w:rsid w:val="4AA277AF"/>
    <w:rsid w:val="4AAE0D8B"/>
    <w:rsid w:val="4AB16FF2"/>
    <w:rsid w:val="4AD07E18"/>
    <w:rsid w:val="4AD239F8"/>
    <w:rsid w:val="4AEF0CFA"/>
    <w:rsid w:val="4B020A9D"/>
    <w:rsid w:val="4B204964"/>
    <w:rsid w:val="4B2934C1"/>
    <w:rsid w:val="4B2E7076"/>
    <w:rsid w:val="4B404757"/>
    <w:rsid w:val="4B4A5BD5"/>
    <w:rsid w:val="4B582862"/>
    <w:rsid w:val="4B6359A1"/>
    <w:rsid w:val="4B8E10E1"/>
    <w:rsid w:val="4BAF683C"/>
    <w:rsid w:val="4BB16B1F"/>
    <w:rsid w:val="4BC16A32"/>
    <w:rsid w:val="4BDF193C"/>
    <w:rsid w:val="4C260CF9"/>
    <w:rsid w:val="4C2C5E6C"/>
    <w:rsid w:val="4C7E684D"/>
    <w:rsid w:val="4C885B30"/>
    <w:rsid w:val="4CA26BF2"/>
    <w:rsid w:val="4CA86612"/>
    <w:rsid w:val="4CAF130F"/>
    <w:rsid w:val="4CB86415"/>
    <w:rsid w:val="4CE03BBE"/>
    <w:rsid w:val="4CEE62DB"/>
    <w:rsid w:val="4D00688B"/>
    <w:rsid w:val="4D0A4797"/>
    <w:rsid w:val="4D0F5E59"/>
    <w:rsid w:val="4D2820CA"/>
    <w:rsid w:val="4D2B2FC8"/>
    <w:rsid w:val="4D550108"/>
    <w:rsid w:val="4D5763B7"/>
    <w:rsid w:val="4DDC4386"/>
    <w:rsid w:val="4DF73F88"/>
    <w:rsid w:val="4E0568AD"/>
    <w:rsid w:val="4E533960"/>
    <w:rsid w:val="4E5439C7"/>
    <w:rsid w:val="4E545276"/>
    <w:rsid w:val="4E5E5D39"/>
    <w:rsid w:val="4E644FF3"/>
    <w:rsid w:val="4E66332D"/>
    <w:rsid w:val="4E760336"/>
    <w:rsid w:val="4E782CE8"/>
    <w:rsid w:val="4E920EE8"/>
    <w:rsid w:val="4EA97F42"/>
    <w:rsid w:val="4EB158EB"/>
    <w:rsid w:val="4EC217CD"/>
    <w:rsid w:val="4F0A1816"/>
    <w:rsid w:val="4F0C738F"/>
    <w:rsid w:val="4F133DD7"/>
    <w:rsid w:val="4F260D50"/>
    <w:rsid w:val="4F275AD4"/>
    <w:rsid w:val="4F33527F"/>
    <w:rsid w:val="4F4246BC"/>
    <w:rsid w:val="4F443F90"/>
    <w:rsid w:val="4F5B577E"/>
    <w:rsid w:val="4F6A776F"/>
    <w:rsid w:val="4F7C5EAE"/>
    <w:rsid w:val="4F950C90"/>
    <w:rsid w:val="4FE90FDC"/>
    <w:rsid w:val="50083468"/>
    <w:rsid w:val="50146059"/>
    <w:rsid w:val="50727F0A"/>
    <w:rsid w:val="50BC1DB8"/>
    <w:rsid w:val="50C51101"/>
    <w:rsid w:val="50DA3711"/>
    <w:rsid w:val="50FD4D3F"/>
    <w:rsid w:val="51071719"/>
    <w:rsid w:val="5109750B"/>
    <w:rsid w:val="51226553"/>
    <w:rsid w:val="51597A9B"/>
    <w:rsid w:val="51656440"/>
    <w:rsid w:val="517B639D"/>
    <w:rsid w:val="517C782D"/>
    <w:rsid w:val="51BF3DA2"/>
    <w:rsid w:val="51F64AEC"/>
    <w:rsid w:val="521045FE"/>
    <w:rsid w:val="522D1654"/>
    <w:rsid w:val="52354064"/>
    <w:rsid w:val="5254682D"/>
    <w:rsid w:val="52641FE4"/>
    <w:rsid w:val="527E0828"/>
    <w:rsid w:val="527F1783"/>
    <w:rsid w:val="528261F1"/>
    <w:rsid w:val="532F27EE"/>
    <w:rsid w:val="534607DE"/>
    <w:rsid w:val="53575126"/>
    <w:rsid w:val="536664FD"/>
    <w:rsid w:val="53684BBA"/>
    <w:rsid w:val="53807561"/>
    <w:rsid w:val="53994310"/>
    <w:rsid w:val="53A019B1"/>
    <w:rsid w:val="53C8086B"/>
    <w:rsid w:val="53F027C7"/>
    <w:rsid w:val="53F462CB"/>
    <w:rsid w:val="542D5633"/>
    <w:rsid w:val="545C1D7C"/>
    <w:rsid w:val="54770964"/>
    <w:rsid w:val="547C020E"/>
    <w:rsid w:val="5497569F"/>
    <w:rsid w:val="54CE4645"/>
    <w:rsid w:val="54EF1534"/>
    <w:rsid w:val="55006D70"/>
    <w:rsid w:val="55723364"/>
    <w:rsid w:val="558D118A"/>
    <w:rsid w:val="55945546"/>
    <w:rsid w:val="55C23E61"/>
    <w:rsid w:val="55D23D58"/>
    <w:rsid w:val="56024BA5"/>
    <w:rsid w:val="560C332E"/>
    <w:rsid w:val="562C08FD"/>
    <w:rsid w:val="5630526E"/>
    <w:rsid w:val="563C7B26"/>
    <w:rsid w:val="56470411"/>
    <w:rsid w:val="565F3DA6"/>
    <w:rsid w:val="567468E6"/>
    <w:rsid w:val="56A95021"/>
    <w:rsid w:val="56D100F9"/>
    <w:rsid w:val="571653D5"/>
    <w:rsid w:val="571C57F3"/>
    <w:rsid w:val="572C6AC1"/>
    <w:rsid w:val="573C40E7"/>
    <w:rsid w:val="578515EA"/>
    <w:rsid w:val="57A54A59"/>
    <w:rsid w:val="57B343A9"/>
    <w:rsid w:val="57F65472"/>
    <w:rsid w:val="57F741A4"/>
    <w:rsid w:val="58156E12"/>
    <w:rsid w:val="58276B45"/>
    <w:rsid w:val="584A33F9"/>
    <w:rsid w:val="58535244"/>
    <w:rsid w:val="586D7A42"/>
    <w:rsid w:val="58704048"/>
    <w:rsid w:val="58845D45"/>
    <w:rsid w:val="5889510A"/>
    <w:rsid w:val="588D51EF"/>
    <w:rsid w:val="58A81A34"/>
    <w:rsid w:val="58B2085E"/>
    <w:rsid w:val="58B24661"/>
    <w:rsid w:val="58D418C8"/>
    <w:rsid w:val="591049A4"/>
    <w:rsid w:val="59283E7E"/>
    <w:rsid w:val="593772D0"/>
    <w:rsid w:val="59407EBE"/>
    <w:rsid w:val="595A2602"/>
    <w:rsid w:val="597208E5"/>
    <w:rsid w:val="59796F2C"/>
    <w:rsid w:val="598061BF"/>
    <w:rsid w:val="599D71ED"/>
    <w:rsid w:val="59B166C6"/>
    <w:rsid w:val="59BB2FAF"/>
    <w:rsid w:val="59F1750E"/>
    <w:rsid w:val="5A0B34B9"/>
    <w:rsid w:val="5A144EA7"/>
    <w:rsid w:val="5A345068"/>
    <w:rsid w:val="5A5B2AD6"/>
    <w:rsid w:val="5A90452E"/>
    <w:rsid w:val="5A920F10"/>
    <w:rsid w:val="5AA1498D"/>
    <w:rsid w:val="5AF46EEE"/>
    <w:rsid w:val="5B170540"/>
    <w:rsid w:val="5B173696"/>
    <w:rsid w:val="5B351579"/>
    <w:rsid w:val="5B456E93"/>
    <w:rsid w:val="5B503CBD"/>
    <w:rsid w:val="5B7E6A7C"/>
    <w:rsid w:val="5B7F05AD"/>
    <w:rsid w:val="5B8A7AA0"/>
    <w:rsid w:val="5BA34735"/>
    <w:rsid w:val="5BA76942"/>
    <w:rsid w:val="5BCA1CC1"/>
    <w:rsid w:val="5C144385"/>
    <w:rsid w:val="5C221798"/>
    <w:rsid w:val="5C237623"/>
    <w:rsid w:val="5C5149DA"/>
    <w:rsid w:val="5C521722"/>
    <w:rsid w:val="5C6401C3"/>
    <w:rsid w:val="5C64226D"/>
    <w:rsid w:val="5C9D1184"/>
    <w:rsid w:val="5CA42512"/>
    <w:rsid w:val="5CAA639E"/>
    <w:rsid w:val="5CD66444"/>
    <w:rsid w:val="5D02548B"/>
    <w:rsid w:val="5D0C00B7"/>
    <w:rsid w:val="5DA0717E"/>
    <w:rsid w:val="5DB20402"/>
    <w:rsid w:val="5DD47CC1"/>
    <w:rsid w:val="5DE51838"/>
    <w:rsid w:val="5DF11787"/>
    <w:rsid w:val="5E08087F"/>
    <w:rsid w:val="5E082F75"/>
    <w:rsid w:val="5E11579F"/>
    <w:rsid w:val="5E1A7052"/>
    <w:rsid w:val="5E1E2067"/>
    <w:rsid w:val="5E373415"/>
    <w:rsid w:val="5E5A37D0"/>
    <w:rsid w:val="5E663419"/>
    <w:rsid w:val="5E6A5C84"/>
    <w:rsid w:val="5E767385"/>
    <w:rsid w:val="5EE17A4E"/>
    <w:rsid w:val="5EE906B0"/>
    <w:rsid w:val="5EE93171"/>
    <w:rsid w:val="5EF145FA"/>
    <w:rsid w:val="5EF70A55"/>
    <w:rsid w:val="5F0E0117"/>
    <w:rsid w:val="5F141797"/>
    <w:rsid w:val="5F1D74DA"/>
    <w:rsid w:val="5F236821"/>
    <w:rsid w:val="5F3759A0"/>
    <w:rsid w:val="5F553F98"/>
    <w:rsid w:val="5F5D721D"/>
    <w:rsid w:val="5FAF18FA"/>
    <w:rsid w:val="5FB763F1"/>
    <w:rsid w:val="5FF75B69"/>
    <w:rsid w:val="600357A2"/>
    <w:rsid w:val="604F345F"/>
    <w:rsid w:val="604F5912"/>
    <w:rsid w:val="607D5554"/>
    <w:rsid w:val="60830691"/>
    <w:rsid w:val="608D0334"/>
    <w:rsid w:val="609F43DF"/>
    <w:rsid w:val="60A26D69"/>
    <w:rsid w:val="60B44CEE"/>
    <w:rsid w:val="60B66CB8"/>
    <w:rsid w:val="60B70151"/>
    <w:rsid w:val="60E0184B"/>
    <w:rsid w:val="60EC0B8B"/>
    <w:rsid w:val="6109328C"/>
    <w:rsid w:val="61273712"/>
    <w:rsid w:val="6129748A"/>
    <w:rsid w:val="6138591F"/>
    <w:rsid w:val="613D2F35"/>
    <w:rsid w:val="61691F7C"/>
    <w:rsid w:val="61D35A8E"/>
    <w:rsid w:val="61E33ADD"/>
    <w:rsid w:val="61E73CCB"/>
    <w:rsid w:val="61FC694D"/>
    <w:rsid w:val="621464F7"/>
    <w:rsid w:val="622019C2"/>
    <w:rsid w:val="6223037D"/>
    <w:rsid w:val="62375BD7"/>
    <w:rsid w:val="627E3805"/>
    <w:rsid w:val="62810954"/>
    <w:rsid w:val="628C5F22"/>
    <w:rsid w:val="62A13DF0"/>
    <w:rsid w:val="62A328E3"/>
    <w:rsid w:val="62B5267B"/>
    <w:rsid w:val="62BF1063"/>
    <w:rsid w:val="62C11A8D"/>
    <w:rsid w:val="62C5378A"/>
    <w:rsid w:val="62DB2A06"/>
    <w:rsid w:val="62E83B5A"/>
    <w:rsid w:val="62E95123"/>
    <w:rsid w:val="63030599"/>
    <w:rsid w:val="63092BE9"/>
    <w:rsid w:val="63141A74"/>
    <w:rsid w:val="63545442"/>
    <w:rsid w:val="639D7CBB"/>
    <w:rsid w:val="639D7D7A"/>
    <w:rsid w:val="63E8362C"/>
    <w:rsid w:val="63E87D9E"/>
    <w:rsid w:val="64047D3A"/>
    <w:rsid w:val="64151F2C"/>
    <w:rsid w:val="641F7CE8"/>
    <w:rsid w:val="643B36EE"/>
    <w:rsid w:val="64460353"/>
    <w:rsid w:val="64502F80"/>
    <w:rsid w:val="6453662C"/>
    <w:rsid w:val="64754794"/>
    <w:rsid w:val="6481138B"/>
    <w:rsid w:val="649B244D"/>
    <w:rsid w:val="64AA6B34"/>
    <w:rsid w:val="64BD5616"/>
    <w:rsid w:val="64E2007C"/>
    <w:rsid w:val="65037FF2"/>
    <w:rsid w:val="6529361A"/>
    <w:rsid w:val="65585736"/>
    <w:rsid w:val="6569254B"/>
    <w:rsid w:val="656B7183"/>
    <w:rsid w:val="6578278E"/>
    <w:rsid w:val="657C227E"/>
    <w:rsid w:val="657F58CB"/>
    <w:rsid w:val="65864EAB"/>
    <w:rsid w:val="658A0920"/>
    <w:rsid w:val="65BA4B55"/>
    <w:rsid w:val="65CE1B16"/>
    <w:rsid w:val="65D03DBC"/>
    <w:rsid w:val="65D33E68"/>
    <w:rsid w:val="65E16585"/>
    <w:rsid w:val="65EB2F60"/>
    <w:rsid w:val="65EE47FE"/>
    <w:rsid w:val="65F75DA9"/>
    <w:rsid w:val="65F938CF"/>
    <w:rsid w:val="65FF2424"/>
    <w:rsid w:val="660B2C49"/>
    <w:rsid w:val="660B715E"/>
    <w:rsid w:val="6623094C"/>
    <w:rsid w:val="663743F7"/>
    <w:rsid w:val="66393B0C"/>
    <w:rsid w:val="66494CB0"/>
    <w:rsid w:val="66515EFE"/>
    <w:rsid w:val="6659436D"/>
    <w:rsid w:val="666D7E19"/>
    <w:rsid w:val="667B2536"/>
    <w:rsid w:val="66934D57"/>
    <w:rsid w:val="669730E8"/>
    <w:rsid w:val="66A23F66"/>
    <w:rsid w:val="66A3383B"/>
    <w:rsid w:val="66AF4608"/>
    <w:rsid w:val="66B90C2B"/>
    <w:rsid w:val="672C3830"/>
    <w:rsid w:val="6754719E"/>
    <w:rsid w:val="676416CA"/>
    <w:rsid w:val="67642FCA"/>
    <w:rsid w:val="676A25AA"/>
    <w:rsid w:val="677C2960"/>
    <w:rsid w:val="678B58B0"/>
    <w:rsid w:val="678E0047"/>
    <w:rsid w:val="679118E5"/>
    <w:rsid w:val="67A1421E"/>
    <w:rsid w:val="67EB5C4D"/>
    <w:rsid w:val="68093B71"/>
    <w:rsid w:val="680E1188"/>
    <w:rsid w:val="68116BF4"/>
    <w:rsid w:val="68706417"/>
    <w:rsid w:val="68721717"/>
    <w:rsid w:val="68921DB9"/>
    <w:rsid w:val="68AB2E7A"/>
    <w:rsid w:val="68CE1A16"/>
    <w:rsid w:val="69146C72"/>
    <w:rsid w:val="69152807"/>
    <w:rsid w:val="6938470E"/>
    <w:rsid w:val="69434E61"/>
    <w:rsid w:val="69655E7A"/>
    <w:rsid w:val="696A726A"/>
    <w:rsid w:val="697B38C7"/>
    <w:rsid w:val="698E6353"/>
    <w:rsid w:val="69B1021E"/>
    <w:rsid w:val="69F85A87"/>
    <w:rsid w:val="6A164324"/>
    <w:rsid w:val="6A325B95"/>
    <w:rsid w:val="6A7C4ACE"/>
    <w:rsid w:val="6AA90263"/>
    <w:rsid w:val="6AAF6C52"/>
    <w:rsid w:val="6AC56475"/>
    <w:rsid w:val="6B1E54F9"/>
    <w:rsid w:val="6B4E646B"/>
    <w:rsid w:val="6B6517CB"/>
    <w:rsid w:val="6BB107A8"/>
    <w:rsid w:val="6BC06C3D"/>
    <w:rsid w:val="6BD36970"/>
    <w:rsid w:val="6BE35E8E"/>
    <w:rsid w:val="6BE9361A"/>
    <w:rsid w:val="6C2471CC"/>
    <w:rsid w:val="6C306097"/>
    <w:rsid w:val="6C4A3F9D"/>
    <w:rsid w:val="6C547ACA"/>
    <w:rsid w:val="6C5B47FC"/>
    <w:rsid w:val="6CA51246"/>
    <w:rsid w:val="6CB71E4A"/>
    <w:rsid w:val="6CBA7B30"/>
    <w:rsid w:val="6CBF1C8E"/>
    <w:rsid w:val="6CE36DF4"/>
    <w:rsid w:val="6CFA128D"/>
    <w:rsid w:val="6D2C7385"/>
    <w:rsid w:val="6D2F4866"/>
    <w:rsid w:val="6D4B0788"/>
    <w:rsid w:val="6D5835D1"/>
    <w:rsid w:val="6D601BEC"/>
    <w:rsid w:val="6D625AA7"/>
    <w:rsid w:val="6D764BE1"/>
    <w:rsid w:val="6D7D2224"/>
    <w:rsid w:val="6DAB2C8A"/>
    <w:rsid w:val="6DC44C9B"/>
    <w:rsid w:val="6DD864C0"/>
    <w:rsid w:val="6DE47F17"/>
    <w:rsid w:val="6E076DA5"/>
    <w:rsid w:val="6E444A22"/>
    <w:rsid w:val="6E492F1A"/>
    <w:rsid w:val="6E526272"/>
    <w:rsid w:val="6E5F098F"/>
    <w:rsid w:val="6ECE1688"/>
    <w:rsid w:val="6F0D03EB"/>
    <w:rsid w:val="6F235519"/>
    <w:rsid w:val="6F38016B"/>
    <w:rsid w:val="6F3E2352"/>
    <w:rsid w:val="6F3F7410"/>
    <w:rsid w:val="6F69528B"/>
    <w:rsid w:val="6F7433A8"/>
    <w:rsid w:val="6F7A4321"/>
    <w:rsid w:val="6F7B35A7"/>
    <w:rsid w:val="6F9A108B"/>
    <w:rsid w:val="6FB021B6"/>
    <w:rsid w:val="6FB40BCD"/>
    <w:rsid w:val="6FDD6C0F"/>
    <w:rsid w:val="6FE62766"/>
    <w:rsid w:val="6FEC6252"/>
    <w:rsid w:val="701514FB"/>
    <w:rsid w:val="70370A27"/>
    <w:rsid w:val="70541176"/>
    <w:rsid w:val="70651B61"/>
    <w:rsid w:val="707F4466"/>
    <w:rsid w:val="70934920"/>
    <w:rsid w:val="71044B32"/>
    <w:rsid w:val="71477B07"/>
    <w:rsid w:val="714874B8"/>
    <w:rsid w:val="71557E27"/>
    <w:rsid w:val="716839F9"/>
    <w:rsid w:val="716B764B"/>
    <w:rsid w:val="716F16D1"/>
    <w:rsid w:val="71831197"/>
    <w:rsid w:val="71BC0737"/>
    <w:rsid w:val="71C31235"/>
    <w:rsid w:val="71ED29B8"/>
    <w:rsid w:val="721F50FA"/>
    <w:rsid w:val="72253C9E"/>
    <w:rsid w:val="722647FD"/>
    <w:rsid w:val="723B0DCB"/>
    <w:rsid w:val="72451C4A"/>
    <w:rsid w:val="724578F3"/>
    <w:rsid w:val="7285473C"/>
    <w:rsid w:val="728E091D"/>
    <w:rsid w:val="7293511C"/>
    <w:rsid w:val="72A72905"/>
    <w:rsid w:val="72AE32A7"/>
    <w:rsid w:val="72B15531"/>
    <w:rsid w:val="72C21549"/>
    <w:rsid w:val="72C9287B"/>
    <w:rsid w:val="730647AA"/>
    <w:rsid w:val="731004AA"/>
    <w:rsid w:val="73397A01"/>
    <w:rsid w:val="735E4456"/>
    <w:rsid w:val="7379604F"/>
    <w:rsid w:val="737A1DC7"/>
    <w:rsid w:val="738F4C4C"/>
    <w:rsid w:val="73C3551C"/>
    <w:rsid w:val="73CF3EC1"/>
    <w:rsid w:val="73DA26FA"/>
    <w:rsid w:val="73DE2356"/>
    <w:rsid w:val="73E368AE"/>
    <w:rsid w:val="73F41B79"/>
    <w:rsid w:val="73F676A0"/>
    <w:rsid w:val="74093C33"/>
    <w:rsid w:val="74367A9C"/>
    <w:rsid w:val="7465798E"/>
    <w:rsid w:val="748603E1"/>
    <w:rsid w:val="748C3B60"/>
    <w:rsid w:val="74987681"/>
    <w:rsid w:val="74C4154C"/>
    <w:rsid w:val="74F03CDA"/>
    <w:rsid w:val="74F57957"/>
    <w:rsid w:val="74FE5C82"/>
    <w:rsid w:val="75322959"/>
    <w:rsid w:val="75513B92"/>
    <w:rsid w:val="75671ED7"/>
    <w:rsid w:val="757271FA"/>
    <w:rsid w:val="7582387F"/>
    <w:rsid w:val="758B206A"/>
    <w:rsid w:val="75917CED"/>
    <w:rsid w:val="75920C00"/>
    <w:rsid w:val="75A82E7D"/>
    <w:rsid w:val="75AB44BA"/>
    <w:rsid w:val="75BC3112"/>
    <w:rsid w:val="75C5543D"/>
    <w:rsid w:val="75CF516A"/>
    <w:rsid w:val="75F0011F"/>
    <w:rsid w:val="760A38DB"/>
    <w:rsid w:val="7610256F"/>
    <w:rsid w:val="7610431D"/>
    <w:rsid w:val="76164215"/>
    <w:rsid w:val="76236746"/>
    <w:rsid w:val="762A2E71"/>
    <w:rsid w:val="764869A5"/>
    <w:rsid w:val="765A0952"/>
    <w:rsid w:val="76872831"/>
    <w:rsid w:val="76A24662"/>
    <w:rsid w:val="76C25BE1"/>
    <w:rsid w:val="76D37824"/>
    <w:rsid w:val="76EB2A5F"/>
    <w:rsid w:val="76EC6B38"/>
    <w:rsid w:val="770A2A26"/>
    <w:rsid w:val="770B16B4"/>
    <w:rsid w:val="77134F31"/>
    <w:rsid w:val="7744462F"/>
    <w:rsid w:val="77546D15"/>
    <w:rsid w:val="77737259"/>
    <w:rsid w:val="778B4487"/>
    <w:rsid w:val="77AE203F"/>
    <w:rsid w:val="77CA79F6"/>
    <w:rsid w:val="77CC3857"/>
    <w:rsid w:val="77CC67DA"/>
    <w:rsid w:val="77D47545"/>
    <w:rsid w:val="77F74411"/>
    <w:rsid w:val="782B19EF"/>
    <w:rsid w:val="783C3AEF"/>
    <w:rsid w:val="785265B0"/>
    <w:rsid w:val="78547CED"/>
    <w:rsid w:val="786848E4"/>
    <w:rsid w:val="786B1CDE"/>
    <w:rsid w:val="78827754"/>
    <w:rsid w:val="78857244"/>
    <w:rsid w:val="78E0447A"/>
    <w:rsid w:val="78ED4FCE"/>
    <w:rsid w:val="78FF3476"/>
    <w:rsid w:val="790C34C1"/>
    <w:rsid w:val="79196E3A"/>
    <w:rsid w:val="7933514F"/>
    <w:rsid w:val="7945568E"/>
    <w:rsid w:val="79505FD2"/>
    <w:rsid w:val="795766F4"/>
    <w:rsid w:val="795F5CE7"/>
    <w:rsid w:val="796432FD"/>
    <w:rsid w:val="796B33C1"/>
    <w:rsid w:val="79797DE9"/>
    <w:rsid w:val="79872B48"/>
    <w:rsid w:val="79AE792D"/>
    <w:rsid w:val="79C1605A"/>
    <w:rsid w:val="79CA139D"/>
    <w:rsid w:val="79E63D12"/>
    <w:rsid w:val="7A28432B"/>
    <w:rsid w:val="7A6441F7"/>
    <w:rsid w:val="7A8760AF"/>
    <w:rsid w:val="7A9C0875"/>
    <w:rsid w:val="7AE04C06"/>
    <w:rsid w:val="7AE71AF0"/>
    <w:rsid w:val="7AEC02B2"/>
    <w:rsid w:val="7B095F0A"/>
    <w:rsid w:val="7B0B1FF6"/>
    <w:rsid w:val="7B1B5C3E"/>
    <w:rsid w:val="7B362C03"/>
    <w:rsid w:val="7B5829EE"/>
    <w:rsid w:val="7B5C7195"/>
    <w:rsid w:val="7BBA7B82"/>
    <w:rsid w:val="7BBB4D2B"/>
    <w:rsid w:val="7BD7023A"/>
    <w:rsid w:val="7BEC3136"/>
    <w:rsid w:val="7BF10231"/>
    <w:rsid w:val="7BF74FFF"/>
    <w:rsid w:val="7C044924"/>
    <w:rsid w:val="7C3A3259"/>
    <w:rsid w:val="7C885B4B"/>
    <w:rsid w:val="7C8D4483"/>
    <w:rsid w:val="7CC6546E"/>
    <w:rsid w:val="7CC66918"/>
    <w:rsid w:val="7CCE274E"/>
    <w:rsid w:val="7CCF0A8E"/>
    <w:rsid w:val="7CF46B84"/>
    <w:rsid w:val="7D407BDD"/>
    <w:rsid w:val="7D4540B8"/>
    <w:rsid w:val="7D5269EA"/>
    <w:rsid w:val="7D567401"/>
    <w:rsid w:val="7D697134"/>
    <w:rsid w:val="7D9056B7"/>
    <w:rsid w:val="7D9B4E14"/>
    <w:rsid w:val="7DB119FE"/>
    <w:rsid w:val="7E16287D"/>
    <w:rsid w:val="7E176B90"/>
    <w:rsid w:val="7E635932"/>
    <w:rsid w:val="7E68119A"/>
    <w:rsid w:val="7E906943"/>
    <w:rsid w:val="7E955D07"/>
    <w:rsid w:val="7EA47CF8"/>
    <w:rsid w:val="7EB22415"/>
    <w:rsid w:val="7EE2719E"/>
    <w:rsid w:val="7EF02F3D"/>
    <w:rsid w:val="7F4D0390"/>
    <w:rsid w:val="7F565489"/>
    <w:rsid w:val="7F8C2C66"/>
    <w:rsid w:val="7FC20D7E"/>
    <w:rsid w:val="7FD14B1D"/>
    <w:rsid w:val="7FE61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4">
    <w:name w:val="heading 1"/>
    <w:basedOn w:val="1"/>
    <w:next w:val="1"/>
    <w:qFormat/>
    <w:uiPriority w:val="1"/>
    <w:pPr>
      <w:spacing w:before="58"/>
      <w:ind w:left="2867"/>
      <w:outlineLvl w:val="0"/>
    </w:pPr>
    <w:rPr>
      <w:b/>
      <w:bCs/>
      <w:sz w:val="30"/>
      <w:szCs w:val="30"/>
    </w:rPr>
  </w:style>
  <w:style w:type="paragraph" w:styleId="5">
    <w:name w:val="heading 2"/>
    <w:basedOn w:val="1"/>
    <w:next w:val="1"/>
    <w:qFormat/>
    <w:uiPriority w:val="0"/>
    <w:pPr>
      <w:keepNext/>
      <w:keepLines/>
      <w:spacing w:line="360" w:lineRule="auto"/>
      <w:jc w:val="both"/>
      <w:outlineLvl w:val="1"/>
    </w:pPr>
    <w:rPr>
      <w:rFonts w:ascii="Arial" w:hAnsi="Arial" w:cs="Times New Roman"/>
      <w:b/>
      <w:bCs/>
      <w:kern w:val="2"/>
      <w:sz w:val="32"/>
      <w:szCs w:val="32"/>
      <w:lang w:eastAsia="zh-CN"/>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1正文"/>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styleId="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left="60" w:leftChars="25" w:right="60" w:rightChars="25"/>
      <w:jc w:val="center"/>
    </w:pPr>
    <w:rPr>
      <w:rFonts w:ascii="Courier New" w:hAnsi="Courier New" w:eastAsia="宋体" w:cs="Courier New"/>
      <w:kern w:val="2"/>
      <w:sz w:val="21"/>
      <w:szCs w:val="24"/>
      <w:lang w:val="en-US" w:eastAsia="zh-CN" w:bidi="ar-SA"/>
    </w:rPr>
  </w:style>
  <w:style w:type="paragraph" w:styleId="6">
    <w:name w:val="annotation text"/>
    <w:basedOn w:val="1"/>
    <w:qFormat/>
    <w:uiPriority w:val="0"/>
    <w:pPr>
      <w:jc w:val="left"/>
    </w:pPr>
  </w:style>
  <w:style w:type="paragraph" w:styleId="7">
    <w:name w:val="Body Text"/>
    <w:basedOn w:val="1"/>
    <w:next w:val="8"/>
    <w:qFormat/>
    <w:uiPriority w:val="1"/>
    <w:rPr>
      <w:sz w:val="24"/>
      <w:szCs w:val="24"/>
    </w:rPr>
  </w:style>
  <w:style w:type="paragraph" w:customStyle="1" w:styleId="8">
    <w:name w:val="Normal (Web)1"/>
    <w:basedOn w:val="1"/>
    <w:next w:val="9"/>
    <w:qFormat/>
    <w:uiPriority w:val="0"/>
    <w:pPr>
      <w:widowControl/>
      <w:jc w:val="left"/>
    </w:pPr>
    <w:rPr>
      <w:rFonts w:ascii="宋体"/>
      <w:kern w:val="0"/>
      <w:sz w:val="24"/>
      <w:szCs w:val="21"/>
    </w:rPr>
  </w:style>
  <w:style w:type="paragraph" w:customStyle="1" w:styleId="9">
    <w:name w:val="Date1"/>
    <w:basedOn w:val="1"/>
    <w:next w:val="1"/>
    <w:qFormat/>
    <w:uiPriority w:val="0"/>
    <w:pPr>
      <w:ind w:left="2500" w:leftChars="2500"/>
    </w:pPr>
  </w:style>
  <w:style w:type="paragraph" w:styleId="10">
    <w:name w:val="Body Text Indent"/>
    <w:qFormat/>
    <w:uiPriority w:val="0"/>
    <w:pPr>
      <w:widowControl w:val="0"/>
      <w:ind w:firstLine="420"/>
      <w:jc w:val="both"/>
    </w:pPr>
    <w:rPr>
      <w:rFonts w:ascii="Times New Roman" w:hAnsi="Times New Roman" w:eastAsia="宋体" w:cs="Times New Roman"/>
      <w:kern w:val="2"/>
      <w:sz w:val="28"/>
      <w:lang w:val="en-US" w:eastAsia="zh-CN" w:bidi="ar-SA"/>
    </w:rPr>
  </w:style>
  <w:style w:type="paragraph" w:styleId="11">
    <w:name w:val="Plain Text"/>
    <w:basedOn w:val="1"/>
    <w:next w:val="12"/>
    <w:semiHidden/>
    <w:unhideWhenUsed/>
    <w:qFormat/>
    <w:uiPriority w:val="99"/>
    <w:rPr>
      <w:rFonts w:hAnsi="Courier New" w:cs="Courier New"/>
      <w:sz w:val="21"/>
      <w:szCs w:val="21"/>
    </w:rPr>
  </w:style>
  <w:style w:type="paragraph" w:customStyle="1" w:styleId="12">
    <w:name w:val="Default"/>
    <w:basedOn w:val="13"/>
    <w:next w:val="14"/>
    <w:autoRedefine/>
    <w:qFormat/>
    <w:uiPriority w:val="0"/>
    <w:pPr>
      <w:autoSpaceDE w:val="0"/>
      <w:autoSpaceDN w:val="0"/>
    </w:pPr>
    <w:rPr>
      <w:rFonts w:cs="宋体"/>
      <w:color w:val="000000"/>
      <w:szCs w:val="24"/>
    </w:rPr>
  </w:style>
  <w:style w:type="paragraph" w:customStyle="1" w:styleId="13">
    <w:name w:val="纯文本1"/>
    <w:autoRedefine/>
    <w:qFormat/>
    <w:uiPriority w:val="0"/>
    <w:pPr>
      <w:widowControl w:val="0"/>
      <w:adjustRightInd w:val="0"/>
      <w:spacing w:line="360" w:lineRule="auto"/>
      <w:ind w:firstLine="200" w:firstLineChars="200"/>
      <w:jc w:val="both"/>
    </w:pPr>
    <w:rPr>
      <w:rFonts w:ascii="宋体" w:hAnsi="Courier New" w:eastAsia="宋体" w:cs="Times New Roman"/>
      <w:kern w:val="2"/>
      <w:sz w:val="24"/>
      <w:lang w:val="en-US" w:eastAsia="zh-CN" w:bidi="ar-SA"/>
    </w:rPr>
  </w:style>
  <w:style w:type="paragraph" w:styleId="14">
    <w:name w:val="List"/>
    <w:basedOn w:val="1"/>
    <w:qFormat/>
    <w:uiPriority w:val="0"/>
    <w:pPr>
      <w:spacing w:line="360" w:lineRule="auto"/>
      <w:ind w:left="200" w:hanging="200" w:hangingChars="200"/>
      <w:contextualSpacing/>
      <w:jc w:val="both"/>
    </w:pPr>
    <w:rPr>
      <w:rFonts w:ascii="Times New Roman" w:hAnsi="Times New Roman" w:cs="Times New Roman"/>
      <w:kern w:val="2"/>
      <w:sz w:val="24"/>
      <w:szCs w:val="24"/>
      <w:lang w:eastAsia="zh-CN"/>
    </w:rPr>
  </w:style>
  <w:style w:type="paragraph" w:styleId="15">
    <w:name w:val="footer"/>
    <w:basedOn w:val="1"/>
    <w:qFormat/>
    <w:uiPriority w:val="0"/>
    <w:pPr>
      <w:tabs>
        <w:tab w:val="center" w:pos="4153"/>
        <w:tab w:val="right" w:pos="8306"/>
      </w:tabs>
      <w:snapToGrid w:val="0"/>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7">
    <w:name w:val="toc 1"/>
    <w:next w:val="1"/>
    <w:qFormat/>
    <w:uiPriority w:val="3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18">
    <w:name w:val="Normal (Web)"/>
    <w:basedOn w:val="1"/>
    <w:qFormat/>
    <w:uiPriority w:val="0"/>
    <w:pPr>
      <w:widowControl/>
      <w:spacing w:before="100" w:beforeAutospacing="1" w:after="100" w:afterAutospacing="1" w:line="360" w:lineRule="auto"/>
      <w:ind w:firstLine="200" w:firstLineChars="200"/>
    </w:pPr>
    <w:rPr>
      <w:rFonts w:cs="Times New Roman"/>
      <w:sz w:val="24"/>
      <w:szCs w:val="20"/>
      <w:lang w:eastAsia="zh-CN"/>
    </w:rPr>
  </w:style>
  <w:style w:type="paragraph" w:styleId="19">
    <w:name w:val="Title"/>
    <w:basedOn w:val="1"/>
    <w:next w:val="1"/>
    <w:qFormat/>
    <w:uiPriority w:val="0"/>
    <w:pPr>
      <w:pageBreakBefore/>
      <w:wordWrap w:val="0"/>
      <w:overflowPunct/>
      <w:adjustRightInd w:val="0"/>
      <w:spacing w:line="500" w:lineRule="atLeast"/>
      <w:jc w:val="left"/>
      <w:textAlignment w:val="center"/>
    </w:pPr>
    <w:rPr>
      <w:rFonts w:eastAsia="宋体"/>
      <w:color w:val="auto"/>
      <w:kern w:val="2"/>
      <w:sz w:val="24"/>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annotation reference"/>
    <w:basedOn w:val="22"/>
    <w:qFormat/>
    <w:uiPriority w:val="0"/>
    <w:rPr>
      <w:sz w:val="21"/>
      <w:szCs w:val="21"/>
    </w:rPr>
  </w:style>
  <w:style w:type="paragraph" w:customStyle="1" w:styleId="25">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26">
    <w:name w:val="_Style 3"/>
    <w:next w:val="1"/>
    <w:autoRedefine/>
    <w:qFormat/>
    <w:uiPriority w:val="39"/>
    <w:pPr>
      <w:keepNext/>
      <w:keepLines/>
      <w:spacing w:before="240" w:line="259" w:lineRule="auto"/>
    </w:pPr>
    <w:rPr>
      <w:rFonts w:ascii="等线 Light" w:hAnsi="等线 Light" w:eastAsia="等线 Light" w:cs="Times New Roman"/>
      <w:color w:val="2E74B5"/>
      <w:sz w:val="32"/>
      <w:szCs w:val="32"/>
      <w:lang w:val="en-US" w:eastAsia="zh-CN" w:bidi="ar-SA"/>
    </w:rPr>
  </w:style>
  <w:style w:type="paragraph" w:customStyle="1" w:styleId="27">
    <w:name w:val="表格文字1"/>
    <w:basedOn w:val="28"/>
    <w:autoRedefine/>
    <w:qFormat/>
    <w:uiPriority w:val="0"/>
    <w:pPr>
      <w:spacing w:line="240" w:lineRule="auto"/>
      <w:ind w:firstLine="0" w:firstLineChars="0"/>
      <w:jc w:val="center"/>
    </w:pPr>
    <w:rPr>
      <w:sz w:val="21"/>
    </w:rPr>
  </w:style>
  <w:style w:type="paragraph" w:customStyle="1" w:styleId="28">
    <w:name w:val="表格中文字"/>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52"/>
      <w:lang w:val="en-US" w:eastAsia="zh-CN" w:bidi="ar-SA"/>
    </w:rPr>
  </w:style>
  <w:style w:type="paragraph" w:customStyle="1" w:styleId="29">
    <w:name w:val="正文1"/>
    <w:autoRedefine/>
    <w:qFormat/>
    <w:uiPriority w:val="0"/>
    <w:pPr>
      <w:widowControl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30">
    <w:name w:val="Table Paragraph"/>
    <w:basedOn w:val="1"/>
    <w:qFormat/>
    <w:uiPriority w:val="1"/>
  </w:style>
  <w:style w:type="paragraph" w:customStyle="1" w:styleId="31">
    <w:name w:val="表格标题"/>
    <w:autoRedefine/>
    <w:qFormat/>
    <w:uiPriority w:val="0"/>
    <w:pPr>
      <w:widowControl w:val="0"/>
      <w:spacing w:line="360" w:lineRule="auto"/>
      <w:jc w:val="center"/>
    </w:pPr>
    <w:rPr>
      <w:rFonts w:ascii="Times New Roman" w:hAnsi="Times New Roman" w:eastAsia="宋体" w:cs="Times New Roman"/>
      <w:b/>
      <w:kern w:val="2"/>
      <w:sz w:val="24"/>
      <w:szCs w:val="24"/>
      <w:lang w:val="en-US" w:eastAsia="zh-CN" w:bidi="ar-SA"/>
    </w:rPr>
  </w:style>
  <w:style w:type="paragraph" w:customStyle="1" w:styleId="32">
    <w:name w:val="图表内容"/>
    <w:basedOn w:val="33"/>
    <w:qFormat/>
    <w:uiPriority w:val="0"/>
    <w:pPr>
      <w:spacing w:line="240" w:lineRule="auto"/>
    </w:pPr>
    <w:rPr>
      <w:b w:val="0"/>
    </w:rPr>
  </w:style>
  <w:style w:type="paragraph" w:customStyle="1" w:styleId="33">
    <w:name w:val="图表标题"/>
    <w:basedOn w:val="1"/>
    <w:qFormat/>
    <w:uiPriority w:val="0"/>
    <w:pPr>
      <w:ind w:firstLine="0" w:firstLineChars="0"/>
      <w:jc w:val="center"/>
    </w:pPr>
    <w:rPr>
      <w:b/>
      <w:sz w:val="21"/>
    </w:rPr>
  </w:style>
  <w:style w:type="character" w:customStyle="1" w:styleId="34">
    <w:name w:val="NormalCharacter"/>
    <w:autoRedefine/>
    <w:qFormat/>
    <w:uiPriority w:val="0"/>
  </w:style>
  <w:style w:type="paragraph" w:customStyle="1" w:styleId="35">
    <w:name w:val="表格"/>
    <w:basedOn w:val="1"/>
    <w:next w:val="1"/>
    <w:autoRedefine/>
    <w:qFormat/>
    <w:uiPriority w:val="0"/>
    <w:pPr>
      <w:adjustRightInd w:val="0"/>
      <w:snapToGrid w:val="0"/>
      <w:spacing w:beforeLines="10" w:afterLines="10" w:line="259" w:lineRule="auto"/>
      <w:jc w:val="center"/>
    </w:pPr>
    <w:rPr>
      <w:szCs w:val="20"/>
    </w:rPr>
  </w:style>
  <w:style w:type="character" w:customStyle="1" w:styleId="36">
    <w:name w:val="【正文】 Char1"/>
    <w:link w:val="37"/>
    <w:qFormat/>
    <w:uiPriority w:val="0"/>
    <w:rPr>
      <w:sz w:val="24"/>
    </w:rPr>
  </w:style>
  <w:style w:type="paragraph" w:customStyle="1" w:styleId="37">
    <w:name w:val="【正文】"/>
    <w:basedOn w:val="1"/>
    <w:link w:val="36"/>
    <w:qFormat/>
    <w:uiPriority w:val="0"/>
    <w:pPr>
      <w:spacing w:line="360" w:lineRule="auto"/>
      <w:ind w:firstLine="200" w:firstLineChars="200"/>
    </w:pPr>
    <w:rPr>
      <w:sz w:val="24"/>
    </w:rPr>
  </w:style>
  <w:style w:type="paragraph" w:customStyle="1" w:styleId="38">
    <w:name w:val="..正文"/>
    <w:basedOn w:val="1"/>
    <w:qFormat/>
    <w:uiPriority w:val="0"/>
    <w:pPr>
      <w:spacing w:line="500" w:lineRule="exact"/>
      <w:ind w:firstLine="480" w:firstLineChars="200"/>
      <w:jc w:val="left"/>
    </w:pPr>
    <w:rPr>
      <w:kern w:val="0"/>
      <w:szCs w:val="24"/>
    </w:rPr>
  </w:style>
  <w:style w:type="paragraph" w:customStyle="1" w:styleId="39">
    <w:name w:val="【表中的文字】"/>
    <w:basedOn w:val="19"/>
    <w:qFormat/>
    <w:uiPriority w:val="0"/>
    <w:pPr>
      <w:spacing w:before="0" w:after="0"/>
      <w:outlineLvl w:val="9"/>
    </w:pPr>
    <w:rPr>
      <w:rFonts w:ascii="Times New Roman" w:hAnsi="Times New Roman"/>
      <w:sz w:val="21"/>
      <w:szCs w:val="21"/>
    </w:rPr>
  </w:style>
  <w:style w:type="paragraph" w:customStyle="1" w:styleId="40">
    <w:name w:val="a正文"/>
    <w:basedOn w:val="41"/>
    <w:qFormat/>
    <w:uiPriority w:val="0"/>
    <w:pPr>
      <w:spacing w:line="520" w:lineRule="exact"/>
      <w:ind w:firstLine="200"/>
    </w:pPr>
    <w:rPr>
      <w:sz w:val="24"/>
    </w:rPr>
  </w:style>
  <w:style w:type="paragraph" w:customStyle="1" w:styleId="41">
    <w:name w:val="正文格式"/>
    <w:basedOn w:val="1"/>
    <w:next w:val="1"/>
    <w:qFormat/>
    <w:uiPriority w:val="0"/>
    <w:pPr>
      <w:spacing w:line="360" w:lineRule="auto"/>
      <w:ind w:firstLine="420" w:firstLineChars="200"/>
    </w:pPr>
    <w:rPr>
      <w:kern w:val="0"/>
      <w:szCs w:val="21"/>
    </w:rPr>
  </w:style>
  <w:style w:type="paragraph" w:customStyle="1" w:styleId="42">
    <w:name w:val="【表中文字】-"/>
    <w:basedOn w:val="1"/>
    <w:qFormat/>
    <w:uiPriority w:val="0"/>
    <w:pPr>
      <w:jc w:val="center"/>
    </w:pPr>
    <w:rPr>
      <w:kern w:val="0"/>
      <w:sz w:val="20"/>
      <w:szCs w:val="20"/>
    </w:rPr>
  </w:style>
  <w:style w:type="character" w:customStyle="1" w:styleId="43">
    <w:name w:val="【表中文字】 Char"/>
    <w:link w:val="44"/>
    <w:qFormat/>
    <w:uiPriority w:val="0"/>
  </w:style>
  <w:style w:type="paragraph" w:customStyle="1" w:styleId="44">
    <w:name w:val="【表中文字】"/>
    <w:basedOn w:val="45"/>
    <w:link w:val="43"/>
    <w:qFormat/>
    <w:uiPriority w:val="0"/>
    <w:pPr>
      <w:jc w:val="center"/>
    </w:pPr>
  </w:style>
  <w:style w:type="paragraph" w:customStyle="1" w:styleId="45">
    <w:name w:val=".表1-1-1内容"/>
    <w:basedOn w:val="1"/>
    <w:qFormat/>
    <w:uiPriority w:val="0"/>
    <w:pPr>
      <w:spacing w:line="300" w:lineRule="exact"/>
      <w:jc w:val="center"/>
    </w:pPr>
    <w:rPr>
      <w:kern w:val="0"/>
      <w:szCs w:val="21"/>
    </w:rPr>
  </w:style>
  <w:style w:type="paragraph" w:customStyle="1" w:styleId="46">
    <w:name w:val="《正文》"/>
    <w:basedOn w:val="1"/>
    <w:qFormat/>
    <w:uiPriority w:val="0"/>
    <w:pPr>
      <w:spacing w:line="360" w:lineRule="auto"/>
      <w:ind w:firstLine="200" w:firstLineChars="200"/>
    </w:pPr>
    <w:rPr>
      <w:sz w:val="24"/>
    </w:rPr>
  </w:style>
  <w:style w:type="table" w:customStyle="1" w:styleId="47">
    <w:name w:val="网格型1"/>
    <w:basedOn w:val="2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标准正文"/>
    <w:basedOn w:val="1"/>
    <w:qFormat/>
    <w:uiPriority w:val="0"/>
    <w:pPr>
      <w:widowControl/>
      <w:spacing w:line="360" w:lineRule="auto"/>
      <w:ind w:firstLine="480" w:firstLineChars="200"/>
      <w:jc w:val="left"/>
    </w:pPr>
    <w:rPr>
      <w:rFonts w:hAnsi="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29"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66355</Words>
  <Characters>73466</Characters>
  <Lines>0</Lines>
  <Paragraphs>0</Paragraphs>
  <TotalTime>49</TotalTime>
  <ScaleCrop>false</ScaleCrop>
  <LinksUpToDate>false</LinksUpToDate>
  <CharactersWithSpaces>74406</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2026-02-26T02:14:00Z</dcterms:created>
  <dc:creator>.</dc:creator>
  <cp:lastModifiedBy>丫头</cp:lastModifiedBy>
  <dcterms:modified xsi:type="dcterms:W3CDTF">2026-06-04T03:29:38Z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BA873D9CDA7B488B8D7594E4A870BDD5_13</vt:lpwstr>
  </property>
  <property fmtid="{D5CDD505-2E9C-101B-9397-08002B2CF9AE}" pid="4" name="KSOTemplateDocerSaveRecord">
    <vt:lpwstr>eyJoZGlkIjoiOThjZGIwN2VmN2I2ZDNkMGJlMjEwMzY4NzVhZDhmNDIiLCJ1c2VySWQiOiI2NzMyOTczNjkifQ==</vt:lpwstr>
  </property>
</Properties>
</file>