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0BC340">
      <w:pPr>
        <w:pStyle w:val="74"/>
        <w:jc w:val="center"/>
        <w:rPr>
          <w:rFonts w:ascii="Times New Roman" w:hAnsi="Times New Roman" w:eastAsia="宋体"/>
          <w:b/>
          <w:bCs/>
          <w:color w:val="auto"/>
          <w:highlight w:val="none"/>
        </w:rPr>
      </w:pPr>
      <w:r>
        <w:rPr>
          <w:rFonts w:ascii="Times New Roman" w:hAnsi="Times New Roman" w:eastAsia="宋体"/>
          <w:b/>
          <w:bCs/>
          <w:color w:val="auto"/>
          <w:highlight w:val="none"/>
          <w:lang w:val="zh-CN"/>
        </w:rPr>
        <w:t>目录</w:t>
      </w:r>
    </w:p>
    <w:p w14:paraId="517A997C">
      <w:pPr>
        <w:pStyle w:val="27"/>
        <w:tabs>
          <w:tab w:val="right" w:leader="dot" w:pos="8493"/>
        </w:tabs>
        <w:spacing w:line="360" w:lineRule="auto"/>
        <w:rPr>
          <w:rFonts w:ascii="Times New Roman" w:hAnsi="Times New Roman"/>
          <w:color w:val="auto"/>
          <w:sz w:val="30"/>
          <w:szCs w:val="30"/>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TOC \o "1-3" \h \z \u </w:instrText>
      </w:r>
      <w:r>
        <w:rPr>
          <w:rFonts w:ascii="Times New Roman" w:hAnsi="Times New Roman"/>
          <w:color w:val="auto"/>
          <w:highlight w:val="none"/>
        </w:rPr>
        <w:fldChar w:fldCharType="separate"/>
      </w:r>
      <w:r>
        <w:rPr>
          <w:rStyle w:val="42"/>
          <w:rFonts w:ascii="Times New Roman" w:hAnsi="Times New Roman"/>
          <w:color w:val="auto"/>
          <w:sz w:val="30"/>
          <w:szCs w:val="30"/>
          <w:highlight w:val="none"/>
        </w:rPr>
        <w:fldChar w:fldCharType="begin"/>
      </w:r>
      <w:r>
        <w:rPr>
          <w:rStyle w:val="42"/>
          <w:rFonts w:ascii="Times New Roman" w:hAnsi="Times New Roman"/>
          <w:color w:val="auto"/>
          <w:sz w:val="30"/>
          <w:szCs w:val="30"/>
          <w:highlight w:val="none"/>
        </w:rPr>
        <w:instrText xml:space="preserve"> </w:instrText>
      </w:r>
      <w:r>
        <w:rPr>
          <w:rFonts w:ascii="Times New Roman" w:hAnsi="Times New Roman"/>
          <w:color w:val="auto"/>
          <w:sz w:val="30"/>
          <w:szCs w:val="30"/>
          <w:highlight w:val="none"/>
        </w:rPr>
        <w:instrText xml:space="preserve">HYPERLINK \l "_Toc137737889"</w:instrText>
      </w:r>
      <w:r>
        <w:rPr>
          <w:rStyle w:val="42"/>
          <w:rFonts w:ascii="Times New Roman" w:hAnsi="Times New Roman"/>
          <w:color w:val="auto"/>
          <w:sz w:val="30"/>
          <w:szCs w:val="30"/>
          <w:highlight w:val="none"/>
        </w:rPr>
        <w:instrText xml:space="preserve"> </w:instrText>
      </w:r>
      <w:r>
        <w:rPr>
          <w:rStyle w:val="42"/>
          <w:rFonts w:ascii="Times New Roman" w:hAnsi="Times New Roman"/>
          <w:color w:val="auto"/>
          <w:sz w:val="30"/>
          <w:szCs w:val="30"/>
          <w:highlight w:val="none"/>
        </w:rPr>
        <w:fldChar w:fldCharType="separate"/>
      </w:r>
      <w:r>
        <w:rPr>
          <w:rStyle w:val="42"/>
          <w:rFonts w:ascii="Times New Roman" w:hAnsi="Times New Roman" w:eastAsia="黑体"/>
          <w:snapToGrid w:val="0"/>
          <w:color w:val="auto"/>
          <w:sz w:val="30"/>
          <w:szCs w:val="30"/>
          <w:highlight w:val="none"/>
        </w:rPr>
        <w:t>一、建设项目基本情况</w:t>
      </w:r>
      <w:r>
        <w:rPr>
          <w:rFonts w:ascii="Times New Roman" w:hAnsi="Times New Roman"/>
          <w:color w:val="auto"/>
          <w:sz w:val="30"/>
          <w:szCs w:val="30"/>
          <w:highlight w:val="none"/>
        </w:rPr>
        <w:tab/>
      </w:r>
      <w:r>
        <w:rPr>
          <w:rFonts w:ascii="Times New Roman" w:hAnsi="Times New Roman"/>
          <w:color w:val="auto"/>
          <w:sz w:val="30"/>
          <w:szCs w:val="30"/>
          <w:highlight w:val="none"/>
        </w:rPr>
        <w:fldChar w:fldCharType="begin"/>
      </w:r>
      <w:r>
        <w:rPr>
          <w:rFonts w:ascii="Times New Roman" w:hAnsi="Times New Roman"/>
          <w:color w:val="auto"/>
          <w:sz w:val="30"/>
          <w:szCs w:val="30"/>
          <w:highlight w:val="none"/>
        </w:rPr>
        <w:instrText xml:space="preserve"> PAGEREF _Toc137737889 \h </w:instrText>
      </w:r>
      <w:r>
        <w:rPr>
          <w:rFonts w:ascii="Times New Roman" w:hAnsi="Times New Roman"/>
          <w:color w:val="auto"/>
          <w:sz w:val="30"/>
          <w:szCs w:val="30"/>
          <w:highlight w:val="none"/>
        </w:rPr>
        <w:fldChar w:fldCharType="separate"/>
      </w:r>
      <w:r>
        <w:rPr>
          <w:rFonts w:ascii="Times New Roman" w:hAnsi="Times New Roman"/>
          <w:color w:val="auto"/>
          <w:sz w:val="30"/>
          <w:szCs w:val="30"/>
          <w:highlight w:val="none"/>
        </w:rPr>
        <w:t>1</w:t>
      </w:r>
      <w:r>
        <w:rPr>
          <w:rFonts w:ascii="Times New Roman" w:hAnsi="Times New Roman"/>
          <w:color w:val="auto"/>
          <w:sz w:val="30"/>
          <w:szCs w:val="30"/>
          <w:highlight w:val="none"/>
        </w:rPr>
        <w:fldChar w:fldCharType="end"/>
      </w:r>
      <w:r>
        <w:rPr>
          <w:rStyle w:val="42"/>
          <w:rFonts w:ascii="Times New Roman" w:hAnsi="Times New Roman"/>
          <w:color w:val="auto"/>
          <w:sz w:val="30"/>
          <w:szCs w:val="30"/>
          <w:highlight w:val="none"/>
        </w:rPr>
        <w:fldChar w:fldCharType="end"/>
      </w:r>
    </w:p>
    <w:p w14:paraId="5F9E4A95">
      <w:pPr>
        <w:pStyle w:val="27"/>
        <w:tabs>
          <w:tab w:val="right" w:leader="dot" w:pos="8493"/>
        </w:tabs>
        <w:spacing w:line="360" w:lineRule="auto"/>
        <w:rPr>
          <w:rFonts w:ascii="Times New Roman" w:hAnsi="Times New Roman"/>
          <w:color w:val="auto"/>
          <w:sz w:val="30"/>
          <w:szCs w:val="30"/>
          <w:highlight w:val="none"/>
        </w:rPr>
      </w:pPr>
      <w:r>
        <w:rPr>
          <w:rStyle w:val="42"/>
          <w:rFonts w:ascii="Times New Roman" w:hAnsi="Times New Roman"/>
          <w:color w:val="auto"/>
          <w:sz w:val="30"/>
          <w:szCs w:val="30"/>
          <w:highlight w:val="none"/>
        </w:rPr>
        <w:fldChar w:fldCharType="begin"/>
      </w:r>
      <w:r>
        <w:rPr>
          <w:rStyle w:val="42"/>
          <w:rFonts w:ascii="Times New Roman" w:hAnsi="Times New Roman"/>
          <w:color w:val="auto"/>
          <w:sz w:val="30"/>
          <w:szCs w:val="30"/>
          <w:highlight w:val="none"/>
        </w:rPr>
        <w:instrText xml:space="preserve"> </w:instrText>
      </w:r>
      <w:r>
        <w:rPr>
          <w:rFonts w:ascii="Times New Roman" w:hAnsi="Times New Roman"/>
          <w:color w:val="auto"/>
          <w:sz w:val="30"/>
          <w:szCs w:val="30"/>
          <w:highlight w:val="none"/>
        </w:rPr>
        <w:instrText xml:space="preserve">HYPERLINK \l "_Toc137737892"</w:instrText>
      </w:r>
      <w:r>
        <w:rPr>
          <w:rStyle w:val="42"/>
          <w:rFonts w:ascii="Times New Roman" w:hAnsi="Times New Roman"/>
          <w:color w:val="auto"/>
          <w:sz w:val="30"/>
          <w:szCs w:val="30"/>
          <w:highlight w:val="none"/>
        </w:rPr>
        <w:instrText xml:space="preserve"> </w:instrText>
      </w:r>
      <w:r>
        <w:rPr>
          <w:rStyle w:val="42"/>
          <w:rFonts w:ascii="Times New Roman" w:hAnsi="Times New Roman"/>
          <w:color w:val="auto"/>
          <w:sz w:val="30"/>
          <w:szCs w:val="30"/>
          <w:highlight w:val="none"/>
        </w:rPr>
        <w:fldChar w:fldCharType="separate"/>
      </w:r>
      <w:r>
        <w:rPr>
          <w:rStyle w:val="42"/>
          <w:rFonts w:ascii="Times New Roman" w:hAnsi="Times New Roman" w:eastAsia="黑体"/>
          <w:snapToGrid w:val="0"/>
          <w:color w:val="auto"/>
          <w:sz w:val="30"/>
          <w:szCs w:val="30"/>
          <w:highlight w:val="none"/>
        </w:rPr>
        <w:t>二、建设项目工程分析</w:t>
      </w:r>
      <w:r>
        <w:rPr>
          <w:rFonts w:ascii="Times New Roman" w:hAnsi="Times New Roman"/>
          <w:color w:val="auto"/>
          <w:sz w:val="30"/>
          <w:szCs w:val="30"/>
          <w:highlight w:val="none"/>
        </w:rPr>
        <w:tab/>
      </w:r>
      <w:r>
        <w:rPr>
          <w:rFonts w:ascii="Times New Roman" w:hAnsi="Times New Roman"/>
          <w:color w:val="auto"/>
          <w:sz w:val="30"/>
          <w:szCs w:val="30"/>
          <w:highlight w:val="none"/>
        </w:rPr>
        <w:fldChar w:fldCharType="begin"/>
      </w:r>
      <w:r>
        <w:rPr>
          <w:rFonts w:ascii="Times New Roman" w:hAnsi="Times New Roman"/>
          <w:color w:val="auto"/>
          <w:sz w:val="30"/>
          <w:szCs w:val="30"/>
          <w:highlight w:val="none"/>
        </w:rPr>
        <w:instrText xml:space="preserve"> PAGEREF _Toc137737892 \h </w:instrText>
      </w:r>
      <w:r>
        <w:rPr>
          <w:rFonts w:ascii="Times New Roman" w:hAnsi="Times New Roman"/>
          <w:color w:val="auto"/>
          <w:sz w:val="30"/>
          <w:szCs w:val="30"/>
          <w:highlight w:val="none"/>
        </w:rPr>
        <w:fldChar w:fldCharType="separate"/>
      </w:r>
      <w:r>
        <w:rPr>
          <w:rFonts w:ascii="Times New Roman" w:hAnsi="Times New Roman"/>
          <w:color w:val="auto"/>
          <w:sz w:val="30"/>
          <w:szCs w:val="30"/>
          <w:highlight w:val="none"/>
        </w:rPr>
        <w:t>26</w:t>
      </w:r>
      <w:r>
        <w:rPr>
          <w:rFonts w:ascii="Times New Roman" w:hAnsi="Times New Roman"/>
          <w:color w:val="auto"/>
          <w:sz w:val="30"/>
          <w:szCs w:val="30"/>
          <w:highlight w:val="none"/>
        </w:rPr>
        <w:fldChar w:fldCharType="end"/>
      </w:r>
      <w:r>
        <w:rPr>
          <w:rStyle w:val="42"/>
          <w:rFonts w:ascii="Times New Roman" w:hAnsi="Times New Roman"/>
          <w:color w:val="auto"/>
          <w:sz w:val="30"/>
          <w:szCs w:val="30"/>
          <w:highlight w:val="none"/>
        </w:rPr>
        <w:fldChar w:fldCharType="end"/>
      </w:r>
    </w:p>
    <w:p w14:paraId="2317E182">
      <w:pPr>
        <w:pStyle w:val="27"/>
        <w:tabs>
          <w:tab w:val="right" w:leader="dot" w:pos="8493"/>
        </w:tabs>
        <w:spacing w:line="360" w:lineRule="auto"/>
        <w:rPr>
          <w:rFonts w:ascii="Times New Roman" w:hAnsi="Times New Roman"/>
          <w:color w:val="auto"/>
          <w:sz w:val="30"/>
          <w:szCs w:val="30"/>
          <w:highlight w:val="none"/>
        </w:rPr>
      </w:pPr>
      <w:r>
        <w:rPr>
          <w:rStyle w:val="42"/>
          <w:rFonts w:ascii="Times New Roman" w:hAnsi="Times New Roman"/>
          <w:color w:val="auto"/>
          <w:sz w:val="30"/>
          <w:szCs w:val="30"/>
          <w:highlight w:val="none"/>
        </w:rPr>
        <w:fldChar w:fldCharType="begin"/>
      </w:r>
      <w:r>
        <w:rPr>
          <w:rStyle w:val="42"/>
          <w:rFonts w:ascii="Times New Roman" w:hAnsi="Times New Roman"/>
          <w:color w:val="auto"/>
          <w:sz w:val="30"/>
          <w:szCs w:val="30"/>
          <w:highlight w:val="none"/>
        </w:rPr>
        <w:instrText xml:space="preserve"> </w:instrText>
      </w:r>
      <w:r>
        <w:rPr>
          <w:rFonts w:ascii="Times New Roman" w:hAnsi="Times New Roman"/>
          <w:color w:val="auto"/>
          <w:sz w:val="30"/>
          <w:szCs w:val="30"/>
          <w:highlight w:val="none"/>
        </w:rPr>
        <w:instrText xml:space="preserve">HYPERLINK \l "_Toc137737904"</w:instrText>
      </w:r>
      <w:r>
        <w:rPr>
          <w:rStyle w:val="42"/>
          <w:rFonts w:ascii="Times New Roman" w:hAnsi="Times New Roman"/>
          <w:color w:val="auto"/>
          <w:sz w:val="30"/>
          <w:szCs w:val="30"/>
          <w:highlight w:val="none"/>
        </w:rPr>
        <w:instrText xml:space="preserve"> </w:instrText>
      </w:r>
      <w:r>
        <w:rPr>
          <w:rStyle w:val="42"/>
          <w:rFonts w:ascii="Times New Roman" w:hAnsi="Times New Roman"/>
          <w:color w:val="auto"/>
          <w:sz w:val="30"/>
          <w:szCs w:val="30"/>
          <w:highlight w:val="none"/>
        </w:rPr>
        <w:fldChar w:fldCharType="separate"/>
      </w:r>
      <w:r>
        <w:rPr>
          <w:rStyle w:val="42"/>
          <w:rFonts w:ascii="Times New Roman" w:hAnsi="Times New Roman" w:eastAsia="黑体"/>
          <w:snapToGrid w:val="0"/>
          <w:color w:val="auto"/>
          <w:sz w:val="30"/>
          <w:szCs w:val="30"/>
          <w:highlight w:val="none"/>
        </w:rPr>
        <w:t>三、区域环境质量现状、环境保护目标及评价标准</w:t>
      </w:r>
      <w:r>
        <w:rPr>
          <w:rFonts w:ascii="Times New Roman" w:hAnsi="Times New Roman"/>
          <w:color w:val="auto"/>
          <w:sz w:val="30"/>
          <w:szCs w:val="30"/>
          <w:highlight w:val="none"/>
        </w:rPr>
        <w:tab/>
      </w:r>
      <w:r>
        <w:rPr>
          <w:rFonts w:ascii="Times New Roman" w:hAnsi="Times New Roman"/>
          <w:color w:val="auto"/>
          <w:sz w:val="30"/>
          <w:szCs w:val="30"/>
          <w:highlight w:val="none"/>
        </w:rPr>
        <w:fldChar w:fldCharType="begin"/>
      </w:r>
      <w:r>
        <w:rPr>
          <w:rFonts w:ascii="Times New Roman" w:hAnsi="Times New Roman"/>
          <w:color w:val="auto"/>
          <w:sz w:val="30"/>
          <w:szCs w:val="30"/>
          <w:highlight w:val="none"/>
        </w:rPr>
        <w:instrText xml:space="preserve"> PAGEREF _Toc137737904 \h </w:instrText>
      </w:r>
      <w:r>
        <w:rPr>
          <w:rFonts w:ascii="Times New Roman" w:hAnsi="Times New Roman"/>
          <w:color w:val="auto"/>
          <w:sz w:val="30"/>
          <w:szCs w:val="30"/>
          <w:highlight w:val="none"/>
        </w:rPr>
        <w:fldChar w:fldCharType="separate"/>
      </w:r>
      <w:r>
        <w:rPr>
          <w:rFonts w:ascii="Times New Roman" w:hAnsi="Times New Roman"/>
          <w:color w:val="auto"/>
          <w:sz w:val="30"/>
          <w:szCs w:val="30"/>
          <w:highlight w:val="none"/>
        </w:rPr>
        <w:t>43</w:t>
      </w:r>
      <w:r>
        <w:rPr>
          <w:rFonts w:ascii="Times New Roman" w:hAnsi="Times New Roman"/>
          <w:color w:val="auto"/>
          <w:sz w:val="30"/>
          <w:szCs w:val="30"/>
          <w:highlight w:val="none"/>
        </w:rPr>
        <w:fldChar w:fldCharType="end"/>
      </w:r>
      <w:r>
        <w:rPr>
          <w:rStyle w:val="42"/>
          <w:rFonts w:ascii="Times New Roman" w:hAnsi="Times New Roman"/>
          <w:color w:val="auto"/>
          <w:sz w:val="30"/>
          <w:szCs w:val="30"/>
          <w:highlight w:val="none"/>
        </w:rPr>
        <w:fldChar w:fldCharType="end"/>
      </w:r>
    </w:p>
    <w:p w14:paraId="414D421D">
      <w:pPr>
        <w:pStyle w:val="27"/>
        <w:tabs>
          <w:tab w:val="right" w:leader="dot" w:pos="8493"/>
        </w:tabs>
        <w:spacing w:line="360" w:lineRule="auto"/>
        <w:rPr>
          <w:rFonts w:ascii="Times New Roman" w:hAnsi="Times New Roman"/>
          <w:color w:val="auto"/>
          <w:sz w:val="30"/>
          <w:szCs w:val="30"/>
          <w:highlight w:val="none"/>
        </w:rPr>
      </w:pPr>
      <w:r>
        <w:rPr>
          <w:rStyle w:val="42"/>
          <w:rFonts w:ascii="Times New Roman" w:hAnsi="Times New Roman"/>
          <w:color w:val="auto"/>
          <w:sz w:val="30"/>
          <w:szCs w:val="30"/>
          <w:highlight w:val="none"/>
        </w:rPr>
        <w:fldChar w:fldCharType="begin"/>
      </w:r>
      <w:r>
        <w:rPr>
          <w:rStyle w:val="42"/>
          <w:rFonts w:ascii="Times New Roman" w:hAnsi="Times New Roman"/>
          <w:color w:val="auto"/>
          <w:sz w:val="30"/>
          <w:szCs w:val="30"/>
          <w:highlight w:val="none"/>
        </w:rPr>
        <w:instrText xml:space="preserve"> </w:instrText>
      </w:r>
      <w:r>
        <w:rPr>
          <w:rFonts w:ascii="Times New Roman" w:hAnsi="Times New Roman"/>
          <w:color w:val="auto"/>
          <w:sz w:val="30"/>
          <w:szCs w:val="30"/>
          <w:highlight w:val="none"/>
        </w:rPr>
        <w:instrText xml:space="preserve">HYPERLINK \l "_Toc137737905"</w:instrText>
      </w:r>
      <w:r>
        <w:rPr>
          <w:rStyle w:val="42"/>
          <w:rFonts w:ascii="Times New Roman" w:hAnsi="Times New Roman"/>
          <w:color w:val="auto"/>
          <w:sz w:val="30"/>
          <w:szCs w:val="30"/>
          <w:highlight w:val="none"/>
        </w:rPr>
        <w:instrText xml:space="preserve"> </w:instrText>
      </w:r>
      <w:r>
        <w:rPr>
          <w:rStyle w:val="42"/>
          <w:rFonts w:ascii="Times New Roman" w:hAnsi="Times New Roman"/>
          <w:color w:val="auto"/>
          <w:sz w:val="30"/>
          <w:szCs w:val="30"/>
          <w:highlight w:val="none"/>
        </w:rPr>
        <w:fldChar w:fldCharType="separate"/>
      </w:r>
      <w:r>
        <w:rPr>
          <w:rStyle w:val="42"/>
          <w:rFonts w:ascii="Times New Roman" w:hAnsi="Times New Roman" w:eastAsia="黑体"/>
          <w:snapToGrid w:val="0"/>
          <w:color w:val="auto"/>
          <w:sz w:val="30"/>
          <w:szCs w:val="30"/>
          <w:highlight w:val="none"/>
        </w:rPr>
        <w:t>四、主要环境影响和保护措施</w:t>
      </w:r>
      <w:r>
        <w:rPr>
          <w:rFonts w:ascii="Times New Roman" w:hAnsi="Times New Roman"/>
          <w:color w:val="auto"/>
          <w:sz w:val="30"/>
          <w:szCs w:val="30"/>
          <w:highlight w:val="none"/>
        </w:rPr>
        <w:tab/>
      </w:r>
      <w:r>
        <w:rPr>
          <w:rFonts w:ascii="Times New Roman" w:hAnsi="Times New Roman"/>
          <w:color w:val="auto"/>
          <w:sz w:val="30"/>
          <w:szCs w:val="30"/>
          <w:highlight w:val="none"/>
        </w:rPr>
        <w:fldChar w:fldCharType="begin"/>
      </w:r>
      <w:r>
        <w:rPr>
          <w:rFonts w:ascii="Times New Roman" w:hAnsi="Times New Roman"/>
          <w:color w:val="auto"/>
          <w:sz w:val="30"/>
          <w:szCs w:val="30"/>
          <w:highlight w:val="none"/>
        </w:rPr>
        <w:instrText xml:space="preserve"> PAGEREF _Toc137737905 \h </w:instrText>
      </w:r>
      <w:r>
        <w:rPr>
          <w:rFonts w:ascii="Times New Roman" w:hAnsi="Times New Roman"/>
          <w:color w:val="auto"/>
          <w:sz w:val="30"/>
          <w:szCs w:val="30"/>
          <w:highlight w:val="none"/>
        </w:rPr>
        <w:fldChar w:fldCharType="separate"/>
      </w:r>
      <w:r>
        <w:rPr>
          <w:rFonts w:ascii="Times New Roman" w:hAnsi="Times New Roman"/>
          <w:color w:val="auto"/>
          <w:sz w:val="30"/>
          <w:szCs w:val="30"/>
          <w:highlight w:val="none"/>
        </w:rPr>
        <w:t>52</w:t>
      </w:r>
      <w:r>
        <w:rPr>
          <w:rFonts w:ascii="Times New Roman" w:hAnsi="Times New Roman"/>
          <w:color w:val="auto"/>
          <w:sz w:val="30"/>
          <w:szCs w:val="30"/>
          <w:highlight w:val="none"/>
        </w:rPr>
        <w:fldChar w:fldCharType="end"/>
      </w:r>
      <w:r>
        <w:rPr>
          <w:rStyle w:val="42"/>
          <w:rFonts w:ascii="Times New Roman" w:hAnsi="Times New Roman"/>
          <w:color w:val="auto"/>
          <w:sz w:val="30"/>
          <w:szCs w:val="30"/>
          <w:highlight w:val="none"/>
        </w:rPr>
        <w:fldChar w:fldCharType="end"/>
      </w:r>
    </w:p>
    <w:p w14:paraId="418A967E">
      <w:pPr>
        <w:pStyle w:val="27"/>
        <w:tabs>
          <w:tab w:val="right" w:leader="dot" w:pos="8493"/>
        </w:tabs>
        <w:spacing w:line="360" w:lineRule="auto"/>
        <w:rPr>
          <w:rFonts w:ascii="Times New Roman" w:hAnsi="Times New Roman"/>
          <w:color w:val="auto"/>
          <w:sz w:val="30"/>
          <w:szCs w:val="30"/>
          <w:highlight w:val="none"/>
        </w:rPr>
      </w:pPr>
      <w:r>
        <w:rPr>
          <w:rStyle w:val="42"/>
          <w:rFonts w:ascii="Times New Roman" w:hAnsi="Times New Roman"/>
          <w:color w:val="auto"/>
          <w:sz w:val="30"/>
          <w:szCs w:val="30"/>
          <w:highlight w:val="none"/>
        </w:rPr>
        <w:fldChar w:fldCharType="begin"/>
      </w:r>
      <w:r>
        <w:rPr>
          <w:rStyle w:val="42"/>
          <w:rFonts w:ascii="Times New Roman" w:hAnsi="Times New Roman"/>
          <w:color w:val="auto"/>
          <w:sz w:val="30"/>
          <w:szCs w:val="30"/>
          <w:highlight w:val="none"/>
        </w:rPr>
        <w:instrText xml:space="preserve"> </w:instrText>
      </w:r>
      <w:r>
        <w:rPr>
          <w:rFonts w:ascii="Times New Roman" w:hAnsi="Times New Roman"/>
          <w:color w:val="auto"/>
          <w:sz w:val="30"/>
          <w:szCs w:val="30"/>
          <w:highlight w:val="none"/>
        </w:rPr>
        <w:instrText xml:space="preserve">HYPERLINK \l "_Toc137737906"</w:instrText>
      </w:r>
      <w:r>
        <w:rPr>
          <w:rStyle w:val="42"/>
          <w:rFonts w:ascii="Times New Roman" w:hAnsi="Times New Roman"/>
          <w:color w:val="auto"/>
          <w:sz w:val="30"/>
          <w:szCs w:val="30"/>
          <w:highlight w:val="none"/>
        </w:rPr>
        <w:instrText xml:space="preserve"> </w:instrText>
      </w:r>
      <w:r>
        <w:rPr>
          <w:rStyle w:val="42"/>
          <w:rFonts w:ascii="Times New Roman" w:hAnsi="Times New Roman"/>
          <w:color w:val="auto"/>
          <w:sz w:val="30"/>
          <w:szCs w:val="30"/>
          <w:highlight w:val="none"/>
        </w:rPr>
        <w:fldChar w:fldCharType="separate"/>
      </w:r>
      <w:r>
        <w:rPr>
          <w:rStyle w:val="42"/>
          <w:rFonts w:ascii="Times New Roman" w:hAnsi="Times New Roman" w:eastAsia="黑体"/>
          <w:snapToGrid w:val="0"/>
          <w:color w:val="auto"/>
          <w:sz w:val="30"/>
          <w:szCs w:val="30"/>
          <w:highlight w:val="none"/>
        </w:rPr>
        <w:t>五、环境保护措施监督检查清单</w:t>
      </w:r>
      <w:r>
        <w:rPr>
          <w:rFonts w:ascii="Times New Roman" w:hAnsi="Times New Roman"/>
          <w:color w:val="auto"/>
          <w:sz w:val="30"/>
          <w:szCs w:val="30"/>
          <w:highlight w:val="none"/>
        </w:rPr>
        <w:tab/>
      </w:r>
      <w:r>
        <w:rPr>
          <w:rFonts w:ascii="Times New Roman" w:hAnsi="Times New Roman"/>
          <w:color w:val="auto"/>
          <w:sz w:val="30"/>
          <w:szCs w:val="30"/>
          <w:highlight w:val="none"/>
        </w:rPr>
        <w:fldChar w:fldCharType="begin"/>
      </w:r>
      <w:r>
        <w:rPr>
          <w:rFonts w:ascii="Times New Roman" w:hAnsi="Times New Roman"/>
          <w:color w:val="auto"/>
          <w:sz w:val="30"/>
          <w:szCs w:val="30"/>
          <w:highlight w:val="none"/>
        </w:rPr>
        <w:instrText xml:space="preserve"> PAGEREF _Toc137737906 \h </w:instrText>
      </w:r>
      <w:r>
        <w:rPr>
          <w:rFonts w:ascii="Times New Roman" w:hAnsi="Times New Roman"/>
          <w:color w:val="auto"/>
          <w:sz w:val="30"/>
          <w:szCs w:val="30"/>
          <w:highlight w:val="none"/>
        </w:rPr>
        <w:fldChar w:fldCharType="separate"/>
      </w:r>
      <w:r>
        <w:rPr>
          <w:rFonts w:ascii="Times New Roman" w:hAnsi="Times New Roman"/>
          <w:color w:val="auto"/>
          <w:sz w:val="30"/>
          <w:szCs w:val="30"/>
          <w:highlight w:val="none"/>
        </w:rPr>
        <w:t>95</w:t>
      </w:r>
      <w:r>
        <w:rPr>
          <w:rFonts w:ascii="Times New Roman" w:hAnsi="Times New Roman"/>
          <w:color w:val="auto"/>
          <w:sz w:val="30"/>
          <w:szCs w:val="30"/>
          <w:highlight w:val="none"/>
        </w:rPr>
        <w:fldChar w:fldCharType="end"/>
      </w:r>
      <w:r>
        <w:rPr>
          <w:rStyle w:val="42"/>
          <w:rFonts w:ascii="Times New Roman" w:hAnsi="Times New Roman"/>
          <w:color w:val="auto"/>
          <w:sz w:val="30"/>
          <w:szCs w:val="30"/>
          <w:highlight w:val="none"/>
        </w:rPr>
        <w:fldChar w:fldCharType="end"/>
      </w:r>
    </w:p>
    <w:p w14:paraId="3EA46AA5">
      <w:pPr>
        <w:pStyle w:val="27"/>
        <w:tabs>
          <w:tab w:val="right" w:leader="dot" w:pos="8493"/>
        </w:tabs>
        <w:spacing w:line="360" w:lineRule="auto"/>
        <w:rPr>
          <w:rFonts w:ascii="Times New Roman" w:hAnsi="Times New Roman"/>
          <w:color w:val="auto"/>
          <w:sz w:val="30"/>
          <w:szCs w:val="30"/>
          <w:highlight w:val="none"/>
        </w:rPr>
      </w:pPr>
      <w:r>
        <w:rPr>
          <w:rStyle w:val="42"/>
          <w:rFonts w:ascii="Times New Roman" w:hAnsi="Times New Roman"/>
          <w:color w:val="auto"/>
          <w:sz w:val="30"/>
          <w:szCs w:val="30"/>
          <w:highlight w:val="none"/>
        </w:rPr>
        <w:fldChar w:fldCharType="begin"/>
      </w:r>
      <w:r>
        <w:rPr>
          <w:rStyle w:val="42"/>
          <w:rFonts w:ascii="Times New Roman" w:hAnsi="Times New Roman"/>
          <w:color w:val="auto"/>
          <w:sz w:val="30"/>
          <w:szCs w:val="30"/>
          <w:highlight w:val="none"/>
        </w:rPr>
        <w:instrText xml:space="preserve"> </w:instrText>
      </w:r>
      <w:r>
        <w:rPr>
          <w:rFonts w:ascii="Times New Roman" w:hAnsi="Times New Roman"/>
          <w:color w:val="auto"/>
          <w:sz w:val="30"/>
          <w:szCs w:val="30"/>
          <w:highlight w:val="none"/>
        </w:rPr>
        <w:instrText xml:space="preserve">HYPERLINK \l "_Toc137737907"</w:instrText>
      </w:r>
      <w:r>
        <w:rPr>
          <w:rStyle w:val="42"/>
          <w:rFonts w:ascii="Times New Roman" w:hAnsi="Times New Roman"/>
          <w:color w:val="auto"/>
          <w:sz w:val="30"/>
          <w:szCs w:val="30"/>
          <w:highlight w:val="none"/>
        </w:rPr>
        <w:instrText xml:space="preserve"> </w:instrText>
      </w:r>
      <w:r>
        <w:rPr>
          <w:rStyle w:val="42"/>
          <w:rFonts w:ascii="Times New Roman" w:hAnsi="Times New Roman"/>
          <w:color w:val="auto"/>
          <w:sz w:val="30"/>
          <w:szCs w:val="30"/>
          <w:highlight w:val="none"/>
        </w:rPr>
        <w:fldChar w:fldCharType="separate"/>
      </w:r>
      <w:r>
        <w:rPr>
          <w:rStyle w:val="42"/>
          <w:rFonts w:ascii="Times New Roman" w:hAnsi="Times New Roman" w:eastAsia="黑体"/>
          <w:snapToGrid w:val="0"/>
          <w:color w:val="auto"/>
          <w:sz w:val="30"/>
          <w:szCs w:val="30"/>
          <w:highlight w:val="none"/>
        </w:rPr>
        <w:t>六、结论</w:t>
      </w:r>
      <w:r>
        <w:rPr>
          <w:rFonts w:ascii="Times New Roman" w:hAnsi="Times New Roman"/>
          <w:color w:val="auto"/>
          <w:sz w:val="30"/>
          <w:szCs w:val="30"/>
          <w:highlight w:val="none"/>
        </w:rPr>
        <w:tab/>
      </w:r>
      <w:r>
        <w:rPr>
          <w:rFonts w:ascii="Times New Roman" w:hAnsi="Times New Roman"/>
          <w:color w:val="auto"/>
          <w:sz w:val="30"/>
          <w:szCs w:val="30"/>
          <w:highlight w:val="none"/>
        </w:rPr>
        <w:fldChar w:fldCharType="begin"/>
      </w:r>
      <w:r>
        <w:rPr>
          <w:rFonts w:ascii="Times New Roman" w:hAnsi="Times New Roman"/>
          <w:color w:val="auto"/>
          <w:sz w:val="30"/>
          <w:szCs w:val="30"/>
          <w:highlight w:val="none"/>
        </w:rPr>
        <w:instrText xml:space="preserve"> PAGEREF _Toc137737907 \h </w:instrText>
      </w:r>
      <w:r>
        <w:rPr>
          <w:rFonts w:ascii="Times New Roman" w:hAnsi="Times New Roman"/>
          <w:color w:val="auto"/>
          <w:sz w:val="30"/>
          <w:szCs w:val="30"/>
          <w:highlight w:val="none"/>
        </w:rPr>
        <w:fldChar w:fldCharType="separate"/>
      </w:r>
      <w:r>
        <w:rPr>
          <w:rFonts w:ascii="Times New Roman" w:hAnsi="Times New Roman"/>
          <w:color w:val="auto"/>
          <w:sz w:val="30"/>
          <w:szCs w:val="30"/>
          <w:highlight w:val="none"/>
        </w:rPr>
        <w:t>101</w:t>
      </w:r>
      <w:r>
        <w:rPr>
          <w:rFonts w:ascii="Times New Roman" w:hAnsi="Times New Roman"/>
          <w:color w:val="auto"/>
          <w:sz w:val="30"/>
          <w:szCs w:val="30"/>
          <w:highlight w:val="none"/>
        </w:rPr>
        <w:fldChar w:fldCharType="end"/>
      </w:r>
      <w:r>
        <w:rPr>
          <w:rStyle w:val="42"/>
          <w:rFonts w:ascii="Times New Roman" w:hAnsi="Times New Roman"/>
          <w:color w:val="auto"/>
          <w:sz w:val="30"/>
          <w:szCs w:val="30"/>
          <w:highlight w:val="none"/>
        </w:rPr>
        <w:fldChar w:fldCharType="end"/>
      </w:r>
    </w:p>
    <w:p w14:paraId="3060360B">
      <w:pPr>
        <w:pStyle w:val="27"/>
        <w:tabs>
          <w:tab w:val="right" w:leader="dot" w:pos="8493"/>
        </w:tabs>
        <w:spacing w:line="360" w:lineRule="auto"/>
        <w:rPr>
          <w:rFonts w:ascii="Times New Roman" w:hAnsi="Times New Roman"/>
          <w:color w:val="auto"/>
          <w:sz w:val="30"/>
          <w:szCs w:val="30"/>
          <w:highlight w:val="none"/>
        </w:rPr>
      </w:pPr>
      <w:r>
        <w:rPr>
          <w:rStyle w:val="42"/>
          <w:rFonts w:ascii="Times New Roman" w:hAnsi="Times New Roman"/>
          <w:color w:val="auto"/>
          <w:sz w:val="30"/>
          <w:szCs w:val="30"/>
          <w:highlight w:val="none"/>
        </w:rPr>
        <w:fldChar w:fldCharType="begin"/>
      </w:r>
      <w:r>
        <w:rPr>
          <w:rStyle w:val="42"/>
          <w:rFonts w:ascii="Times New Roman" w:hAnsi="Times New Roman"/>
          <w:color w:val="auto"/>
          <w:sz w:val="30"/>
          <w:szCs w:val="30"/>
          <w:highlight w:val="none"/>
        </w:rPr>
        <w:instrText xml:space="preserve"> </w:instrText>
      </w:r>
      <w:r>
        <w:rPr>
          <w:rFonts w:ascii="Times New Roman" w:hAnsi="Times New Roman"/>
          <w:color w:val="auto"/>
          <w:sz w:val="30"/>
          <w:szCs w:val="30"/>
          <w:highlight w:val="none"/>
        </w:rPr>
        <w:instrText xml:space="preserve">HYPERLINK \l "_Toc137737909"</w:instrText>
      </w:r>
      <w:r>
        <w:rPr>
          <w:rStyle w:val="42"/>
          <w:rFonts w:ascii="Times New Roman" w:hAnsi="Times New Roman"/>
          <w:color w:val="auto"/>
          <w:sz w:val="30"/>
          <w:szCs w:val="30"/>
          <w:highlight w:val="none"/>
        </w:rPr>
        <w:instrText xml:space="preserve"> </w:instrText>
      </w:r>
      <w:r>
        <w:rPr>
          <w:rStyle w:val="42"/>
          <w:rFonts w:ascii="Times New Roman" w:hAnsi="Times New Roman"/>
          <w:color w:val="auto"/>
          <w:sz w:val="30"/>
          <w:szCs w:val="30"/>
          <w:highlight w:val="none"/>
        </w:rPr>
        <w:fldChar w:fldCharType="separate"/>
      </w:r>
      <w:r>
        <w:rPr>
          <w:rStyle w:val="42"/>
          <w:rFonts w:ascii="Times New Roman" w:hAnsi="Times New Roman" w:eastAsia="方正小标宋_GBK"/>
          <w:snapToGrid w:val="0"/>
          <w:color w:val="auto"/>
          <w:sz w:val="30"/>
          <w:szCs w:val="30"/>
          <w:highlight w:val="none"/>
        </w:rPr>
        <w:t>建设项目污染物排放量汇总表</w:t>
      </w:r>
      <w:r>
        <w:rPr>
          <w:rFonts w:ascii="Times New Roman" w:hAnsi="Times New Roman"/>
          <w:color w:val="auto"/>
          <w:sz w:val="30"/>
          <w:szCs w:val="30"/>
          <w:highlight w:val="none"/>
        </w:rPr>
        <w:tab/>
      </w:r>
      <w:r>
        <w:rPr>
          <w:rFonts w:ascii="Times New Roman" w:hAnsi="Times New Roman"/>
          <w:color w:val="auto"/>
          <w:sz w:val="30"/>
          <w:szCs w:val="30"/>
          <w:highlight w:val="none"/>
        </w:rPr>
        <w:fldChar w:fldCharType="begin"/>
      </w:r>
      <w:r>
        <w:rPr>
          <w:rFonts w:ascii="Times New Roman" w:hAnsi="Times New Roman"/>
          <w:color w:val="auto"/>
          <w:sz w:val="30"/>
          <w:szCs w:val="30"/>
          <w:highlight w:val="none"/>
        </w:rPr>
        <w:instrText xml:space="preserve"> PAGEREF _Toc137737909 \h </w:instrText>
      </w:r>
      <w:r>
        <w:rPr>
          <w:rFonts w:ascii="Times New Roman" w:hAnsi="Times New Roman"/>
          <w:color w:val="auto"/>
          <w:sz w:val="30"/>
          <w:szCs w:val="30"/>
          <w:highlight w:val="none"/>
        </w:rPr>
        <w:fldChar w:fldCharType="separate"/>
      </w:r>
      <w:r>
        <w:rPr>
          <w:rFonts w:ascii="Times New Roman" w:hAnsi="Times New Roman"/>
          <w:color w:val="auto"/>
          <w:sz w:val="30"/>
          <w:szCs w:val="30"/>
          <w:highlight w:val="none"/>
        </w:rPr>
        <w:t>102</w:t>
      </w:r>
      <w:r>
        <w:rPr>
          <w:rFonts w:ascii="Times New Roman" w:hAnsi="Times New Roman"/>
          <w:color w:val="auto"/>
          <w:sz w:val="30"/>
          <w:szCs w:val="30"/>
          <w:highlight w:val="none"/>
        </w:rPr>
        <w:fldChar w:fldCharType="end"/>
      </w:r>
      <w:r>
        <w:rPr>
          <w:rStyle w:val="42"/>
          <w:rFonts w:ascii="Times New Roman" w:hAnsi="Times New Roman"/>
          <w:color w:val="auto"/>
          <w:sz w:val="30"/>
          <w:szCs w:val="30"/>
          <w:highlight w:val="none"/>
        </w:rPr>
        <w:fldChar w:fldCharType="end"/>
      </w:r>
    </w:p>
    <w:p w14:paraId="12B1ED8E">
      <w:pPr>
        <w:rPr>
          <w:rFonts w:ascii="Times New Roman" w:hAnsi="Times New Roman"/>
          <w:color w:val="auto"/>
          <w:highlight w:val="none"/>
        </w:rPr>
      </w:pPr>
      <w:r>
        <w:rPr>
          <w:rFonts w:ascii="Times New Roman" w:hAnsi="Times New Roman"/>
          <w:b/>
          <w:bCs/>
          <w:color w:val="auto"/>
          <w:highlight w:val="none"/>
          <w:lang w:val="zh-CN"/>
        </w:rPr>
        <w:fldChar w:fldCharType="end"/>
      </w:r>
    </w:p>
    <w:p w14:paraId="49946292">
      <w:pPr>
        <w:rPr>
          <w:rFonts w:ascii="Times New Roman" w:hAnsi="Times New Roman"/>
          <w:color w:val="auto"/>
          <w:highlight w:val="none"/>
        </w:rPr>
      </w:pPr>
    </w:p>
    <w:p w14:paraId="5FB12E5A">
      <w:pPr>
        <w:pStyle w:val="3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附件：</w:t>
      </w:r>
    </w:p>
    <w:p w14:paraId="17EC98F4">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rPr>
        <w:t>附件1 委托书</w:t>
      </w:r>
      <w:r>
        <w:rPr>
          <w:rFonts w:hint="eastAsia"/>
          <w:color w:val="auto"/>
          <w:sz w:val="21"/>
          <w:szCs w:val="21"/>
          <w:highlight w:val="none"/>
          <w:lang w:eastAsia="zh-CN"/>
        </w:rPr>
        <w:t>；</w:t>
      </w:r>
    </w:p>
    <w:p w14:paraId="584ABD86">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附件2 项目投资备案证；</w:t>
      </w:r>
    </w:p>
    <w:p w14:paraId="611F3776">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附件3 项目入园通知；</w:t>
      </w:r>
    </w:p>
    <w:p w14:paraId="32F24369">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附件4 《云南红塔产业园区总体规划修编（2021</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2035年）环境影响报告书》审查意见；</w:t>
      </w:r>
    </w:p>
    <w:p w14:paraId="589C8322">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附件5 项目所属环境管控单元图示；</w:t>
      </w:r>
    </w:p>
    <w:p w14:paraId="04D81181">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附件6 项目</w:t>
      </w:r>
      <w:r>
        <w:rPr>
          <w:rFonts w:hint="eastAsia" w:ascii="Times New Roman" w:hAnsi="Times New Roman"/>
          <w:color w:val="auto"/>
          <w:sz w:val="21"/>
          <w:szCs w:val="21"/>
          <w:highlight w:val="none"/>
          <w:lang w:eastAsia="zh-CN"/>
        </w:rPr>
        <w:t>“三区三线”</w:t>
      </w:r>
      <w:r>
        <w:rPr>
          <w:rFonts w:hint="eastAsia" w:ascii="Times New Roman" w:hAnsi="Times New Roman"/>
          <w:color w:val="auto"/>
          <w:sz w:val="21"/>
          <w:szCs w:val="21"/>
          <w:highlight w:val="none"/>
        </w:rPr>
        <w:t>查询；</w:t>
      </w:r>
    </w:p>
    <w:p w14:paraId="459D00E6">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附件7 项目企业营业执照；</w:t>
      </w:r>
    </w:p>
    <w:p w14:paraId="31AEAA8E">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color w:val="auto"/>
          <w:sz w:val="21"/>
          <w:szCs w:val="21"/>
          <w:highlight w:val="none"/>
          <w:lang w:eastAsia="zh-CN"/>
        </w:rPr>
      </w:pPr>
      <w:r>
        <w:rPr>
          <w:rFonts w:hint="eastAsia" w:ascii="Times New Roman" w:hAnsi="Times New Roman"/>
          <w:color w:val="auto"/>
          <w:sz w:val="21"/>
          <w:szCs w:val="21"/>
          <w:highlight w:val="none"/>
        </w:rPr>
        <w:t>附件8 项目入园协议</w:t>
      </w:r>
      <w:r>
        <w:rPr>
          <w:rFonts w:hint="eastAsia"/>
          <w:color w:val="auto"/>
          <w:sz w:val="21"/>
          <w:szCs w:val="21"/>
          <w:highlight w:val="none"/>
          <w:lang w:eastAsia="zh-CN"/>
        </w:rPr>
        <w:t>；</w:t>
      </w:r>
    </w:p>
    <w:p w14:paraId="054CFBD7">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color w:val="auto"/>
          <w:sz w:val="21"/>
          <w:szCs w:val="21"/>
          <w:highlight w:val="none"/>
          <w:lang w:eastAsia="zh-CN"/>
        </w:rPr>
      </w:pPr>
      <w:r>
        <w:rPr>
          <w:rFonts w:hint="eastAsia"/>
          <w:color w:val="auto"/>
          <w:sz w:val="21"/>
          <w:szCs w:val="21"/>
          <w:highlight w:val="none"/>
          <w:lang w:eastAsia="zh-CN"/>
        </w:rPr>
        <w:t>附件9 原料矿石购买意向合同；</w:t>
      </w:r>
    </w:p>
    <w:p w14:paraId="10DAEC60">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color w:val="auto"/>
          <w:sz w:val="21"/>
          <w:szCs w:val="21"/>
          <w:highlight w:val="none"/>
          <w:lang w:eastAsia="zh-CN"/>
        </w:rPr>
      </w:pPr>
      <w:r>
        <w:rPr>
          <w:rFonts w:hint="eastAsia"/>
          <w:color w:val="auto"/>
          <w:sz w:val="21"/>
          <w:szCs w:val="21"/>
          <w:highlight w:val="none"/>
          <w:lang w:eastAsia="zh-CN"/>
        </w:rPr>
        <w:t>附件10 项目环评合同；</w:t>
      </w:r>
    </w:p>
    <w:p w14:paraId="2AE5DD71">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color w:val="auto"/>
          <w:sz w:val="21"/>
          <w:szCs w:val="21"/>
          <w:highlight w:val="none"/>
          <w:lang w:eastAsia="zh-CN"/>
        </w:rPr>
      </w:pPr>
      <w:r>
        <w:rPr>
          <w:rFonts w:hint="eastAsia"/>
          <w:color w:val="auto"/>
          <w:sz w:val="21"/>
          <w:szCs w:val="21"/>
          <w:highlight w:val="none"/>
          <w:lang w:eastAsia="zh-CN"/>
        </w:rPr>
        <w:t>附件11 项目工作进度表和三级审核单；</w:t>
      </w:r>
    </w:p>
    <w:p w14:paraId="1B85E4D8">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color w:val="auto"/>
          <w:sz w:val="21"/>
          <w:szCs w:val="21"/>
          <w:highlight w:val="none"/>
          <w:lang w:eastAsia="zh-CN"/>
        </w:rPr>
      </w:pPr>
      <w:r>
        <w:rPr>
          <w:rFonts w:hint="eastAsia"/>
          <w:color w:val="auto"/>
          <w:sz w:val="21"/>
          <w:szCs w:val="21"/>
          <w:highlight w:val="none"/>
          <w:lang w:eastAsia="zh-CN"/>
        </w:rPr>
        <w:t>附件12 专家评审意见及专家签到表；</w:t>
      </w:r>
    </w:p>
    <w:p w14:paraId="77588433">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eastAsia="zh-CN"/>
        </w:rPr>
        <w:t>附件13 修改清单</w:t>
      </w:r>
      <w:r>
        <w:rPr>
          <w:rFonts w:hint="eastAsia" w:ascii="Times New Roman" w:hAnsi="Times New Roman" w:eastAsia="宋体" w:cs="Times New Roman"/>
          <w:color w:val="auto"/>
          <w:sz w:val="21"/>
          <w:szCs w:val="21"/>
          <w:highlight w:val="none"/>
          <w:lang w:val="en-US" w:eastAsia="zh-CN"/>
        </w:rPr>
        <w:t>。</w:t>
      </w:r>
    </w:p>
    <w:p w14:paraId="1EBD3675">
      <w:pPr>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附图：</w:t>
      </w:r>
    </w:p>
    <w:p w14:paraId="32EDC1B3">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附图1 项目地理位置图；</w:t>
      </w:r>
    </w:p>
    <w:p w14:paraId="7A311F08">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附图2 项目周边关系图；</w:t>
      </w:r>
    </w:p>
    <w:p w14:paraId="678FCE61">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附图3 项目平面布置图；</w:t>
      </w:r>
    </w:p>
    <w:p w14:paraId="6FA87C6B">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附图4 项目区域水系图；</w:t>
      </w:r>
    </w:p>
    <w:p w14:paraId="1FEA7685">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rPr>
        <w:t>附图5 项目与工业园区</w:t>
      </w:r>
      <w:r>
        <w:rPr>
          <w:rFonts w:hint="eastAsia" w:ascii="Times New Roman" w:hAnsi="Times New Roman"/>
          <w:color w:val="auto"/>
          <w:sz w:val="21"/>
          <w:szCs w:val="21"/>
          <w:highlight w:val="none"/>
          <w:lang w:val="en-US" w:eastAsia="zh-CN"/>
        </w:rPr>
        <w:t>产业布局规划图</w:t>
      </w:r>
      <w:r>
        <w:rPr>
          <w:rFonts w:hint="eastAsia" w:ascii="Times New Roman" w:hAnsi="Times New Roman"/>
          <w:color w:val="auto"/>
          <w:sz w:val="21"/>
          <w:szCs w:val="21"/>
          <w:highlight w:val="none"/>
          <w:lang w:eastAsia="zh-CN"/>
        </w:rPr>
        <w:t>。</w:t>
      </w:r>
    </w:p>
    <w:p w14:paraId="31BF29D0">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color w:val="auto"/>
          <w:sz w:val="21"/>
          <w:szCs w:val="21"/>
          <w:highlight w:val="none"/>
        </w:rPr>
        <w:sectPr>
          <w:footerReference r:id="rId3" w:type="default"/>
          <w:pgSz w:w="11905" w:h="16838"/>
          <w:pgMar w:top="1440" w:right="1701" w:bottom="1440" w:left="1701" w:header="851" w:footer="1077" w:gutter="0"/>
          <w:pgNumType w:fmt="lowerLetter"/>
          <w:cols w:space="720" w:num="1"/>
          <w:docGrid w:type="lines" w:linePitch="317" w:charSpace="0"/>
        </w:sectPr>
      </w:pPr>
    </w:p>
    <w:p w14:paraId="3FBFD9FD">
      <w:pPr>
        <w:pStyle w:val="30"/>
        <w:adjustRightInd w:val="0"/>
        <w:snapToGrid w:val="0"/>
        <w:spacing w:before="0" w:beforeAutospacing="0" w:after="0" w:afterAutospacing="0" w:line="360" w:lineRule="auto"/>
        <w:jc w:val="center"/>
        <w:outlineLvl w:val="0"/>
        <w:rPr>
          <w:rFonts w:hint="eastAsia" w:ascii="Times New Roman" w:hAnsi="Times New Roman" w:eastAsia="黑体"/>
          <w:b/>
          <w:bCs/>
          <w:snapToGrid w:val="0"/>
          <w:color w:val="auto"/>
          <w:sz w:val="30"/>
          <w:szCs w:val="30"/>
          <w:highlight w:val="none"/>
        </w:rPr>
      </w:pPr>
      <w:bookmarkStart w:id="0" w:name="_Toc137737889"/>
      <w:r>
        <w:rPr>
          <w:rFonts w:hint="eastAsia" w:ascii="Times New Roman" w:hAnsi="Times New Roman" w:eastAsia="黑体"/>
          <w:b/>
          <w:bCs/>
          <w:snapToGrid w:val="0"/>
          <w:color w:val="auto"/>
          <w:sz w:val="30"/>
          <w:szCs w:val="30"/>
          <w:highlight w:val="none"/>
        </w:rPr>
        <w:t>一、建设项目基本情况</w:t>
      </w:r>
      <w:bookmarkEnd w:id="0"/>
    </w:p>
    <w:tbl>
      <w:tblPr>
        <w:tblStyle w:val="35"/>
        <w:tblW w:w="89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49"/>
        <w:gridCol w:w="2409"/>
        <w:gridCol w:w="1639"/>
        <w:gridCol w:w="3094"/>
      </w:tblGrid>
      <w:tr w14:paraId="26C50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noWrap w:val="0"/>
            <w:tcMar>
              <w:top w:w="16" w:type="dxa"/>
              <w:left w:w="16" w:type="dxa"/>
              <w:right w:w="16" w:type="dxa"/>
            </w:tcMar>
            <w:vAlign w:val="center"/>
          </w:tcPr>
          <w:p w14:paraId="2EE93AEC">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建设项目名称</w:t>
            </w:r>
          </w:p>
        </w:tc>
        <w:tc>
          <w:tcPr>
            <w:tcW w:w="7142" w:type="dxa"/>
            <w:gridSpan w:val="3"/>
            <w:noWrap w:val="0"/>
            <w:vAlign w:val="center"/>
          </w:tcPr>
          <w:p w14:paraId="592A8248">
            <w:pPr>
              <w:adjustRightInd w:val="0"/>
              <w:snapToGrid w:val="0"/>
              <w:jc w:val="center"/>
              <w:rPr>
                <w:rFonts w:hint="eastAsia" w:ascii="Times New Roman" w:hAnsi="Times New Roman" w:eastAsia="宋体"/>
                <w:color w:val="auto"/>
                <w:sz w:val="24"/>
                <w:highlight w:val="none"/>
                <w:lang w:eastAsia="zh-CN"/>
              </w:rPr>
            </w:pPr>
            <w:r>
              <w:rPr>
                <w:rFonts w:hint="eastAsia" w:ascii="Times New Roman" w:hAnsi="Times New Roman"/>
                <w:color w:val="auto"/>
                <w:sz w:val="24"/>
                <w:highlight w:val="none"/>
                <w:lang w:eastAsia="zh-CN"/>
              </w:rPr>
              <w:t>矿石智能化集散贸易加工中心建设项目</w:t>
            </w:r>
          </w:p>
        </w:tc>
      </w:tr>
      <w:tr w14:paraId="00CC1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noWrap w:val="0"/>
            <w:tcMar>
              <w:top w:w="16" w:type="dxa"/>
              <w:left w:w="16" w:type="dxa"/>
              <w:right w:w="16" w:type="dxa"/>
            </w:tcMar>
            <w:vAlign w:val="center"/>
          </w:tcPr>
          <w:p w14:paraId="3C572CCD">
            <w:pPr>
              <w:adjustRightInd w:val="0"/>
              <w:snapToGrid w:val="0"/>
              <w:jc w:val="center"/>
              <w:rPr>
                <w:rFonts w:ascii="Times New Roman" w:hAnsi="Times New Roman"/>
                <w:color w:val="auto"/>
                <w:sz w:val="24"/>
                <w:highlight w:val="none"/>
              </w:rPr>
            </w:pPr>
            <w:bookmarkStart w:id="25" w:name="_GoBack"/>
            <w:bookmarkEnd w:id="25"/>
            <w:r>
              <w:rPr>
                <w:rFonts w:ascii="Times New Roman" w:hAnsi="Times New Roman"/>
                <w:color w:val="auto"/>
                <w:sz w:val="24"/>
                <w:highlight w:val="none"/>
              </w:rPr>
              <w:t>项目代码</w:t>
            </w:r>
          </w:p>
        </w:tc>
        <w:tc>
          <w:tcPr>
            <w:tcW w:w="7142" w:type="dxa"/>
            <w:gridSpan w:val="3"/>
            <w:noWrap w:val="0"/>
            <w:vAlign w:val="center"/>
          </w:tcPr>
          <w:p w14:paraId="0E40F35B">
            <w:pPr>
              <w:adjustRightInd w:val="0"/>
              <w:snapToGrid w:val="0"/>
              <w:jc w:val="center"/>
              <w:rPr>
                <w:rFonts w:ascii="Times New Roman" w:hAnsi="Times New Roman"/>
                <w:color w:val="auto"/>
                <w:sz w:val="24"/>
                <w:highlight w:val="none"/>
              </w:rPr>
            </w:pPr>
            <w:r>
              <w:rPr>
                <w:rFonts w:hint="eastAsia" w:ascii="Times New Roman" w:hAnsi="Times New Roman"/>
                <w:color w:val="auto"/>
                <w:sz w:val="24"/>
                <w:highlight w:val="none"/>
              </w:rPr>
              <w:t>2509-530402-04-01-419818</w:t>
            </w:r>
          </w:p>
        </w:tc>
      </w:tr>
      <w:tr w14:paraId="016F9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849" w:type="dxa"/>
            <w:noWrap w:val="0"/>
            <w:tcMar>
              <w:top w:w="16" w:type="dxa"/>
              <w:left w:w="16" w:type="dxa"/>
              <w:right w:w="16" w:type="dxa"/>
            </w:tcMar>
            <w:vAlign w:val="center"/>
          </w:tcPr>
          <w:p w14:paraId="76FE94CC">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建设单位联系人</w:t>
            </w:r>
          </w:p>
        </w:tc>
        <w:tc>
          <w:tcPr>
            <w:tcW w:w="2409" w:type="dxa"/>
            <w:noWrap w:val="0"/>
            <w:vAlign w:val="center"/>
          </w:tcPr>
          <w:p w14:paraId="0D0FE2EC">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韩军</w:t>
            </w:r>
          </w:p>
        </w:tc>
        <w:tc>
          <w:tcPr>
            <w:tcW w:w="1639" w:type="dxa"/>
            <w:noWrap w:val="0"/>
            <w:vAlign w:val="center"/>
          </w:tcPr>
          <w:p w14:paraId="5C5E4649">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联系方式</w:t>
            </w:r>
          </w:p>
        </w:tc>
        <w:tc>
          <w:tcPr>
            <w:tcW w:w="3094" w:type="dxa"/>
            <w:noWrap w:val="0"/>
            <w:vAlign w:val="center"/>
          </w:tcPr>
          <w:p w14:paraId="36AE519A">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13649622456</w:t>
            </w:r>
          </w:p>
        </w:tc>
      </w:tr>
      <w:tr w14:paraId="1BBB6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noWrap w:val="0"/>
            <w:tcMar>
              <w:top w:w="16" w:type="dxa"/>
              <w:left w:w="16" w:type="dxa"/>
              <w:right w:w="16" w:type="dxa"/>
            </w:tcMar>
            <w:vAlign w:val="center"/>
          </w:tcPr>
          <w:p w14:paraId="6EB97C44">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建设地点</w:t>
            </w:r>
          </w:p>
        </w:tc>
        <w:tc>
          <w:tcPr>
            <w:tcW w:w="7142" w:type="dxa"/>
            <w:gridSpan w:val="3"/>
            <w:noWrap w:val="0"/>
            <w:vAlign w:val="center"/>
          </w:tcPr>
          <w:p w14:paraId="5448075B">
            <w:pPr>
              <w:adjustRightInd w:val="0"/>
              <w:snapToGrid w:val="0"/>
              <w:jc w:val="center"/>
              <w:rPr>
                <w:rFonts w:hint="eastAsia" w:ascii="Times New Roman" w:hAnsi="Times New Roman" w:eastAsia="宋体"/>
                <w:color w:val="auto"/>
                <w:sz w:val="24"/>
                <w:highlight w:val="none"/>
                <w:lang w:eastAsia="zh-CN"/>
              </w:rPr>
            </w:pPr>
            <w:r>
              <w:rPr>
                <w:rFonts w:ascii="Times New Roman" w:hAnsi="Times New Roman" w:eastAsia="宋体"/>
                <w:color w:val="auto"/>
                <w:sz w:val="24"/>
                <w:highlight w:val="none"/>
                <w:u w:val="single"/>
              </w:rPr>
              <w:t>云南</w:t>
            </w:r>
            <w:r>
              <w:rPr>
                <w:rFonts w:ascii="Times New Roman" w:hAnsi="Times New Roman" w:eastAsia="宋体"/>
                <w:color w:val="auto"/>
                <w:sz w:val="24"/>
                <w:highlight w:val="none"/>
              </w:rPr>
              <w:t>省</w:t>
            </w:r>
            <w:r>
              <w:rPr>
                <w:rFonts w:hint="eastAsia" w:ascii="Times New Roman" w:hAnsi="Times New Roman" w:eastAsia="宋体"/>
                <w:color w:val="auto"/>
                <w:sz w:val="24"/>
                <w:highlight w:val="none"/>
                <w:u w:val="single"/>
                <w:lang w:val="en-US" w:eastAsia="zh-CN"/>
              </w:rPr>
              <w:t>玉溪</w:t>
            </w:r>
            <w:r>
              <w:rPr>
                <w:rFonts w:hint="eastAsia" w:ascii="Times New Roman" w:hAnsi="Times New Roman" w:eastAsia="宋体"/>
                <w:color w:val="auto"/>
                <w:sz w:val="24"/>
                <w:highlight w:val="none"/>
                <w:lang w:val="en-US" w:eastAsia="zh-CN"/>
              </w:rPr>
              <w:t>市</w:t>
            </w:r>
            <w:r>
              <w:rPr>
                <w:rFonts w:hint="eastAsia" w:ascii="Times New Roman" w:hAnsi="Times New Roman"/>
                <w:color w:val="auto"/>
                <w:sz w:val="24"/>
                <w:szCs w:val="24"/>
                <w:highlight w:val="none"/>
                <w:u w:val="single"/>
                <w:lang w:eastAsia="zh-CN"/>
              </w:rPr>
              <w:t>云南红塔产业园区研和片区大坡头原武警教导队地块</w:t>
            </w:r>
          </w:p>
        </w:tc>
      </w:tr>
      <w:tr w14:paraId="5A7E5E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noWrap w:val="0"/>
            <w:tcMar>
              <w:top w:w="16" w:type="dxa"/>
              <w:left w:w="16" w:type="dxa"/>
              <w:right w:w="16" w:type="dxa"/>
            </w:tcMar>
            <w:vAlign w:val="center"/>
          </w:tcPr>
          <w:p w14:paraId="3F719B29">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地理坐标</w:t>
            </w:r>
          </w:p>
        </w:tc>
        <w:tc>
          <w:tcPr>
            <w:tcW w:w="7142" w:type="dxa"/>
            <w:gridSpan w:val="3"/>
            <w:noWrap w:val="0"/>
            <w:vAlign w:val="center"/>
          </w:tcPr>
          <w:p w14:paraId="66A23C4F">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w:t>
            </w:r>
            <w:r>
              <w:rPr>
                <w:rFonts w:ascii="Times New Roman" w:hAnsi="Times New Roman"/>
                <w:color w:val="auto"/>
                <w:sz w:val="24"/>
                <w:highlight w:val="none"/>
                <w:u w:val="single"/>
              </w:rPr>
              <w:t>10</w:t>
            </w:r>
            <w:r>
              <w:rPr>
                <w:rFonts w:hint="eastAsia" w:ascii="Times New Roman" w:hAnsi="Times New Roman"/>
                <w:color w:val="auto"/>
                <w:sz w:val="24"/>
                <w:highlight w:val="none"/>
                <w:u w:val="single"/>
                <w:lang w:val="en-US" w:eastAsia="zh-CN"/>
              </w:rPr>
              <w:t>2</w:t>
            </w:r>
            <w:r>
              <w:rPr>
                <w:rFonts w:ascii="Times New Roman" w:hAnsi="Times New Roman"/>
                <w:color w:val="auto"/>
                <w:sz w:val="24"/>
                <w:highlight w:val="none"/>
              </w:rPr>
              <w:t>度</w:t>
            </w:r>
            <w:r>
              <w:rPr>
                <w:rFonts w:hint="eastAsia" w:ascii="Times New Roman" w:hAnsi="Times New Roman"/>
                <w:color w:val="auto"/>
                <w:sz w:val="24"/>
                <w:highlight w:val="none"/>
                <w:u w:val="single"/>
                <w:lang w:val="en-US" w:eastAsia="zh-CN"/>
              </w:rPr>
              <w:t>31</w:t>
            </w:r>
            <w:r>
              <w:rPr>
                <w:rFonts w:ascii="Times New Roman" w:hAnsi="Times New Roman"/>
                <w:color w:val="auto"/>
                <w:sz w:val="24"/>
                <w:highlight w:val="none"/>
              </w:rPr>
              <w:t>分</w:t>
            </w:r>
            <w:r>
              <w:rPr>
                <w:rFonts w:hint="eastAsia" w:ascii="Times New Roman" w:hAnsi="Times New Roman"/>
                <w:color w:val="auto"/>
                <w:sz w:val="24"/>
                <w:highlight w:val="none"/>
                <w:u w:val="single"/>
                <w:lang w:val="en-US" w:eastAsia="zh-CN"/>
              </w:rPr>
              <w:t>32.291</w:t>
            </w:r>
            <w:r>
              <w:rPr>
                <w:rFonts w:ascii="Times New Roman" w:hAnsi="Times New Roman"/>
                <w:color w:val="auto"/>
                <w:sz w:val="24"/>
                <w:highlight w:val="none"/>
              </w:rPr>
              <w:t>秒，</w:t>
            </w:r>
            <w:r>
              <w:rPr>
                <w:rFonts w:hint="eastAsia" w:ascii="Times New Roman" w:hAnsi="Times New Roman"/>
                <w:color w:val="auto"/>
                <w:sz w:val="24"/>
                <w:highlight w:val="none"/>
                <w:u w:val="single"/>
                <w:lang w:val="en-US" w:eastAsia="zh-CN"/>
              </w:rPr>
              <w:t>24</w:t>
            </w:r>
            <w:r>
              <w:rPr>
                <w:rFonts w:ascii="Times New Roman" w:hAnsi="Times New Roman"/>
                <w:color w:val="auto"/>
                <w:sz w:val="24"/>
                <w:highlight w:val="none"/>
              </w:rPr>
              <w:t>度</w:t>
            </w:r>
            <w:r>
              <w:rPr>
                <w:rFonts w:hint="eastAsia" w:ascii="Times New Roman" w:hAnsi="Times New Roman"/>
                <w:color w:val="auto"/>
                <w:sz w:val="24"/>
                <w:highlight w:val="none"/>
                <w:u w:val="single"/>
                <w:lang w:val="en-US" w:eastAsia="zh-CN"/>
              </w:rPr>
              <w:t>14</w:t>
            </w:r>
            <w:r>
              <w:rPr>
                <w:rFonts w:ascii="Times New Roman" w:hAnsi="Times New Roman"/>
                <w:color w:val="auto"/>
                <w:sz w:val="24"/>
                <w:highlight w:val="none"/>
              </w:rPr>
              <w:t>分</w:t>
            </w:r>
            <w:r>
              <w:rPr>
                <w:rFonts w:hint="eastAsia" w:ascii="Times New Roman" w:hAnsi="Times New Roman"/>
                <w:color w:val="auto"/>
                <w:sz w:val="24"/>
                <w:highlight w:val="none"/>
                <w:u w:val="single"/>
                <w:lang w:val="en-US" w:eastAsia="zh-CN"/>
              </w:rPr>
              <w:t>10.724</w:t>
            </w:r>
            <w:r>
              <w:rPr>
                <w:rFonts w:ascii="Times New Roman" w:hAnsi="Times New Roman"/>
                <w:color w:val="auto"/>
                <w:sz w:val="24"/>
                <w:highlight w:val="none"/>
              </w:rPr>
              <w:t>秒）</w:t>
            </w:r>
          </w:p>
        </w:tc>
      </w:tr>
      <w:tr w14:paraId="525BA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49" w:type="dxa"/>
            <w:noWrap w:val="0"/>
            <w:tcMar>
              <w:top w:w="16" w:type="dxa"/>
              <w:left w:w="16" w:type="dxa"/>
              <w:right w:w="16" w:type="dxa"/>
            </w:tcMar>
            <w:vAlign w:val="center"/>
          </w:tcPr>
          <w:p w14:paraId="57BE7CAE">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国民经济行业类别</w:t>
            </w:r>
          </w:p>
        </w:tc>
        <w:tc>
          <w:tcPr>
            <w:tcW w:w="2409" w:type="dxa"/>
            <w:noWrap w:val="0"/>
            <w:vAlign w:val="center"/>
          </w:tcPr>
          <w:p w14:paraId="52414341">
            <w:pPr>
              <w:adjustRightInd w:val="0"/>
              <w:snapToGrid w:val="0"/>
              <w:ind w:firstLine="120" w:firstLineChars="5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lang w:val="en-US" w:eastAsia="zh-CN"/>
              </w:rPr>
              <w:t>0810铁矿采选</w:t>
            </w:r>
          </w:p>
        </w:tc>
        <w:tc>
          <w:tcPr>
            <w:tcW w:w="1639" w:type="dxa"/>
            <w:noWrap w:val="0"/>
            <w:vAlign w:val="center"/>
          </w:tcPr>
          <w:p w14:paraId="2D8B7DC6">
            <w:pPr>
              <w:adjustRightInd w:val="0"/>
              <w:snapToGrid w:val="0"/>
              <w:jc w:val="center"/>
              <w:rPr>
                <w:rFonts w:ascii="Times New Roman" w:hAnsi="Times New Roman"/>
                <w:color w:val="auto"/>
                <w:sz w:val="24"/>
                <w:highlight w:val="none"/>
              </w:rPr>
            </w:pPr>
            <w:bookmarkStart w:id="1" w:name="_Hlk49843745"/>
            <w:r>
              <w:rPr>
                <w:rFonts w:ascii="Times New Roman" w:hAnsi="Times New Roman"/>
                <w:color w:val="auto"/>
                <w:sz w:val="24"/>
                <w:highlight w:val="none"/>
              </w:rPr>
              <w:t>建设项目行业类别</w:t>
            </w:r>
            <w:bookmarkEnd w:id="1"/>
          </w:p>
        </w:tc>
        <w:tc>
          <w:tcPr>
            <w:tcW w:w="3094" w:type="dxa"/>
            <w:noWrap w:val="0"/>
            <w:vAlign w:val="center"/>
          </w:tcPr>
          <w:p w14:paraId="56665B55">
            <w:pPr>
              <w:adjustRightInd w:val="0"/>
              <w:snapToGrid w:val="0"/>
              <w:ind w:firstLine="120" w:firstLineChars="50"/>
              <w:jc w:val="left"/>
              <w:rPr>
                <w:rFonts w:hint="eastAsia" w:ascii="Times New Roman" w:hAnsi="Times New Roman"/>
                <w:color w:val="auto"/>
                <w:sz w:val="24"/>
                <w:highlight w:val="none"/>
              </w:rPr>
            </w:pPr>
            <w:r>
              <w:rPr>
                <w:rFonts w:hint="eastAsia" w:ascii="Times New Roman" w:hAnsi="Times New Roman" w:cs="Times New Roman"/>
                <w:b w:val="0"/>
                <w:bCs w:val="0"/>
                <w:color w:val="auto"/>
                <w:sz w:val="24"/>
                <w:szCs w:val="24"/>
                <w:highlight w:val="none"/>
                <w:lang w:eastAsia="zh-CN"/>
              </w:rPr>
              <w:t>六、</w:t>
            </w:r>
            <w:r>
              <w:rPr>
                <w:rFonts w:hint="default" w:ascii="Times New Roman" w:hAnsi="Times New Roman" w:eastAsia="宋体" w:cs="Times New Roman"/>
                <w:b w:val="0"/>
                <w:bCs w:val="0"/>
                <w:color w:val="auto"/>
                <w:sz w:val="24"/>
                <w:szCs w:val="24"/>
                <w:highlight w:val="none"/>
                <w:lang w:eastAsia="zh-CN"/>
              </w:rPr>
              <w:t>黑色金属矿采选业</w:t>
            </w:r>
            <w:r>
              <w:rPr>
                <w:rFonts w:hint="default" w:ascii="Times New Roman" w:hAnsi="Times New Roman" w:eastAsia="宋体" w:cs="Times New Roman"/>
                <w:b w:val="0"/>
                <w:bCs w:val="0"/>
                <w:color w:val="auto"/>
                <w:sz w:val="24"/>
                <w:szCs w:val="24"/>
                <w:highlight w:val="none"/>
                <w:lang w:val="en-US" w:eastAsia="zh-CN"/>
              </w:rPr>
              <w:t>9，单独的矿石破碎、集运</w:t>
            </w:r>
          </w:p>
        </w:tc>
      </w:tr>
      <w:tr w14:paraId="67D41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49" w:type="dxa"/>
            <w:noWrap w:val="0"/>
            <w:tcMar>
              <w:top w:w="16" w:type="dxa"/>
              <w:left w:w="16" w:type="dxa"/>
              <w:right w:w="16" w:type="dxa"/>
            </w:tcMar>
            <w:vAlign w:val="center"/>
          </w:tcPr>
          <w:p w14:paraId="03F4D9E4">
            <w:pPr>
              <w:autoSpaceDE w:val="0"/>
              <w:autoSpaceDN w:val="0"/>
              <w:adjustRightInd w:val="0"/>
              <w:snapToGrid w:val="0"/>
              <w:jc w:val="center"/>
              <w:rPr>
                <w:rFonts w:ascii="Times New Roman" w:hAnsi="Times New Roman"/>
                <w:color w:val="auto"/>
                <w:kern w:val="0"/>
                <w:sz w:val="24"/>
                <w:highlight w:val="none"/>
              </w:rPr>
            </w:pPr>
            <w:r>
              <w:rPr>
                <w:rFonts w:ascii="Times New Roman" w:hAnsi="Times New Roman"/>
                <w:color w:val="auto"/>
                <w:kern w:val="0"/>
                <w:sz w:val="24"/>
                <w:highlight w:val="none"/>
              </w:rPr>
              <w:t>建设性质</w:t>
            </w:r>
          </w:p>
        </w:tc>
        <w:tc>
          <w:tcPr>
            <w:tcW w:w="2409" w:type="dxa"/>
            <w:noWrap w:val="0"/>
            <w:vAlign w:val="center"/>
          </w:tcPr>
          <w:p w14:paraId="71C226E0">
            <w:pPr>
              <w:autoSpaceDE w:val="0"/>
              <w:autoSpaceDN w:val="0"/>
              <w:adjustRightInd w:val="0"/>
              <w:snapToGrid w:val="0"/>
              <w:ind w:firstLine="120" w:firstLineChars="50"/>
              <w:jc w:val="left"/>
              <w:rPr>
                <w:rFonts w:ascii="Times New Roman" w:hAnsi="Times New Roman"/>
                <w:color w:val="auto"/>
                <w:kern w:val="0"/>
                <w:sz w:val="24"/>
                <w:highlight w:val="none"/>
              </w:rPr>
            </w:pPr>
            <w:r>
              <w:rPr>
                <w:rFonts w:ascii="Times New Roman" w:hAnsi="Times New Roman"/>
                <w:color w:val="auto"/>
                <w:kern w:val="0"/>
                <w:sz w:val="24"/>
                <w:highlight w:val="none"/>
              </w:rPr>
              <w:sym w:font="Wingdings 2" w:char="0052"/>
            </w:r>
            <w:r>
              <w:rPr>
                <w:rFonts w:ascii="Times New Roman" w:hAnsi="Times New Roman"/>
                <w:color w:val="auto"/>
                <w:kern w:val="0"/>
                <w:sz w:val="24"/>
                <w:highlight w:val="none"/>
              </w:rPr>
              <w:t>新建（迁建）</w:t>
            </w:r>
          </w:p>
          <w:p w14:paraId="0F2229A9">
            <w:pPr>
              <w:autoSpaceDE w:val="0"/>
              <w:autoSpaceDN w:val="0"/>
              <w:adjustRightInd w:val="0"/>
              <w:snapToGrid w:val="0"/>
              <w:ind w:firstLine="120" w:firstLineChars="50"/>
              <w:jc w:val="left"/>
              <w:rPr>
                <w:rFonts w:ascii="Times New Roman" w:hAnsi="Times New Roman"/>
                <w:color w:val="auto"/>
                <w:kern w:val="0"/>
                <w:sz w:val="24"/>
                <w:highlight w:val="none"/>
              </w:rPr>
            </w:pPr>
            <w:r>
              <w:rPr>
                <w:rFonts w:ascii="Times New Roman" w:hAnsi="Times New Roman"/>
                <w:color w:val="auto"/>
                <w:kern w:val="0"/>
                <w:sz w:val="24"/>
                <w:highlight w:val="none"/>
              </w:rPr>
              <w:sym w:font="Wingdings 2" w:char="00A3"/>
            </w:r>
            <w:r>
              <w:rPr>
                <w:rFonts w:ascii="Times New Roman" w:hAnsi="Times New Roman"/>
                <w:color w:val="auto"/>
                <w:kern w:val="0"/>
                <w:sz w:val="24"/>
                <w:highlight w:val="none"/>
              </w:rPr>
              <w:t>改建</w:t>
            </w:r>
          </w:p>
          <w:p w14:paraId="7BD1FEB4">
            <w:pPr>
              <w:autoSpaceDE w:val="0"/>
              <w:autoSpaceDN w:val="0"/>
              <w:adjustRightInd w:val="0"/>
              <w:snapToGrid w:val="0"/>
              <w:ind w:firstLine="120" w:firstLineChars="50"/>
              <w:jc w:val="left"/>
              <w:rPr>
                <w:rFonts w:ascii="Times New Roman" w:hAnsi="Times New Roman"/>
                <w:color w:val="auto"/>
                <w:kern w:val="0"/>
                <w:sz w:val="24"/>
                <w:highlight w:val="none"/>
              </w:rPr>
            </w:pPr>
            <w:r>
              <w:rPr>
                <w:rFonts w:ascii="Times New Roman" w:hAnsi="Times New Roman"/>
                <w:color w:val="auto"/>
                <w:kern w:val="0"/>
                <w:sz w:val="24"/>
                <w:highlight w:val="none"/>
              </w:rPr>
              <w:sym w:font="Wingdings 2" w:char="00A3"/>
            </w:r>
            <w:r>
              <w:rPr>
                <w:rFonts w:ascii="Times New Roman" w:hAnsi="Times New Roman"/>
                <w:color w:val="auto"/>
                <w:kern w:val="0"/>
                <w:sz w:val="24"/>
                <w:highlight w:val="none"/>
              </w:rPr>
              <w:t>扩建</w:t>
            </w:r>
          </w:p>
          <w:p w14:paraId="022E9E27">
            <w:pPr>
              <w:autoSpaceDE w:val="0"/>
              <w:autoSpaceDN w:val="0"/>
              <w:adjustRightInd w:val="0"/>
              <w:snapToGrid w:val="0"/>
              <w:ind w:firstLine="120" w:firstLineChars="50"/>
              <w:jc w:val="left"/>
              <w:rPr>
                <w:rFonts w:ascii="Times New Roman" w:hAnsi="Times New Roman"/>
                <w:color w:val="auto"/>
                <w:kern w:val="0"/>
                <w:sz w:val="24"/>
                <w:highlight w:val="none"/>
              </w:rPr>
            </w:pPr>
            <w:r>
              <w:rPr>
                <w:rFonts w:ascii="Times New Roman" w:hAnsi="Times New Roman"/>
                <w:color w:val="auto"/>
                <w:kern w:val="0"/>
                <w:sz w:val="24"/>
                <w:highlight w:val="none"/>
              </w:rPr>
              <w:sym w:font="Wingdings 2" w:char="00A3"/>
            </w:r>
            <w:r>
              <w:rPr>
                <w:rFonts w:ascii="Times New Roman" w:hAnsi="Times New Roman"/>
                <w:color w:val="auto"/>
                <w:kern w:val="0"/>
                <w:sz w:val="24"/>
                <w:highlight w:val="none"/>
              </w:rPr>
              <w:t>技术改造</w:t>
            </w:r>
          </w:p>
        </w:tc>
        <w:tc>
          <w:tcPr>
            <w:tcW w:w="1639" w:type="dxa"/>
            <w:noWrap w:val="0"/>
            <w:vAlign w:val="center"/>
          </w:tcPr>
          <w:p w14:paraId="4E0315BE">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建设项目</w:t>
            </w:r>
          </w:p>
          <w:p w14:paraId="582AA5E9">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申报情形</w:t>
            </w:r>
          </w:p>
        </w:tc>
        <w:tc>
          <w:tcPr>
            <w:tcW w:w="3094" w:type="dxa"/>
            <w:noWrap w:val="0"/>
            <w:vAlign w:val="center"/>
          </w:tcPr>
          <w:p w14:paraId="7C8B07CC">
            <w:pPr>
              <w:adjustRightInd w:val="0"/>
              <w:snapToGrid w:val="0"/>
              <w:ind w:firstLine="120" w:firstLineChars="50"/>
              <w:jc w:val="left"/>
              <w:rPr>
                <w:rFonts w:ascii="Times New Roman" w:hAnsi="Times New Roman"/>
                <w:color w:val="auto"/>
                <w:sz w:val="24"/>
                <w:highlight w:val="none"/>
              </w:rPr>
            </w:pPr>
            <w:r>
              <w:rPr>
                <w:rFonts w:ascii="Times New Roman" w:hAnsi="Times New Roman"/>
                <w:color w:val="auto"/>
                <w:sz w:val="24"/>
                <w:highlight w:val="none"/>
              </w:rPr>
              <w:sym w:font="Wingdings 2" w:char="0052"/>
            </w:r>
            <w:r>
              <w:rPr>
                <w:rFonts w:ascii="Times New Roman" w:hAnsi="Times New Roman"/>
                <w:color w:val="auto"/>
                <w:sz w:val="24"/>
                <w:highlight w:val="none"/>
              </w:rPr>
              <w:t xml:space="preserve">首次申报项目             </w:t>
            </w:r>
          </w:p>
          <w:p w14:paraId="374D4FCD">
            <w:pPr>
              <w:adjustRightInd w:val="0"/>
              <w:snapToGrid w:val="0"/>
              <w:ind w:firstLine="120" w:firstLineChars="50"/>
              <w:jc w:val="left"/>
              <w:rPr>
                <w:rFonts w:ascii="Times New Roman" w:hAnsi="Times New Roman"/>
                <w:color w:val="auto"/>
                <w:sz w:val="24"/>
                <w:highlight w:val="none"/>
              </w:rPr>
            </w:pPr>
            <w:r>
              <w:rPr>
                <w:rFonts w:ascii="Times New Roman" w:hAnsi="Times New Roman"/>
                <w:color w:val="auto"/>
                <w:sz w:val="24"/>
                <w:highlight w:val="none"/>
              </w:rPr>
              <w:sym w:font="Wingdings 2" w:char="00A3"/>
            </w:r>
            <w:r>
              <w:rPr>
                <w:rFonts w:ascii="Times New Roman" w:hAnsi="Times New Roman"/>
                <w:color w:val="auto"/>
                <w:sz w:val="24"/>
                <w:highlight w:val="none"/>
              </w:rPr>
              <w:t>不予批准后再次申报项目</w:t>
            </w:r>
          </w:p>
          <w:p w14:paraId="24CC342E">
            <w:pPr>
              <w:adjustRightInd w:val="0"/>
              <w:snapToGrid w:val="0"/>
              <w:ind w:firstLine="120" w:firstLineChars="50"/>
              <w:jc w:val="left"/>
              <w:rPr>
                <w:rFonts w:ascii="Times New Roman" w:hAnsi="Times New Roman"/>
                <w:color w:val="auto"/>
                <w:sz w:val="24"/>
                <w:highlight w:val="none"/>
              </w:rPr>
            </w:pPr>
            <w:r>
              <w:rPr>
                <w:rFonts w:ascii="Times New Roman" w:hAnsi="Times New Roman"/>
                <w:color w:val="auto"/>
                <w:sz w:val="24"/>
                <w:highlight w:val="none"/>
              </w:rPr>
              <w:sym w:font="Wingdings 2" w:char="00A3"/>
            </w:r>
            <w:r>
              <w:rPr>
                <w:rFonts w:ascii="Times New Roman" w:hAnsi="Times New Roman"/>
                <w:color w:val="auto"/>
                <w:sz w:val="24"/>
                <w:highlight w:val="none"/>
              </w:rPr>
              <w:t xml:space="preserve">超五年重新审核项目     </w:t>
            </w:r>
          </w:p>
          <w:p w14:paraId="13A46842">
            <w:pPr>
              <w:adjustRightInd w:val="0"/>
              <w:snapToGrid w:val="0"/>
              <w:ind w:firstLine="120" w:firstLineChars="50"/>
              <w:jc w:val="left"/>
              <w:rPr>
                <w:rFonts w:ascii="Times New Roman" w:hAnsi="Times New Roman"/>
                <w:color w:val="auto"/>
                <w:sz w:val="24"/>
                <w:highlight w:val="none"/>
              </w:rPr>
            </w:pPr>
            <w:r>
              <w:rPr>
                <w:rFonts w:ascii="Times New Roman" w:hAnsi="Times New Roman"/>
                <w:color w:val="auto"/>
                <w:sz w:val="24"/>
                <w:highlight w:val="none"/>
              </w:rPr>
              <w:sym w:font="Wingdings 2" w:char="00A3"/>
            </w:r>
            <w:r>
              <w:rPr>
                <w:rFonts w:ascii="Times New Roman" w:hAnsi="Times New Roman"/>
                <w:color w:val="auto"/>
                <w:sz w:val="24"/>
                <w:highlight w:val="none"/>
              </w:rPr>
              <w:t>重大变动重新报批项目</w:t>
            </w:r>
          </w:p>
        </w:tc>
      </w:tr>
      <w:tr w14:paraId="02F42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49" w:type="dxa"/>
            <w:noWrap w:val="0"/>
            <w:tcMar>
              <w:top w:w="16" w:type="dxa"/>
              <w:left w:w="16" w:type="dxa"/>
              <w:right w:w="16" w:type="dxa"/>
            </w:tcMar>
            <w:vAlign w:val="center"/>
          </w:tcPr>
          <w:p w14:paraId="571CB98B">
            <w:pPr>
              <w:adjustRightInd w:val="0"/>
              <w:snapToGrid w:val="0"/>
              <w:ind w:firstLine="120" w:firstLineChars="50"/>
              <w:jc w:val="center"/>
              <w:rPr>
                <w:rFonts w:ascii="Times New Roman" w:hAnsi="Times New Roman"/>
                <w:color w:val="auto"/>
                <w:sz w:val="24"/>
                <w:highlight w:val="none"/>
              </w:rPr>
            </w:pPr>
            <w:r>
              <w:rPr>
                <w:rFonts w:ascii="Times New Roman" w:hAnsi="Times New Roman"/>
                <w:color w:val="auto"/>
                <w:sz w:val="24"/>
                <w:highlight w:val="none"/>
              </w:rPr>
              <w:t>项目审批（核准/备案）部门（选填）</w:t>
            </w:r>
          </w:p>
        </w:tc>
        <w:tc>
          <w:tcPr>
            <w:tcW w:w="2409" w:type="dxa"/>
            <w:noWrap w:val="0"/>
            <w:vAlign w:val="center"/>
          </w:tcPr>
          <w:p w14:paraId="5F0AC8EF">
            <w:pPr>
              <w:adjustRightInd w:val="0"/>
              <w:snapToGrid w:val="0"/>
              <w:ind w:firstLine="120" w:firstLineChars="50"/>
              <w:jc w:val="center"/>
              <w:rPr>
                <w:rFonts w:ascii="Times New Roman" w:hAnsi="Times New Roman"/>
                <w:color w:val="auto"/>
                <w:sz w:val="24"/>
                <w:highlight w:val="none"/>
              </w:rPr>
            </w:pPr>
            <w:r>
              <w:rPr>
                <w:rFonts w:hint="eastAsia" w:ascii="Times New Roman" w:hAnsi="Times New Roman" w:cs="Times New Roman"/>
                <w:color w:val="auto"/>
                <w:sz w:val="24"/>
                <w:highlight w:val="none"/>
                <w:lang w:val="en-US" w:eastAsia="zh-CN"/>
              </w:rPr>
              <w:t>玉溪市红塔区</w:t>
            </w:r>
            <w:r>
              <w:rPr>
                <w:rFonts w:hint="default" w:ascii="Times New Roman" w:hAnsi="Times New Roman" w:eastAsia="宋体" w:cs="Times New Roman"/>
                <w:color w:val="auto"/>
                <w:sz w:val="24"/>
                <w:highlight w:val="none"/>
              </w:rPr>
              <w:t>发展和改革局</w:t>
            </w:r>
          </w:p>
        </w:tc>
        <w:tc>
          <w:tcPr>
            <w:tcW w:w="1639" w:type="dxa"/>
            <w:noWrap w:val="0"/>
            <w:vAlign w:val="center"/>
          </w:tcPr>
          <w:p w14:paraId="0D72E84B">
            <w:pPr>
              <w:adjustRightInd w:val="0"/>
              <w:snapToGrid w:val="0"/>
              <w:ind w:firstLine="120" w:firstLineChars="50"/>
              <w:jc w:val="center"/>
              <w:rPr>
                <w:rFonts w:ascii="Times New Roman" w:hAnsi="Times New Roman"/>
                <w:color w:val="auto"/>
                <w:sz w:val="24"/>
                <w:highlight w:val="none"/>
              </w:rPr>
            </w:pPr>
            <w:r>
              <w:rPr>
                <w:rFonts w:ascii="Times New Roman" w:hAnsi="Times New Roman"/>
                <w:color w:val="auto"/>
                <w:sz w:val="24"/>
                <w:highlight w:val="none"/>
              </w:rPr>
              <w:t>项目审批（核准/备案）文号（选填）</w:t>
            </w:r>
          </w:p>
        </w:tc>
        <w:tc>
          <w:tcPr>
            <w:tcW w:w="3094" w:type="dxa"/>
            <w:noWrap w:val="0"/>
            <w:vAlign w:val="center"/>
          </w:tcPr>
          <w:p w14:paraId="27E4521E">
            <w:pPr>
              <w:adjustRightInd w:val="0"/>
              <w:snapToGrid w:val="0"/>
              <w:ind w:firstLine="120" w:firstLineChars="50"/>
              <w:jc w:val="center"/>
              <w:rPr>
                <w:rFonts w:ascii="Times New Roman" w:hAnsi="Times New Roman"/>
                <w:color w:val="auto"/>
                <w:sz w:val="24"/>
                <w:highlight w:val="none"/>
              </w:rPr>
            </w:pPr>
          </w:p>
        </w:tc>
      </w:tr>
      <w:tr w14:paraId="4A5CC7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1849" w:type="dxa"/>
            <w:noWrap w:val="0"/>
            <w:tcMar>
              <w:top w:w="16" w:type="dxa"/>
              <w:left w:w="16" w:type="dxa"/>
              <w:right w:w="16" w:type="dxa"/>
            </w:tcMar>
            <w:vAlign w:val="center"/>
          </w:tcPr>
          <w:p w14:paraId="6286C9D6">
            <w:pPr>
              <w:adjustRightInd w:val="0"/>
              <w:snapToGrid w:val="0"/>
              <w:ind w:firstLine="120" w:firstLineChars="50"/>
              <w:jc w:val="center"/>
              <w:rPr>
                <w:rFonts w:ascii="Times New Roman" w:hAnsi="Times New Roman"/>
                <w:color w:val="auto"/>
                <w:sz w:val="24"/>
                <w:highlight w:val="none"/>
              </w:rPr>
            </w:pPr>
            <w:r>
              <w:rPr>
                <w:rFonts w:ascii="Times New Roman" w:hAnsi="Times New Roman"/>
                <w:color w:val="auto"/>
                <w:sz w:val="24"/>
                <w:highlight w:val="none"/>
              </w:rPr>
              <w:t>总投资（万元）</w:t>
            </w:r>
          </w:p>
        </w:tc>
        <w:tc>
          <w:tcPr>
            <w:tcW w:w="2409" w:type="dxa"/>
            <w:noWrap w:val="0"/>
            <w:vAlign w:val="center"/>
          </w:tcPr>
          <w:p w14:paraId="1235E55D">
            <w:pPr>
              <w:adjustRightInd w:val="0"/>
              <w:snapToGrid w:val="0"/>
              <w:ind w:firstLine="120" w:firstLineChars="5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12000</w:t>
            </w:r>
          </w:p>
        </w:tc>
        <w:tc>
          <w:tcPr>
            <w:tcW w:w="1639" w:type="dxa"/>
            <w:noWrap w:val="0"/>
            <w:tcMar>
              <w:top w:w="16" w:type="dxa"/>
              <w:left w:w="16" w:type="dxa"/>
              <w:right w:w="16" w:type="dxa"/>
            </w:tcMar>
            <w:vAlign w:val="center"/>
          </w:tcPr>
          <w:p w14:paraId="3915E7EF">
            <w:pPr>
              <w:adjustRightInd w:val="0"/>
              <w:snapToGrid w:val="0"/>
              <w:ind w:firstLine="120" w:firstLineChars="50"/>
              <w:jc w:val="center"/>
              <w:rPr>
                <w:rFonts w:ascii="Times New Roman" w:hAnsi="Times New Roman"/>
                <w:color w:val="auto"/>
                <w:sz w:val="24"/>
                <w:highlight w:val="none"/>
              </w:rPr>
            </w:pPr>
            <w:r>
              <w:rPr>
                <w:rFonts w:ascii="Times New Roman" w:hAnsi="Times New Roman"/>
                <w:color w:val="auto"/>
                <w:sz w:val="24"/>
                <w:highlight w:val="none"/>
              </w:rPr>
              <w:t>环保投资（万元）</w:t>
            </w:r>
          </w:p>
        </w:tc>
        <w:tc>
          <w:tcPr>
            <w:tcW w:w="3094" w:type="dxa"/>
            <w:noWrap w:val="0"/>
            <w:vAlign w:val="center"/>
          </w:tcPr>
          <w:p w14:paraId="17083D35">
            <w:pPr>
              <w:adjustRightInd w:val="0"/>
              <w:snapToGrid w:val="0"/>
              <w:jc w:val="center"/>
              <w:rPr>
                <w:rFonts w:hint="default" w:ascii="Times New Roman" w:hAnsi="Times New Roman" w:eastAsia="宋体"/>
                <w:color w:val="auto"/>
                <w:sz w:val="24"/>
                <w:highlight w:val="none"/>
                <w:lang w:val="en-US" w:eastAsia="zh-CN"/>
              </w:rPr>
            </w:pPr>
            <w:r>
              <w:rPr>
                <w:rFonts w:hint="eastAsia"/>
                <w:color w:val="auto"/>
                <w:sz w:val="24"/>
                <w:highlight w:val="none"/>
                <w:lang w:val="en-US" w:eastAsia="zh-CN"/>
              </w:rPr>
              <w:t>253.8</w:t>
            </w:r>
          </w:p>
        </w:tc>
      </w:tr>
      <w:tr w14:paraId="66D1F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noWrap w:val="0"/>
            <w:tcMar>
              <w:top w:w="16" w:type="dxa"/>
              <w:left w:w="16" w:type="dxa"/>
              <w:right w:w="16" w:type="dxa"/>
            </w:tcMar>
            <w:vAlign w:val="center"/>
          </w:tcPr>
          <w:p w14:paraId="6144AD27">
            <w:pPr>
              <w:adjustRightInd w:val="0"/>
              <w:snapToGrid w:val="0"/>
              <w:ind w:firstLine="120" w:firstLineChars="50"/>
              <w:jc w:val="center"/>
              <w:rPr>
                <w:rFonts w:ascii="Times New Roman" w:hAnsi="Times New Roman"/>
                <w:color w:val="auto"/>
                <w:sz w:val="24"/>
                <w:highlight w:val="none"/>
              </w:rPr>
            </w:pPr>
            <w:r>
              <w:rPr>
                <w:rFonts w:ascii="Times New Roman" w:hAnsi="Times New Roman"/>
                <w:color w:val="auto"/>
                <w:sz w:val="24"/>
                <w:highlight w:val="none"/>
              </w:rPr>
              <w:t>环保投资占比（%）</w:t>
            </w:r>
          </w:p>
        </w:tc>
        <w:tc>
          <w:tcPr>
            <w:tcW w:w="2409" w:type="dxa"/>
            <w:noWrap w:val="0"/>
            <w:vAlign w:val="center"/>
          </w:tcPr>
          <w:p w14:paraId="1A7B8DAD">
            <w:pPr>
              <w:adjustRightInd w:val="0"/>
              <w:snapToGrid w:val="0"/>
              <w:ind w:firstLine="120" w:firstLineChars="5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2.</w:t>
            </w:r>
            <w:r>
              <w:rPr>
                <w:rFonts w:hint="eastAsia"/>
                <w:color w:val="auto"/>
                <w:sz w:val="24"/>
                <w:highlight w:val="none"/>
                <w:lang w:val="en-US" w:eastAsia="zh-CN"/>
              </w:rPr>
              <w:t>12</w:t>
            </w:r>
          </w:p>
        </w:tc>
        <w:tc>
          <w:tcPr>
            <w:tcW w:w="1639" w:type="dxa"/>
            <w:noWrap w:val="0"/>
            <w:tcMar>
              <w:top w:w="16" w:type="dxa"/>
              <w:left w:w="16" w:type="dxa"/>
              <w:right w:w="16" w:type="dxa"/>
            </w:tcMar>
            <w:vAlign w:val="center"/>
          </w:tcPr>
          <w:p w14:paraId="580D4D9D">
            <w:pPr>
              <w:adjustRightInd w:val="0"/>
              <w:snapToGrid w:val="0"/>
              <w:ind w:firstLine="120" w:firstLineChars="50"/>
              <w:jc w:val="center"/>
              <w:rPr>
                <w:rFonts w:ascii="Times New Roman" w:hAnsi="Times New Roman"/>
                <w:color w:val="auto"/>
                <w:sz w:val="24"/>
                <w:highlight w:val="none"/>
              </w:rPr>
            </w:pPr>
            <w:r>
              <w:rPr>
                <w:rFonts w:ascii="Times New Roman" w:hAnsi="Times New Roman"/>
                <w:color w:val="auto"/>
                <w:sz w:val="24"/>
                <w:highlight w:val="none"/>
              </w:rPr>
              <w:t>施工工期</w:t>
            </w:r>
          </w:p>
        </w:tc>
        <w:tc>
          <w:tcPr>
            <w:tcW w:w="3094" w:type="dxa"/>
            <w:noWrap w:val="0"/>
            <w:vAlign w:val="center"/>
          </w:tcPr>
          <w:p w14:paraId="43FB9841">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12</w:t>
            </w:r>
          </w:p>
        </w:tc>
      </w:tr>
      <w:tr w14:paraId="63B67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noWrap w:val="0"/>
            <w:tcMar>
              <w:top w:w="16" w:type="dxa"/>
              <w:left w:w="16" w:type="dxa"/>
              <w:right w:w="16" w:type="dxa"/>
            </w:tcMar>
            <w:vAlign w:val="center"/>
          </w:tcPr>
          <w:p w14:paraId="148F520F">
            <w:pPr>
              <w:adjustRightInd w:val="0"/>
              <w:snapToGrid w:val="0"/>
              <w:ind w:firstLine="120" w:firstLineChars="50"/>
              <w:jc w:val="center"/>
              <w:rPr>
                <w:rFonts w:ascii="Times New Roman" w:hAnsi="Times New Roman"/>
                <w:color w:val="auto"/>
                <w:sz w:val="24"/>
                <w:highlight w:val="none"/>
              </w:rPr>
            </w:pPr>
            <w:r>
              <w:rPr>
                <w:rFonts w:ascii="Times New Roman" w:hAnsi="Times New Roman"/>
                <w:color w:val="auto"/>
                <w:sz w:val="24"/>
                <w:highlight w:val="none"/>
              </w:rPr>
              <w:t>是否开工建设</w:t>
            </w:r>
          </w:p>
        </w:tc>
        <w:tc>
          <w:tcPr>
            <w:tcW w:w="2409" w:type="dxa"/>
            <w:noWrap w:val="0"/>
            <w:vAlign w:val="center"/>
          </w:tcPr>
          <w:p w14:paraId="1403F314">
            <w:pPr>
              <w:adjustRightInd w:val="0"/>
              <w:snapToGrid w:val="0"/>
              <w:ind w:firstLine="120" w:firstLineChars="50"/>
              <w:rPr>
                <w:rFonts w:ascii="Times New Roman" w:hAnsi="Times New Roman"/>
                <w:color w:val="auto"/>
                <w:sz w:val="24"/>
                <w:highlight w:val="none"/>
              </w:rPr>
            </w:pPr>
            <w:r>
              <w:rPr>
                <w:rFonts w:ascii="Times New Roman" w:hAnsi="Times New Roman"/>
                <w:color w:val="auto"/>
                <w:sz w:val="24"/>
                <w:highlight w:val="none"/>
              </w:rPr>
              <w:sym w:font="Wingdings 2" w:char="0052"/>
            </w:r>
            <w:r>
              <w:rPr>
                <w:rFonts w:ascii="Times New Roman" w:hAnsi="Times New Roman"/>
                <w:color w:val="auto"/>
                <w:sz w:val="24"/>
                <w:highlight w:val="none"/>
              </w:rPr>
              <w:t>否</w:t>
            </w:r>
          </w:p>
          <w:p w14:paraId="00AE2CD1">
            <w:pPr>
              <w:adjustRightInd w:val="0"/>
              <w:snapToGrid w:val="0"/>
              <w:ind w:firstLine="120" w:firstLineChars="50"/>
              <w:rPr>
                <w:rFonts w:ascii="Times New Roman" w:hAnsi="Times New Roman"/>
                <w:color w:val="auto"/>
                <w:sz w:val="24"/>
                <w:highlight w:val="none"/>
              </w:rPr>
            </w:pPr>
            <w:r>
              <w:rPr>
                <w:rFonts w:ascii="Times New Roman" w:hAnsi="Times New Roman"/>
                <w:color w:val="auto"/>
                <w:sz w:val="24"/>
                <w:highlight w:val="none"/>
              </w:rPr>
              <w:sym w:font="Wingdings 2" w:char="00A3"/>
            </w:r>
            <w:r>
              <w:rPr>
                <w:rFonts w:ascii="Times New Roman" w:hAnsi="Times New Roman"/>
                <w:color w:val="auto"/>
                <w:sz w:val="24"/>
                <w:highlight w:val="none"/>
              </w:rPr>
              <w:t xml:space="preserve"> 是：</w:t>
            </w:r>
          </w:p>
        </w:tc>
        <w:tc>
          <w:tcPr>
            <w:tcW w:w="1639" w:type="dxa"/>
            <w:noWrap w:val="0"/>
            <w:tcMar>
              <w:top w:w="16" w:type="dxa"/>
              <w:left w:w="16" w:type="dxa"/>
              <w:right w:w="16" w:type="dxa"/>
            </w:tcMar>
            <w:vAlign w:val="center"/>
          </w:tcPr>
          <w:p w14:paraId="3C566D1C">
            <w:pPr>
              <w:adjustRightInd w:val="0"/>
              <w:snapToGrid w:val="0"/>
              <w:ind w:firstLine="114" w:firstLineChars="50"/>
              <w:jc w:val="center"/>
              <w:rPr>
                <w:rFonts w:ascii="Times New Roman" w:hAnsi="Times New Roman"/>
                <w:color w:val="auto"/>
                <w:spacing w:val="-6"/>
                <w:sz w:val="24"/>
                <w:highlight w:val="none"/>
              </w:rPr>
            </w:pPr>
            <w:r>
              <w:rPr>
                <w:rFonts w:ascii="Times New Roman" w:hAnsi="Times New Roman"/>
                <w:color w:val="auto"/>
                <w:spacing w:val="-6"/>
                <w:sz w:val="24"/>
                <w:highlight w:val="none"/>
              </w:rPr>
              <w:t>用地（用海）</w:t>
            </w:r>
          </w:p>
          <w:p w14:paraId="200557DF">
            <w:pPr>
              <w:adjustRightInd w:val="0"/>
              <w:snapToGrid w:val="0"/>
              <w:ind w:firstLine="114" w:firstLineChars="50"/>
              <w:jc w:val="center"/>
              <w:rPr>
                <w:rFonts w:ascii="Times New Roman" w:hAnsi="Times New Roman"/>
                <w:color w:val="auto"/>
                <w:sz w:val="24"/>
                <w:highlight w:val="none"/>
              </w:rPr>
            </w:pPr>
            <w:r>
              <w:rPr>
                <w:rFonts w:ascii="Times New Roman" w:hAnsi="Times New Roman"/>
                <w:color w:val="auto"/>
                <w:spacing w:val="-6"/>
                <w:sz w:val="24"/>
                <w:highlight w:val="none"/>
              </w:rPr>
              <w:t>面积（m</w:t>
            </w:r>
            <w:r>
              <w:rPr>
                <w:rFonts w:ascii="Times New Roman" w:hAnsi="Times New Roman"/>
                <w:color w:val="auto"/>
                <w:spacing w:val="-6"/>
                <w:sz w:val="24"/>
                <w:highlight w:val="none"/>
                <w:vertAlign w:val="superscript"/>
              </w:rPr>
              <w:t>2</w:t>
            </w:r>
            <w:r>
              <w:rPr>
                <w:rFonts w:ascii="Times New Roman" w:hAnsi="Times New Roman"/>
                <w:color w:val="auto"/>
                <w:spacing w:val="-6"/>
                <w:sz w:val="24"/>
                <w:highlight w:val="none"/>
              </w:rPr>
              <w:t>）</w:t>
            </w:r>
          </w:p>
        </w:tc>
        <w:tc>
          <w:tcPr>
            <w:tcW w:w="3094" w:type="dxa"/>
            <w:noWrap w:val="0"/>
            <w:vAlign w:val="center"/>
          </w:tcPr>
          <w:p w14:paraId="67999E90">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71280（107亩）</w:t>
            </w:r>
          </w:p>
        </w:tc>
      </w:tr>
      <w:tr w14:paraId="5EA11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49" w:type="dxa"/>
            <w:noWrap w:val="0"/>
            <w:vAlign w:val="center"/>
          </w:tcPr>
          <w:p w14:paraId="09571A12">
            <w:pPr>
              <w:autoSpaceDE w:val="0"/>
              <w:autoSpaceDN w:val="0"/>
              <w:adjustRightInd w:val="0"/>
              <w:snapToGrid w:val="0"/>
              <w:jc w:val="center"/>
              <w:rPr>
                <w:rFonts w:ascii="Times New Roman" w:hAnsi="Times New Roman"/>
                <w:color w:val="auto"/>
                <w:kern w:val="0"/>
                <w:sz w:val="24"/>
                <w:highlight w:val="none"/>
              </w:rPr>
            </w:pPr>
            <w:r>
              <w:rPr>
                <w:rFonts w:ascii="Times New Roman" w:hAnsi="Times New Roman"/>
                <w:color w:val="auto"/>
                <w:kern w:val="0"/>
                <w:sz w:val="24"/>
                <w:highlight w:val="none"/>
              </w:rPr>
              <w:t>专项评价设置情况</w:t>
            </w:r>
          </w:p>
        </w:tc>
        <w:tc>
          <w:tcPr>
            <w:tcW w:w="7142" w:type="dxa"/>
            <w:gridSpan w:val="3"/>
            <w:noWrap w:val="0"/>
            <w:vAlign w:val="center"/>
          </w:tcPr>
          <w:p w14:paraId="68C3AFC3">
            <w:pPr>
              <w:adjustRightInd w:val="0"/>
              <w:snapToGrid w:val="0"/>
              <w:spacing w:line="360" w:lineRule="auto"/>
              <w:ind w:firstLine="480" w:firstLineChars="200"/>
              <w:rPr>
                <w:rFonts w:ascii="Times New Roman" w:hAnsi="Times New Roman" w:cs="宋体"/>
                <w:color w:val="auto"/>
                <w:kern w:val="0"/>
                <w:sz w:val="24"/>
                <w:highlight w:val="none"/>
              </w:rPr>
            </w:pPr>
            <w:r>
              <w:rPr>
                <w:rFonts w:hint="eastAsia" w:ascii="Times New Roman" w:hAnsi="Times New Roman" w:cs="宋体"/>
                <w:color w:val="auto"/>
                <w:kern w:val="0"/>
                <w:sz w:val="24"/>
                <w:highlight w:val="none"/>
              </w:rPr>
              <w:t>根据《建设项目环境影响报告表编制技术指南（污染影响类）（试行）》，本项目不涉及专项评价设置原则中的内容，因此不设置专项评价，具体专项评价设置原则及判定情况详见下表。</w:t>
            </w:r>
          </w:p>
          <w:p w14:paraId="0A8134C3">
            <w:pPr>
              <w:adjustRightInd w:val="0"/>
              <w:snapToGrid w:val="0"/>
              <w:spacing w:after="158" w:afterLines="50"/>
              <w:jc w:val="center"/>
              <w:rPr>
                <w:rFonts w:hint="eastAsia" w:ascii="Times New Roman" w:hAnsi="Times New Roman" w:eastAsia="宋体" w:cs="宋体"/>
                <w:b/>
                <w:bCs/>
                <w:color w:val="auto"/>
                <w:spacing w:val="4"/>
                <w:kern w:val="0"/>
                <w:sz w:val="24"/>
                <w:highlight w:val="none"/>
              </w:rPr>
            </w:pPr>
            <w:r>
              <w:rPr>
                <w:rFonts w:hint="eastAsia" w:ascii="Times New Roman" w:hAnsi="Times New Roman" w:eastAsia="宋体" w:cs="宋体"/>
                <w:b/>
                <w:bCs/>
                <w:color w:val="auto"/>
                <w:spacing w:val="4"/>
                <w:kern w:val="0"/>
                <w:sz w:val="24"/>
                <w:highlight w:val="none"/>
              </w:rPr>
              <w:t>表1-1污染影响类专项评价设置原则与本项目判定情况对照表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546"/>
              <w:gridCol w:w="2982"/>
              <w:gridCol w:w="681"/>
            </w:tblGrid>
            <w:tr w14:paraId="1E80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shd w:val="clear" w:color="auto" w:fill="D7D7D7" w:themeFill="background1" w:themeFillShade="D8"/>
                  <w:noWrap w:val="0"/>
                  <w:vAlign w:val="center"/>
                </w:tcPr>
                <w:p w14:paraId="33F385A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类别</w:t>
                  </w:r>
                </w:p>
              </w:tc>
              <w:tc>
                <w:tcPr>
                  <w:tcW w:w="2546" w:type="dxa"/>
                  <w:shd w:val="clear" w:color="auto" w:fill="D7D7D7" w:themeFill="background1" w:themeFillShade="D8"/>
                  <w:noWrap w:val="0"/>
                  <w:vAlign w:val="center"/>
                </w:tcPr>
                <w:p w14:paraId="2DA21AB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设置原则</w:t>
                  </w:r>
                </w:p>
              </w:tc>
              <w:tc>
                <w:tcPr>
                  <w:tcW w:w="2982" w:type="dxa"/>
                  <w:shd w:val="clear" w:color="auto" w:fill="D7D7D7" w:themeFill="background1" w:themeFillShade="D8"/>
                  <w:noWrap w:val="0"/>
                  <w:vAlign w:val="center"/>
                </w:tcPr>
                <w:p w14:paraId="64FE58F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项目判定情况</w:t>
                  </w:r>
                </w:p>
              </w:tc>
              <w:tc>
                <w:tcPr>
                  <w:tcW w:w="681" w:type="dxa"/>
                  <w:shd w:val="clear" w:color="auto" w:fill="D7D7D7" w:themeFill="background1" w:themeFillShade="D8"/>
                  <w:noWrap w:val="0"/>
                  <w:vAlign w:val="center"/>
                </w:tcPr>
                <w:p w14:paraId="57AE90D2">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是否涉及</w:t>
                  </w:r>
                </w:p>
              </w:tc>
            </w:tr>
            <w:tr w14:paraId="5348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4E041917">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大气</w:t>
                  </w:r>
                </w:p>
              </w:tc>
              <w:tc>
                <w:tcPr>
                  <w:tcW w:w="2546" w:type="dxa"/>
                  <w:noWrap w:val="0"/>
                  <w:vAlign w:val="center"/>
                </w:tcPr>
                <w:p w14:paraId="663B707B">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排放废气含有毒有害污染物</w:t>
                  </w:r>
                  <w:r>
                    <w:rPr>
                      <w:rFonts w:ascii="Times New Roman" w:hAnsi="Times New Roman" w:eastAsia="宋体" w:cs="宋体"/>
                      <w:snapToGrid w:val="0"/>
                      <w:color w:val="auto"/>
                      <w:kern w:val="0"/>
                      <w:szCs w:val="21"/>
                      <w:highlight w:val="none"/>
                      <w:vertAlign w:val="superscript"/>
                      <w:lang w:val="zh-CN"/>
                    </w:rPr>
                    <w:t>1</w:t>
                  </w:r>
                  <w:r>
                    <w:rPr>
                      <w:rFonts w:ascii="Times New Roman" w:hAnsi="Times New Roman" w:eastAsia="宋体" w:cs="宋体"/>
                      <w:snapToGrid w:val="0"/>
                      <w:color w:val="auto"/>
                      <w:kern w:val="0"/>
                      <w:szCs w:val="21"/>
                      <w:highlight w:val="none"/>
                      <w:lang w:val="zh-CN"/>
                    </w:rPr>
                    <w:t>、二噁英、苯并[</w:t>
                  </w:r>
                  <w:r>
                    <w:rPr>
                      <w:rFonts w:ascii="Times New Roman" w:hAnsi="Times New Roman" w:eastAsia="宋体" w:cs="宋体"/>
                      <w:snapToGrid w:val="0"/>
                      <w:color w:val="auto"/>
                      <w:kern w:val="0"/>
                      <w:szCs w:val="21"/>
                      <w:highlight w:val="none"/>
                    </w:rPr>
                    <w:t>a]</w:t>
                  </w:r>
                  <w:r>
                    <w:rPr>
                      <w:rFonts w:ascii="Times New Roman" w:hAnsi="Times New Roman" w:eastAsia="宋体" w:cs="宋体"/>
                      <w:snapToGrid w:val="0"/>
                      <w:color w:val="auto"/>
                      <w:kern w:val="0"/>
                      <w:szCs w:val="21"/>
                      <w:highlight w:val="none"/>
                      <w:lang w:val="zh-CN"/>
                    </w:rPr>
                    <w:t>芘、氰化物、氯气且厂界外500米范围内有环境空气保护目标</w:t>
                  </w:r>
                  <w:r>
                    <w:rPr>
                      <w:rFonts w:ascii="Times New Roman" w:hAnsi="Times New Roman" w:eastAsia="宋体" w:cs="宋体"/>
                      <w:snapToGrid w:val="0"/>
                      <w:color w:val="auto"/>
                      <w:kern w:val="0"/>
                      <w:szCs w:val="21"/>
                      <w:highlight w:val="none"/>
                      <w:vertAlign w:val="superscript"/>
                      <w:lang w:val="zh-CN"/>
                    </w:rPr>
                    <w:t>2</w:t>
                  </w:r>
                  <w:r>
                    <w:rPr>
                      <w:rFonts w:ascii="Times New Roman" w:hAnsi="Times New Roman" w:eastAsia="宋体" w:cs="宋体"/>
                      <w:snapToGrid w:val="0"/>
                      <w:color w:val="auto"/>
                      <w:kern w:val="0"/>
                      <w:szCs w:val="21"/>
                      <w:highlight w:val="none"/>
                      <w:lang w:val="zh-CN"/>
                    </w:rPr>
                    <w:t>的建设项目</w:t>
                  </w:r>
                </w:p>
              </w:tc>
              <w:tc>
                <w:tcPr>
                  <w:tcW w:w="2982" w:type="dxa"/>
                  <w:noWrap w:val="0"/>
                  <w:vAlign w:val="center"/>
                </w:tcPr>
                <w:p w14:paraId="3A25D048">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default" w:ascii="Times New Roman" w:hAnsi="Times New Roman" w:eastAsia="宋体" w:cs="Times New Roman"/>
                      <w:color w:val="auto"/>
                      <w:kern w:val="0"/>
                      <w:szCs w:val="21"/>
                      <w:highlight w:val="none"/>
                    </w:rPr>
                    <w:t>本项目废气排放主要为颗粒物</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不涉及排放《有毒有害大气污染物名录》中确定的有毒有害污染物及二噁英、苯并[a]芘、氰化物、氯气等污染物</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厂界外500米范围内</w:t>
                  </w:r>
                  <w:r>
                    <w:rPr>
                      <w:rFonts w:hint="eastAsia" w:ascii="Times New Roman" w:hAnsi="Times New Roman" w:eastAsia="宋体" w:cs="Times New Roman"/>
                      <w:color w:val="auto"/>
                      <w:kern w:val="0"/>
                      <w:szCs w:val="21"/>
                      <w:highlight w:val="none"/>
                      <w:lang w:val="en-US" w:eastAsia="zh-CN"/>
                    </w:rPr>
                    <w:t>不</w:t>
                  </w:r>
                  <w:r>
                    <w:rPr>
                      <w:rFonts w:hint="default" w:ascii="Times New Roman" w:hAnsi="Times New Roman" w:eastAsia="宋体" w:cs="Times New Roman"/>
                      <w:color w:val="auto"/>
                      <w:kern w:val="0"/>
                      <w:szCs w:val="21"/>
                      <w:highlight w:val="none"/>
                      <w:lang w:val="en-US" w:eastAsia="zh-CN"/>
                    </w:rPr>
                    <w:t>存在</w:t>
                  </w:r>
                  <w:r>
                    <w:rPr>
                      <w:rFonts w:hint="default" w:ascii="Times New Roman" w:hAnsi="Times New Roman" w:eastAsia="宋体" w:cs="Times New Roman"/>
                      <w:color w:val="auto"/>
                      <w:kern w:val="0"/>
                      <w:szCs w:val="21"/>
                      <w:highlight w:val="none"/>
                    </w:rPr>
                    <w:t>环境空气保护目标</w:t>
                  </w:r>
                  <w:r>
                    <w:rPr>
                      <w:rFonts w:hint="default" w:ascii="Times New Roman" w:hAnsi="Times New Roman" w:cs="Times New Roman"/>
                      <w:color w:val="auto"/>
                      <w:highlight w:val="none"/>
                    </w:rPr>
                    <w:t>。</w:t>
                  </w:r>
                </w:p>
              </w:tc>
              <w:tc>
                <w:tcPr>
                  <w:tcW w:w="681" w:type="dxa"/>
                  <w:noWrap w:val="0"/>
                  <w:vAlign w:val="center"/>
                </w:tcPr>
                <w:p w14:paraId="412882E4">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否</w:t>
                  </w:r>
                </w:p>
              </w:tc>
            </w:tr>
            <w:tr w14:paraId="0848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6A34249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地表水</w:t>
                  </w:r>
                </w:p>
              </w:tc>
              <w:tc>
                <w:tcPr>
                  <w:tcW w:w="2546" w:type="dxa"/>
                  <w:noWrap w:val="0"/>
                  <w:vAlign w:val="center"/>
                </w:tcPr>
                <w:p w14:paraId="4DBE1979">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新增工业废水直排建设项目（槽罐车外送污水处理厂的除外）；</w:t>
                  </w:r>
                </w:p>
                <w:p w14:paraId="05144C5D">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新增废水直排的污水集中处理厂</w:t>
                  </w:r>
                </w:p>
              </w:tc>
              <w:tc>
                <w:tcPr>
                  <w:tcW w:w="2982" w:type="dxa"/>
                  <w:noWrap w:val="0"/>
                  <w:vAlign w:val="center"/>
                </w:tcPr>
                <w:p w14:paraId="3DD3621B">
                  <w:pPr>
                    <w:widowControl/>
                    <w:tabs>
                      <w:tab w:val="left" w:pos="-2400"/>
                      <w:tab w:val="left" w:pos="1320"/>
                      <w:tab w:val="left" w:pos="3878"/>
                      <w:tab w:val="left" w:pos="6080"/>
                      <w:tab w:val="left" w:pos="6580"/>
                      <w:tab w:val="left" w:pos="8137"/>
                    </w:tabs>
                    <w:adjustRightInd w:val="0"/>
                    <w:snapToGrid w:val="0"/>
                    <w:textAlignment w:val="center"/>
                    <w:rPr>
                      <w:rFonts w:hint="default" w:ascii="Times New Roman" w:hAnsi="Times New Roman" w:eastAsia="宋体" w:cs="宋体"/>
                      <w:snapToGrid w:val="0"/>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rPr>
                    <w:t>本项目</w:t>
                  </w:r>
                  <w:r>
                    <w:rPr>
                      <w:rFonts w:hint="eastAsia" w:ascii="Times New Roman" w:hAnsi="Times New Roman" w:eastAsia="宋体" w:cs="Times New Roman"/>
                      <w:color w:val="auto"/>
                      <w:kern w:val="0"/>
                      <w:szCs w:val="21"/>
                      <w:highlight w:val="none"/>
                      <w:lang w:val="en-US" w:eastAsia="zh-CN"/>
                    </w:rPr>
                    <w:t>无</w:t>
                  </w:r>
                  <w:r>
                    <w:rPr>
                      <w:rFonts w:hint="default" w:ascii="Times New Roman" w:hAnsi="Times New Roman" w:eastAsia="宋体" w:cs="Times New Roman"/>
                      <w:color w:val="auto"/>
                      <w:kern w:val="0"/>
                      <w:szCs w:val="21"/>
                      <w:highlight w:val="none"/>
                      <w:lang w:val="en-US"/>
                    </w:rPr>
                    <w:t>工业废水</w:t>
                  </w:r>
                  <w:r>
                    <w:rPr>
                      <w:rFonts w:hint="eastAsia" w:cs="Times New Roman"/>
                      <w:color w:val="auto"/>
                      <w:kern w:val="0"/>
                      <w:szCs w:val="21"/>
                      <w:highlight w:val="none"/>
                      <w:lang w:val="en-US" w:eastAsia="zh-CN"/>
                    </w:rPr>
                    <w:t>外排</w:t>
                  </w:r>
                  <w:r>
                    <w:rPr>
                      <w:rFonts w:hint="eastAsia" w:ascii="Times New Roman" w:hAnsi="Times New Roman" w:eastAsia="宋体" w:cs="Times New Roman"/>
                      <w:color w:val="auto"/>
                      <w:kern w:val="0"/>
                      <w:szCs w:val="21"/>
                      <w:highlight w:val="none"/>
                      <w:lang w:val="en-US" w:eastAsia="zh-CN"/>
                    </w:rPr>
                    <w:t>。</w:t>
                  </w:r>
                </w:p>
              </w:tc>
              <w:tc>
                <w:tcPr>
                  <w:tcW w:w="681" w:type="dxa"/>
                  <w:noWrap w:val="0"/>
                  <w:vAlign w:val="center"/>
                </w:tcPr>
                <w:p w14:paraId="0AC3A67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否</w:t>
                  </w:r>
                </w:p>
              </w:tc>
            </w:tr>
            <w:tr w14:paraId="48BF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67871EB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环境风险</w:t>
                  </w:r>
                </w:p>
              </w:tc>
              <w:tc>
                <w:tcPr>
                  <w:tcW w:w="2546" w:type="dxa"/>
                  <w:noWrap w:val="0"/>
                  <w:vAlign w:val="center"/>
                </w:tcPr>
                <w:p w14:paraId="7CE3DB8D">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有毒有害和易燃易爆危险物质存储量超过临界量</w:t>
                  </w:r>
                  <w:r>
                    <w:rPr>
                      <w:rFonts w:ascii="Times New Roman" w:hAnsi="Times New Roman" w:eastAsia="宋体" w:cs="宋体"/>
                      <w:snapToGrid w:val="0"/>
                      <w:color w:val="auto"/>
                      <w:kern w:val="0"/>
                      <w:szCs w:val="21"/>
                      <w:highlight w:val="none"/>
                      <w:vertAlign w:val="superscript"/>
                      <w:lang w:val="zh-CN"/>
                    </w:rPr>
                    <w:t>3</w:t>
                  </w:r>
                  <w:r>
                    <w:rPr>
                      <w:rFonts w:ascii="Times New Roman" w:hAnsi="Times New Roman" w:eastAsia="宋体" w:cs="宋体"/>
                      <w:snapToGrid w:val="0"/>
                      <w:color w:val="auto"/>
                      <w:kern w:val="0"/>
                      <w:szCs w:val="21"/>
                      <w:highlight w:val="none"/>
                      <w:lang w:val="zh-CN"/>
                    </w:rPr>
                    <w:t>的建设项目</w:t>
                  </w:r>
                </w:p>
              </w:tc>
              <w:tc>
                <w:tcPr>
                  <w:tcW w:w="2982" w:type="dxa"/>
                  <w:noWrap w:val="0"/>
                  <w:vAlign w:val="center"/>
                </w:tcPr>
                <w:p w14:paraId="182BFBC3">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default" w:ascii="Times New Roman" w:hAnsi="Times New Roman" w:cs="Times New Roman"/>
                      <w:color w:val="auto"/>
                      <w:kern w:val="0"/>
                      <w:szCs w:val="21"/>
                      <w:highlight w:val="none"/>
                      <w:lang w:bidi="ar"/>
                    </w:rPr>
                    <w:t>本项目涉及的有毒有害和易燃易爆危险物质为</w:t>
                  </w:r>
                  <w:r>
                    <w:rPr>
                      <w:rFonts w:hint="eastAsia" w:ascii="Times New Roman" w:hAnsi="Times New Roman" w:cs="Times New Roman"/>
                      <w:color w:val="auto"/>
                      <w:kern w:val="0"/>
                      <w:szCs w:val="21"/>
                      <w:highlight w:val="none"/>
                      <w:lang w:val="en-US" w:eastAsia="zh-CN" w:bidi="ar"/>
                    </w:rPr>
                    <w:t>柴油、</w:t>
                  </w:r>
                  <w:r>
                    <w:rPr>
                      <w:rFonts w:hint="default" w:ascii="Times New Roman" w:hAnsi="Times New Roman" w:cs="Times New Roman"/>
                      <w:color w:val="auto"/>
                      <w:kern w:val="0"/>
                      <w:szCs w:val="21"/>
                      <w:highlight w:val="none"/>
                      <w:lang w:eastAsia="zh-CN" w:bidi="ar"/>
                    </w:rPr>
                    <w:t>废</w:t>
                  </w:r>
                  <w:r>
                    <w:rPr>
                      <w:rFonts w:hint="eastAsia" w:ascii="Times New Roman" w:hAnsi="Times New Roman" w:cs="Times New Roman"/>
                      <w:color w:val="auto"/>
                      <w:kern w:val="0"/>
                      <w:szCs w:val="21"/>
                      <w:highlight w:val="none"/>
                      <w:lang w:val="en-US" w:eastAsia="zh-CN" w:bidi="ar"/>
                    </w:rPr>
                    <w:t>润滑油</w:t>
                  </w:r>
                  <w:r>
                    <w:rPr>
                      <w:rFonts w:hint="default" w:ascii="Times New Roman" w:hAnsi="Times New Roman" w:cs="Times New Roman"/>
                      <w:color w:val="auto"/>
                      <w:kern w:val="0"/>
                      <w:szCs w:val="21"/>
                      <w:highlight w:val="none"/>
                      <w:lang w:eastAsia="zh-CN" w:bidi="ar"/>
                    </w:rPr>
                    <w:t>、</w:t>
                  </w:r>
                  <w:r>
                    <w:rPr>
                      <w:rFonts w:hint="eastAsia" w:ascii="Times New Roman" w:hAnsi="Times New Roman" w:cs="Times New Roman"/>
                      <w:color w:val="auto"/>
                      <w:kern w:val="0"/>
                      <w:szCs w:val="21"/>
                      <w:highlight w:val="none"/>
                      <w:lang w:val="en-US" w:eastAsia="zh-CN" w:bidi="ar"/>
                    </w:rPr>
                    <w:t>废润滑油桶</w:t>
                  </w:r>
                  <w:r>
                    <w:rPr>
                      <w:rFonts w:hint="default" w:ascii="Times New Roman" w:hAnsi="Times New Roman" w:cs="Times New Roman"/>
                      <w:color w:val="auto"/>
                      <w:kern w:val="0"/>
                      <w:szCs w:val="21"/>
                      <w:highlight w:val="none"/>
                      <w:lang w:bidi="ar"/>
                    </w:rPr>
                    <w:t>，危险物质总量与临界量比值</w:t>
                  </w:r>
                  <w:r>
                    <w:rPr>
                      <w:rFonts w:hint="eastAsia" w:ascii="Times New Roman" w:hAnsi="Times New Roman" w:cs="Times New Roman"/>
                      <w:color w:val="auto"/>
                      <w:kern w:val="0"/>
                      <w:szCs w:val="21"/>
                      <w:highlight w:val="none"/>
                      <w:lang w:val="en-US" w:eastAsia="zh-CN" w:bidi="ar"/>
                    </w:rPr>
                    <w:t>Q＜1</w:t>
                  </w:r>
                  <w:r>
                    <w:rPr>
                      <w:rFonts w:hint="default" w:ascii="Times New Roman" w:hAnsi="Times New Roman" w:cs="Times New Roman"/>
                      <w:color w:val="auto"/>
                      <w:kern w:val="0"/>
                      <w:szCs w:val="21"/>
                      <w:highlight w:val="none"/>
                      <w:lang w:bidi="ar"/>
                    </w:rPr>
                    <w:t>，未超过临界量</w:t>
                  </w:r>
                  <w:r>
                    <w:rPr>
                      <w:rFonts w:hint="eastAsia" w:ascii="Times New Roman" w:hAnsi="Times New Roman" w:eastAsia="宋体" w:cs="宋体"/>
                      <w:snapToGrid w:val="0"/>
                      <w:color w:val="auto"/>
                      <w:kern w:val="0"/>
                      <w:szCs w:val="21"/>
                      <w:highlight w:val="none"/>
                      <w:lang w:val="zh-CN"/>
                    </w:rPr>
                    <w:t>。</w:t>
                  </w:r>
                </w:p>
              </w:tc>
              <w:tc>
                <w:tcPr>
                  <w:tcW w:w="681" w:type="dxa"/>
                  <w:noWrap w:val="0"/>
                  <w:vAlign w:val="center"/>
                </w:tcPr>
                <w:p w14:paraId="529144FD">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否</w:t>
                  </w:r>
                </w:p>
              </w:tc>
            </w:tr>
            <w:tr w14:paraId="51D2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18E2971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生态</w:t>
                  </w:r>
                </w:p>
              </w:tc>
              <w:tc>
                <w:tcPr>
                  <w:tcW w:w="2546" w:type="dxa"/>
                  <w:noWrap w:val="0"/>
                  <w:vAlign w:val="center"/>
                </w:tcPr>
                <w:p w14:paraId="3EDE8411">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取水口下游</w:t>
                  </w:r>
                  <w:r>
                    <w:rPr>
                      <w:rFonts w:ascii="Times New Roman" w:hAnsi="Times New Roman" w:eastAsia="宋体" w:cs="宋体"/>
                      <w:snapToGrid w:val="0"/>
                      <w:color w:val="auto"/>
                      <w:kern w:val="0"/>
                      <w:szCs w:val="21"/>
                      <w:highlight w:val="none"/>
                      <w:lang w:val="zh-CN"/>
                    </w:rPr>
                    <w:t>500米范围内有重要水生生物的自然产卵场、索饵场、越冬场和</w:t>
                  </w:r>
                  <w:r>
                    <w:rPr>
                      <w:rFonts w:hint="eastAsia" w:ascii="Times New Roman" w:hAnsi="Times New Roman" w:eastAsia="宋体" w:cs="宋体"/>
                      <w:snapToGrid w:val="0"/>
                      <w:color w:val="auto"/>
                      <w:kern w:val="0"/>
                      <w:szCs w:val="21"/>
                      <w:highlight w:val="none"/>
                      <w:lang w:val="zh-CN"/>
                    </w:rPr>
                    <w:t>洄游通道的新增河道取水的污染类建设项目</w:t>
                  </w:r>
                </w:p>
              </w:tc>
              <w:tc>
                <w:tcPr>
                  <w:tcW w:w="2982" w:type="dxa"/>
                  <w:noWrap w:val="0"/>
                  <w:vAlign w:val="center"/>
                </w:tcPr>
                <w:p w14:paraId="76329A81">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default" w:ascii="Times New Roman" w:hAnsi="Times New Roman" w:eastAsia="宋体" w:cs="Times New Roman"/>
                      <w:color w:val="auto"/>
                      <w:kern w:val="0"/>
                      <w:sz w:val="21"/>
                      <w:szCs w:val="21"/>
                      <w:highlight w:val="none"/>
                      <w:lang w:val="en-US" w:eastAsia="zh-CN"/>
                    </w:rPr>
                    <w:t>本项目不涉及</w:t>
                  </w:r>
                  <w:r>
                    <w:rPr>
                      <w:rFonts w:hint="eastAsia" w:ascii="Times New Roman" w:hAnsi="Times New Roman" w:eastAsia="宋体" w:cs="宋体"/>
                      <w:snapToGrid w:val="0"/>
                      <w:color w:val="auto"/>
                      <w:kern w:val="0"/>
                      <w:szCs w:val="21"/>
                      <w:highlight w:val="none"/>
                      <w:lang w:val="zh-CN"/>
                    </w:rPr>
                    <w:t>。</w:t>
                  </w:r>
                </w:p>
              </w:tc>
              <w:tc>
                <w:tcPr>
                  <w:tcW w:w="681" w:type="dxa"/>
                  <w:noWrap w:val="0"/>
                  <w:vAlign w:val="center"/>
                </w:tcPr>
                <w:p w14:paraId="0373DC3F">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否</w:t>
                  </w:r>
                </w:p>
              </w:tc>
            </w:tr>
            <w:tr w14:paraId="5449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4559292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海洋</w:t>
                  </w:r>
                </w:p>
              </w:tc>
              <w:tc>
                <w:tcPr>
                  <w:tcW w:w="2546" w:type="dxa"/>
                  <w:noWrap w:val="0"/>
                  <w:vAlign w:val="center"/>
                </w:tcPr>
                <w:p w14:paraId="17BA4567">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直接向海排放污染物的海洋工程建设项目</w:t>
                  </w:r>
                </w:p>
              </w:tc>
              <w:tc>
                <w:tcPr>
                  <w:tcW w:w="2982" w:type="dxa"/>
                  <w:noWrap w:val="0"/>
                  <w:vAlign w:val="center"/>
                </w:tcPr>
                <w:p w14:paraId="00939D15">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en-US" w:eastAsia="zh-CN"/>
                    </w:rPr>
                    <w:t>本</w:t>
                  </w:r>
                  <w:r>
                    <w:rPr>
                      <w:rFonts w:hint="eastAsia" w:ascii="Times New Roman" w:hAnsi="Times New Roman" w:eastAsia="宋体" w:cs="宋体"/>
                      <w:snapToGrid w:val="0"/>
                      <w:color w:val="auto"/>
                      <w:kern w:val="0"/>
                      <w:szCs w:val="21"/>
                      <w:highlight w:val="none"/>
                      <w:lang w:val="zh-CN"/>
                    </w:rPr>
                    <w:t>项目不涉及。</w:t>
                  </w:r>
                </w:p>
              </w:tc>
              <w:tc>
                <w:tcPr>
                  <w:tcW w:w="681" w:type="dxa"/>
                  <w:noWrap w:val="0"/>
                  <w:vAlign w:val="center"/>
                </w:tcPr>
                <w:p w14:paraId="667B1AED">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否</w:t>
                  </w:r>
                </w:p>
              </w:tc>
            </w:tr>
          </w:tbl>
          <w:p w14:paraId="4D8B4E59">
            <w:pPr>
              <w:adjustRightInd w:val="0"/>
              <w:snapToGrid w:val="0"/>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注：1.废气中有毒有害污染物指纳入《有毒有害大气污染物名录》的污染物（二氯甲烷、甲醛、三氯甲烷、三氯乙烯、四氯乙烯、乙醛、镉及其化合物、铬及其化合物、汞及其化合物、铅及其化合物、砷及其化合物）（不包括无排放标准的污染物）。</w:t>
            </w:r>
          </w:p>
          <w:p w14:paraId="2662AB59">
            <w:pPr>
              <w:adjustRightInd w:val="0"/>
              <w:snapToGrid w:val="0"/>
              <w:jc w:val="left"/>
              <w:rPr>
                <w:rFonts w:ascii="Times New Roman" w:hAnsi="Times New Roman" w:cs="宋体"/>
                <w:color w:val="auto"/>
                <w:kern w:val="0"/>
                <w:sz w:val="18"/>
                <w:szCs w:val="18"/>
                <w:highlight w:val="none"/>
              </w:rPr>
            </w:pPr>
            <w:r>
              <w:rPr>
                <w:rFonts w:ascii="Times New Roman" w:hAnsi="Times New Roman" w:cs="宋体"/>
                <w:color w:val="auto"/>
                <w:kern w:val="0"/>
                <w:sz w:val="18"/>
                <w:szCs w:val="18"/>
                <w:highlight w:val="none"/>
              </w:rPr>
              <w:t>2.环境空气保护目标指自然保护区、风景名胜区、居住区、文化区和农村地区中人群较集中</w:t>
            </w:r>
            <w:r>
              <w:rPr>
                <w:rFonts w:hint="eastAsia" w:ascii="Times New Roman" w:hAnsi="Times New Roman" w:cs="宋体"/>
                <w:color w:val="auto"/>
                <w:kern w:val="0"/>
                <w:sz w:val="18"/>
                <w:szCs w:val="18"/>
                <w:highlight w:val="none"/>
              </w:rPr>
              <w:t>的区域。</w:t>
            </w:r>
          </w:p>
          <w:p w14:paraId="07A28AF3">
            <w:pPr>
              <w:autoSpaceDE w:val="0"/>
              <w:autoSpaceDN w:val="0"/>
              <w:adjustRightInd w:val="0"/>
              <w:snapToGrid w:val="0"/>
              <w:jc w:val="left"/>
              <w:rPr>
                <w:rFonts w:hint="eastAsia" w:ascii="Times New Roman" w:hAnsi="Times New Roman"/>
                <w:color w:val="auto"/>
                <w:kern w:val="0"/>
                <w:sz w:val="24"/>
                <w:highlight w:val="none"/>
              </w:rPr>
            </w:pPr>
            <w:r>
              <w:rPr>
                <w:rFonts w:ascii="Times New Roman" w:hAnsi="Times New Roman" w:cs="宋体"/>
                <w:color w:val="auto"/>
                <w:kern w:val="0"/>
                <w:sz w:val="18"/>
                <w:szCs w:val="18"/>
                <w:highlight w:val="none"/>
              </w:rPr>
              <w:t>3.临界量及其计算方法可参考《建设项目环境风险评价技术导则》（HJ169）附录B、附录C。</w:t>
            </w:r>
          </w:p>
        </w:tc>
      </w:tr>
      <w:tr w14:paraId="7DF48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49" w:type="dxa"/>
            <w:noWrap w:val="0"/>
            <w:vAlign w:val="center"/>
          </w:tcPr>
          <w:p w14:paraId="42BA1FE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color w:val="auto"/>
                <w:kern w:val="0"/>
                <w:sz w:val="24"/>
                <w:highlight w:val="none"/>
              </w:rPr>
            </w:pPr>
            <w:r>
              <w:rPr>
                <w:rFonts w:ascii="Times New Roman" w:hAnsi="Times New Roman"/>
                <w:color w:val="auto"/>
                <w:sz w:val="24"/>
                <w:highlight w:val="none"/>
              </w:rPr>
              <w:t>规划情况</w:t>
            </w:r>
          </w:p>
        </w:tc>
        <w:tc>
          <w:tcPr>
            <w:tcW w:w="7142" w:type="dxa"/>
            <w:gridSpan w:val="3"/>
            <w:noWrap w:val="0"/>
            <w:vAlign w:val="center"/>
          </w:tcPr>
          <w:p w14:paraId="48FE8512">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规划名称：</w:t>
            </w:r>
            <w:r>
              <w:rPr>
                <w:rFonts w:hint="eastAsia" w:cs="Times New Roman"/>
                <w:b/>
                <w:bCs/>
                <w:color w:val="auto"/>
                <w:kern w:val="0"/>
                <w:sz w:val="24"/>
                <w:szCs w:val="24"/>
                <w:highlight w:val="none"/>
                <w:lang w:eastAsia="zh-CN"/>
              </w:rPr>
              <w:t>《云南红塔产业园区总体规划修编（2021—2035年）》</w:t>
            </w:r>
          </w:p>
          <w:p w14:paraId="7C623256">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审批机关：</w:t>
            </w:r>
            <w:r>
              <w:rPr>
                <w:rFonts w:hint="default" w:ascii="Times New Roman" w:hAnsi="Times New Roman" w:eastAsia="宋体" w:cs="Times New Roman"/>
                <w:color w:val="auto"/>
                <w:kern w:val="0"/>
                <w:sz w:val="24"/>
                <w:szCs w:val="24"/>
                <w:highlight w:val="none"/>
              </w:rPr>
              <w:t xml:space="preserve">玉溪市人民政府 </w:t>
            </w:r>
          </w:p>
          <w:p w14:paraId="1E040B5B">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color w:val="auto"/>
                <w:kern w:val="0"/>
                <w:sz w:val="24"/>
                <w:highlight w:val="none"/>
              </w:rPr>
            </w:pPr>
            <w:r>
              <w:rPr>
                <w:rFonts w:hint="default" w:ascii="Times New Roman" w:hAnsi="Times New Roman" w:eastAsia="宋体" w:cs="Times New Roman"/>
                <w:b/>
                <w:bCs/>
                <w:color w:val="auto"/>
                <w:kern w:val="0"/>
                <w:sz w:val="24"/>
                <w:szCs w:val="24"/>
                <w:highlight w:val="none"/>
              </w:rPr>
              <w:t>审批文件名称及文号：</w:t>
            </w:r>
            <w:r>
              <w:rPr>
                <w:rFonts w:hint="default" w:ascii="Times New Roman" w:hAnsi="Times New Roman" w:eastAsia="宋体" w:cs="Times New Roman"/>
                <w:color w:val="auto"/>
                <w:kern w:val="0"/>
                <w:sz w:val="24"/>
                <w:szCs w:val="24"/>
                <w:highlight w:val="none"/>
              </w:rPr>
              <w:t>《玉溪市人民政府关于云南红塔产业园区总体规划修编（2021-2035）的批复》（玉政复〔2023〕21号）</w:t>
            </w:r>
          </w:p>
        </w:tc>
      </w:tr>
      <w:tr w14:paraId="59972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49" w:type="dxa"/>
            <w:noWrap w:val="0"/>
            <w:vAlign w:val="center"/>
          </w:tcPr>
          <w:p w14:paraId="15ED007B">
            <w:pPr>
              <w:adjustRightInd w:val="0"/>
              <w:snapToGrid w:val="0"/>
              <w:jc w:val="center"/>
              <w:rPr>
                <w:rFonts w:ascii="Times New Roman" w:hAnsi="Times New Roman"/>
                <w:color w:val="auto"/>
                <w:sz w:val="24"/>
                <w:highlight w:val="none"/>
              </w:rPr>
            </w:pPr>
            <w:r>
              <w:rPr>
                <w:rFonts w:ascii="Times New Roman" w:hAnsi="Times New Roman"/>
                <w:color w:val="auto"/>
                <w:sz w:val="24"/>
                <w:highlight w:val="none"/>
              </w:rPr>
              <w:t>规划环境影响</w:t>
            </w:r>
          </w:p>
          <w:p w14:paraId="6C7C870C">
            <w:pPr>
              <w:adjustRightInd w:val="0"/>
              <w:snapToGrid w:val="0"/>
              <w:jc w:val="center"/>
              <w:rPr>
                <w:rFonts w:ascii="Times New Roman" w:hAnsi="Times New Roman"/>
                <w:color w:val="auto"/>
                <w:kern w:val="0"/>
                <w:sz w:val="24"/>
                <w:highlight w:val="none"/>
              </w:rPr>
            </w:pPr>
            <w:r>
              <w:rPr>
                <w:rFonts w:ascii="Times New Roman" w:hAnsi="Times New Roman"/>
                <w:color w:val="auto"/>
                <w:sz w:val="24"/>
                <w:highlight w:val="none"/>
              </w:rPr>
              <w:t>评价情况</w:t>
            </w:r>
          </w:p>
        </w:tc>
        <w:tc>
          <w:tcPr>
            <w:tcW w:w="7142" w:type="dxa"/>
            <w:gridSpan w:val="3"/>
            <w:noWrap w:val="0"/>
            <w:vAlign w:val="center"/>
          </w:tcPr>
          <w:p w14:paraId="2F5DB03F">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b/>
                <w:bCs w:val="0"/>
                <w:color w:val="auto"/>
                <w:kern w:val="0"/>
                <w:sz w:val="24"/>
                <w:szCs w:val="24"/>
                <w:highlight w:val="none"/>
              </w:rPr>
              <w:t>规划环评名称：</w:t>
            </w:r>
            <w:r>
              <w:rPr>
                <w:rFonts w:hint="default" w:ascii="Times New Roman" w:hAnsi="Times New Roman" w:eastAsia="宋体" w:cs="Times New Roman"/>
                <w:bCs/>
                <w:color w:val="auto"/>
                <w:kern w:val="0"/>
                <w:sz w:val="24"/>
                <w:szCs w:val="24"/>
                <w:highlight w:val="none"/>
              </w:rPr>
              <w:t>《云南红塔产业园区总体规划修编（2021</w:t>
            </w:r>
            <w:r>
              <w:rPr>
                <w:rFonts w:hint="eastAsia"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2035年）环境影响报告书》</w:t>
            </w:r>
          </w:p>
          <w:p w14:paraId="3FACF9A8">
            <w:pPr>
              <w:autoSpaceDE w:val="0"/>
              <w:autoSpaceDN w:val="0"/>
              <w:adjustRightInd w:val="0"/>
              <w:snapToGrid w:val="0"/>
              <w:spacing w:line="360" w:lineRule="auto"/>
              <w:jc w:val="left"/>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b/>
                <w:bCs w:val="0"/>
                <w:color w:val="auto"/>
                <w:kern w:val="0"/>
                <w:sz w:val="24"/>
                <w:szCs w:val="24"/>
                <w:highlight w:val="none"/>
              </w:rPr>
              <w:t>审查机关：</w:t>
            </w:r>
            <w:r>
              <w:rPr>
                <w:rFonts w:hint="default" w:ascii="Times New Roman" w:hAnsi="Times New Roman" w:eastAsia="宋体" w:cs="Times New Roman"/>
                <w:bCs/>
                <w:color w:val="auto"/>
                <w:kern w:val="0"/>
                <w:sz w:val="24"/>
                <w:szCs w:val="24"/>
                <w:highlight w:val="none"/>
              </w:rPr>
              <w:t xml:space="preserve">玉溪市生态环境局 </w:t>
            </w:r>
          </w:p>
          <w:p w14:paraId="09B8A2B4">
            <w:pPr>
              <w:autoSpaceDE w:val="0"/>
              <w:autoSpaceDN w:val="0"/>
              <w:adjustRightInd w:val="0"/>
              <w:snapToGrid w:val="0"/>
              <w:jc w:val="left"/>
              <w:rPr>
                <w:rFonts w:hint="eastAsia" w:ascii="Times New Roman" w:hAnsi="Times New Roman" w:eastAsia="宋体"/>
                <w:color w:val="auto"/>
                <w:kern w:val="0"/>
                <w:sz w:val="24"/>
                <w:highlight w:val="none"/>
                <w:lang w:eastAsia="zh-CN"/>
              </w:rPr>
            </w:pPr>
            <w:r>
              <w:rPr>
                <w:rFonts w:hint="default" w:ascii="Times New Roman" w:hAnsi="Times New Roman" w:eastAsia="宋体" w:cs="Times New Roman"/>
                <w:b/>
                <w:bCs w:val="0"/>
                <w:color w:val="auto"/>
                <w:kern w:val="0"/>
                <w:sz w:val="24"/>
                <w:szCs w:val="24"/>
                <w:highlight w:val="none"/>
              </w:rPr>
              <w:t>审查文件名称及文号</w:t>
            </w:r>
            <w:r>
              <w:rPr>
                <w:rFonts w:hint="default" w:ascii="Times New Roman" w:hAnsi="Times New Roman" w:eastAsia="宋体" w:cs="Times New Roman"/>
                <w:bCs/>
                <w:color w:val="auto"/>
                <w:kern w:val="0"/>
                <w:sz w:val="24"/>
                <w:szCs w:val="24"/>
                <w:highlight w:val="none"/>
              </w:rPr>
              <w:t>：玉溪市生态环境局关于《云南红塔产业园区总体规划修编（2021</w:t>
            </w:r>
            <w:r>
              <w:rPr>
                <w:rFonts w:hint="eastAsia" w:ascii="Times New Roman" w:hAnsi="Times New Roman"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2035年）环境影响报告书》审查意见的函（玉环函</w:t>
            </w:r>
            <w:r>
              <w:rPr>
                <w:rFonts w:hint="eastAsia" w:ascii="Times New Roman" w:hAnsi="Times New Roman" w:eastAsia="宋体" w:cs="Times New Roman"/>
                <w:bCs/>
                <w:color w:val="auto"/>
                <w:kern w:val="0"/>
                <w:sz w:val="24"/>
                <w:szCs w:val="24"/>
                <w:highlight w:val="none"/>
                <w:lang w:val="en-US" w:eastAsia="zh-CN"/>
              </w:rPr>
              <w:t>〔2023〕</w:t>
            </w:r>
            <w:r>
              <w:rPr>
                <w:rFonts w:hint="default" w:ascii="Times New Roman" w:hAnsi="Times New Roman" w:eastAsia="宋体" w:cs="Times New Roman"/>
                <w:bCs/>
                <w:color w:val="auto"/>
                <w:kern w:val="0"/>
                <w:sz w:val="24"/>
                <w:szCs w:val="24"/>
                <w:highlight w:val="none"/>
              </w:rPr>
              <w:t>27号）</w:t>
            </w:r>
          </w:p>
        </w:tc>
      </w:tr>
      <w:tr w14:paraId="3E4ED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849" w:type="dxa"/>
            <w:noWrap w:val="0"/>
            <w:vAlign w:val="center"/>
          </w:tcPr>
          <w:p w14:paraId="2CF4DEE3">
            <w:pPr>
              <w:autoSpaceDE w:val="0"/>
              <w:autoSpaceDN w:val="0"/>
              <w:adjustRightInd w:val="0"/>
              <w:snapToGrid w:val="0"/>
              <w:jc w:val="center"/>
              <w:rPr>
                <w:rFonts w:ascii="Times New Roman" w:hAnsi="Times New Roman"/>
                <w:color w:val="auto"/>
                <w:kern w:val="0"/>
                <w:sz w:val="24"/>
                <w:highlight w:val="none"/>
              </w:rPr>
            </w:pPr>
            <w:r>
              <w:rPr>
                <w:rFonts w:ascii="Times New Roman" w:hAnsi="Times New Roman"/>
                <w:color w:val="auto"/>
                <w:kern w:val="0"/>
                <w:sz w:val="24"/>
                <w:highlight w:val="none"/>
              </w:rPr>
              <w:t>规划及规划环境影响评价符合性分析</w:t>
            </w:r>
          </w:p>
        </w:tc>
        <w:tc>
          <w:tcPr>
            <w:tcW w:w="7142" w:type="dxa"/>
            <w:gridSpan w:val="3"/>
            <w:noWrap w:val="0"/>
            <w:vAlign w:val="center"/>
          </w:tcPr>
          <w:p w14:paraId="2B1E1535">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lang w:val="en-US" w:eastAsia="zh-CN"/>
              </w:rPr>
              <w:t>1</w:t>
            </w:r>
            <w:r>
              <w:rPr>
                <w:rFonts w:hint="default"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rPr>
              <w:t>与</w:t>
            </w:r>
            <w:r>
              <w:rPr>
                <w:rFonts w:hint="default" w:ascii="Times New Roman" w:hAnsi="Times New Roman" w:eastAsia="宋体" w:cs="Times New Roman"/>
                <w:b/>
                <w:bCs/>
                <w:color w:val="auto"/>
                <w:kern w:val="0"/>
                <w:sz w:val="24"/>
                <w:highlight w:val="none"/>
                <w:lang w:val="en-US" w:eastAsia="zh-CN"/>
              </w:rPr>
              <w:t>《云南红塔产业园区总体规划修编（2021-2035）》符合性分析</w:t>
            </w:r>
          </w:p>
          <w:p w14:paraId="07577C3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根据《云南红塔产业园区总体规划修编（2021-2035）》云南红塔产业园区采用“两片十块，一带一环”的规划结构模式。</w:t>
            </w:r>
          </w:p>
          <w:p w14:paraId="62E324F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两片：红塔片区、研和片区整合红塔工业园区、研和工业园区，形成园区</w:t>
            </w:r>
            <w:r>
              <w:rPr>
                <w:rFonts w:hint="eastAsia" w:cs="Times New Roman"/>
                <w:color w:val="auto"/>
                <w:kern w:val="0"/>
                <w:sz w:val="24"/>
                <w:highlight w:val="none"/>
                <w:lang w:val="en-US" w:eastAsia="zh-CN"/>
              </w:rPr>
              <w:t>发展的</w:t>
            </w:r>
            <w:r>
              <w:rPr>
                <w:rFonts w:hint="default" w:ascii="Times New Roman" w:hAnsi="Times New Roman" w:eastAsia="宋体" w:cs="Times New Roman"/>
                <w:color w:val="auto"/>
                <w:kern w:val="0"/>
                <w:sz w:val="24"/>
                <w:highlight w:val="none"/>
                <w:lang w:val="en-US" w:eastAsia="zh-CN"/>
              </w:rPr>
              <w:t>三片，做优先进装备制造、新材料新能源、钢铁及压延加工、现代物流、现代建材产业、生物制药</w:t>
            </w:r>
            <w:r>
              <w:rPr>
                <w:rFonts w:hint="eastAsia" w:cs="Times New Roman"/>
                <w:color w:val="auto"/>
                <w:kern w:val="0"/>
                <w:sz w:val="24"/>
                <w:highlight w:val="none"/>
                <w:lang w:val="en-US" w:eastAsia="zh-CN"/>
              </w:rPr>
              <w:t>等产业</w:t>
            </w:r>
            <w:r>
              <w:rPr>
                <w:rFonts w:hint="eastAsia" w:ascii="Times New Roman" w:hAnsi="Times New Roman" w:cs="Times New Roman"/>
                <w:color w:val="auto"/>
                <w:kern w:val="0"/>
                <w:sz w:val="24"/>
                <w:highlight w:val="none"/>
                <w:lang w:val="en-US" w:eastAsia="zh-CN"/>
              </w:rPr>
              <w:t>。</w:t>
            </w:r>
          </w:p>
          <w:p w14:paraId="33CF2B3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十块：即卧牛山地块、青龙山地块、莲池地块、观音山地块、大营街地块、研和地块一、研和地块二、研和地块三、研和地块四、</w:t>
            </w:r>
            <w:r>
              <w:rPr>
                <w:rFonts w:hint="eastAsia" w:cs="Times New Roman"/>
                <w:color w:val="auto"/>
                <w:kern w:val="0"/>
                <w:sz w:val="24"/>
                <w:highlight w:val="none"/>
                <w:lang w:val="en-US" w:eastAsia="zh-CN"/>
              </w:rPr>
              <w:t>双小地块</w:t>
            </w:r>
            <w:r>
              <w:rPr>
                <w:rFonts w:hint="default" w:ascii="Times New Roman" w:hAnsi="Times New Roman" w:eastAsia="宋体" w:cs="Times New Roman"/>
                <w:color w:val="auto"/>
                <w:kern w:val="0"/>
                <w:sz w:val="24"/>
                <w:highlight w:val="none"/>
                <w:lang w:val="en-US" w:eastAsia="zh-CN"/>
              </w:rPr>
              <w:t>。十地块分散布置于城市周边，与城市发展相互辅助、相互促进。</w:t>
            </w:r>
          </w:p>
          <w:p w14:paraId="7B2418A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一带：即昆曼产业聚集发展带。依托昆玉高速作为连接各个工业片区以及连接城市对外交通出入口的主要通道之一，形成高原特色农业、卷烟及配套、生物制药、装备制造、现代物流、新能源新材料等产业集聚，形成昆曼产业聚集发展带。</w:t>
            </w:r>
          </w:p>
          <w:p w14:paraId="2C98F59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一环：即玉溪市绕城高速公路形成的交通环线，连接红塔片区、研和片区。绕城高速公路北至卧牛山和青龙山地块，西侧连接观音山、大营街地块，南至研和片区，环绕城市连接周边工业园区。交通环线将大幅提高工业园区与外部的流通效率，并减少工业运输对城市交通产生的影响，对工业园区建设和城市发展都起到积极</w:t>
            </w:r>
            <w:r>
              <w:rPr>
                <w:rFonts w:hint="eastAsia" w:ascii="Times New Roman" w:hAnsi="Times New Roman" w:cs="Times New Roman"/>
                <w:color w:val="auto"/>
                <w:kern w:val="0"/>
                <w:sz w:val="24"/>
                <w:highlight w:val="none"/>
                <w:lang w:val="en-US" w:eastAsia="zh-CN"/>
              </w:rPr>
              <w:t>的</w:t>
            </w:r>
            <w:r>
              <w:rPr>
                <w:rFonts w:hint="default" w:ascii="Times New Roman" w:hAnsi="Times New Roman" w:eastAsia="宋体" w:cs="Times New Roman"/>
                <w:color w:val="auto"/>
                <w:kern w:val="0"/>
                <w:sz w:val="24"/>
                <w:highlight w:val="none"/>
                <w:lang w:val="en-US" w:eastAsia="zh-CN"/>
              </w:rPr>
              <w:t>促进作用。</w:t>
            </w:r>
          </w:p>
          <w:p w14:paraId="7405A32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研和片区打造开放高端制造区。重点发展数控机床制造、金属冶炼及制品加工、现代物流等领域，形成组团特色，打造全国知名的“专、精、特、新”特色产业聚集区，主导产业为先进制造业（装备制造）。研和片区地块二</w:t>
            </w:r>
            <w:r>
              <w:rPr>
                <w:rFonts w:hint="default" w:ascii="Times New Roman" w:hAnsi="Times New Roman" w:eastAsia="宋体" w:cs="Times New Roman"/>
                <w:color w:val="auto"/>
                <w:kern w:val="0"/>
                <w:sz w:val="24"/>
                <w:highlight w:val="none"/>
                <w:lang w:val="en-US" w:eastAsia="zh-CN"/>
              </w:rPr>
              <w:t>重点发展金属冶炼加工制造。</w:t>
            </w:r>
          </w:p>
          <w:p w14:paraId="3DC4D17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本项目位于红塔产业园区研和片区</w:t>
            </w:r>
            <w:r>
              <w:rPr>
                <w:rFonts w:hint="eastAsia" w:ascii="Times New Roman" w:hAnsi="Times New Roman" w:eastAsia="宋体" w:cs="Times New Roman"/>
                <w:color w:val="auto"/>
                <w:kern w:val="0"/>
                <w:sz w:val="24"/>
                <w:highlight w:val="none"/>
                <w:lang w:val="en-US" w:eastAsia="zh-CN"/>
              </w:rPr>
              <w:t>地块二</w:t>
            </w:r>
            <w:r>
              <w:rPr>
                <w:rFonts w:hint="default" w:ascii="Times New Roman" w:hAnsi="Times New Roman" w:eastAsia="宋体" w:cs="Times New Roman"/>
                <w:color w:val="auto"/>
                <w:kern w:val="0"/>
                <w:sz w:val="24"/>
                <w:highlight w:val="none"/>
                <w:lang w:val="en-US" w:eastAsia="zh-CN"/>
              </w:rPr>
              <w:t>，根据研和片区土地利用规划图，项目所在地为工业用地，符合用地规划，本项目属于铁矿石加工项目</w:t>
            </w:r>
            <w:r>
              <w:rPr>
                <w:rFonts w:hint="default" w:ascii="Times New Roman" w:hAnsi="Times New Roman" w:eastAsia="宋体" w:cs="Times New Roman"/>
                <w:color w:val="auto"/>
                <w:kern w:val="0"/>
                <w:sz w:val="24"/>
                <w:highlight w:val="none"/>
                <w:lang w:eastAsia="zh-CN"/>
              </w:rPr>
              <w:t>，与园区发展规划不冲突，</w:t>
            </w:r>
            <w:r>
              <w:rPr>
                <w:rFonts w:hint="default" w:ascii="Times New Roman" w:hAnsi="Times New Roman" w:eastAsia="宋体" w:cs="Times New Roman"/>
                <w:color w:val="auto"/>
                <w:kern w:val="0"/>
                <w:sz w:val="24"/>
                <w:highlight w:val="none"/>
                <w:lang w:val="en-US" w:eastAsia="zh-CN"/>
              </w:rPr>
              <w:t>202</w:t>
            </w:r>
            <w:r>
              <w:rPr>
                <w:rFonts w:hint="eastAsia" w:ascii="Times New Roman" w:hAnsi="Times New Roman" w:eastAsia="宋体"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lang w:val="en-US" w:eastAsia="zh-CN"/>
              </w:rPr>
              <w:t>年</w:t>
            </w:r>
            <w:r>
              <w:rPr>
                <w:rFonts w:hint="eastAsia"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月</w:t>
            </w:r>
            <w:r>
              <w:rPr>
                <w:rFonts w:hint="eastAsia" w:ascii="Times New Roman" w:hAnsi="Times New Roman" w:eastAsia="宋体" w:cs="Times New Roman"/>
                <w:color w:val="auto"/>
                <w:kern w:val="0"/>
                <w:sz w:val="24"/>
                <w:highlight w:val="none"/>
                <w:lang w:val="en-US" w:eastAsia="zh-CN"/>
              </w:rPr>
              <w:t>26</w:t>
            </w:r>
            <w:r>
              <w:rPr>
                <w:rFonts w:hint="default" w:ascii="Times New Roman" w:hAnsi="Times New Roman" w:eastAsia="宋体" w:cs="Times New Roman"/>
                <w:color w:val="auto"/>
                <w:kern w:val="0"/>
                <w:sz w:val="24"/>
                <w:highlight w:val="none"/>
                <w:lang w:val="en-US" w:eastAsia="zh-CN"/>
              </w:rPr>
              <w:t>日取得了</w:t>
            </w:r>
            <w:r>
              <w:rPr>
                <w:rFonts w:hint="eastAsia" w:ascii="Times New Roman" w:hAnsi="Times New Roman" w:eastAsia="宋体" w:cs="Times New Roman"/>
                <w:color w:val="auto"/>
                <w:kern w:val="0"/>
                <w:sz w:val="24"/>
                <w:highlight w:val="none"/>
                <w:lang w:val="en-US" w:eastAsia="zh-CN"/>
              </w:rPr>
              <w:t>云南红塔</w:t>
            </w:r>
            <w:r>
              <w:rPr>
                <w:rFonts w:hint="default" w:ascii="Times New Roman" w:hAnsi="Times New Roman" w:eastAsia="宋体" w:cs="Times New Roman"/>
                <w:color w:val="auto"/>
                <w:kern w:val="0"/>
                <w:sz w:val="24"/>
                <w:highlight w:val="none"/>
                <w:lang w:val="en-US" w:eastAsia="zh-CN"/>
              </w:rPr>
              <w:t>产业园区管理委员会的入园证明，同意项目入园。</w:t>
            </w:r>
          </w:p>
          <w:p w14:paraId="6691E8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val="en-US" w:eastAsia="zh-CN"/>
              </w:rPr>
              <w:t>综上，项目选址符合园区</w:t>
            </w:r>
            <w:r>
              <w:rPr>
                <w:rFonts w:hint="default" w:ascii="Times New Roman" w:hAnsi="Times New Roman" w:eastAsia="宋体" w:cs="Times New Roman"/>
                <w:color w:val="auto"/>
                <w:kern w:val="0"/>
                <w:sz w:val="24"/>
                <w:highlight w:val="none"/>
              </w:rPr>
              <w:t>总体规划及产业定位和布局</w:t>
            </w:r>
            <w:r>
              <w:rPr>
                <w:rFonts w:hint="default" w:ascii="Times New Roman" w:hAnsi="Times New Roman" w:eastAsia="宋体" w:cs="Times New Roman"/>
                <w:color w:val="auto"/>
                <w:kern w:val="0"/>
                <w:sz w:val="24"/>
                <w:highlight w:val="none"/>
                <w:lang w:eastAsia="zh-CN"/>
              </w:rPr>
              <w:t>。</w:t>
            </w:r>
          </w:p>
          <w:p w14:paraId="1A4D17B3">
            <w:pPr>
              <w:autoSpaceDE w:val="0"/>
              <w:autoSpaceDN w:val="0"/>
              <w:adjustRightInd w:val="0"/>
              <w:snapToGrid w:val="0"/>
              <w:spacing w:line="360" w:lineRule="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w:t>
            </w:r>
            <w:r>
              <w:rPr>
                <w:rFonts w:hint="default" w:ascii="Times New Roman" w:hAnsi="Times New Roman" w:eastAsia="宋体" w:cs="Times New Roman"/>
                <w:b/>
                <w:bCs/>
                <w:color w:val="auto"/>
                <w:kern w:val="0"/>
                <w:sz w:val="24"/>
                <w:highlight w:val="none"/>
                <w:lang w:val="en-US" w:eastAsia="zh-CN"/>
              </w:rPr>
              <w:t>2</w:t>
            </w:r>
            <w:r>
              <w:rPr>
                <w:rFonts w:hint="default" w:ascii="Times New Roman" w:hAnsi="Times New Roman" w:eastAsia="宋体" w:cs="Times New Roman"/>
                <w:b/>
                <w:bCs/>
                <w:color w:val="auto"/>
                <w:kern w:val="0"/>
                <w:sz w:val="24"/>
                <w:highlight w:val="none"/>
              </w:rPr>
              <w:t>）与</w:t>
            </w:r>
            <w:r>
              <w:rPr>
                <w:rFonts w:hint="default" w:ascii="Times New Roman" w:hAnsi="Times New Roman" w:eastAsia="宋体" w:cs="Times New Roman"/>
                <w:b/>
                <w:bCs/>
                <w:color w:val="auto"/>
                <w:kern w:val="0"/>
                <w:sz w:val="24"/>
                <w:highlight w:val="none"/>
                <w:lang w:eastAsia="zh-CN"/>
              </w:rPr>
              <w:t>《云南红塔产业园区总体规划修编（</w:t>
            </w:r>
            <w:r>
              <w:rPr>
                <w:rFonts w:hint="default" w:ascii="Times New Roman" w:hAnsi="Times New Roman" w:eastAsia="宋体" w:cs="Times New Roman"/>
                <w:b/>
                <w:bCs/>
                <w:color w:val="auto"/>
                <w:kern w:val="0"/>
                <w:sz w:val="24"/>
                <w:highlight w:val="none"/>
                <w:lang w:val="en-US" w:eastAsia="zh-CN"/>
              </w:rPr>
              <w:t>2021-2035</w:t>
            </w:r>
            <w:r>
              <w:rPr>
                <w:rFonts w:hint="default" w:ascii="Times New Roman" w:hAnsi="Times New Roman" w:eastAsia="宋体" w:cs="Times New Roman"/>
                <w:b/>
                <w:bCs/>
                <w:color w:val="auto"/>
                <w:kern w:val="0"/>
                <w:sz w:val="24"/>
                <w:highlight w:val="none"/>
                <w:lang w:eastAsia="zh-CN"/>
              </w:rPr>
              <w:t>）</w:t>
            </w:r>
            <w:r>
              <w:rPr>
                <w:rFonts w:hint="eastAsia" w:ascii="Times New Roman" w:hAnsi="Times New Roman" w:eastAsia="宋体" w:cs="Times New Roman"/>
                <w:b/>
                <w:bCs/>
                <w:color w:val="auto"/>
                <w:kern w:val="0"/>
                <w:sz w:val="24"/>
                <w:highlight w:val="none"/>
                <w:lang w:val="en-US" w:eastAsia="zh-CN"/>
              </w:rPr>
              <w:t>环境影响报告书</w:t>
            </w:r>
            <w:r>
              <w:rPr>
                <w:rFonts w:hint="default"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rPr>
              <w:t>的符合性分析</w:t>
            </w:r>
          </w:p>
          <w:p w14:paraId="400C538B">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表1-</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 xml:space="preserve">  本建设项目与</w:t>
            </w:r>
            <w:r>
              <w:rPr>
                <w:rFonts w:hint="default" w:ascii="Times New Roman" w:hAnsi="Times New Roman" w:eastAsia="宋体" w:cs="Times New Roman"/>
                <w:color w:val="auto"/>
                <w:highlight w:val="none"/>
                <w:lang w:eastAsia="zh-CN"/>
              </w:rPr>
              <w:t>《云南红塔产业园区总体规划修编（</w:t>
            </w:r>
            <w:r>
              <w:rPr>
                <w:rFonts w:hint="default" w:ascii="Times New Roman" w:hAnsi="Times New Roman" w:eastAsia="宋体" w:cs="Times New Roman"/>
                <w:color w:val="auto"/>
                <w:highlight w:val="none"/>
                <w:lang w:val="en-US" w:eastAsia="zh-CN"/>
              </w:rPr>
              <w:t>2021-2035</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环境影响报告书</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对入驻项目环保要求符合性分析</w:t>
            </w:r>
          </w:p>
          <w:tbl>
            <w:tblPr>
              <w:tblStyle w:val="35"/>
              <w:tblW w:w="69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2508"/>
              <w:gridCol w:w="3008"/>
              <w:gridCol w:w="995"/>
            </w:tblGrid>
            <w:tr w14:paraId="62CB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70" w:type="dxa"/>
                  <w:shd w:val="clear" w:color="auto" w:fill="D7D7D7" w:themeFill="background1" w:themeFillShade="D8"/>
                  <w:noWrap w:val="0"/>
                  <w:vAlign w:val="center"/>
                </w:tcPr>
                <w:p w14:paraId="403A8D95">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序号</w:t>
                  </w:r>
                </w:p>
              </w:tc>
              <w:tc>
                <w:tcPr>
                  <w:tcW w:w="2508" w:type="dxa"/>
                  <w:shd w:val="clear" w:color="auto" w:fill="D7D7D7" w:themeFill="background1" w:themeFillShade="D8"/>
                  <w:noWrap w:val="0"/>
                  <w:vAlign w:val="center"/>
                </w:tcPr>
                <w:p w14:paraId="1ACA7B1A">
                  <w:pPr>
                    <w:pStyle w:val="96"/>
                    <w:adjustRightInd w:val="0"/>
                    <w:snapToGrid w:val="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规划环评对入驻项目环保要求</w:t>
                  </w:r>
                </w:p>
              </w:tc>
              <w:tc>
                <w:tcPr>
                  <w:tcW w:w="3008" w:type="dxa"/>
                  <w:shd w:val="clear" w:color="auto" w:fill="D7D7D7" w:themeFill="background1" w:themeFillShade="D8"/>
                  <w:noWrap w:val="0"/>
                  <w:vAlign w:val="center"/>
                </w:tcPr>
                <w:p w14:paraId="5A29CF2F">
                  <w:pPr>
                    <w:pStyle w:val="96"/>
                    <w:adjustRightInd w:val="0"/>
                    <w:snapToGrid w:val="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本建设项目情况</w:t>
                  </w:r>
                </w:p>
              </w:tc>
              <w:tc>
                <w:tcPr>
                  <w:tcW w:w="995" w:type="dxa"/>
                  <w:shd w:val="clear" w:color="auto" w:fill="D7D7D7" w:themeFill="background1" w:themeFillShade="D8"/>
                  <w:noWrap w:val="0"/>
                  <w:vAlign w:val="center"/>
                </w:tcPr>
                <w:p w14:paraId="7CB4BB67">
                  <w:pPr>
                    <w:pStyle w:val="96"/>
                    <w:adjustRightInd w:val="0"/>
                    <w:snapToGrid w:val="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是否符合要求</w:t>
                  </w:r>
                </w:p>
              </w:tc>
            </w:tr>
            <w:tr w14:paraId="4FD9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noWrap w:val="0"/>
                  <w:vAlign w:val="center"/>
                </w:tcPr>
                <w:p w14:paraId="29DFC440">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508" w:type="dxa"/>
                  <w:noWrap w:val="0"/>
                  <w:vAlign w:val="center"/>
                </w:tcPr>
                <w:p w14:paraId="0C7403F0">
                  <w:pPr>
                    <w:numPr>
                      <w:ilvl w:val="0"/>
                      <w:numId w:val="2"/>
                    </w:numPr>
                    <w:autoSpaceDE w:val="0"/>
                    <w:autoSpaceDN w:val="0"/>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禁止不符合产业政策、不符合片区产业定位企业入驻。</w:t>
                  </w:r>
                </w:p>
                <w:p w14:paraId="6C79748E">
                  <w:pPr>
                    <w:numPr>
                      <w:ilvl w:val="0"/>
                      <w:numId w:val="0"/>
                    </w:numPr>
                    <w:autoSpaceDE w:val="0"/>
                    <w:autoSpaceDN w:val="0"/>
                    <w:adjustRightInd w:val="0"/>
                    <w:snapToGrid w:val="0"/>
                    <w:jc w:val="left"/>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在玉溪大河、石邑河水质达标前，研和片区禁止引入高废水产生的项目。</w:t>
                  </w:r>
                </w:p>
                <w:p w14:paraId="57A0CE18">
                  <w:pPr>
                    <w:autoSpaceDE w:val="0"/>
                    <w:autoSpaceDN w:val="0"/>
                    <w:adjustRightInd w:val="0"/>
                    <w:snapToGrid w:val="0"/>
                    <w:jc w:val="left"/>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研和片区地块二位于岩溶含水层分布区，含水层天然防污性能弱，地下水环境较脆弱。禁止新增金属冶炼产能，慎重布局危险化学品仓储设施和污水处理设施等对</w:t>
                  </w:r>
                </w:p>
                <w:p w14:paraId="432BAFA3">
                  <w:pPr>
                    <w:autoSpaceDE w:val="0"/>
                    <w:autoSpaceDN w:val="0"/>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地下水存在较大环境风险的设施。</w:t>
                  </w:r>
                </w:p>
              </w:tc>
              <w:tc>
                <w:tcPr>
                  <w:tcW w:w="3008" w:type="dxa"/>
                  <w:noWrap w:val="0"/>
                  <w:vAlign w:val="center"/>
                </w:tcPr>
                <w:p w14:paraId="7AA3E7AB">
                  <w:pPr>
                    <w:numPr>
                      <w:ilvl w:val="0"/>
                      <w:numId w:val="3"/>
                    </w:numPr>
                    <w:autoSpaceDE w:val="0"/>
                    <w:autoSpaceDN w:val="0"/>
                    <w:adjustRightInd w:val="0"/>
                    <w:snapToGrid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行业类别属于“</w:t>
                  </w:r>
                  <w:r>
                    <w:rPr>
                      <w:rFonts w:hint="eastAsia" w:ascii="Times New Roman" w:hAnsi="Times New Roman" w:eastAsia="宋体" w:cs="Times New Roman"/>
                      <w:color w:val="auto"/>
                      <w:sz w:val="21"/>
                      <w:szCs w:val="21"/>
                      <w:highlight w:val="none"/>
                      <w:lang w:val="en-US" w:eastAsia="zh-CN"/>
                    </w:rPr>
                    <w:t>铁矿石加工项目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根据《产业结构调整指导目录》（</w:t>
                  </w:r>
                  <w:r>
                    <w:rPr>
                      <w:rFonts w:hint="eastAsia" w:ascii="Times New Roman" w:hAnsi="Times New Roman" w:eastAsia="宋体" w:cs="Times New Roman"/>
                      <w:color w:val="auto"/>
                      <w:sz w:val="21"/>
                      <w:szCs w:val="21"/>
                      <w:highlight w:val="none"/>
                      <w:lang w:val="en-US" w:eastAsia="zh-CN"/>
                    </w:rPr>
                    <w:t>2024年版</w:t>
                  </w:r>
                  <w:r>
                    <w:rPr>
                      <w:rFonts w:hint="default" w:ascii="Times New Roman" w:hAnsi="Times New Roman" w:eastAsia="宋体" w:cs="Times New Roman"/>
                      <w:color w:val="auto"/>
                      <w:sz w:val="21"/>
                      <w:szCs w:val="21"/>
                      <w:highlight w:val="none"/>
                      <w:lang w:eastAsia="zh-CN"/>
                    </w:rPr>
                    <w:t>）判定，项目不属于鼓励类、限制类和淘汰类。根据国务院《促进产业结构调整暂行规定》（国发〔2005〕40号）</w:t>
                  </w:r>
                  <w:r>
                    <w:rPr>
                      <w:rFonts w:hint="eastAsia" w:cs="Times New Roman"/>
                      <w:color w:val="auto"/>
                      <w:sz w:val="21"/>
                      <w:szCs w:val="21"/>
                      <w:highlight w:val="none"/>
                      <w:lang w:eastAsia="zh-CN"/>
                    </w:rPr>
                    <w:t>第十三条：</w:t>
                  </w:r>
                  <w:r>
                    <w:rPr>
                      <w:rFonts w:hint="default" w:ascii="Times New Roman" w:hAnsi="Times New Roman" w:eastAsia="宋体" w:cs="Times New Roman"/>
                      <w:color w:val="auto"/>
                      <w:sz w:val="21"/>
                      <w:szCs w:val="21"/>
                      <w:highlight w:val="none"/>
                      <w:lang w:eastAsia="zh-CN"/>
                    </w:rPr>
                    <w:t>“不属于鼓励类、限制类及淘汰类，且符合国家有关</w:t>
                  </w:r>
                  <w:r>
                    <w:rPr>
                      <w:rFonts w:hint="eastAsia" w:ascii="Times New Roman" w:hAnsi="Times New Roman" w:cs="Times New Roman"/>
                      <w:color w:val="auto"/>
                      <w:sz w:val="21"/>
                      <w:szCs w:val="21"/>
                      <w:highlight w:val="none"/>
                      <w:lang w:eastAsia="zh-CN"/>
                    </w:rPr>
                    <w:t>法律法规</w:t>
                  </w:r>
                  <w:r>
                    <w:rPr>
                      <w:rFonts w:hint="default" w:ascii="Times New Roman" w:hAnsi="Times New Roman" w:eastAsia="宋体" w:cs="Times New Roman"/>
                      <w:color w:val="auto"/>
                      <w:sz w:val="21"/>
                      <w:szCs w:val="21"/>
                      <w:highlight w:val="none"/>
                      <w:lang w:eastAsia="zh-CN"/>
                    </w:rPr>
                    <w:t>和政策规定的，为允许类</w:t>
                  </w:r>
                  <w:r>
                    <w:rPr>
                      <w:rFonts w:hint="eastAsia" w:cs="Times New Roman"/>
                      <w:color w:val="auto"/>
                      <w:sz w:val="21"/>
                      <w:szCs w:val="21"/>
                      <w:highlight w:val="none"/>
                      <w:lang w:eastAsia="zh-CN"/>
                    </w:rPr>
                    <w:t>。”</w:t>
                  </w:r>
                </w:p>
                <w:p w14:paraId="5A749BE3">
                  <w:pPr>
                    <w:numPr>
                      <w:ilvl w:val="0"/>
                      <w:numId w:val="3"/>
                    </w:numPr>
                    <w:autoSpaceDE w:val="0"/>
                    <w:autoSpaceDN w:val="0"/>
                    <w:adjustRightInd w:val="0"/>
                    <w:snapToGrid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w:t>
                  </w:r>
                  <w:r>
                    <w:rPr>
                      <w:rFonts w:hint="eastAsia" w:cs="Times New Roman"/>
                      <w:color w:val="auto"/>
                      <w:sz w:val="21"/>
                      <w:szCs w:val="21"/>
                      <w:highlight w:val="none"/>
                      <w:lang w:val="en-US" w:eastAsia="zh-CN"/>
                    </w:rPr>
                    <w:t>洗车废水沉淀后回用</w:t>
                  </w:r>
                  <w:r>
                    <w:rPr>
                      <w:rFonts w:hint="eastAsia" w:ascii="Times New Roman" w:hAnsi="Times New Roman" w:eastAsia="宋体" w:cs="Times New Roman"/>
                      <w:color w:val="auto"/>
                      <w:sz w:val="21"/>
                      <w:szCs w:val="21"/>
                      <w:highlight w:val="none"/>
                      <w:lang w:val="en-US" w:eastAsia="zh-CN"/>
                    </w:rPr>
                    <w:t>；项目生活污水经化粪池预处理后</w:t>
                  </w:r>
                  <w:r>
                    <w:rPr>
                      <w:rFonts w:hint="eastAsia" w:cs="Times New Roman"/>
                      <w:color w:val="auto"/>
                      <w:sz w:val="21"/>
                      <w:szCs w:val="21"/>
                      <w:highlight w:val="none"/>
                      <w:lang w:val="en-US" w:eastAsia="zh-CN"/>
                    </w:rPr>
                    <w:t>，再经</w:t>
                  </w:r>
                  <w:r>
                    <w:rPr>
                      <w:rFonts w:hint="eastAsia" w:ascii="Times New Roman" w:hAnsi="Times New Roman" w:eastAsia="宋体" w:cs="Times New Roman"/>
                      <w:color w:val="auto"/>
                      <w:sz w:val="21"/>
                      <w:szCs w:val="21"/>
                      <w:highlight w:val="none"/>
                      <w:lang w:val="en-US" w:eastAsia="zh-CN"/>
                    </w:rPr>
                    <w:t>一体化污水处理设施处理达标后回用于厂区绿化。</w:t>
                  </w:r>
                </w:p>
                <w:p w14:paraId="51981CAC">
                  <w:pPr>
                    <w:numPr>
                      <w:ilvl w:val="0"/>
                      <w:numId w:val="3"/>
                    </w:numPr>
                    <w:autoSpaceDE w:val="0"/>
                    <w:autoSpaceDN w:val="0"/>
                    <w:adjustRightInd w:val="0"/>
                    <w:snapToGrid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项目位于研和片区地块二，项目属于铁矿石单独破碎和集运项目，不属于</w:t>
                  </w:r>
                  <w:r>
                    <w:rPr>
                      <w:rFonts w:hint="eastAsia" w:cs="Times New Roman"/>
                      <w:color w:val="auto"/>
                      <w:sz w:val="21"/>
                      <w:szCs w:val="21"/>
                      <w:highlight w:val="none"/>
                      <w:lang w:val="en-US" w:eastAsia="zh-CN"/>
                    </w:rPr>
                    <w:t>金属</w:t>
                  </w:r>
                  <w:r>
                    <w:rPr>
                      <w:rFonts w:hint="eastAsia" w:ascii="Times New Roman" w:hAnsi="Times New Roman" w:eastAsia="宋体" w:cs="Times New Roman"/>
                      <w:color w:val="auto"/>
                      <w:sz w:val="21"/>
                      <w:szCs w:val="21"/>
                      <w:highlight w:val="none"/>
                      <w:lang w:val="en-US" w:eastAsia="zh-CN"/>
                    </w:rPr>
                    <w:t>冶炼项目，不涉及危险化学品仓储。</w:t>
                  </w:r>
                </w:p>
              </w:tc>
              <w:tc>
                <w:tcPr>
                  <w:tcW w:w="995" w:type="dxa"/>
                  <w:noWrap w:val="0"/>
                  <w:vAlign w:val="center"/>
                </w:tcPr>
                <w:p w14:paraId="403D8CAD">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8D8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noWrap w:val="0"/>
                  <w:vAlign w:val="center"/>
                </w:tcPr>
                <w:p w14:paraId="17823462">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508" w:type="dxa"/>
                  <w:noWrap w:val="0"/>
                  <w:vAlign w:val="center"/>
                </w:tcPr>
                <w:p w14:paraId="1806478B">
                  <w:pPr>
                    <w:numPr>
                      <w:ilvl w:val="0"/>
                      <w:numId w:val="4"/>
                    </w:numPr>
                    <w:autoSpaceDE w:val="0"/>
                    <w:autoSpaceDN w:val="0"/>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新改扩建项目排放区域大气环境超标污染因子的，在区域环境质量不能稳定达标前</w:t>
                  </w:r>
                  <w:r>
                    <w:rPr>
                      <w:rFonts w:hint="eastAsia" w:ascii="Times New Roman" w:hAnsi="Times New Roman" w:cs="Times New Roman"/>
                      <w:color w:val="auto"/>
                      <w:sz w:val="21"/>
                      <w:szCs w:val="21"/>
                      <w:highlight w:val="none"/>
                      <w:lang w:eastAsia="zh-CN"/>
                    </w:rPr>
                    <w:t>，必</w:t>
                  </w:r>
                  <w:r>
                    <w:rPr>
                      <w:rFonts w:hint="default" w:ascii="Times New Roman" w:hAnsi="Times New Roman" w:eastAsia="宋体" w:cs="Times New Roman"/>
                      <w:color w:val="auto"/>
                      <w:sz w:val="21"/>
                      <w:szCs w:val="21"/>
                      <w:highlight w:val="none"/>
                    </w:rPr>
                    <w:t>须做到“增产不增污”,废气污染物排放必须实施“区域倍量削减替代”。</w:t>
                  </w:r>
                </w:p>
                <w:p w14:paraId="647A2571">
                  <w:pPr>
                    <w:numPr>
                      <w:ilvl w:val="0"/>
                      <w:numId w:val="4"/>
                    </w:numPr>
                    <w:autoSpaceDE w:val="0"/>
                    <w:autoSpaceDN w:val="0"/>
                    <w:adjustRightInd w:val="0"/>
                    <w:snapToGrid w:val="0"/>
                    <w:ind w:left="0" w:leftChars="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在区域水环境质量不能稳定达标前，排放受纳水体超标污染因子的新建、扩建项目，实行区域内现有污染源1.5-2倍的削减替代。</w:t>
                  </w:r>
                </w:p>
              </w:tc>
              <w:tc>
                <w:tcPr>
                  <w:tcW w:w="3008" w:type="dxa"/>
                  <w:noWrap w:val="0"/>
                  <w:vAlign w:val="center"/>
                </w:tcPr>
                <w:p w14:paraId="57A6A0D5">
                  <w:pPr>
                    <w:numPr>
                      <w:ilvl w:val="0"/>
                      <w:numId w:val="0"/>
                    </w:numPr>
                    <w:autoSpaceDE w:val="0"/>
                    <w:autoSpaceDN w:val="0"/>
                    <w:adjustRightInd w:val="0"/>
                    <w:snapToGrid w:val="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rPr>
                    <w:t>本项目所在区域属于大气环境质量达标区，无超标污染因子</w:t>
                  </w:r>
                  <w:r>
                    <w:rPr>
                      <w:rFonts w:hint="eastAsia" w:ascii="Times New Roman" w:hAnsi="Times New Roman" w:eastAsia="宋体" w:cs="Times New Roman"/>
                      <w:color w:val="auto"/>
                      <w:sz w:val="21"/>
                      <w:szCs w:val="21"/>
                      <w:highlight w:val="none"/>
                      <w:lang w:val="en-US" w:eastAsia="zh-CN"/>
                    </w:rPr>
                    <w:t>。</w:t>
                  </w:r>
                </w:p>
                <w:p w14:paraId="295C6E0E">
                  <w:pPr>
                    <w:numPr>
                      <w:ilvl w:val="0"/>
                      <w:numId w:val="0"/>
                    </w:numPr>
                    <w:autoSpaceDE w:val="0"/>
                    <w:autoSpaceDN w:val="0"/>
                    <w:adjustRightInd w:val="0"/>
                    <w:snapToGrid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2、本项目区域水环境质量达标，且项目废水不外排，不涉及削减。</w:t>
                  </w:r>
                </w:p>
              </w:tc>
              <w:tc>
                <w:tcPr>
                  <w:tcW w:w="995" w:type="dxa"/>
                  <w:noWrap w:val="0"/>
                  <w:vAlign w:val="center"/>
                </w:tcPr>
                <w:p w14:paraId="1C0E5D17">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3A4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noWrap w:val="0"/>
                  <w:vAlign w:val="center"/>
                </w:tcPr>
                <w:p w14:paraId="074BF695">
                  <w:pPr>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2508" w:type="dxa"/>
                  <w:noWrap w:val="0"/>
                  <w:vAlign w:val="center"/>
                </w:tcPr>
                <w:p w14:paraId="38BF4A45">
                  <w:pPr>
                    <w:numPr>
                      <w:ilvl w:val="0"/>
                      <w:numId w:val="0"/>
                    </w:numPr>
                    <w:autoSpaceDE w:val="0"/>
                    <w:autoSpaceDN w:val="0"/>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sz w:val="21"/>
                      <w:szCs w:val="21"/>
                      <w:highlight w:val="none"/>
                    </w:rPr>
                    <w:t>岩溶发育区域，应严格分区防渗要求。区域设置地下水监测井定期监测，防止事故情况下污染区域地下水。2、规划布局中注意与村庄规划发展区保持必要的环境防护距离。居民集中区不宜布置重大危险源。</w:t>
                  </w:r>
                </w:p>
                <w:p w14:paraId="550BDA18">
                  <w:pPr>
                    <w:numPr>
                      <w:ilvl w:val="0"/>
                      <w:numId w:val="0"/>
                    </w:numPr>
                    <w:autoSpaceDE w:val="0"/>
                    <w:autoSpaceDN w:val="0"/>
                    <w:adjustRightInd w:val="0"/>
                    <w:snapToGrid w:val="0"/>
                    <w:ind w:left="0" w:leftChars="0" w:firstLine="0" w:firstLineChars="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rPr>
                    <w:t>制定突发环境事件应急预案，完善风险管理机制，加强风险控制防范。建立区域环境监测制度，加强规划实施的跟踪监测与管理。</w:t>
                  </w:r>
                </w:p>
                <w:p w14:paraId="4360CB5D">
                  <w:pPr>
                    <w:numPr>
                      <w:ilvl w:val="0"/>
                      <w:numId w:val="0"/>
                    </w:numPr>
                    <w:autoSpaceDE w:val="0"/>
                    <w:autoSpaceDN w:val="0"/>
                    <w:adjustRightInd w:val="0"/>
                    <w:snapToGrid w:val="0"/>
                    <w:ind w:left="0" w:leftChars="0" w:firstLine="0" w:firstLineChars="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rPr>
                    <w:t>工业企业应有完善的</w:t>
                  </w:r>
                  <w:r>
                    <w:rPr>
                      <w:rFonts w:hint="eastAsia" w:cs="Times New Roman"/>
                      <w:color w:val="auto"/>
                      <w:sz w:val="21"/>
                      <w:szCs w:val="21"/>
                      <w:highlight w:val="none"/>
                      <w:lang w:eastAsia="zh-CN"/>
                    </w:rPr>
                    <w:t>风险</w:t>
                  </w:r>
                  <w:r>
                    <w:rPr>
                      <w:rFonts w:hint="default" w:ascii="Times New Roman" w:hAnsi="Times New Roman" w:eastAsia="宋体" w:cs="Times New Roman"/>
                      <w:color w:val="auto"/>
                      <w:sz w:val="21"/>
                      <w:szCs w:val="21"/>
                      <w:highlight w:val="none"/>
                    </w:rPr>
                    <w:t>防范措施。</w:t>
                  </w:r>
                </w:p>
                <w:p w14:paraId="337558C0">
                  <w:pPr>
                    <w:numPr>
                      <w:ilvl w:val="0"/>
                      <w:numId w:val="0"/>
                    </w:numPr>
                    <w:autoSpaceDE w:val="0"/>
                    <w:autoSpaceDN w:val="0"/>
                    <w:adjustRightInd w:val="0"/>
                    <w:snapToGrid w:val="0"/>
                    <w:ind w:left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5、重污染企业周边合理设置环境防护距离，保障居民生活环境的安全。</w:t>
                  </w:r>
                </w:p>
              </w:tc>
              <w:tc>
                <w:tcPr>
                  <w:tcW w:w="3008" w:type="dxa"/>
                  <w:noWrap w:val="0"/>
                  <w:vAlign w:val="center"/>
                </w:tcPr>
                <w:p w14:paraId="5C496061">
                  <w:pPr>
                    <w:autoSpaceDE w:val="0"/>
                    <w:autoSpaceDN w:val="0"/>
                    <w:adjustRightInd w:val="0"/>
                    <w:snapToGrid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1、根据《云南红塔产业园区总体规划</w:t>
                  </w:r>
                  <w:r>
                    <w:rPr>
                      <w:rFonts w:hint="eastAsia" w:cs="Times New Roman"/>
                      <w:color w:val="auto"/>
                      <w:sz w:val="21"/>
                      <w:szCs w:val="21"/>
                      <w:highlight w:val="none"/>
                      <w:lang w:eastAsia="zh-CN"/>
                    </w:rPr>
                    <w:t>修编</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2021—2035</w:t>
                  </w:r>
                  <w:r>
                    <w:rPr>
                      <w:rFonts w:hint="eastAsia" w:ascii="Times New Roman" w:hAnsi="Times New Roman" w:eastAsia="宋体" w:cs="Times New Roman"/>
                      <w:color w:val="auto"/>
                      <w:sz w:val="21"/>
                      <w:szCs w:val="21"/>
                      <w:highlight w:val="none"/>
                      <w:lang w:val="en-US" w:eastAsia="zh-CN"/>
                    </w:rPr>
                    <w:t>年</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环境影响报告书》</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本项目涉及岩溶发育区域</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本次评价要求项目危废暂存间</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柴油储罐区</w:t>
                  </w:r>
                  <w:r>
                    <w:rPr>
                      <w:rFonts w:hint="default" w:ascii="Times New Roman" w:hAnsi="Times New Roman" w:eastAsia="宋体" w:cs="Times New Roman"/>
                      <w:color w:val="auto"/>
                      <w:sz w:val="21"/>
                      <w:szCs w:val="21"/>
                      <w:highlight w:val="none"/>
                      <w:lang w:eastAsia="zh-CN"/>
                    </w:rPr>
                    <w:t>重点防渗，渗透系数≤10</w:t>
                  </w:r>
                  <w:r>
                    <w:rPr>
                      <w:rFonts w:hint="default" w:ascii="Times New Roman" w:hAnsi="Times New Roman" w:eastAsia="宋体" w:cs="Times New Roman"/>
                      <w:color w:val="auto"/>
                      <w:sz w:val="21"/>
                      <w:szCs w:val="21"/>
                      <w:highlight w:val="none"/>
                      <w:vertAlign w:val="superscript"/>
                      <w:lang w:eastAsia="zh-CN"/>
                    </w:rPr>
                    <w:t>-10</w:t>
                  </w:r>
                  <w:r>
                    <w:rPr>
                      <w:rFonts w:hint="default" w:ascii="Times New Roman" w:hAnsi="Times New Roman" w:eastAsia="宋体" w:cs="Times New Roman"/>
                      <w:color w:val="auto"/>
                      <w:sz w:val="21"/>
                      <w:szCs w:val="21"/>
                      <w:highlight w:val="none"/>
                      <w:lang w:eastAsia="zh-CN"/>
                    </w:rPr>
                    <w:t>cm/s</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隔油池、化粪池、初期雨水收集池、污水处理站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洗车沉淀池、生产区</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eastAsia="zh-CN"/>
                    </w:rPr>
                    <w:t>一般防渗，采取等效黏土防渗层Mb≥1.5m措施，渗透系数≤10</w:t>
                  </w:r>
                  <w:r>
                    <w:rPr>
                      <w:rFonts w:hint="default" w:ascii="Times New Roman" w:hAnsi="Times New Roman" w:eastAsia="宋体" w:cs="Times New Roman"/>
                      <w:color w:val="auto"/>
                      <w:sz w:val="21"/>
                      <w:szCs w:val="21"/>
                      <w:highlight w:val="none"/>
                      <w:vertAlign w:val="superscript"/>
                      <w:lang w:eastAsia="zh-CN"/>
                    </w:rPr>
                    <w:t>-7</w:t>
                  </w:r>
                  <w:r>
                    <w:rPr>
                      <w:rFonts w:hint="default" w:ascii="Times New Roman" w:hAnsi="Times New Roman" w:eastAsia="宋体" w:cs="Times New Roman"/>
                      <w:color w:val="auto"/>
                      <w:sz w:val="21"/>
                      <w:szCs w:val="21"/>
                      <w:highlight w:val="none"/>
                      <w:lang w:eastAsia="zh-CN"/>
                    </w:rPr>
                    <w:t>cm/s</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办公区、厂区道路、倒班宿舍区地面硬化</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为简单防渗区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原料堆棚加强防渗措施；2、本项目与</w:t>
                  </w:r>
                  <w:r>
                    <w:rPr>
                      <w:rFonts w:hint="eastAsia" w:ascii="Times New Roman" w:hAnsi="Times New Roman" w:eastAsia="宋体" w:cs="Times New Roman"/>
                      <w:color w:val="auto"/>
                      <w:sz w:val="21"/>
                      <w:szCs w:val="21"/>
                      <w:highlight w:val="none"/>
                      <w:lang w:val="en-US" w:eastAsia="zh-CN"/>
                    </w:rPr>
                    <w:t>最近</w:t>
                  </w:r>
                  <w:r>
                    <w:rPr>
                      <w:rFonts w:hint="default" w:ascii="Times New Roman" w:hAnsi="Times New Roman" w:eastAsia="宋体" w:cs="Times New Roman"/>
                      <w:color w:val="auto"/>
                      <w:sz w:val="21"/>
                      <w:szCs w:val="21"/>
                      <w:highlight w:val="none"/>
                      <w:lang w:eastAsia="zh-CN"/>
                    </w:rPr>
                    <w:t>周边村庄距离</w:t>
                  </w:r>
                  <w:r>
                    <w:rPr>
                      <w:rFonts w:hint="eastAsia" w:ascii="Times New Roman" w:hAnsi="Times New Roman" w:eastAsia="宋体" w:cs="Times New Roman"/>
                      <w:color w:val="auto"/>
                      <w:sz w:val="21"/>
                      <w:szCs w:val="21"/>
                      <w:highlight w:val="none"/>
                      <w:lang w:val="en-US" w:eastAsia="zh-CN"/>
                    </w:rPr>
                    <w:t>为800m</w:t>
                  </w:r>
                  <w:r>
                    <w:rPr>
                      <w:rFonts w:hint="default" w:ascii="Times New Roman" w:hAnsi="Times New Roman" w:eastAsia="宋体" w:cs="Times New Roman"/>
                      <w:color w:val="auto"/>
                      <w:sz w:val="21"/>
                      <w:szCs w:val="21"/>
                      <w:highlight w:val="none"/>
                      <w:lang w:eastAsia="zh-CN"/>
                    </w:rPr>
                    <w:t>，且本项目不涉及重大危险源；</w:t>
                  </w:r>
                </w:p>
                <w:p w14:paraId="657EA24A">
                  <w:pPr>
                    <w:numPr>
                      <w:ilvl w:val="0"/>
                      <w:numId w:val="0"/>
                    </w:numPr>
                    <w:autoSpaceDE w:val="0"/>
                    <w:autoSpaceDN w:val="0"/>
                    <w:adjustRightInd w:val="0"/>
                    <w:snapToGrid w:val="0"/>
                    <w:ind w:left="0" w:leftChars="0" w:firstLine="0" w:firstLineChars="0"/>
                    <w:jc w:val="left"/>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lang w:eastAsia="zh-CN"/>
                    </w:rPr>
                    <w:t>项目建成后，企业将及时编制应急预案。</w:t>
                  </w:r>
                </w:p>
                <w:p w14:paraId="4BC221F5">
                  <w:pPr>
                    <w:numPr>
                      <w:ilvl w:val="0"/>
                      <w:numId w:val="0"/>
                    </w:numPr>
                    <w:autoSpaceDE w:val="0"/>
                    <w:autoSpaceDN w:val="0"/>
                    <w:adjustRightInd w:val="0"/>
                    <w:snapToGrid w:val="0"/>
                    <w:ind w:leftChar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4、项目建成后，将根据应急预案完善、落实风险防范措施。</w:t>
                  </w:r>
                </w:p>
                <w:p w14:paraId="28652876">
                  <w:pPr>
                    <w:numPr>
                      <w:ilvl w:val="0"/>
                      <w:numId w:val="0"/>
                    </w:numPr>
                    <w:autoSpaceDE w:val="0"/>
                    <w:autoSpaceDN w:val="0"/>
                    <w:adjustRightInd w:val="0"/>
                    <w:snapToGrid w:val="0"/>
                    <w:ind w:left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5、本项目不属于重污染企业，各类污染物均能达标排放，可不设环境防护距离。</w:t>
                  </w:r>
                </w:p>
              </w:tc>
              <w:tc>
                <w:tcPr>
                  <w:tcW w:w="995" w:type="dxa"/>
                  <w:noWrap w:val="0"/>
                  <w:vAlign w:val="center"/>
                </w:tcPr>
                <w:p w14:paraId="0C26414B">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12FD0B62">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32"/>
                <w:highlight w:val="none"/>
                <w:lang w:eastAsia="zh-CN"/>
              </w:rPr>
            </w:pPr>
          </w:p>
          <w:p w14:paraId="24DFFE9C">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sz w:val="24"/>
                <w:szCs w:val="32"/>
                <w:highlight w:val="none"/>
                <w:lang w:eastAsia="zh-CN"/>
              </w:rPr>
              <w:t>（</w:t>
            </w:r>
            <w:r>
              <w:rPr>
                <w:rFonts w:hint="default" w:ascii="Times New Roman" w:hAnsi="Times New Roman" w:eastAsia="宋体" w:cs="Times New Roman"/>
                <w:b/>
                <w:bCs/>
                <w:color w:val="auto"/>
                <w:sz w:val="24"/>
                <w:szCs w:val="32"/>
                <w:highlight w:val="none"/>
                <w:lang w:val="en-US" w:eastAsia="zh-CN"/>
              </w:rPr>
              <w:t>3</w:t>
            </w:r>
            <w:r>
              <w:rPr>
                <w:rFonts w:hint="default" w:ascii="Times New Roman" w:hAnsi="Times New Roman" w:eastAsia="宋体" w:cs="Times New Roman"/>
                <w:b/>
                <w:bCs/>
                <w:color w:val="auto"/>
                <w:sz w:val="24"/>
                <w:szCs w:val="32"/>
                <w:highlight w:val="none"/>
                <w:lang w:eastAsia="zh-CN"/>
              </w:rPr>
              <w:t>）</w:t>
            </w:r>
            <w:r>
              <w:rPr>
                <w:rFonts w:hint="default" w:ascii="Times New Roman" w:hAnsi="Times New Roman" w:eastAsia="宋体" w:cs="Times New Roman"/>
                <w:b/>
                <w:bCs/>
                <w:color w:val="auto"/>
                <w:sz w:val="24"/>
                <w:szCs w:val="32"/>
                <w:highlight w:val="none"/>
                <w:lang w:val="en-US" w:eastAsia="zh-CN"/>
              </w:rPr>
              <w:t>与</w:t>
            </w:r>
            <w:r>
              <w:rPr>
                <w:rFonts w:hint="default" w:ascii="Times New Roman" w:hAnsi="Times New Roman" w:eastAsia="宋体" w:cs="Times New Roman"/>
                <w:b/>
                <w:bCs/>
                <w:color w:val="auto"/>
                <w:kern w:val="0"/>
                <w:sz w:val="24"/>
                <w:highlight w:val="none"/>
                <w:lang w:eastAsia="zh-CN"/>
              </w:rPr>
              <w:t>《云南红塔产业园区总体规划修编（</w:t>
            </w:r>
            <w:r>
              <w:rPr>
                <w:rFonts w:hint="default" w:ascii="Times New Roman" w:hAnsi="Times New Roman" w:eastAsia="宋体" w:cs="Times New Roman"/>
                <w:b/>
                <w:bCs/>
                <w:color w:val="auto"/>
                <w:kern w:val="0"/>
                <w:sz w:val="24"/>
                <w:highlight w:val="none"/>
                <w:lang w:val="en-US" w:eastAsia="zh-CN"/>
              </w:rPr>
              <w:t>2021-2035</w:t>
            </w:r>
            <w:r>
              <w:rPr>
                <w:rFonts w:hint="eastAsia" w:ascii="Times New Roman" w:hAnsi="Times New Roman" w:cs="Times New Roman"/>
                <w:b/>
                <w:bCs/>
                <w:color w:val="auto"/>
                <w:kern w:val="0"/>
                <w:sz w:val="24"/>
                <w:highlight w:val="none"/>
                <w:lang w:val="en-US" w:eastAsia="zh-CN"/>
              </w:rPr>
              <w:t>年）</w:t>
            </w:r>
            <w:r>
              <w:rPr>
                <w:rFonts w:hint="eastAsia" w:ascii="Times New Roman" w:hAnsi="Times New Roman" w:eastAsia="宋体" w:cs="Times New Roman"/>
                <w:b/>
                <w:bCs/>
                <w:color w:val="auto"/>
                <w:kern w:val="0"/>
                <w:sz w:val="24"/>
                <w:highlight w:val="none"/>
                <w:lang w:val="en-US" w:eastAsia="zh-CN"/>
              </w:rPr>
              <w:t>环境影响报告书</w:t>
            </w:r>
            <w:r>
              <w:rPr>
                <w:rFonts w:hint="default"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rPr>
              <w:t>审查意见</w:t>
            </w:r>
            <w:r>
              <w:rPr>
                <w:rFonts w:hint="default" w:ascii="Times New Roman" w:hAnsi="Times New Roman" w:eastAsia="宋体" w:cs="Times New Roman"/>
                <w:b/>
                <w:bCs/>
                <w:color w:val="auto"/>
                <w:kern w:val="0"/>
                <w:sz w:val="24"/>
                <w:highlight w:val="none"/>
                <w:lang w:val="en-US" w:eastAsia="zh-CN"/>
              </w:rPr>
              <w:t>符合性分析</w:t>
            </w:r>
          </w:p>
          <w:p w14:paraId="2DD616F5">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表1-</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 xml:space="preserve">  本建设项目与规划环评（20</w:t>
            </w:r>
            <w:r>
              <w:rPr>
                <w:rFonts w:hint="default" w:ascii="Times New Roman" w:hAnsi="Times New Roman" w:eastAsia="宋体" w:cs="Times New Roman"/>
                <w:color w:val="auto"/>
                <w:highlight w:val="none"/>
                <w:lang w:val="en-US" w:eastAsia="zh-CN"/>
              </w:rPr>
              <w:t>21</w:t>
            </w:r>
            <w:r>
              <w:rPr>
                <w:rFonts w:hint="default" w:ascii="Times New Roman" w:hAnsi="Times New Roman" w:eastAsia="宋体" w:cs="Times New Roman"/>
                <w:color w:val="auto"/>
                <w:highlight w:val="none"/>
              </w:rPr>
              <w:t>~20</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5年）审查意见符合性分析</w:t>
            </w:r>
          </w:p>
          <w:tbl>
            <w:tblPr>
              <w:tblStyle w:val="35"/>
              <w:tblW w:w="6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3177"/>
              <w:gridCol w:w="2130"/>
              <w:gridCol w:w="1080"/>
            </w:tblGrid>
            <w:tr w14:paraId="0F78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48" w:type="dxa"/>
                  <w:shd w:val="clear" w:color="auto" w:fill="D7D7D7" w:themeFill="background1" w:themeFillShade="D8"/>
                  <w:noWrap w:val="0"/>
                  <w:vAlign w:val="center"/>
                </w:tcPr>
                <w:p w14:paraId="0638E27B">
                  <w:pPr>
                    <w:autoSpaceDE w:val="0"/>
                    <w:autoSpaceDN w:val="0"/>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序号</w:t>
                  </w:r>
                </w:p>
              </w:tc>
              <w:tc>
                <w:tcPr>
                  <w:tcW w:w="3177" w:type="dxa"/>
                  <w:shd w:val="clear" w:color="auto" w:fill="D7D7D7" w:themeFill="background1" w:themeFillShade="D8"/>
                  <w:noWrap w:val="0"/>
                  <w:vAlign w:val="center"/>
                </w:tcPr>
                <w:p w14:paraId="55D0D93A">
                  <w:pPr>
                    <w:pStyle w:val="96"/>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规划环评审查意见提出的环保措施</w:t>
                  </w:r>
                </w:p>
              </w:tc>
              <w:tc>
                <w:tcPr>
                  <w:tcW w:w="2130" w:type="dxa"/>
                  <w:shd w:val="clear" w:color="auto" w:fill="D7D7D7" w:themeFill="background1" w:themeFillShade="D8"/>
                  <w:noWrap w:val="0"/>
                  <w:vAlign w:val="center"/>
                </w:tcPr>
                <w:p w14:paraId="24269979">
                  <w:pPr>
                    <w:pStyle w:val="96"/>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本建设项目情况</w:t>
                  </w:r>
                </w:p>
              </w:tc>
              <w:tc>
                <w:tcPr>
                  <w:tcW w:w="1080" w:type="dxa"/>
                  <w:shd w:val="clear" w:color="auto" w:fill="D7D7D7" w:themeFill="background1" w:themeFillShade="D8"/>
                  <w:noWrap w:val="0"/>
                  <w:vAlign w:val="center"/>
                </w:tcPr>
                <w:p w14:paraId="1CA368F2">
                  <w:pPr>
                    <w:pStyle w:val="96"/>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是否符合要求</w:t>
                  </w:r>
                </w:p>
              </w:tc>
            </w:tr>
            <w:tr w14:paraId="7DD6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5" w:hRule="atLeast"/>
              </w:trPr>
              <w:tc>
                <w:tcPr>
                  <w:tcW w:w="548" w:type="dxa"/>
                  <w:noWrap w:val="0"/>
                  <w:vAlign w:val="center"/>
                </w:tcPr>
                <w:p w14:paraId="7777EC7D">
                  <w:pPr>
                    <w:autoSpaceDE w:val="0"/>
                    <w:autoSpaceDN w:val="0"/>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1</w:t>
                  </w:r>
                </w:p>
              </w:tc>
              <w:tc>
                <w:tcPr>
                  <w:tcW w:w="3177" w:type="dxa"/>
                  <w:noWrap w:val="0"/>
                  <w:vAlign w:val="center"/>
                </w:tcPr>
                <w:p w14:paraId="4D1C8065">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加强《规划》引导，坚持绿色低碳高质量发展理念，结合生态环境分区管控要求，区域统筹保护好生态空间。落实国家、区域发展战略，坚持生态优先、集约高效，以生态环境质量改善为核心，做好与国土空间规划和“三线一  单”</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生态保护红线、环境质量底线、资源利用上线、生态环境准入清单</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生态环境分区管控体系的协调衔接，产业园区应与红塔区、峨山县“三区三线”充分衔接，符合“三区三线”规划管控要求。 按国家生态工业示范园区标准推进《规划》实施，进一步优化《规划》的布局和发展规模。</w:t>
                  </w:r>
                </w:p>
              </w:tc>
              <w:tc>
                <w:tcPr>
                  <w:tcW w:w="2130" w:type="dxa"/>
                  <w:noWrap w:val="0"/>
                  <w:vAlign w:val="center"/>
                </w:tcPr>
                <w:p w14:paraId="2091F766">
                  <w:pPr>
                    <w:autoSpaceDE w:val="0"/>
                    <w:autoSpaceDN w:val="0"/>
                    <w:adjustRightInd w:val="0"/>
                    <w:snapToGrid w:val="0"/>
                    <w:jc w:val="left"/>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rPr>
                    <w:t>项目符合产业政策，</w:t>
                  </w:r>
                  <w:r>
                    <w:rPr>
                      <w:rFonts w:hint="default" w:ascii="Times New Roman" w:hAnsi="Times New Roman" w:eastAsia="宋体" w:cs="Times New Roman"/>
                      <w:color w:val="auto"/>
                      <w:szCs w:val="21"/>
                      <w:highlight w:val="none"/>
                      <w:lang w:val="en-US" w:eastAsia="zh-CN"/>
                    </w:rPr>
                    <w:t>项目已取得入园证明（附件</w:t>
                  </w: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）。本项目位于</w:t>
                  </w:r>
                  <w:r>
                    <w:rPr>
                      <w:rFonts w:hint="eastAsia" w:ascii="Times New Roman" w:hAnsi="Times New Roman" w:eastAsia="宋体" w:cs="Times New Roman"/>
                      <w:color w:val="auto"/>
                      <w:szCs w:val="21"/>
                      <w:highlight w:val="none"/>
                      <w:lang w:val="en-US" w:eastAsia="zh-CN"/>
                    </w:rPr>
                    <w:t>云南</w:t>
                  </w:r>
                  <w:r>
                    <w:rPr>
                      <w:rFonts w:hint="default" w:ascii="Times New Roman" w:hAnsi="Times New Roman" w:eastAsia="宋体" w:cs="Times New Roman"/>
                      <w:color w:val="auto"/>
                      <w:szCs w:val="21"/>
                      <w:highlight w:val="none"/>
                      <w:lang w:val="en-US" w:eastAsia="zh-CN"/>
                    </w:rPr>
                    <w:t>红塔产业园区研和片区</w:t>
                  </w:r>
                  <w:r>
                    <w:rPr>
                      <w:rFonts w:hint="eastAsia" w:ascii="Times New Roman" w:hAnsi="Times New Roman" w:eastAsia="宋体" w:cs="Times New Roman"/>
                      <w:color w:val="auto"/>
                      <w:szCs w:val="21"/>
                      <w:highlight w:val="none"/>
                      <w:lang w:val="en-US" w:eastAsia="zh-CN"/>
                    </w:rPr>
                    <w:t>二地块，为工业用地，符合红塔区“三区三线”规划管控要求</w:t>
                  </w:r>
                  <w:r>
                    <w:rPr>
                      <w:rFonts w:hint="default" w:ascii="Times New Roman" w:hAnsi="Times New Roman" w:eastAsia="宋体" w:cs="Times New Roman"/>
                      <w:color w:val="auto"/>
                      <w:szCs w:val="21"/>
                      <w:highlight w:val="none"/>
                      <w:lang w:val="en-US" w:eastAsia="zh-CN"/>
                    </w:rPr>
                    <w:t>。</w:t>
                  </w:r>
                </w:p>
              </w:tc>
              <w:tc>
                <w:tcPr>
                  <w:tcW w:w="1080" w:type="dxa"/>
                  <w:noWrap w:val="0"/>
                  <w:vAlign w:val="center"/>
                </w:tcPr>
                <w:p w14:paraId="1AA8984E">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1006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548" w:type="dxa"/>
                  <w:noWrap w:val="0"/>
                  <w:vAlign w:val="center"/>
                </w:tcPr>
                <w:p w14:paraId="53AE2C06">
                  <w:pPr>
                    <w:autoSpaceDE w:val="0"/>
                    <w:autoSpaceDN w:val="0"/>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2</w:t>
                  </w:r>
                </w:p>
              </w:tc>
              <w:tc>
                <w:tcPr>
                  <w:tcW w:w="3177" w:type="dxa"/>
                  <w:noWrap w:val="0"/>
                  <w:vAlign w:val="center"/>
                </w:tcPr>
                <w:p w14:paraId="13B6D34F">
                  <w:pPr>
                    <w:pStyle w:val="90"/>
                    <w:spacing w:before="17" w:line="233" w:lineRule="auto"/>
                    <w:ind w:left="12" w:firstLine="106"/>
                    <w:rPr>
                      <w:rFonts w:hint="default" w:ascii="Times New Roman" w:hAnsi="Times New Roman" w:eastAsia="宋体" w:cs="Times New Roman"/>
                      <w:color w:val="auto"/>
                      <w:sz w:val="21"/>
                      <w:szCs w:val="21"/>
                      <w:highlight w:val="none"/>
                    </w:rPr>
                  </w:pPr>
                  <w:r>
                    <w:rPr>
                      <w:rFonts w:ascii="Times New Roman" w:hAnsi="Times New Roman"/>
                      <w:color w:val="auto"/>
                      <w:spacing w:val="-5"/>
                      <w:sz w:val="21"/>
                      <w:szCs w:val="21"/>
                      <w:highlight w:val="none"/>
                    </w:rPr>
                    <w:t>进一步优化空间布局，加</w:t>
                  </w:r>
                  <w:r>
                    <w:rPr>
                      <w:rFonts w:ascii="Times New Roman" w:hAnsi="Times New Roman"/>
                      <w:color w:val="auto"/>
                      <w:spacing w:val="-9"/>
                      <w:sz w:val="21"/>
                      <w:szCs w:val="21"/>
                      <w:highlight w:val="none"/>
                    </w:rPr>
                    <w:t>强空间管控，严格对环境敏感区的保护，</w:t>
                  </w:r>
                  <w:r>
                    <w:rPr>
                      <w:rFonts w:ascii="Times New Roman" w:hAnsi="Times New Roman"/>
                      <w:color w:val="auto"/>
                      <w:spacing w:val="1"/>
                      <w:sz w:val="21"/>
                      <w:szCs w:val="21"/>
                      <w:highlight w:val="none"/>
                    </w:rPr>
                    <w:t xml:space="preserve"> </w:t>
                  </w:r>
                  <w:r>
                    <w:rPr>
                      <w:rFonts w:ascii="Times New Roman" w:hAnsi="Times New Roman"/>
                      <w:color w:val="auto"/>
                      <w:spacing w:val="-4"/>
                      <w:sz w:val="21"/>
                      <w:szCs w:val="21"/>
                      <w:highlight w:val="none"/>
                    </w:rPr>
                    <w:t>严禁不符合管控要求的各类开发和建设</w:t>
                  </w:r>
                  <w:r>
                    <w:rPr>
                      <w:rFonts w:ascii="Times New Roman" w:hAnsi="Times New Roman"/>
                      <w:color w:val="auto"/>
                      <w:spacing w:val="8"/>
                      <w:sz w:val="21"/>
                      <w:szCs w:val="21"/>
                      <w:highlight w:val="none"/>
                    </w:rPr>
                    <w:t>活动。</w:t>
                  </w:r>
                </w:p>
                <w:p w14:paraId="39918FDB">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研和片区禁止布局有色金属冶炼行业。研和片区地块二和地块四、观音山地块位于岩溶含水层分布区，含水层天然防污性能弱，地下水环境较脆弱，在岩溶强发育、天窗、漏斗等分布区域禁止布局危险化学品仓储设施和涉及酸 洗、电镀等表面处理的工业项目等对地下水存在较大环境风险的设施。</w:t>
                  </w:r>
                </w:p>
                <w:p w14:paraId="34BCBB9A">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产业园区按《云南省人民政府办公厅关于推动落后和低端低效产能退出的实施意见》</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云政办发〔2022〕17号</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相关要求，依法依规关停退出能耗、环保、质量、安全不达标和落后、过剩产能，分行业有序退出“限制类”产能，钢铁等行业实施超低排放改造，鼓励发展短流程工艺，压减粗钢产能。工业用地与人口密集区、自然保护区、河流岸线等敏感区间应合理设置绿化隔离带，留出必要的防护距离，防控布局性环境风险。</w:t>
                  </w:r>
                </w:p>
              </w:tc>
              <w:tc>
                <w:tcPr>
                  <w:tcW w:w="2130" w:type="dxa"/>
                  <w:noWrap w:val="0"/>
                  <w:vAlign w:val="center"/>
                </w:tcPr>
                <w:p w14:paraId="763FFB08">
                  <w:pPr>
                    <w:pStyle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项目位于云南红塔产业园区研和片区大坡头原武警教导队地块，用地属于云南红塔产业园区研和片区</w:t>
                  </w:r>
                  <w:r>
                    <w:rPr>
                      <w:rFonts w:hint="eastAsia" w:ascii="Times New Roman" w:hAnsi="Times New Roman" w:eastAsia="宋体" w:cs="Times New Roman"/>
                      <w:color w:val="auto"/>
                      <w:sz w:val="21"/>
                      <w:szCs w:val="21"/>
                      <w:highlight w:val="none"/>
                      <w:lang w:val="en-US" w:eastAsia="zh-CN"/>
                    </w:rPr>
                    <w:t>二地块</w:t>
                  </w:r>
                  <w:r>
                    <w:rPr>
                      <w:rFonts w:hint="default" w:ascii="Times New Roman" w:hAnsi="Times New Roman" w:eastAsia="宋体" w:cs="Times New Roman"/>
                      <w:color w:val="auto"/>
                      <w:sz w:val="21"/>
                      <w:szCs w:val="21"/>
                      <w:highlight w:val="none"/>
                      <w:lang w:val="en-US" w:eastAsia="zh-CN"/>
                    </w:rPr>
                    <w:t>，本项目属于</w:t>
                  </w:r>
                  <w:r>
                    <w:rPr>
                      <w:rFonts w:hint="eastAsia" w:ascii="Times New Roman" w:hAnsi="Times New Roman" w:eastAsia="宋体" w:cs="Times New Roman"/>
                      <w:color w:val="auto"/>
                      <w:sz w:val="21"/>
                      <w:szCs w:val="21"/>
                      <w:highlight w:val="none"/>
                      <w:lang w:val="en-US" w:eastAsia="zh-CN"/>
                    </w:rPr>
                    <w:t>铁矿石加工和仓储项目，不属于有色金属冶炼行业</w:t>
                  </w:r>
                  <w:r>
                    <w:rPr>
                      <w:rFonts w:hint="default" w:ascii="Times New Roman" w:hAnsi="Times New Roman" w:eastAsia="宋体" w:cs="Times New Roman"/>
                      <w:color w:val="auto"/>
                      <w:sz w:val="21"/>
                      <w:szCs w:val="21"/>
                      <w:highlight w:val="none"/>
                      <w:lang w:val="en-US" w:eastAsia="zh-CN"/>
                    </w:rPr>
                    <w:t>，不涉及危险化学品仓储和污水处理等对地下水存在较大环境风险的设施。本项目不属于能耗、环保、质量、安全不达标和落后、过剩产能，不属于“限制类”产能；本次评价范围内不涉及人口密集区、自然保护区、河流岸线等敏感区；根据工程分析可知，在采取相应防治措施后，项目运营期大气污染物均能达标排放，且评价范围内不存在居民区，符合空间布局要求；项目运营期加强管理并积极落实有关防范措施后，环境风险处于可接受水平</w:t>
                  </w:r>
                  <w:r>
                    <w:rPr>
                      <w:rFonts w:hint="eastAsia" w:ascii="Times New Roman" w:hAnsi="Times New Roman" w:eastAsia="宋体" w:cs="Times New Roman"/>
                      <w:color w:val="auto"/>
                      <w:sz w:val="21"/>
                      <w:szCs w:val="21"/>
                      <w:highlight w:val="none"/>
                      <w:lang w:val="en-US" w:eastAsia="zh-CN"/>
                    </w:rPr>
                    <w:t>。</w:t>
                  </w:r>
                </w:p>
              </w:tc>
              <w:tc>
                <w:tcPr>
                  <w:tcW w:w="1080" w:type="dxa"/>
                  <w:noWrap w:val="0"/>
                  <w:vAlign w:val="center"/>
                </w:tcPr>
                <w:p w14:paraId="7FE236F0">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0CD0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4" w:hRule="atLeast"/>
              </w:trPr>
              <w:tc>
                <w:tcPr>
                  <w:tcW w:w="548" w:type="dxa"/>
                  <w:noWrap w:val="0"/>
                  <w:vAlign w:val="center"/>
                </w:tcPr>
                <w:p w14:paraId="75292A45">
                  <w:pPr>
                    <w:autoSpaceDE w:val="0"/>
                    <w:autoSpaceDN w:val="0"/>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3</w:t>
                  </w:r>
                </w:p>
              </w:tc>
              <w:tc>
                <w:tcPr>
                  <w:tcW w:w="3177" w:type="dxa"/>
                  <w:noWrap w:val="0"/>
                  <w:vAlign w:val="center"/>
                </w:tcPr>
                <w:p w14:paraId="059975D9">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严守环境质量底线，严格环境管控。根据“三线一单”、国家和云南 省有关大气污染防治行动的相关要求制定大气污染物总量管控要求，合理确定产业规模、布局、建设时序。采用先进的生产工艺路线、装备、清洁能源与 原料，从源头上控制污染物的产生。入驻企业要采用先进高效的污染防治措施，重点做好外排废气中颗粒物削减、 脱硫脱硝，挥发性有机物、异味等特征污染物的减排工作，大气污染物排放水  平应达到国内先进水平，必要时对规划区开发强度及布局产业规模进行控制， 重点行业建设项目应实行主要污染物区域削减。</w:t>
                  </w:r>
                </w:p>
                <w:p w14:paraId="632AAFF9">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高度重视规划区废水收集、处理、</w:t>
                  </w:r>
                </w:p>
                <w:p w14:paraId="688A1C55">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回用、排放的环境管理。规划区实施“雨污分流”,因地制宜建设初期雨水收集处理系统，配合红塔区等相关政府部门，加强玉溪大河等河道的水环境综合整治 与生态修复工程。加快推进污水处理厂再生水处理设施及配套管网建设和改造。区域水环境质量未达到水质目标前建设项目实行流域内主要污染物倍量削减，除城镇污水处理厂入河排污口外， 严格控制新设、改设或者扩大排污口。</w:t>
                  </w:r>
                  <w:r>
                    <w:rPr>
                      <w:rFonts w:hint="eastAsia" w:ascii="Times New Roman" w:hAnsi="Times New Roman" w:eastAsia="宋体" w:cs="Times New Roman"/>
                      <w:color w:val="auto"/>
                      <w:szCs w:val="21"/>
                      <w:highlight w:val="none"/>
                      <w:lang w:val="en-US" w:eastAsia="zh-CN"/>
                    </w:rPr>
                    <w:t>项</w:t>
                  </w:r>
                  <w:r>
                    <w:rPr>
                      <w:rFonts w:hint="default" w:ascii="Times New Roman" w:hAnsi="Times New Roman" w:eastAsia="宋体" w:cs="Times New Roman"/>
                      <w:color w:val="auto"/>
                      <w:szCs w:val="21"/>
                      <w:highlight w:val="none"/>
                    </w:rPr>
                    <w:t>目建设应充分考虑对地下水环境的影响，优化布局，严格水文地质、工程地质勘察，合理规避地下暗河及落水洞发育区，做好地下水污染防治和监控， 按相关规范要求采取针对性防渗措施。严格执行《地下水管理条例》中相关规定，在泉域保护范围以及岩溶强发育、 存在较多落水洞和岩溶漏斗的区域内不得新建、改建、扩建可能造成地下水   污染的建设项目，确保区域地下水安全。将土壤污染防治工作纳入规划区规划及相关环境保护规划，采取有效预防措施，防止、减少土壤污染。重视污染物通过大气</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土壤</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地下水等环境介质 跨相输送、迁移和累积过程及影响，确保满足土壤环境管控要求。</w:t>
                  </w:r>
                </w:p>
                <w:p w14:paraId="35C92C6D">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危险废物须按规定严格管控，积极推进工业固体废物综合利用，确实需要暂存或安全填埋处置的，暂存</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处置</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场的选址、建设必须按照相关要求严格落实污染防治措施。</w:t>
                  </w:r>
                </w:p>
              </w:tc>
              <w:tc>
                <w:tcPr>
                  <w:tcW w:w="2130" w:type="dxa"/>
                  <w:noWrap w:val="0"/>
                  <w:vAlign w:val="center"/>
                </w:tcPr>
                <w:p w14:paraId="72519F30">
                  <w:pPr>
                    <w:autoSpaceDE w:val="0"/>
                    <w:autoSpaceDN w:val="0"/>
                    <w:adjustRightInd w:val="0"/>
                    <w:snapToGrid w:val="0"/>
                    <w:jc w:val="left"/>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经工程分析可知，</w:t>
                  </w:r>
                  <w:r>
                    <w:rPr>
                      <w:rFonts w:hint="eastAsia" w:ascii="Times New Roman" w:hAnsi="Times New Roman" w:eastAsia="宋体" w:cs="Times New Roman"/>
                      <w:color w:val="auto"/>
                      <w:szCs w:val="21"/>
                      <w:highlight w:val="none"/>
                      <w:lang w:val="en-US" w:eastAsia="zh-CN"/>
                    </w:rPr>
                    <w:t>项目铁矿石加工</w:t>
                  </w:r>
                  <w:r>
                    <w:rPr>
                      <w:rFonts w:hint="default" w:ascii="Times New Roman" w:hAnsi="Times New Roman" w:eastAsia="宋体" w:cs="Times New Roman"/>
                      <w:color w:val="auto"/>
                      <w:szCs w:val="21"/>
                      <w:highlight w:val="none"/>
                      <w:lang w:eastAsia="zh-CN"/>
                    </w:rPr>
                    <w:t>过程中</w:t>
                  </w:r>
                  <w:r>
                    <w:rPr>
                      <w:rFonts w:hint="eastAsia" w:ascii="Times New Roman" w:hAnsi="Times New Roman" w:eastAsia="宋体" w:cs="Times New Roman"/>
                      <w:color w:val="auto"/>
                      <w:szCs w:val="21"/>
                      <w:highlight w:val="none"/>
                      <w:lang w:val="en-US" w:eastAsia="zh-CN"/>
                    </w:rPr>
                    <w:t>产生的有组织废气分别</w:t>
                  </w:r>
                  <w:r>
                    <w:rPr>
                      <w:rFonts w:hint="default" w:ascii="Times New Roman" w:hAnsi="Times New Roman" w:eastAsia="宋体" w:cs="Times New Roman"/>
                      <w:color w:val="auto"/>
                      <w:szCs w:val="21"/>
                      <w:highlight w:val="none"/>
                      <w:lang w:eastAsia="zh-CN"/>
                    </w:rPr>
                    <w:t>采取</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集气罩+布袋除尘</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处理</w:t>
                  </w:r>
                  <w:r>
                    <w:rPr>
                      <w:rFonts w:hint="default" w:ascii="Times New Roman" w:hAnsi="Times New Roman" w:eastAsia="宋体" w:cs="Times New Roman"/>
                      <w:color w:val="auto"/>
                      <w:szCs w:val="21"/>
                      <w:highlight w:val="none"/>
                      <w:lang w:eastAsia="zh-CN"/>
                    </w:rPr>
                    <w:t>措施后</w:t>
                  </w:r>
                  <w:r>
                    <w:rPr>
                      <w:rFonts w:hint="eastAsia" w:ascii="Times New Roman" w:hAnsi="Times New Roman" w:eastAsia="宋体" w:cs="Times New Roman"/>
                      <w:color w:val="auto"/>
                      <w:szCs w:val="21"/>
                      <w:highlight w:val="none"/>
                      <w:lang w:val="en-US" w:eastAsia="zh-CN"/>
                    </w:rPr>
                    <w:t>通过1根1</w:t>
                  </w:r>
                  <w:r>
                    <w:rPr>
                      <w:rFonts w:hint="eastAsia" w:cs="Times New Roman"/>
                      <w:color w:val="auto"/>
                      <w:szCs w:val="21"/>
                      <w:highlight w:val="none"/>
                      <w:lang w:val="en-US" w:eastAsia="zh-CN"/>
                    </w:rPr>
                    <w:t>6</w:t>
                  </w:r>
                  <w:r>
                    <w:rPr>
                      <w:rFonts w:hint="eastAsia" w:ascii="Times New Roman" w:hAnsi="Times New Roman" w:eastAsia="宋体" w:cs="Times New Roman"/>
                      <w:color w:val="auto"/>
                      <w:szCs w:val="21"/>
                      <w:highlight w:val="none"/>
                      <w:lang w:val="en-US" w:eastAsia="zh-CN"/>
                    </w:rPr>
                    <w:t>m高排气筒排放</w:t>
                  </w:r>
                  <w:r>
                    <w:rPr>
                      <w:rFonts w:hint="default"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无组织废气经喷淋装置定期洒水降尘后，经厂房隔绝、大气扩散呈无组织排放，根据计算分析</w:t>
                  </w:r>
                  <w:r>
                    <w:rPr>
                      <w:rFonts w:hint="default" w:ascii="Times New Roman" w:hAnsi="Times New Roman" w:eastAsia="宋体" w:cs="Times New Roman"/>
                      <w:color w:val="auto"/>
                      <w:szCs w:val="21"/>
                      <w:highlight w:val="none"/>
                      <w:lang w:eastAsia="zh-CN"/>
                    </w:rPr>
                    <w:t>项目产生的颗粒物能够达标排放，不会对周围环境产生较大影响；本项目已采取“雨污分流”措施，初期雨水经厂区雨水沟渠收集</w:t>
                  </w:r>
                  <w:r>
                    <w:rPr>
                      <w:rFonts w:hint="eastAsia" w:ascii="Times New Roman" w:hAnsi="Times New Roman" w:eastAsia="宋体" w:cs="Times New Roman"/>
                      <w:color w:val="auto"/>
                      <w:szCs w:val="21"/>
                      <w:highlight w:val="none"/>
                      <w:lang w:val="en-US" w:eastAsia="zh-CN"/>
                    </w:rPr>
                    <w:t>排入厂区南侧初期雨水池</w:t>
                  </w:r>
                  <w:r>
                    <w:rPr>
                      <w:rFonts w:hint="default" w:ascii="Times New Roman" w:hAnsi="Times New Roman" w:eastAsia="宋体" w:cs="Times New Roman"/>
                      <w:color w:val="auto"/>
                      <w:szCs w:val="21"/>
                      <w:highlight w:val="none"/>
                      <w:lang w:eastAsia="zh-CN"/>
                    </w:rPr>
                    <w:t>；非雨天道路及场地洒水降尘用水、非雨天</w:t>
                  </w:r>
                  <w:r>
                    <w:rPr>
                      <w:rFonts w:hint="eastAsia" w:cs="Times New Roman"/>
                      <w:color w:val="auto"/>
                      <w:szCs w:val="21"/>
                      <w:highlight w:val="none"/>
                      <w:lang w:val="en-US" w:eastAsia="zh-CN"/>
                    </w:rPr>
                    <w:t>场地</w:t>
                  </w:r>
                  <w:r>
                    <w:rPr>
                      <w:rFonts w:hint="default" w:ascii="Times New Roman" w:hAnsi="Times New Roman" w:eastAsia="宋体" w:cs="Times New Roman"/>
                      <w:color w:val="auto"/>
                      <w:szCs w:val="21"/>
                      <w:highlight w:val="none"/>
                      <w:lang w:eastAsia="zh-CN"/>
                    </w:rPr>
                    <w:t>洒水降尘用水、厂房内洒水降尘用水、下料口洒水降尘用水全部蒸发，生产过程</w:t>
                  </w:r>
                  <w:r>
                    <w:rPr>
                      <w:rFonts w:hint="eastAsia" w:cs="Times New Roman"/>
                      <w:color w:val="auto"/>
                      <w:szCs w:val="21"/>
                      <w:highlight w:val="none"/>
                      <w:lang w:val="en-US" w:eastAsia="zh-CN"/>
                    </w:rPr>
                    <w:t>洗车废水沉淀后回用</w:t>
                  </w:r>
                  <w:r>
                    <w:rPr>
                      <w:rFonts w:hint="default"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 w:val="21"/>
                      <w:szCs w:val="21"/>
                      <w:highlight w:val="none"/>
                      <w:lang w:val="en-US" w:eastAsia="zh-CN"/>
                    </w:rPr>
                    <w:t>项目生活污水经隔油池、化粪池预处理后进入一体化污水处理设施处理达标后晴天回用于厂区绿化，雨天暂存于中水池中</w:t>
                  </w:r>
                  <w:r>
                    <w:rPr>
                      <w:rFonts w:hint="default" w:ascii="Times New Roman" w:hAnsi="Times New Roman" w:eastAsia="宋体" w:cs="Times New Roman"/>
                      <w:color w:val="auto"/>
                      <w:szCs w:val="21"/>
                      <w:highlight w:val="none"/>
                      <w:lang w:eastAsia="zh-CN"/>
                    </w:rPr>
                    <w:t>。本项目无废水外排，在采取本次评价中所提出的污染防范措施并加强管理后，可有效减少土壤及地下水环境</w:t>
                  </w:r>
                  <w:r>
                    <w:rPr>
                      <w:rFonts w:hint="eastAsia" w:cs="Times New Roman"/>
                      <w:color w:val="auto"/>
                      <w:szCs w:val="21"/>
                      <w:highlight w:val="none"/>
                      <w:lang w:eastAsia="zh-CN"/>
                    </w:rPr>
                    <w:t>受到</w:t>
                  </w:r>
                  <w:r>
                    <w:rPr>
                      <w:rFonts w:hint="default" w:ascii="Times New Roman" w:hAnsi="Times New Roman" w:eastAsia="宋体" w:cs="Times New Roman"/>
                      <w:color w:val="auto"/>
                      <w:szCs w:val="21"/>
                      <w:highlight w:val="none"/>
                      <w:lang w:eastAsia="zh-CN"/>
                    </w:rPr>
                    <w:t>影响。项目用地范围内涉及岩溶地区，符合文件要求。</w:t>
                  </w:r>
                </w:p>
                <w:p w14:paraId="1BCC3A1A">
                  <w:pPr>
                    <w:autoSpaceDE w:val="0"/>
                    <w:autoSpaceDN w:val="0"/>
                    <w:adjustRightInd w:val="0"/>
                    <w:snapToGrid w:val="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本项目运营期产生的废机油及</w:t>
                  </w:r>
                  <w:r>
                    <w:rPr>
                      <w:rFonts w:hint="eastAsia" w:ascii="Times New Roman" w:hAnsi="Times New Roman" w:eastAsia="宋体" w:cs="Times New Roman"/>
                      <w:color w:val="auto"/>
                      <w:szCs w:val="21"/>
                      <w:highlight w:val="none"/>
                      <w:lang w:val="en-US" w:eastAsia="zh-CN"/>
                    </w:rPr>
                    <w:t>废</w:t>
                  </w:r>
                  <w:r>
                    <w:rPr>
                      <w:rFonts w:hint="default" w:ascii="Times New Roman" w:hAnsi="Times New Roman" w:eastAsia="宋体" w:cs="Times New Roman"/>
                      <w:color w:val="auto"/>
                      <w:szCs w:val="21"/>
                      <w:highlight w:val="none"/>
                      <w:lang w:eastAsia="zh-CN"/>
                    </w:rPr>
                    <w:t>油桶严格按照《危险废物贮存污染控制标准》</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GB18597-2023</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要求</w:t>
                  </w:r>
                  <w:r>
                    <w:rPr>
                      <w:rFonts w:hint="eastAsia" w:ascii="Times New Roman" w:hAnsi="Times New Roman" w:eastAsia="宋体" w:cs="Times New Roman"/>
                      <w:color w:val="auto"/>
                      <w:szCs w:val="21"/>
                      <w:highlight w:val="none"/>
                      <w:lang w:val="en-US" w:eastAsia="zh-CN"/>
                    </w:rPr>
                    <w:t>分区</w:t>
                  </w:r>
                  <w:r>
                    <w:rPr>
                      <w:rFonts w:hint="default" w:ascii="Times New Roman" w:hAnsi="Times New Roman" w:eastAsia="宋体" w:cs="Times New Roman"/>
                      <w:color w:val="auto"/>
                      <w:szCs w:val="21"/>
                      <w:highlight w:val="none"/>
                      <w:lang w:eastAsia="zh-CN"/>
                    </w:rPr>
                    <w:t>暂存于危废暂存间内，交由有资质单位清运处置</w:t>
                  </w:r>
                  <w:r>
                    <w:rPr>
                      <w:rFonts w:hint="eastAsia" w:ascii="Times New Roman" w:hAnsi="Times New Roman" w:eastAsia="宋体" w:cs="Times New Roman"/>
                      <w:color w:val="auto"/>
                      <w:szCs w:val="21"/>
                      <w:highlight w:val="none"/>
                      <w:lang w:eastAsia="zh-CN"/>
                    </w:rPr>
                    <w:t>。</w:t>
                  </w:r>
                </w:p>
              </w:tc>
              <w:tc>
                <w:tcPr>
                  <w:tcW w:w="1080" w:type="dxa"/>
                  <w:noWrap w:val="0"/>
                  <w:vAlign w:val="center"/>
                </w:tcPr>
                <w:p w14:paraId="55B613BF">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3128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trPr>
              <w:tc>
                <w:tcPr>
                  <w:tcW w:w="548" w:type="dxa"/>
                  <w:noWrap w:val="0"/>
                  <w:vAlign w:val="center"/>
                </w:tcPr>
                <w:p w14:paraId="4921793D">
                  <w:pPr>
                    <w:autoSpaceDE w:val="0"/>
                    <w:autoSpaceDN w:val="0"/>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4</w:t>
                  </w:r>
                </w:p>
              </w:tc>
              <w:tc>
                <w:tcPr>
                  <w:tcW w:w="3177" w:type="dxa"/>
                  <w:noWrap w:val="0"/>
                  <w:vAlign w:val="center"/>
                </w:tcPr>
                <w:p w14:paraId="5E5BABBC">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严格执行环境准入要求，加强入</w:t>
                  </w:r>
                </w:p>
                <w:p w14:paraId="3EF9A076">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园项目生态环境准入管理。落实</w:t>
                  </w:r>
                  <w:r>
                    <w:rPr>
                      <w:rFonts w:hint="eastAsia" w:cs="Times New Roman"/>
                      <w:color w:val="auto"/>
                      <w:szCs w:val="21"/>
                      <w:highlight w:val="none"/>
                      <w:lang w:eastAsia="zh-CN"/>
                    </w:rPr>
                    <w:t>蓝天、碧水、净土保卫战</w:t>
                  </w:r>
                  <w:r>
                    <w:rPr>
                      <w:rFonts w:hint="default" w:ascii="Times New Roman" w:hAnsi="Times New Roman" w:eastAsia="宋体" w:cs="Times New Roman"/>
                      <w:color w:val="auto"/>
                      <w:szCs w:val="21"/>
                      <w:highlight w:val="none"/>
                    </w:rPr>
                    <w:t>有关管控要求，加强“两高”行业生态环境源头防控，引进项目的生产工艺、设备、污染物排放和资源利用等，应达到清洁生产国内先进水平。推进技术研发型、创新型产业发展， 提升产业的技术水平和规划区的绿色低碳化水平。规划区招商引资、入园项目环评审批应严格执行生态环境准入要求。要以规划区的资源环境承载能力为基础，充分论证、有序发展，严禁引进工艺装备落后，不符合污染物排放总量控制要求的企业。</w:t>
                  </w:r>
                </w:p>
              </w:tc>
              <w:tc>
                <w:tcPr>
                  <w:tcW w:w="2130" w:type="dxa"/>
                  <w:noWrap w:val="0"/>
                  <w:vAlign w:val="center"/>
                </w:tcPr>
                <w:p w14:paraId="14F5645C">
                  <w:pPr>
                    <w:autoSpaceDE w:val="0"/>
                    <w:autoSpaceDN w:val="0"/>
                    <w:adjustRightInd w:val="0"/>
                    <w:snapToGrid w:val="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本项目不属于“两高”行业，满足园区生态环境准入清单中相关要求；项目生产工艺及设备均满足清洁生产要求；根据环境质量现状分析，项目评价范围内有一定的环境容量和承载力；本项目不属于工艺装备落后企业，在采取本次评价所提出的防治措施后，污染物的排放符合总量控制要求。</w:t>
                  </w:r>
                </w:p>
              </w:tc>
              <w:tc>
                <w:tcPr>
                  <w:tcW w:w="1080" w:type="dxa"/>
                  <w:noWrap w:val="0"/>
                  <w:vAlign w:val="center"/>
                </w:tcPr>
                <w:p w14:paraId="06EC17E3">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1EAC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trPr>
              <w:tc>
                <w:tcPr>
                  <w:tcW w:w="548" w:type="dxa"/>
                  <w:noWrap w:val="0"/>
                  <w:vAlign w:val="center"/>
                </w:tcPr>
                <w:p w14:paraId="4890EE4D">
                  <w:pPr>
                    <w:autoSpaceDE w:val="0"/>
                    <w:autoSpaceDN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c>
                <w:tcPr>
                  <w:tcW w:w="3177" w:type="dxa"/>
                  <w:noWrap w:val="0"/>
                  <w:vAlign w:val="center"/>
                </w:tcPr>
                <w:p w14:paraId="2D909E7D">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建立健全区域环境风险防范和生</w:t>
                  </w:r>
                </w:p>
                <w:p w14:paraId="5CE987F0">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态安全保障体系。加强园区内易导致环境风险的有毒有害和易燃易爆物质的生产、使用、贮运等管理，统筹考虑污染防治、生态恢复与建设、环境风险防范、 环境管理等事宜；强化园区危险化学品储运的环境风险管理，制定建立厂区、 园区、区域三级防控措施，强化环境监测与预警能力建设、环境风险应急与防范措施，建立应急响应联动机制和风险   防控体系并编制应急预案，防范环境风险，避免事故废水排入园区外水体，保障区域环境安全。</w:t>
                  </w:r>
                </w:p>
              </w:tc>
              <w:tc>
                <w:tcPr>
                  <w:tcW w:w="2130" w:type="dxa"/>
                  <w:noWrap w:val="0"/>
                  <w:vAlign w:val="center"/>
                </w:tcPr>
                <w:p w14:paraId="52EBFEFA">
                  <w:pPr>
                    <w:autoSpaceDE w:val="0"/>
                    <w:autoSpaceDN w:val="0"/>
                    <w:adjustRightInd w:val="0"/>
                    <w:snapToGrid w:val="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本项目涉及的有毒有害物质和易燃易爆危险物质为废机油</w:t>
                  </w:r>
                  <w:r>
                    <w:rPr>
                      <w:rFonts w:hint="eastAsia" w:ascii="Times New Roman" w:hAnsi="Times New Roman" w:eastAsia="宋体" w:cs="Times New Roman"/>
                      <w:color w:val="auto"/>
                      <w:szCs w:val="21"/>
                      <w:highlight w:val="none"/>
                      <w:lang w:val="en-US" w:eastAsia="zh-CN"/>
                    </w:rPr>
                    <w:t>和柴油</w:t>
                  </w:r>
                  <w:r>
                    <w:rPr>
                      <w:rFonts w:hint="default" w:ascii="Times New Roman" w:hAnsi="Times New Roman" w:eastAsia="宋体" w:cs="Times New Roman"/>
                      <w:color w:val="auto"/>
                      <w:szCs w:val="21"/>
                      <w:highlight w:val="none"/>
                      <w:lang w:val="en-US" w:eastAsia="zh-CN"/>
                    </w:rPr>
                    <w:t>，在采取本次评价所提出的污染防范措施并加强管理后，环境风险处于可接受水平；项目建成后，企业将及时编制应急预案，将项目涉及的环境风险及时纳入应急预案，并向所在地生态环境主管部门备案，同时报应急管理、交通运输等相关部门。</w:t>
                  </w:r>
                </w:p>
              </w:tc>
              <w:tc>
                <w:tcPr>
                  <w:tcW w:w="1080" w:type="dxa"/>
                  <w:noWrap w:val="0"/>
                  <w:vAlign w:val="center"/>
                </w:tcPr>
                <w:p w14:paraId="2C6B3171">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155E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4" w:hRule="atLeast"/>
              </w:trPr>
              <w:tc>
                <w:tcPr>
                  <w:tcW w:w="548" w:type="dxa"/>
                  <w:noWrap w:val="0"/>
                  <w:vAlign w:val="center"/>
                </w:tcPr>
                <w:p w14:paraId="392734B0">
                  <w:pPr>
                    <w:autoSpaceDE w:val="0"/>
                    <w:autoSpaceDN w:val="0"/>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6</w:t>
                  </w:r>
                </w:p>
              </w:tc>
              <w:tc>
                <w:tcPr>
                  <w:tcW w:w="3177" w:type="dxa"/>
                  <w:noWrap w:val="0"/>
                  <w:vAlign w:val="center"/>
                </w:tcPr>
                <w:p w14:paraId="71B5759E">
                  <w:pPr>
                    <w:autoSpaceDE w:val="0"/>
                    <w:autoSpaceDN w:val="0"/>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拟入区建设项目，应结合规划环评提出的指导意见做好环境影响评价工作，落实相关要求，加强与规划环评的联动，严格项目生态环境准入条件，重点开展工程分析、污染物允许排放量测算和环保措施、固体废物综合利用途径及危险废物处理处置措施的可行性论证等工作，强化环境保护相关措施的落实规划环评中协调性分析、环境现状、污染源调查等符合要求的资料可供建设项 目环评共享，项目环评相应评价内容可结合实际情况予以简化。</w:t>
                  </w:r>
                </w:p>
              </w:tc>
              <w:tc>
                <w:tcPr>
                  <w:tcW w:w="2130" w:type="dxa"/>
                  <w:noWrap w:val="0"/>
                  <w:vAlign w:val="center"/>
                </w:tcPr>
                <w:p w14:paraId="09F9967E">
                  <w:pPr>
                    <w:autoSpaceDE w:val="0"/>
                    <w:autoSpaceDN w:val="0"/>
                    <w:adjustRightInd w:val="0"/>
                    <w:snapToGrid w:val="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项目无废水外排，本次评价已针对大气污染物排放量进行测算，并已论证环保措施、固体废物综合利用途径及危险废物处理处置措施的可行性，已根据相关规范 制定自行监测计划，已强化运营期产生的各污染物提出防治措施。</w:t>
                  </w:r>
                </w:p>
              </w:tc>
              <w:tc>
                <w:tcPr>
                  <w:tcW w:w="1080" w:type="dxa"/>
                  <w:noWrap w:val="0"/>
                  <w:vAlign w:val="center"/>
                </w:tcPr>
                <w:p w14:paraId="04B80BCF">
                  <w:pPr>
                    <w:autoSpaceDE w:val="0"/>
                    <w:autoSpaceDN w:val="0"/>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14:paraId="73F0BF84">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firstLine="480" w:firstLineChars="200"/>
              <w:jc w:val="both"/>
              <w:textAlignment w:val="auto"/>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rPr>
              <w:t>根据上表，项目与园区规划环评审查意见相符</w:t>
            </w:r>
            <w:r>
              <w:rPr>
                <w:rFonts w:hint="default" w:ascii="Times New Roman" w:hAnsi="Times New Roman" w:eastAsia="宋体" w:cs="Times New Roman"/>
                <w:color w:val="auto"/>
                <w:sz w:val="24"/>
                <w:szCs w:val="32"/>
                <w:highlight w:val="none"/>
                <w:lang w:eastAsia="zh-CN"/>
              </w:rPr>
              <w:t>。</w:t>
            </w:r>
          </w:p>
          <w:p w14:paraId="4EA3D049">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0D8EEF87">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3D0922B1">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1DDB2BFA">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4390DDD8">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021B968A">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571AF434">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2EA83870">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12878856">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5AA2378A">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522CB2DE">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5DFA641C">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4109FF06">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393F9638">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39790830">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1ED0C1AF">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5E48137A">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7DF0D488">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7C15E834">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76D89E1D">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3A590132">
            <w:pPr>
              <w:pStyle w:val="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b/>
                <w:bCs/>
                <w:color w:val="auto"/>
                <w:kern w:val="0"/>
                <w:sz w:val="24"/>
                <w:highlight w:val="none"/>
              </w:rPr>
            </w:pPr>
          </w:p>
          <w:p w14:paraId="4162D597">
            <w:pPr>
              <w:pStyle w:val="44"/>
              <w:keepNext w:val="0"/>
              <w:keepLines w:val="0"/>
              <w:pageBreakBefore w:val="0"/>
              <w:widowControl w:val="0"/>
              <w:numPr>
                <w:ilvl w:val="0"/>
                <w:numId w:val="0"/>
              </w:numPr>
              <w:kinsoku/>
              <w:wordWrap/>
              <w:overflowPunct/>
              <w:topLinePunct w:val="0"/>
              <w:autoSpaceDE/>
              <w:autoSpaceDN/>
              <w:bidi w:val="0"/>
              <w:adjustRightInd w:val="0"/>
              <w:snapToGrid w:val="0"/>
              <w:spacing w:before="160" w:beforeLines="50" w:line="360" w:lineRule="auto"/>
              <w:jc w:val="both"/>
              <w:textAlignment w:val="auto"/>
              <w:rPr>
                <w:rFonts w:hint="eastAsia" w:ascii="Times New Roman" w:hAnsi="Times New Roman"/>
                <w:color w:val="auto"/>
                <w:kern w:val="0"/>
                <w:sz w:val="24"/>
                <w:highlight w:val="none"/>
              </w:rPr>
            </w:pPr>
          </w:p>
        </w:tc>
      </w:tr>
      <w:tr w14:paraId="6C1AE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49" w:type="dxa"/>
            <w:noWrap w:val="0"/>
            <w:vAlign w:val="center"/>
          </w:tcPr>
          <w:p w14:paraId="3F43FA62">
            <w:pPr>
              <w:autoSpaceDE w:val="0"/>
              <w:autoSpaceDN w:val="0"/>
              <w:adjustRightInd w:val="0"/>
              <w:snapToGrid w:val="0"/>
              <w:jc w:val="center"/>
              <w:rPr>
                <w:rFonts w:ascii="Times New Roman" w:hAnsi="Times New Roman"/>
                <w:color w:val="auto"/>
                <w:kern w:val="0"/>
                <w:sz w:val="24"/>
                <w:highlight w:val="none"/>
              </w:rPr>
            </w:pPr>
            <w:r>
              <w:rPr>
                <w:rFonts w:ascii="Times New Roman" w:hAnsi="Times New Roman"/>
                <w:color w:val="auto"/>
                <w:kern w:val="0"/>
                <w:sz w:val="24"/>
                <w:highlight w:val="none"/>
              </w:rPr>
              <w:t>其他符合性分析</w:t>
            </w:r>
          </w:p>
        </w:tc>
        <w:tc>
          <w:tcPr>
            <w:tcW w:w="7142" w:type="dxa"/>
            <w:gridSpan w:val="3"/>
            <w:noWrap w:val="0"/>
            <w:vAlign w:val="center"/>
          </w:tcPr>
          <w:p w14:paraId="2CCE0EAA">
            <w:pPr>
              <w:keepNext/>
              <w:keepLines/>
              <w:adjustRightInd w:val="0"/>
              <w:snapToGrid w:val="0"/>
              <w:spacing w:line="360" w:lineRule="auto"/>
              <w:outlineLvl w:val="2"/>
              <w:rPr>
                <w:rFonts w:hint="eastAsia" w:ascii="Times New Roman" w:hAnsi="Times New Roman" w:eastAsia="宋体" w:cs="宋体"/>
                <w:b/>
                <w:bCs/>
                <w:color w:val="auto"/>
                <w:kern w:val="0"/>
                <w:sz w:val="24"/>
                <w:highlight w:val="none"/>
                <w:lang w:val="zh-CN"/>
              </w:rPr>
            </w:pPr>
            <w:bookmarkStart w:id="2" w:name="_Toc137737890"/>
            <w:r>
              <w:rPr>
                <w:rFonts w:hint="eastAsia" w:ascii="Times New Roman" w:hAnsi="Times New Roman" w:eastAsia="宋体" w:cs="宋体"/>
                <w:b/>
                <w:bCs/>
                <w:color w:val="auto"/>
                <w:kern w:val="0"/>
                <w:sz w:val="24"/>
                <w:highlight w:val="none"/>
              </w:rPr>
              <w:t>1、项目产业政策符合性分析</w:t>
            </w:r>
            <w:bookmarkEnd w:id="2"/>
          </w:p>
          <w:p w14:paraId="679B0D9C">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w:t>
            </w:r>
            <w:r>
              <w:rPr>
                <w:rFonts w:hint="default" w:ascii="Times New Roman" w:hAnsi="Times New Roman" w:eastAsia="宋体" w:cs="Times New Roman"/>
                <w:color w:val="auto"/>
                <w:kern w:val="0"/>
                <w:sz w:val="24"/>
                <w:szCs w:val="24"/>
                <w:highlight w:val="none"/>
                <w:lang w:val="en-US" w:eastAsia="zh-CN"/>
              </w:rPr>
              <w:t>的</w:t>
            </w:r>
            <w:r>
              <w:rPr>
                <w:rFonts w:hint="default" w:ascii="Times New Roman" w:hAnsi="Times New Roman" w:eastAsia="宋体" w:cs="Times New Roman"/>
                <w:color w:val="auto"/>
                <w:sz w:val="24"/>
                <w:highlight w:val="none"/>
                <w:lang w:val="en-US"/>
              </w:rPr>
              <w:t>建设项目行业类别属于</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0810铁矿采选</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分类管理名录类别为“</w:t>
            </w:r>
            <w:r>
              <w:rPr>
                <w:rFonts w:ascii="Times New Roman" w:hAnsi="Times New Roman" w:eastAsia="宋体"/>
                <w:color w:val="auto"/>
                <w:sz w:val="24"/>
                <w:highlight w:val="none"/>
              </w:rPr>
              <w:t>六，黑色金属矿采选业9，单独的矿石破碎、集运</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kern w:val="0"/>
                <w:sz w:val="24"/>
                <w:szCs w:val="24"/>
                <w:highlight w:val="none"/>
              </w:rPr>
              <w:t>根据《产业结构调整指导目录》（</w:t>
            </w:r>
            <w:r>
              <w:rPr>
                <w:rFonts w:hint="eastAsia" w:ascii="Times New Roman" w:hAnsi="Times New Roman" w:eastAsia="宋体" w:cs="Times New Roman"/>
                <w:color w:val="auto"/>
                <w:kern w:val="0"/>
                <w:sz w:val="24"/>
                <w:szCs w:val="24"/>
                <w:highlight w:val="none"/>
                <w:lang w:val="en-US" w:eastAsia="zh-CN"/>
              </w:rPr>
              <w:t>2024年版</w:t>
            </w:r>
            <w:r>
              <w:rPr>
                <w:rFonts w:hint="default" w:ascii="Times New Roman" w:hAnsi="Times New Roman" w:eastAsia="宋体" w:cs="Times New Roman"/>
                <w:color w:val="auto"/>
                <w:kern w:val="0"/>
                <w:sz w:val="24"/>
                <w:szCs w:val="24"/>
                <w:highlight w:val="none"/>
              </w:rPr>
              <w:t>）判定，项目不属于鼓励类、限制类和淘汰类。</w:t>
            </w:r>
            <w:r>
              <w:rPr>
                <w:rFonts w:hint="default" w:ascii="Times New Roman" w:hAnsi="Times New Roman" w:eastAsia="宋体" w:cs="Times New Roman"/>
                <w:color w:val="auto"/>
                <w:kern w:val="0"/>
                <w:sz w:val="24"/>
                <w:szCs w:val="24"/>
                <w:highlight w:val="none"/>
                <w:lang w:eastAsia="zh-CN"/>
              </w:rPr>
              <w:t>根据国务院《促进产业结构调整暂行规定》（国发〔2005〕40号），第十三条</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不属于鼓励类、限制类及淘汰类，且符合国家有关</w:t>
            </w:r>
            <w:r>
              <w:rPr>
                <w:rFonts w:hint="eastAsia" w:ascii="Times New Roman" w:hAnsi="Times New Roman" w:cs="Times New Roman"/>
                <w:color w:val="auto"/>
                <w:kern w:val="0"/>
                <w:sz w:val="24"/>
                <w:szCs w:val="24"/>
                <w:highlight w:val="none"/>
                <w:lang w:eastAsia="zh-CN"/>
              </w:rPr>
              <w:t>法律法规</w:t>
            </w:r>
            <w:r>
              <w:rPr>
                <w:rFonts w:hint="default" w:ascii="Times New Roman" w:hAnsi="Times New Roman" w:eastAsia="宋体" w:cs="Times New Roman"/>
                <w:color w:val="auto"/>
                <w:kern w:val="0"/>
                <w:sz w:val="24"/>
                <w:szCs w:val="24"/>
                <w:highlight w:val="none"/>
                <w:lang w:eastAsia="zh-CN"/>
              </w:rPr>
              <w:t>和政策规定的，为允许类</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项目于202</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年</w:t>
            </w:r>
            <w:r>
              <w:rPr>
                <w:rFonts w:hint="eastAsia"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rPr>
              <w:t>月</w:t>
            </w:r>
            <w:r>
              <w:rPr>
                <w:rFonts w:hint="eastAsia"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rPr>
              <w:t>日取得了</w:t>
            </w:r>
            <w:r>
              <w:rPr>
                <w:rFonts w:hint="eastAsia" w:ascii="Times New Roman" w:hAnsi="Times New Roman" w:eastAsia="宋体" w:cs="Times New Roman"/>
                <w:color w:val="auto"/>
                <w:kern w:val="0"/>
                <w:sz w:val="24"/>
                <w:szCs w:val="24"/>
                <w:highlight w:val="none"/>
                <w:lang w:val="en-US" w:eastAsia="zh-CN"/>
              </w:rPr>
              <w:t>红塔区</w:t>
            </w:r>
            <w:r>
              <w:rPr>
                <w:rFonts w:hint="default" w:ascii="Times New Roman" w:hAnsi="Times New Roman" w:eastAsia="宋体" w:cs="Times New Roman"/>
                <w:color w:val="auto"/>
                <w:kern w:val="0"/>
                <w:sz w:val="24"/>
                <w:szCs w:val="24"/>
                <w:highlight w:val="none"/>
              </w:rPr>
              <w:t>发展和改革局出具的《投资项目备案证》，项目代码为：2509-530402-04-01-419818，因此项目建设符合国家现行的产业政策。</w:t>
            </w:r>
          </w:p>
          <w:p w14:paraId="57CD8D13">
            <w:pPr>
              <w:keepNext/>
              <w:keepLines/>
              <w:adjustRightInd w:val="0"/>
              <w:snapToGrid w:val="0"/>
              <w:spacing w:line="360" w:lineRule="auto"/>
              <w:outlineLvl w:val="2"/>
              <w:rPr>
                <w:rFonts w:hint="default"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lang w:val="en-US" w:eastAsia="zh-CN"/>
              </w:rPr>
              <w:t>2</w:t>
            </w:r>
            <w:r>
              <w:rPr>
                <w:rFonts w:hint="default" w:ascii="Times New Roman" w:hAnsi="Times New Roman" w:eastAsia="宋体" w:cs="宋体"/>
                <w:b/>
                <w:bCs/>
                <w:color w:val="auto"/>
                <w:kern w:val="0"/>
                <w:sz w:val="24"/>
                <w:highlight w:val="none"/>
                <w:lang w:eastAsia="zh-CN"/>
              </w:rPr>
              <w:t>、</w:t>
            </w:r>
            <w:r>
              <w:rPr>
                <w:rFonts w:hint="default" w:ascii="Times New Roman" w:hAnsi="Times New Roman" w:eastAsia="宋体" w:cs="宋体"/>
                <w:b/>
                <w:bCs/>
                <w:color w:val="auto"/>
                <w:kern w:val="0"/>
                <w:sz w:val="24"/>
                <w:highlight w:val="none"/>
              </w:rPr>
              <w:t>与《玉溪市生态环境局关于印发玉溪市生态环境分区管控动态更新调整方案(2023年)的通知》符合性分析</w:t>
            </w:r>
          </w:p>
          <w:p w14:paraId="6CEFC30C">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2021年12月6日，玉溪市人民政府发布了“关于印发玉溪市“三线一单”生态环境分区管控实施意见的通知” （玉政发〔2021〕15号）。</w:t>
            </w:r>
            <w:r>
              <w:rPr>
                <w:rFonts w:hint="eastAsia" w:ascii="Times New Roman" w:hAnsi="Times New Roman" w:eastAsia="宋体"/>
                <w:color w:val="auto"/>
                <w:sz w:val="24"/>
                <w:szCs w:val="24"/>
                <w:highlight w:val="none"/>
                <w:lang w:val="en-US" w:eastAsia="zh-CN"/>
              </w:rPr>
              <w:t>2024年6月7日玉溪市生态环境局印发《玉溪市生态环境分区管控动态更新调整方案（2023年）》（玉市环〔2024〕40号）</w:t>
            </w:r>
            <w:r>
              <w:rPr>
                <w:rFonts w:hint="eastAsia" w:ascii="Times New Roman" w:hAnsi="Times New Roman" w:eastAsia="宋体"/>
                <w:color w:val="auto"/>
                <w:sz w:val="24"/>
                <w:szCs w:val="24"/>
                <w:highlight w:val="none"/>
              </w:rPr>
              <w:t>。</w:t>
            </w:r>
          </w:p>
          <w:p w14:paraId="15C4DD41">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本项目位于云南红塔产业园区</w:t>
            </w:r>
            <w:r>
              <w:rPr>
                <w:rFonts w:hint="eastAsia" w:ascii="Times New Roman" w:hAnsi="Times New Roman" w:cs="Times New Roman"/>
                <w:color w:val="auto"/>
                <w:sz w:val="24"/>
                <w:szCs w:val="24"/>
                <w:highlight w:val="none"/>
                <w:lang w:val="en-US" w:eastAsia="zh-CN"/>
              </w:rPr>
              <w:t>研和</w:t>
            </w:r>
            <w:r>
              <w:rPr>
                <w:rFonts w:hint="default" w:ascii="Times New Roman" w:hAnsi="Times New Roman" w:eastAsia="宋体" w:cs="Times New Roman"/>
                <w:color w:val="auto"/>
                <w:sz w:val="24"/>
                <w:szCs w:val="24"/>
                <w:highlight w:val="none"/>
              </w:rPr>
              <w:t>片区的</w:t>
            </w:r>
            <w:r>
              <w:rPr>
                <w:rFonts w:hint="eastAsia" w:ascii="Times New Roman" w:hAnsi="Times New Roman"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rPr>
              <w:t>地块，属于“红塔区</w:t>
            </w:r>
            <w:r>
              <w:rPr>
                <w:rFonts w:hint="eastAsia" w:ascii="Times New Roman" w:hAnsi="Times New Roman" w:eastAsia="宋体" w:cs="Times New Roman"/>
                <w:color w:val="auto"/>
                <w:sz w:val="24"/>
                <w:szCs w:val="24"/>
                <w:highlight w:val="none"/>
                <w:lang w:eastAsia="zh-CN"/>
              </w:rPr>
              <w:t>产业园区</w:t>
            </w:r>
            <w:r>
              <w:rPr>
                <w:rFonts w:hint="default" w:ascii="Times New Roman" w:hAnsi="Times New Roman" w:eastAsia="宋体" w:cs="Times New Roman"/>
                <w:color w:val="auto"/>
                <w:sz w:val="24"/>
                <w:szCs w:val="24"/>
                <w:highlight w:val="none"/>
              </w:rPr>
              <w:t>重点管控单元”，本项目与“玉</w:t>
            </w:r>
            <w:r>
              <w:rPr>
                <w:rFonts w:hint="default" w:ascii="Times New Roman" w:hAnsi="Times New Roman" w:eastAsia="宋体" w:cs="Times New Roman"/>
                <w:color w:val="auto"/>
                <w:sz w:val="24"/>
                <w:szCs w:val="24"/>
                <w:highlight w:val="none"/>
                <w:lang w:val="en-US" w:eastAsia="zh-CN"/>
              </w:rPr>
              <w:t>市环</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40号</w:t>
            </w:r>
            <w:r>
              <w:rPr>
                <w:rFonts w:hint="default" w:ascii="Times New Roman" w:hAnsi="Times New Roman" w:eastAsia="宋体" w:cs="Times New Roman"/>
                <w:color w:val="auto"/>
                <w:sz w:val="24"/>
                <w:szCs w:val="24"/>
                <w:highlight w:val="none"/>
              </w:rPr>
              <w:t>”符合性具体见下表：</w:t>
            </w:r>
          </w:p>
          <w:p w14:paraId="7AAFABB0">
            <w:pPr>
              <w:adjustRightInd w:val="0"/>
              <w:snapToGrid w:val="0"/>
              <w:spacing w:after="158" w:afterLines="50"/>
              <w:jc w:val="center"/>
              <w:rPr>
                <w:rFonts w:hint="default" w:ascii="Times New Roman" w:hAnsi="Times New Roman" w:eastAsia="宋体" w:cs="宋体"/>
                <w:b/>
                <w:bCs/>
                <w:color w:val="auto"/>
                <w:spacing w:val="4"/>
                <w:kern w:val="0"/>
                <w:sz w:val="24"/>
                <w:highlight w:val="none"/>
              </w:rPr>
            </w:pPr>
            <w:r>
              <w:rPr>
                <w:rFonts w:hint="default" w:ascii="Times New Roman" w:hAnsi="Times New Roman" w:eastAsia="宋体" w:cs="宋体"/>
                <w:b/>
                <w:bCs/>
                <w:color w:val="auto"/>
                <w:spacing w:val="4"/>
                <w:kern w:val="0"/>
                <w:sz w:val="24"/>
                <w:highlight w:val="none"/>
              </w:rPr>
              <w:t>表1-</w:t>
            </w:r>
            <w:r>
              <w:rPr>
                <w:rFonts w:hint="eastAsia" w:ascii="Times New Roman" w:hAnsi="Times New Roman" w:eastAsia="宋体" w:cs="宋体"/>
                <w:b/>
                <w:bCs/>
                <w:color w:val="auto"/>
                <w:spacing w:val="4"/>
                <w:kern w:val="0"/>
                <w:sz w:val="24"/>
                <w:highlight w:val="none"/>
                <w:lang w:val="en-US" w:eastAsia="zh-CN"/>
              </w:rPr>
              <w:t>4</w:t>
            </w:r>
            <w:r>
              <w:rPr>
                <w:rFonts w:hint="default" w:ascii="Times New Roman" w:hAnsi="Times New Roman" w:eastAsia="宋体" w:cs="宋体"/>
                <w:b/>
                <w:bCs/>
                <w:color w:val="auto"/>
                <w:spacing w:val="4"/>
                <w:kern w:val="0"/>
                <w:sz w:val="24"/>
                <w:highlight w:val="none"/>
              </w:rPr>
              <w:t xml:space="preserve"> 项目与 “玉</w:t>
            </w:r>
            <w:r>
              <w:rPr>
                <w:rFonts w:hint="default" w:ascii="Times New Roman" w:hAnsi="Times New Roman" w:eastAsia="宋体" w:cs="宋体"/>
                <w:b/>
                <w:bCs/>
                <w:color w:val="auto"/>
                <w:spacing w:val="4"/>
                <w:kern w:val="0"/>
                <w:sz w:val="24"/>
                <w:highlight w:val="none"/>
                <w:lang w:val="en-US" w:eastAsia="zh-CN"/>
              </w:rPr>
              <w:t>市环</w:t>
            </w:r>
            <w:r>
              <w:rPr>
                <w:rFonts w:hint="default" w:ascii="Times New Roman" w:hAnsi="Times New Roman" w:eastAsia="宋体" w:cs="宋体"/>
                <w:b/>
                <w:bCs/>
                <w:color w:val="auto"/>
                <w:spacing w:val="4"/>
                <w:kern w:val="0"/>
                <w:sz w:val="24"/>
                <w:highlight w:val="none"/>
              </w:rPr>
              <w:t>〔202</w:t>
            </w:r>
            <w:r>
              <w:rPr>
                <w:rFonts w:hint="default" w:ascii="Times New Roman" w:hAnsi="Times New Roman" w:eastAsia="宋体" w:cs="宋体"/>
                <w:b/>
                <w:bCs/>
                <w:color w:val="auto"/>
                <w:spacing w:val="4"/>
                <w:kern w:val="0"/>
                <w:sz w:val="24"/>
                <w:highlight w:val="none"/>
                <w:lang w:val="en-US" w:eastAsia="zh-CN"/>
              </w:rPr>
              <w:t>4</w:t>
            </w:r>
            <w:r>
              <w:rPr>
                <w:rFonts w:hint="default" w:ascii="Times New Roman" w:hAnsi="Times New Roman" w:eastAsia="宋体" w:cs="宋体"/>
                <w:b/>
                <w:bCs/>
                <w:color w:val="auto"/>
                <w:spacing w:val="4"/>
                <w:kern w:val="0"/>
                <w:sz w:val="24"/>
                <w:highlight w:val="none"/>
              </w:rPr>
              <w:t>〕</w:t>
            </w:r>
            <w:r>
              <w:rPr>
                <w:rFonts w:hint="default" w:ascii="Times New Roman" w:hAnsi="Times New Roman" w:eastAsia="宋体" w:cs="宋体"/>
                <w:b/>
                <w:bCs/>
                <w:color w:val="auto"/>
                <w:spacing w:val="4"/>
                <w:kern w:val="0"/>
                <w:sz w:val="24"/>
                <w:highlight w:val="none"/>
                <w:lang w:val="en-US" w:eastAsia="zh-CN"/>
              </w:rPr>
              <w:t>40号</w:t>
            </w:r>
            <w:r>
              <w:rPr>
                <w:rFonts w:hint="default" w:ascii="Times New Roman" w:hAnsi="Times New Roman" w:eastAsia="宋体" w:cs="宋体"/>
                <w:b/>
                <w:bCs/>
                <w:color w:val="auto"/>
                <w:spacing w:val="4"/>
                <w:kern w:val="0"/>
                <w:sz w:val="24"/>
                <w:highlight w:val="none"/>
              </w:rPr>
              <w:t>”符合性分析</w:t>
            </w:r>
          </w:p>
          <w:tbl>
            <w:tblPr>
              <w:tblStyle w:val="35"/>
              <w:tblW w:w="694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91"/>
              <w:gridCol w:w="291"/>
              <w:gridCol w:w="3576"/>
              <w:gridCol w:w="2142"/>
              <w:gridCol w:w="644"/>
            </w:tblGrid>
            <w:tr w14:paraId="5370D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19" w:type="pct"/>
                  <w:gridSpan w:val="2"/>
                  <w:shd w:val="clear" w:color="auto" w:fill="D7D7D7" w:themeFill="background1" w:themeFillShade="D8"/>
                  <w:noWrap w:val="0"/>
                  <w:vAlign w:val="center"/>
                </w:tcPr>
                <w:p w14:paraId="611342F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类别</w:t>
                  </w:r>
                </w:p>
              </w:tc>
              <w:tc>
                <w:tcPr>
                  <w:tcW w:w="2574" w:type="pct"/>
                  <w:shd w:val="clear" w:color="auto" w:fill="D7D7D7" w:themeFill="background1" w:themeFillShade="D8"/>
                  <w:noWrap w:val="0"/>
                  <w:vAlign w:val="center"/>
                </w:tcPr>
                <w:p w14:paraId="3C21671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文件内容</w:t>
                  </w:r>
                </w:p>
              </w:tc>
              <w:tc>
                <w:tcPr>
                  <w:tcW w:w="1542" w:type="pct"/>
                  <w:shd w:val="clear" w:color="auto" w:fill="D7D7D7" w:themeFill="background1" w:themeFillShade="D8"/>
                  <w:noWrap w:val="0"/>
                  <w:vAlign w:val="center"/>
                </w:tcPr>
                <w:p w14:paraId="6B792D6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本项目情况</w:t>
                  </w:r>
                </w:p>
              </w:tc>
              <w:tc>
                <w:tcPr>
                  <w:tcW w:w="463" w:type="pct"/>
                  <w:shd w:val="clear" w:color="auto" w:fill="D7D7D7" w:themeFill="background1" w:themeFillShade="D8"/>
                  <w:noWrap w:val="0"/>
                  <w:vAlign w:val="center"/>
                </w:tcPr>
                <w:p w14:paraId="51885EB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符合性</w:t>
                  </w:r>
                </w:p>
              </w:tc>
            </w:tr>
            <w:tr w14:paraId="1D82C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000" w:type="pct"/>
                  <w:gridSpan w:val="5"/>
                  <w:noWrap w:val="0"/>
                  <w:vAlign w:val="center"/>
                </w:tcPr>
                <w:p w14:paraId="70EC25B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b/>
                      <w:bCs/>
                      <w:color w:val="auto"/>
                      <w:sz w:val="18"/>
                      <w:szCs w:val="18"/>
                      <w:highlight w:val="none"/>
                    </w:rPr>
                    <w:t>玉溪市生态环境管控总体要求</w:t>
                  </w:r>
                </w:p>
              </w:tc>
            </w:tr>
            <w:tr w14:paraId="0195F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19" w:type="pct"/>
                  <w:gridSpan w:val="2"/>
                  <w:noWrap w:val="0"/>
                  <w:vAlign w:val="center"/>
                </w:tcPr>
                <w:p w14:paraId="6CAA9A1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color w:val="auto"/>
                      <w:kern w:val="0"/>
                      <w:sz w:val="18"/>
                      <w:szCs w:val="18"/>
                      <w:highlight w:val="none"/>
                    </w:rPr>
                    <w:t>空间布局约束</w:t>
                  </w:r>
                </w:p>
              </w:tc>
              <w:tc>
                <w:tcPr>
                  <w:tcW w:w="2574" w:type="pct"/>
                  <w:noWrap w:val="0"/>
                  <w:vAlign w:val="center"/>
                </w:tcPr>
                <w:p w14:paraId="48A4CEAB">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636ADEAC">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470A1884">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20336D93">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4.禁止在九大高原湖泊（抚仙湖、星云湖、杞麓湖）流域内新建、改建、扩建污染环境、高耗水、高耗能、破坏生态平衡和自然景观的项目。</w:t>
                  </w:r>
                </w:p>
                <w:p w14:paraId="692B133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color w:val="auto"/>
                      <w:kern w:val="0"/>
                      <w:sz w:val="18"/>
                      <w:szCs w:val="18"/>
                      <w:highlight w:val="none"/>
                    </w:rPr>
                    <w:t>5.落实云南省碳达峰碳中和相关要求，处理好发展和减排、整体和局部、长远目标和短期目标、政府和市场的关系，坚定不移走生态优先、绿色低碳的高质量发展道路。</w:t>
                  </w:r>
                </w:p>
              </w:tc>
              <w:tc>
                <w:tcPr>
                  <w:tcW w:w="1542" w:type="pct"/>
                  <w:noWrap w:val="0"/>
                  <w:vAlign w:val="center"/>
                </w:tcPr>
                <w:p w14:paraId="32CCD00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1、本项目不属于高耗能、高排放、低水平项目；</w:t>
                  </w:r>
                </w:p>
                <w:p w14:paraId="385502F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2、本项目位于云南红塔产业园区</w:t>
                  </w:r>
                  <w:r>
                    <w:rPr>
                      <w:rFonts w:hint="eastAsia" w:ascii="Times New Roman" w:hAnsi="Times New Roman"/>
                      <w:color w:val="auto"/>
                      <w:kern w:val="0"/>
                      <w:sz w:val="18"/>
                      <w:szCs w:val="18"/>
                      <w:highlight w:val="none"/>
                      <w:lang w:eastAsia="zh-CN"/>
                    </w:rPr>
                    <w:t>研和片区的二地块</w:t>
                  </w:r>
                  <w:r>
                    <w:rPr>
                      <w:rFonts w:hint="eastAsia" w:ascii="Times New Roman" w:hAnsi="Times New Roman"/>
                      <w:color w:val="auto"/>
                      <w:kern w:val="0"/>
                      <w:sz w:val="18"/>
                      <w:szCs w:val="18"/>
                      <w:highlight w:val="none"/>
                    </w:rPr>
                    <w:t>，运营期</w:t>
                  </w:r>
                  <w:r>
                    <w:rPr>
                      <w:rFonts w:hint="eastAsia"/>
                      <w:color w:val="auto"/>
                      <w:kern w:val="0"/>
                      <w:sz w:val="18"/>
                      <w:szCs w:val="18"/>
                      <w:highlight w:val="none"/>
                      <w:lang w:val="en-US" w:eastAsia="zh-CN"/>
                    </w:rPr>
                    <w:t>洗车废水沉淀后回用</w:t>
                  </w:r>
                  <w:r>
                    <w:rPr>
                      <w:rFonts w:hint="eastAsia" w:ascii="Times New Roman" w:hAnsi="Times New Roman"/>
                      <w:color w:val="auto"/>
                      <w:sz w:val="18"/>
                      <w:szCs w:val="18"/>
                      <w:highlight w:val="none"/>
                      <w:lang w:eastAsia="zh-CN"/>
                    </w:rPr>
                    <w:t>，</w:t>
                  </w:r>
                  <w:r>
                    <w:rPr>
                      <w:rFonts w:ascii="Times New Roman" w:hAnsi="Times New Roman"/>
                      <w:color w:val="auto"/>
                      <w:sz w:val="18"/>
                      <w:szCs w:val="18"/>
                      <w:highlight w:val="none"/>
                    </w:rPr>
                    <w:t>生活污水经</w:t>
                  </w:r>
                  <w:r>
                    <w:rPr>
                      <w:rFonts w:hint="eastAsia" w:ascii="Times New Roman" w:hAnsi="Times New Roman"/>
                      <w:color w:val="auto"/>
                      <w:sz w:val="18"/>
                      <w:szCs w:val="18"/>
                      <w:highlight w:val="none"/>
                      <w:lang w:val="en-US" w:eastAsia="zh-CN"/>
                    </w:rPr>
                    <w:t>自建污水处理站</w:t>
                  </w:r>
                  <w:r>
                    <w:rPr>
                      <w:rFonts w:ascii="Times New Roman" w:hAnsi="Times New Roman"/>
                      <w:color w:val="auto"/>
                      <w:sz w:val="18"/>
                      <w:szCs w:val="18"/>
                      <w:highlight w:val="none"/>
                    </w:rPr>
                    <w:t>预处理后</w:t>
                  </w:r>
                  <w:r>
                    <w:rPr>
                      <w:rFonts w:hint="eastAsia" w:ascii="Times New Roman" w:hAnsi="Times New Roman"/>
                      <w:color w:val="auto"/>
                      <w:sz w:val="18"/>
                      <w:szCs w:val="18"/>
                      <w:highlight w:val="none"/>
                      <w:lang w:val="en-US" w:eastAsia="zh-CN"/>
                    </w:rPr>
                    <w:t>回用于</w:t>
                  </w:r>
                  <w:r>
                    <w:rPr>
                      <w:rFonts w:hint="eastAsia"/>
                      <w:color w:val="auto"/>
                      <w:sz w:val="18"/>
                      <w:szCs w:val="18"/>
                      <w:highlight w:val="none"/>
                      <w:lang w:val="en-US" w:eastAsia="zh-CN"/>
                    </w:rPr>
                    <w:t>厂区绿化</w:t>
                  </w:r>
                  <w:r>
                    <w:rPr>
                      <w:rFonts w:hint="eastAsia" w:ascii="Times New Roman" w:hAnsi="Times New Roman"/>
                      <w:color w:val="auto"/>
                      <w:sz w:val="18"/>
                      <w:szCs w:val="18"/>
                      <w:highlight w:val="none"/>
                      <w:lang w:val="en-US" w:eastAsia="zh-CN"/>
                    </w:rPr>
                    <w:t>，不外排</w:t>
                  </w:r>
                  <w:r>
                    <w:rPr>
                      <w:rFonts w:hint="eastAsia" w:ascii="Times New Roman" w:hAnsi="Times New Roman"/>
                      <w:color w:val="auto"/>
                      <w:kern w:val="0"/>
                      <w:sz w:val="18"/>
                      <w:szCs w:val="18"/>
                      <w:highlight w:val="none"/>
                    </w:rPr>
                    <w:t>；</w:t>
                  </w:r>
                </w:p>
                <w:p w14:paraId="01E31C4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3、本项目不属于钢铁、石化、化工、焦化、建材、有色、制浆造纸行业等高污染项目；</w:t>
                  </w:r>
                </w:p>
                <w:p w14:paraId="47C6B0A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4、项目所在地不</w:t>
                  </w:r>
                  <w:r>
                    <w:rPr>
                      <w:rFonts w:hint="eastAsia" w:ascii="Times New Roman" w:hAnsi="Times New Roman"/>
                      <w:color w:val="auto"/>
                      <w:kern w:val="0"/>
                      <w:sz w:val="18"/>
                      <w:szCs w:val="18"/>
                      <w:highlight w:val="none"/>
                      <w:lang w:eastAsia="zh-CN"/>
                    </w:rPr>
                    <w:t>涉及九大高原湖泊</w:t>
                  </w:r>
                  <w:r>
                    <w:rPr>
                      <w:rFonts w:hint="eastAsia" w:ascii="Times New Roman" w:hAnsi="Times New Roman"/>
                      <w:color w:val="auto"/>
                      <w:kern w:val="0"/>
                      <w:sz w:val="18"/>
                      <w:szCs w:val="18"/>
                      <w:highlight w:val="none"/>
                    </w:rPr>
                    <w:t>，项目不属于高耗水、高耗能、破坏生态平衡和自然景观的项目，</w:t>
                  </w:r>
                </w:p>
                <w:p w14:paraId="73C70B2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color w:val="auto"/>
                      <w:kern w:val="0"/>
                      <w:sz w:val="18"/>
                      <w:szCs w:val="18"/>
                      <w:highlight w:val="none"/>
                    </w:rPr>
                    <w:t>5、本项目主要能耗为电能，属于清洁能源。</w:t>
                  </w:r>
                </w:p>
              </w:tc>
              <w:tc>
                <w:tcPr>
                  <w:tcW w:w="463" w:type="pct"/>
                  <w:noWrap w:val="0"/>
                  <w:vAlign w:val="center"/>
                </w:tcPr>
                <w:p w14:paraId="058A0718">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符合</w:t>
                  </w:r>
                </w:p>
              </w:tc>
            </w:tr>
            <w:tr w14:paraId="5B406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19" w:type="pct"/>
                  <w:gridSpan w:val="2"/>
                  <w:noWrap w:val="0"/>
                  <w:vAlign w:val="center"/>
                </w:tcPr>
                <w:p w14:paraId="4DB7DA4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color w:val="auto"/>
                      <w:kern w:val="0"/>
                      <w:sz w:val="18"/>
                      <w:szCs w:val="18"/>
                      <w:highlight w:val="none"/>
                    </w:rPr>
                    <w:t>污染物排放管控</w:t>
                  </w:r>
                </w:p>
              </w:tc>
              <w:tc>
                <w:tcPr>
                  <w:tcW w:w="2574" w:type="pct"/>
                  <w:noWrap w:val="0"/>
                  <w:vAlign w:val="center"/>
                </w:tcPr>
                <w:p w14:paraId="4093E39E">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1.严格落实强制性清洁生产审核要求，引导重点行业实施清洁生产改造，到2025年底，重点行业企业基本达到国内清洁生产先进水平。</w:t>
                  </w:r>
                </w:p>
                <w:p w14:paraId="391995B6">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6064BB2B">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3.严格保护城乡饮用水水源地，整治饮用水水源保护区内的污染源，确保饮水安全。</w:t>
                  </w:r>
                </w:p>
                <w:p w14:paraId="3DAB4C97">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461BBA63">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5.加大环境污染物减排力度，到2025年，实现氮氧化物减排1224吨，挥发性有机物减排1393吨，化学需氧量减排2461吨，氨氮减排230吨。</w:t>
                  </w:r>
                </w:p>
                <w:p w14:paraId="37ECBE14">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0942DEF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color w:val="auto"/>
                      <w:kern w:val="0"/>
                      <w:sz w:val="18"/>
                      <w:szCs w:val="18"/>
                      <w:highlight w:val="none"/>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tc>
              <w:tc>
                <w:tcPr>
                  <w:tcW w:w="1542" w:type="pct"/>
                  <w:noWrap w:val="0"/>
                  <w:vAlign w:val="center"/>
                </w:tcPr>
                <w:p w14:paraId="5637AC82">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1、本项目不属于重点行业；</w:t>
                  </w:r>
                </w:p>
                <w:p w14:paraId="7A77D0E0">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2、本项目运营期</w:t>
                  </w:r>
                  <w:r>
                    <w:rPr>
                      <w:rFonts w:hint="eastAsia"/>
                      <w:color w:val="auto"/>
                      <w:kern w:val="0"/>
                      <w:sz w:val="18"/>
                      <w:szCs w:val="18"/>
                      <w:highlight w:val="none"/>
                      <w:lang w:val="en-US" w:eastAsia="zh-CN"/>
                    </w:rPr>
                    <w:t>洗车废水沉淀后回用</w:t>
                  </w:r>
                  <w:r>
                    <w:rPr>
                      <w:rFonts w:hint="eastAsia" w:ascii="Times New Roman" w:hAnsi="Times New Roman"/>
                      <w:color w:val="auto"/>
                      <w:sz w:val="18"/>
                      <w:szCs w:val="18"/>
                      <w:highlight w:val="none"/>
                      <w:lang w:eastAsia="zh-CN"/>
                    </w:rPr>
                    <w:t>，</w:t>
                  </w:r>
                  <w:r>
                    <w:rPr>
                      <w:rFonts w:ascii="Times New Roman" w:hAnsi="Times New Roman"/>
                      <w:color w:val="auto"/>
                      <w:sz w:val="18"/>
                      <w:szCs w:val="18"/>
                      <w:highlight w:val="none"/>
                    </w:rPr>
                    <w:t>生活污水经</w:t>
                  </w:r>
                  <w:r>
                    <w:rPr>
                      <w:rFonts w:hint="eastAsia" w:ascii="Times New Roman" w:hAnsi="Times New Roman"/>
                      <w:color w:val="auto"/>
                      <w:sz w:val="18"/>
                      <w:szCs w:val="18"/>
                      <w:highlight w:val="none"/>
                      <w:lang w:val="en-US" w:eastAsia="zh-CN"/>
                    </w:rPr>
                    <w:t>自建污水处理站</w:t>
                  </w:r>
                  <w:r>
                    <w:rPr>
                      <w:rFonts w:ascii="Times New Roman" w:hAnsi="Times New Roman"/>
                      <w:color w:val="auto"/>
                      <w:sz w:val="18"/>
                      <w:szCs w:val="18"/>
                      <w:highlight w:val="none"/>
                    </w:rPr>
                    <w:t>预处理后</w:t>
                  </w:r>
                  <w:r>
                    <w:rPr>
                      <w:rFonts w:hint="eastAsia" w:ascii="Times New Roman" w:hAnsi="Times New Roman"/>
                      <w:color w:val="auto"/>
                      <w:sz w:val="18"/>
                      <w:szCs w:val="18"/>
                      <w:highlight w:val="none"/>
                      <w:lang w:val="en-US" w:eastAsia="zh-CN"/>
                    </w:rPr>
                    <w:t>回用于</w:t>
                  </w:r>
                  <w:r>
                    <w:rPr>
                      <w:rFonts w:hint="eastAsia"/>
                      <w:color w:val="auto"/>
                      <w:sz w:val="18"/>
                      <w:szCs w:val="18"/>
                      <w:highlight w:val="none"/>
                      <w:lang w:val="en-US" w:eastAsia="zh-CN"/>
                    </w:rPr>
                    <w:t>厂区绿化</w:t>
                  </w:r>
                  <w:r>
                    <w:rPr>
                      <w:rFonts w:hint="eastAsia" w:ascii="Times New Roman" w:hAnsi="Times New Roman"/>
                      <w:color w:val="auto"/>
                      <w:sz w:val="18"/>
                      <w:szCs w:val="18"/>
                      <w:highlight w:val="none"/>
                      <w:lang w:val="en-US" w:eastAsia="zh-CN"/>
                    </w:rPr>
                    <w:t>，不外排</w:t>
                  </w:r>
                  <w:r>
                    <w:rPr>
                      <w:rFonts w:ascii="Times New Roman" w:hAnsi="Times New Roman"/>
                      <w:color w:val="auto"/>
                      <w:kern w:val="0"/>
                      <w:sz w:val="18"/>
                      <w:szCs w:val="18"/>
                      <w:highlight w:val="none"/>
                    </w:rPr>
                    <w:t>。</w:t>
                  </w:r>
                </w:p>
                <w:p w14:paraId="219EEED8">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3、项目不涉及；</w:t>
                  </w:r>
                </w:p>
                <w:p w14:paraId="6D54978F">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w:t>
                  </w:r>
                  <w:r>
                    <w:rPr>
                      <w:rFonts w:hint="default" w:ascii="Times New Roman" w:hAnsi="Times New Roman" w:eastAsia="宋体" w:cs="Times New Roman"/>
                      <w:color w:val="auto"/>
                      <w:kern w:val="0"/>
                      <w:sz w:val="18"/>
                      <w:szCs w:val="18"/>
                      <w:highlight w:val="none"/>
                    </w:rPr>
                    <w:t>项目有组织废气经“集气罩+布袋除尘”处理，原料堆放、卸料、投料及道路扬尘等无组织废气经喷淋洒水处理，经核算和预测对大气环境影响较小</w:t>
                  </w:r>
                  <w:r>
                    <w:rPr>
                      <w:rFonts w:hint="eastAsia" w:ascii="Times New Roman" w:hAnsi="Times New Roman"/>
                      <w:color w:val="auto"/>
                      <w:kern w:val="0"/>
                      <w:sz w:val="18"/>
                      <w:szCs w:val="18"/>
                      <w:highlight w:val="none"/>
                    </w:rPr>
                    <w:t>。</w:t>
                  </w:r>
                </w:p>
                <w:p w14:paraId="0B3689F5">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5、本项目运营期</w:t>
                  </w:r>
                  <w:r>
                    <w:rPr>
                      <w:rFonts w:hint="eastAsia"/>
                      <w:color w:val="auto"/>
                      <w:kern w:val="0"/>
                      <w:sz w:val="18"/>
                      <w:szCs w:val="18"/>
                      <w:highlight w:val="none"/>
                      <w:lang w:val="en-US" w:eastAsia="zh-CN"/>
                    </w:rPr>
                    <w:t>洗车废水沉淀后回用</w:t>
                  </w:r>
                  <w:r>
                    <w:rPr>
                      <w:rFonts w:hint="eastAsia" w:ascii="Times New Roman" w:hAnsi="Times New Roman"/>
                      <w:color w:val="auto"/>
                      <w:sz w:val="18"/>
                      <w:szCs w:val="18"/>
                      <w:highlight w:val="none"/>
                      <w:lang w:eastAsia="zh-CN"/>
                    </w:rPr>
                    <w:t>，</w:t>
                  </w:r>
                  <w:r>
                    <w:rPr>
                      <w:rFonts w:ascii="Times New Roman" w:hAnsi="Times New Roman"/>
                      <w:color w:val="auto"/>
                      <w:sz w:val="18"/>
                      <w:szCs w:val="18"/>
                      <w:highlight w:val="none"/>
                    </w:rPr>
                    <w:t>生活污水经</w:t>
                  </w:r>
                  <w:r>
                    <w:rPr>
                      <w:rFonts w:hint="eastAsia" w:ascii="Times New Roman" w:hAnsi="Times New Roman"/>
                      <w:color w:val="auto"/>
                      <w:sz w:val="18"/>
                      <w:szCs w:val="18"/>
                      <w:highlight w:val="none"/>
                      <w:lang w:val="en-US" w:eastAsia="zh-CN"/>
                    </w:rPr>
                    <w:t>自建污水处理站</w:t>
                  </w:r>
                  <w:r>
                    <w:rPr>
                      <w:rFonts w:ascii="Times New Roman" w:hAnsi="Times New Roman"/>
                      <w:color w:val="auto"/>
                      <w:sz w:val="18"/>
                      <w:szCs w:val="18"/>
                      <w:highlight w:val="none"/>
                    </w:rPr>
                    <w:t>预处理后</w:t>
                  </w:r>
                  <w:r>
                    <w:rPr>
                      <w:rFonts w:hint="eastAsia" w:ascii="Times New Roman" w:hAnsi="Times New Roman"/>
                      <w:color w:val="auto"/>
                      <w:sz w:val="18"/>
                      <w:szCs w:val="18"/>
                      <w:highlight w:val="none"/>
                      <w:lang w:val="en-US" w:eastAsia="zh-CN"/>
                    </w:rPr>
                    <w:t>回用于</w:t>
                  </w:r>
                  <w:r>
                    <w:rPr>
                      <w:rFonts w:hint="eastAsia"/>
                      <w:color w:val="auto"/>
                      <w:sz w:val="18"/>
                      <w:szCs w:val="18"/>
                      <w:highlight w:val="none"/>
                      <w:lang w:val="en-US" w:eastAsia="zh-CN"/>
                    </w:rPr>
                    <w:t>厂区绿化</w:t>
                  </w:r>
                  <w:r>
                    <w:rPr>
                      <w:rFonts w:hint="eastAsia" w:ascii="Times New Roman" w:hAnsi="Times New Roman"/>
                      <w:color w:val="auto"/>
                      <w:sz w:val="18"/>
                      <w:szCs w:val="18"/>
                      <w:highlight w:val="none"/>
                      <w:lang w:val="en-US" w:eastAsia="zh-CN"/>
                    </w:rPr>
                    <w:t>，不外排</w:t>
                  </w:r>
                  <w:r>
                    <w:rPr>
                      <w:rFonts w:ascii="Times New Roman" w:hAnsi="Times New Roman"/>
                      <w:color w:val="auto"/>
                      <w:kern w:val="0"/>
                      <w:sz w:val="18"/>
                      <w:szCs w:val="18"/>
                      <w:highlight w:val="none"/>
                    </w:rPr>
                    <w:t>。</w:t>
                  </w:r>
                </w:p>
                <w:p w14:paraId="4135EA9B">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6、项目位于云南红塔产业园区</w:t>
                  </w:r>
                  <w:r>
                    <w:rPr>
                      <w:rFonts w:hint="eastAsia" w:ascii="Times New Roman" w:hAnsi="Times New Roman"/>
                      <w:color w:val="auto"/>
                      <w:kern w:val="0"/>
                      <w:sz w:val="18"/>
                      <w:szCs w:val="18"/>
                      <w:highlight w:val="none"/>
                      <w:lang w:eastAsia="zh-CN"/>
                    </w:rPr>
                    <w:t>研和片区的二地块</w:t>
                  </w:r>
                  <w:r>
                    <w:rPr>
                      <w:rFonts w:hint="eastAsia" w:ascii="Times New Roman" w:hAnsi="Times New Roman"/>
                      <w:color w:val="auto"/>
                      <w:kern w:val="0"/>
                      <w:sz w:val="18"/>
                      <w:szCs w:val="18"/>
                      <w:highlight w:val="none"/>
                    </w:rPr>
                    <w:t>，用地性质为工业用地，不涉及农用地、土壤污染风险管控和修复名录的地块；</w:t>
                  </w:r>
                </w:p>
                <w:p w14:paraId="59E6B83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color w:val="auto"/>
                      <w:kern w:val="0"/>
                      <w:sz w:val="18"/>
                      <w:szCs w:val="18"/>
                      <w:highlight w:val="none"/>
                    </w:rPr>
                    <w:t>7、项目生产过程中产生的固废均妥善处置；危险废物</w:t>
                  </w:r>
                  <w:r>
                    <w:rPr>
                      <w:rFonts w:hint="eastAsia" w:ascii="Times New Roman" w:hAnsi="Times New Roman"/>
                      <w:color w:val="auto"/>
                      <w:kern w:val="0"/>
                      <w:sz w:val="18"/>
                      <w:szCs w:val="18"/>
                      <w:highlight w:val="none"/>
                      <w:lang w:eastAsia="zh-CN"/>
                    </w:rPr>
                    <w:t>在</w:t>
                  </w:r>
                  <w:r>
                    <w:rPr>
                      <w:rFonts w:hint="eastAsia" w:ascii="Times New Roman" w:hAnsi="Times New Roman"/>
                      <w:color w:val="auto"/>
                      <w:kern w:val="0"/>
                      <w:sz w:val="18"/>
                      <w:szCs w:val="18"/>
                      <w:highlight w:val="none"/>
                    </w:rPr>
                    <w:t>危险废物暂存间内暂存后，交由有资质单位处置。</w:t>
                  </w:r>
                </w:p>
              </w:tc>
              <w:tc>
                <w:tcPr>
                  <w:tcW w:w="463" w:type="pct"/>
                  <w:noWrap w:val="0"/>
                  <w:vAlign w:val="center"/>
                </w:tcPr>
                <w:p w14:paraId="750B4593">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符合</w:t>
                  </w:r>
                </w:p>
              </w:tc>
            </w:tr>
            <w:tr w14:paraId="6CD4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19" w:type="pct"/>
                  <w:gridSpan w:val="2"/>
                  <w:noWrap w:val="0"/>
                  <w:vAlign w:val="center"/>
                </w:tcPr>
                <w:p w14:paraId="4808E52E">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环境风险防控</w:t>
                  </w:r>
                </w:p>
              </w:tc>
              <w:tc>
                <w:tcPr>
                  <w:tcW w:w="2574" w:type="pct"/>
                  <w:noWrap w:val="0"/>
                  <w:vAlign w:val="center"/>
                </w:tcPr>
                <w:p w14:paraId="2F832FE4">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1.强化与其他滇中城市的大气、水污染防治联防联控协作机制，加强区域内重污染天气和跨界水体风险应急联动。</w:t>
                  </w:r>
                </w:p>
                <w:p w14:paraId="720E7330">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542" w:type="pct"/>
                  <w:noWrap w:val="0"/>
                  <w:vAlign w:val="center"/>
                </w:tcPr>
                <w:p w14:paraId="67AE3D07">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项目建成运行后，建设单位编制《突发事故环境风险应急预案》报送生态环境主管部门进行备案。</w:t>
                  </w:r>
                </w:p>
              </w:tc>
              <w:tc>
                <w:tcPr>
                  <w:tcW w:w="463" w:type="pct"/>
                  <w:noWrap w:val="0"/>
                  <w:vAlign w:val="center"/>
                </w:tcPr>
                <w:p w14:paraId="0358956D">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符合</w:t>
                  </w:r>
                </w:p>
              </w:tc>
            </w:tr>
            <w:tr w14:paraId="6966B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19" w:type="pct"/>
                  <w:gridSpan w:val="2"/>
                  <w:noWrap w:val="0"/>
                  <w:vAlign w:val="center"/>
                </w:tcPr>
                <w:p w14:paraId="5C19748A">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资源开发效率要求</w:t>
                  </w:r>
                </w:p>
              </w:tc>
              <w:tc>
                <w:tcPr>
                  <w:tcW w:w="2574" w:type="pct"/>
                  <w:noWrap w:val="0"/>
                  <w:vAlign w:val="center"/>
                </w:tcPr>
                <w:p w14:paraId="644201D7">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1.降低水、土地、能源、矿产资源消耗强度，强化约束性指标管理。</w:t>
                  </w:r>
                </w:p>
                <w:p w14:paraId="695795C8">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597411BC">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3.坚持最严格的耕地保护制度，守住耕地保护红线。坚持节约用地，严格执行耕地占补平衡等制度，提高土地投资强度和单位面积产出水平。</w:t>
                  </w:r>
                </w:p>
                <w:p w14:paraId="0C3530D2">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4.全市单位GDP二氧化碳排放累计下降率完成云南省下达的指标；单位GDP能耗持续下降，到2025年，全市单位GDP能耗累计下降率14%。</w:t>
                  </w:r>
                </w:p>
                <w:p w14:paraId="389FB1ED">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5.高污染燃料禁燃区按照《高污染燃料目录》及当地有关禁燃区管理规定执行。</w:t>
                  </w:r>
                </w:p>
                <w:p w14:paraId="76CE2164">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6.实施高效节水灌溉工程，大力推广高效节水灌溉措施，到2025年，农田灌溉水有效利用系数达到0.55。</w:t>
                  </w:r>
                </w:p>
              </w:tc>
              <w:tc>
                <w:tcPr>
                  <w:tcW w:w="1542" w:type="pct"/>
                  <w:noWrap w:val="0"/>
                  <w:vAlign w:val="center"/>
                </w:tcPr>
                <w:p w14:paraId="27C3B57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1、本项目生活用水由市政给水管供给自来水，用水量较少；项目</w:t>
                  </w:r>
                  <w:r>
                    <w:rPr>
                      <w:rFonts w:hint="eastAsia" w:ascii="Times New Roman" w:hAnsi="Times New Roman"/>
                      <w:color w:val="auto"/>
                      <w:kern w:val="0"/>
                      <w:sz w:val="18"/>
                      <w:szCs w:val="18"/>
                      <w:highlight w:val="none"/>
                      <w:lang w:val="en-US" w:eastAsia="zh-CN"/>
                    </w:rPr>
                    <w:t>用地为云南红塔产业园区研和片区</w:t>
                  </w:r>
                  <w:r>
                    <w:rPr>
                      <w:rFonts w:hint="eastAsia"/>
                      <w:color w:val="auto"/>
                      <w:kern w:val="0"/>
                      <w:sz w:val="18"/>
                      <w:szCs w:val="18"/>
                      <w:highlight w:val="none"/>
                      <w:lang w:val="en-US" w:eastAsia="zh-CN"/>
                    </w:rPr>
                    <w:t>规划</w:t>
                  </w:r>
                  <w:r>
                    <w:rPr>
                      <w:rFonts w:hint="eastAsia" w:ascii="Times New Roman" w:hAnsi="Times New Roman"/>
                      <w:color w:val="auto"/>
                      <w:kern w:val="0"/>
                      <w:sz w:val="18"/>
                      <w:szCs w:val="18"/>
                      <w:highlight w:val="none"/>
                      <w:lang w:val="en-US" w:eastAsia="zh-CN"/>
                    </w:rPr>
                    <w:t>土地</w:t>
                  </w:r>
                  <w:r>
                    <w:rPr>
                      <w:rFonts w:hint="eastAsia" w:ascii="Times New Roman" w:hAnsi="Times New Roman"/>
                      <w:color w:val="auto"/>
                      <w:kern w:val="0"/>
                      <w:sz w:val="18"/>
                      <w:szCs w:val="18"/>
                      <w:highlight w:val="none"/>
                    </w:rPr>
                    <w:t>，可降低土地资源消耗强度；</w:t>
                  </w:r>
                </w:p>
                <w:p w14:paraId="04E56FD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2、本项目生活用水由市政给水管供给自来水，用水量较少；</w:t>
                  </w:r>
                </w:p>
                <w:p w14:paraId="0734C9D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3、项目位于工业园区，用地性质为工业用地，不涉及耕地，不占用生态保护红线；</w:t>
                  </w:r>
                </w:p>
                <w:p w14:paraId="6D27F51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bCs w:val="0"/>
                      <w:snapToGrid w:val="0"/>
                      <w:color w:val="auto"/>
                      <w:kern w:val="0"/>
                      <w:sz w:val="18"/>
                      <w:szCs w:val="18"/>
                      <w:highlight w:val="none"/>
                      <w:lang w:val="en-US" w:eastAsia="zh-CN" w:bidi="ar-SA"/>
                    </w:rPr>
                  </w:pPr>
                  <w:r>
                    <w:rPr>
                      <w:rFonts w:hint="eastAsia" w:ascii="Times New Roman" w:hAnsi="Times New Roman"/>
                      <w:color w:val="auto"/>
                      <w:kern w:val="0"/>
                      <w:sz w:val="18"/>
                      <w:szCs w:val="18"/>
                      <w:highlight w:val="none"/>
                    </w:rPr>
                    <w:t>4、5、6、本项目使用清洁能源电能，不使用污染燃料，不涉及节水灌溉工程。</w:t>
                  </w:r>
                </w:p>
              </w:tc>
              <w:tc>
                <w:tcPr>
                  <w:tcW w:w="463" w:type="pct"/>
                  <w:noWrap w:val="0"/>
                  <w:vAlign w:val="center"/>
                </w:tcPr>
                <w:p w14:paraId="5FC55A4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bCs w:val="0"/>
                      <w:snapToGrid w:val="0"/>
                      <w:color w:val="auto"/>
                      <w:kern w:val="0"/>
                      <w:sz w:val="18"/>
                      <w:szCs w:val="18"/>
                      <w:highlight w:val="none"/>
                      <w:lang w:val="en-US" w:eastAsia="zh-CN" w:bidi="ar-SA"/>
                    </w:rPr>
                  </w:pPr>
                  <w:r>
                    <w:rPr>
                      <w:rFonts w:ascii="Times New Roman" w:hAnsi="Times New Roman"/>
                      <w:color w:val="auto"/>
                      <w:kern w:val="0"/>
                      <w:sz w:val="18"/>
                      <w:szCs w:val="18"/>
                      <w:highlight w:val="none"/>
                    </w:rPr>
                    <w:t>符合</w:t>
                  </w:r>
                </w:p>
              </w:tc>
            </w:tr>
            <w:tr w14:paraId="0C594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09" w:type="pct"/>
                  <w:vMerge w:val="restart"/>
                  <w:noWrap w:val="0"/>
                  <w:vAlign w:val="center"/>
                </w:tcPr>
                <w:p w14:paraId="6D4553E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红塔区产业园区重点管控单元</w:t>
                  </w:r>
                </w:p>
              </w:tc>
              <w:tc>
                <w:tcPr>
                  <w:tcW w:w="209" w:type="pct"/>
                  <w:vMerge w:val="restart"/>
                  <w:noWrap w:val="0"/>
                  <w:vAlign w:val="center"/>
                </w:tcPr>
                <w:p w14:paraId="4634C74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空间布局约束</w:t>
                  </w:r>
                </w:p>
              </w:tc>
              <w:tc>
                <w:tcPr>
                  <w:tcW w:w="2574" w:type="pct"/>
                  <w:noWrap w:val="0"/>
                  <w:vAlign w:val="center"/>
                </w:tcPr>
                <w:p w14:paraId="515225B7">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1、合理规划产业分区和功能定位，禁止不符合产业政策、产业结构调整指导目录和园区规划要求的项目入园区。</w:t>
                  </w:r>
                </w:p>
              </w:tc>
              <w:tc>
                <w:tcPr>
                  <w:tcW w:w="1542" w:type="pct"/>
                  <w:noWrap w:val="0"/>
                  <w:vAlign w:val="center"/>
                </w:tcPr>
                <w:p w14:paraId="5C249032">
                  <w:pPr>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kern w:val="0"/>
                      <w:sz w:val="18"/>
                      <w:szCs w:val="18"/>
                      <w:highlight w:val="none"/>
                    </w:rPr>
                    <w:t>本项目与《产业结构调整指导目录（2024年本）》相符，属于允许类项目。项目已取得</w:t>
                  </w:r>
                  <w:r>
                    <w:rPr>
                      <w:rFonts w:hint="eastAsia" w:ascii="Times New Roman" w:hAnsi="Times New Roman" w:cs="Times New Roman"/>
                      <w:color w:val="auto"/>
                      <w:kern w:val="0"/>
                      <w:sz w:val="18"/>
                      <w:szCs w:val="18"/>
                      <w:highlight w:val="none"/>
                      <w:lang w:eastAsia="zh-CN"/>
                    </w:rPr>
                    <w:t>《云南红塔产业园区关于玉溪振天经贸有限公司矿石智能化集散贸易加工中心建设项目的入</w:t>
                  </w:r>
                  <w:r>
                    <w:rPr>
                      <w:rFonts w:hint="eastAsia" w:ascii="Times New Roman" w:hAnsi="Times New Roman" w:cs="Times New Roman"/>
                      <w:color w:val="auto"/>
                      <w:kern w:val="0"/>
                      <w:sz w:val="18"/>
                      <w:szCs w:val="18"/>
                      <w:highlight w:val="none"/>
                      <w:lang w:val="en-US" w:eastAsia="zh-CN"/>
                    </w:rPr>
                    <w:t>园</w:t>
                  </w:r>
                  <w:r>
                    <w:rPr>
                      <w:rFonts w:hint="eastAsia" w:ascii="Times New Roman" w:hAnsi="Times New Roman" w:cs="Times New Roman"/>
                      <w:color w:val="auto"/>
                      <w:kern w:val="0"/>
                      <w:sz w:val="18"/>
                      <w:szCs w:val="18"/>
                      <w:highlight w:val="none"/>
                      <w:lang w:eastAsia="zh-CN"/>
                    </w:rPr>
                    <w:t>通知》</w:t>
                  </w:r>
                  <w:r>
                    <w:rPr>
                      <w:rFonts w:hint="default" w:ascii="Times New Roman" w:hAnsi="Times New Roman" w:eastAsia="宋体" w:cs="Times New Roman"/>
                      <w:color w:val="auto"/>
                      <w:kern w:val="0"/>
                      <w:sz w:val="18"/>
                      <w:szCs w:val="18"/>
                      <w:highlight w:val="none"/>
                    </w:rPr>
                    <w:t>，同意项目入园</w:t>
                  </w:r>
                  <w:r>
                    <w:rPr>
                      <w:rFonts w:hint="eastAsia" w:ascii="Times New Roman" w:hAnsi="Times New Roman" w:cs="Times New Roman"/>
                      <w:color w:val="auto"/>
                      <w:kern w:val="0"/>
                      <w:sz w:val="18"/>
                      <w:szCs w:val="18"/>
                      <w:highlight w:val="none"/>
                      <w:lang w:eastAsia="zh-CN"/>
                    </w:rPr>
                    <w:t>。</w:t>
                  </w:r>
                </w:p>
              </w:tc>
              <w:tc>
                <w:tcPr>
                  <w:tcW w:w="463" w:type="pct"/>
                  <w:noWrap w:val="0"/>
                  <w:vAlign w:val="center"/>
                </w:tcPr>
                <w:p w14:paraId="0813E1C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14872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09" w:type="pct"/>
                  <w:vMerge w:val="continue"/>
                  <w:noWrap w:val="0"/>
                  <w:vAlign w:val="center"/>
                </w:tcPr>
                <w:p w14:paraId="612DC7C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p>
              </w:tc>
              <w:tc>
                <w:tcPr>
                  <w:tcW w:w="209" w:type="pct"/>
                  <w:vMerge w:val="continue"/>
                  <w:noWrap w:val="0"/>
                  <w:vAlign w:val="center"/>
                </w:tcPr>
                <w:p w14:paraId="605E9F1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p>
              </w:tc>
              <w:tc>
                <w:tcPr>
                  <w:tcW w:w="2574" w:type="pct"/>
                  <w:noWrap w:val="0"/>
                  <w:vAlign w:val="center"/>
                </w:tcPr>
                <w:p w14:paraId="6F45F5C1">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2.红塔片区限制扩建水泥、化工等大气重污染型企业；限制以废水、高架点源废气为特征污染的工业企业入园。</w:t>
                  </w:r>
                </w:p>
              </w:tc>
              <w:tc>
                <w:tcPr>
                  <w:tcW w:w="1542" w:type="pct"/>
                  <w:noWrap w:val="0"/>
                  <w:vAlign w:val="center"/>
                </w:tcPr>
                <w:p w14:paraId="0FEDDF4D">
                  <w:pPr>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项目不</w:t>
                  </w:r>
                  <w:r>
                    <w:rPr>
                      <w:rFonts w:hint="eastAsia" w:ascii="Times New Roman" w:hAnsi="Times New Roman" w:cs="Times New Roman"/>
                      <w:color w:val="auto"/>
                      <w:sz w:val="18"/>
                      <w:szCs w:val="18"/>
                      <w:highlight w:val="none"/>
                      <w:lang w:eastAsia="zh-CN"/>
                    </w:rPr>
                    <w:t>属于</w:t>
                  </w:r>
                  <w:r>
                    <w:rPr>
                      <w:rFonts w:hint="default" w:ascii="Times New Roman" w:hAnsi="Times New Roman" w:eastAsia="宋体" w:cs="Times New Roman"/>
                      <w:color w:val="auto"/>
                      <w:sz w:val="18"/>
                      <w:szCs w:val="18"/>
                      <w:highlight w:val="none"/>
                    </w:rPr>
                    <w:t>大气重污染型企业</w:t>
                  </w:r>
                  <w:r>
                    <w:rPr>
                      <w:rFonts w:hint="eastAsia" w:ascii="Times New Roman" w:hAnsi="Times New Roman" w:eastAsia="宋体" w:cs="Times New Roman"/>
                      <w:color w:val="auto"/>
                      <w:sz w:val="18"/>
                      <w:szCs w:val="18"/>
                      <w:highlight w:val="none"/>
                      <w:lang w:eastAsia="zh-CN"/>
                    </w:rPr>
                    <w:t>。</w:t>
                  </w:r>
                </w:p>
              </w:tc>
              <w:tc>
                <w:tcPr>
                  <w:tcW w:w="463" w:type="pct"/>
                  <w:noWrap w:val="0"/>
                  <w:vAlign w:val="center"/>
                </w:tcPr>
                <w:p w14:paraId="2C3F1C60">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符合</w:t>
                  </w:r>
                </w:p>
              </w:tc>
            </w:tr>
            <w:tr w14:paraId="59F91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09" w:type="pct"/>
                  <w:vMerge w:val="continue"/>
                  <w:noWrap w:val="0"/>
                  <w:vAlign w:val="center"/>
                </w:tcPr>
                <w:p w14:paraId="2A5DF5F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p>
              </w:tc>
              <w:tc>
                <w:tcPr>
                  <w:tcW w:w="209" w:type="pct"/>
                  <w:vMerge w:val="continue"/>
                  <w:noWrap w:val="0"/>
                  <w:vAlign w:val="center"/>
                </w:tcPr>
                <w:p w14:paraId="302F1B1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p>
              </w:tc>
              <w:tc>
                <w:tcPr>
                  <w:tcW w:w="2574" w:type="pct"/>
                  <w:noWrap w:val="0"/>
                  <w:vAlign w:val="center"/>
                </w:tcPr>
                <w:p w14:paraId="21460007">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3.在玉溪大河、石邑河水质达标前，核心区、研和片区禁止引入高废水产生的项目。</w:t>
                  </w:r>
                </w:p>
              </w:tc>
              <w:tc>
                <w:tcPr>
                  <w:tcW w:w="1542" w:type="pct"/>
                  <w:noWrap w:val="0"/>
                  <w:vAlign w:val="center"/>
                </w:tcPr>
                <w:p w14:paraId="2331CEB9">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 w:val="18"/>
                      <w:szCs w:val="18"/>
                      <w:highlight w:val="none"/>
                    </w:rPr>
                  </w:pPr>
                  <w:r>
                    <w:rPr>
                      <w:rFonts w:hint="eastAsia" w:ascii="Times New Roman" w:hAnsi="Times New Roman"/>
                      <w:color w:val="auto"/>
                      <w:kern w:val="0"/>
                      <w:sz w:val="18"/>
                      <w:szCs w:val="18"/>
                      <w:highlight w:val="none"/>
                    </w:rPr>
                    <w:t>本项目运营期</w:t>
                  </w:r>
                  <w:r>
                    <w:rPr>
                      <w:rFonts w:hint="eastAsia"/>
                      <w:color w:val="auto"/>
                      <w:kern w:val="0"/>
                      <w:sz w:val="18"/>
                      <w:szCs w:val="18"/>
                      <w:highlight w:val="none"/>
                      <w:lang w:val="en-US" w:eastAsia="zh-CN"/>
                    </w:rPr>
                    <w:t>洗车废水沉淀后回用</w:t>
                  </w:r>
                  <w:r>
                    <w:rPr>
                      <w:rFonts w:hint="eastAsia" w:ascii="Times New Roman" w:hAnsi="Times New Roman"/>
                      <w:color w:val="auto"/>
                      <w:sz w:val="18"/>
                      <w:szCs w:val="18"/>
                      <w:highlight w:val="none"/>
                      <w:lang w:eastAsia="zh-CN"/>
                    </w:rPr>
                    <w:t>，</w:t>
                  </w:r>
                  <w:r>
                    <w:rPr>
                      <w:rFonts w:ascii="Times New Roman" w:hAnsi="Times New Roman"/>
                      <w:color w:val="auto"/>
                      <w:sz w:val="18"/>
                      <w:szCs w:val="18"/>
                      <w:highlight w:val="none"/>
                    </w:rPr>
                    <w:t>生活污水经</w:t>
                  </w:r>
                  <w:r>
                    <w:rPr>
                      <w:rFonts w:hint="eastAsia" w:ascii="Times New Roman" w:hAnsi="Times New Roman"/>
                      <w:color w:val="auto"/>
                      <w:sz w:val="18"/>
                      <w:szCs w:val="18"/>
                      <w:highlight w:val="none"/>
                      <w:lang w:val="en-US" w:eastAsia="zh-CN"/>
                    </w:rPr>
                    <w:t>自建污水处理站</w:t>
                  </w:r>
                  <w:r>
                    <w:rPr>
                      <w:rFonts w:ascii="Times New Roman" w:hAnsi="Times New Roman"/>
                      <w:color w:val="auto"/>
                      <w:sz w:val="18"/>
                      <w:szCs w:val="18"/>
                      <w:highlight w:val="none"/>
                    </w:rPr>
                    <w:t>预处理后</w:t>
                  </w:r>
                  <w:r>
                    <w:rPr>
                      <w:rFonts w:hint="eastAsia" w:ascii="Times New Roman" w:hAnsi="Times New Roman"/>
                      <w:color w:val="auto"/>
                      <w:sz w:val="18"/>
                      <w:szCs w:val="18"/>
                      <w:highlight w:val="none"/>
                      <w:lang w:val="en-US" w:eastAsia="zh-CN"/>
                    </w:rPr>
                    <w:t>回用于</w:t>
                  </w:r>
                  <w:r>
                    <w:rPr>
                      <w:rFonts w:hint="eastAsia"/>
                      <w:color w:val="auto"/>
                      <w:sz w:val="18"/>
                      <w:szCs w:val="18"/>
                      <w:highlight w:val="none"/>
                      <w:lang w:val="en-US" w:eastAsia="zh-CN"/>
                    </w:rPr>
                    <w:t>厂区绿化</w:t>
                  </w:r>
                  <w:r>
                    <w:rPr>
                      <w:rFonts w:hint="eastAsia" w:ascii="Times New Roman" w:hAnsi="Times New Roman"/>
                      <w:color w:val="auto"/>
                      <w:sz w:val="18"/>
                      <w:szCs w:val="18"/>
                      <w:highlight w:val="none"/>
                      <w:lang w:val="en-US" w:eastAsia="zh-CN"/>
                    </w:rPr>
                    <w:t>，不外排</w:t>
                  </w:r>
                  <w:r>
                    <w:rPr>
                      <w:rFonts w:hint="eastAsia" w:ascii="Times New Roman" w:hAnsi="Times New Roman"/>
                      <w:color w:val="auto"/>
                      <w:sz w:val="18"/>
                      <w:szCs w:val="18"/>
                      <w:highlight w:val="none"/>
                    </w:rPr>
                    <w:t>，不属于</w:t>
                  </w:r>
                  <w:r>
                    <w:rPr>
                      <w:rFonts w:ascii="Times New Roman" w:hAnsi="Times New Roman"/>
                      <w:color w:val="auto"/>
                      <w:sz w:val="18"/>
                      <w:szCs w:val="18"/>
                      <w:highlight w:val="none"/>
                    </w:rPr>
                    <w:t>高废水产生的项目。</w:t>
                  </w:r>
                </w:p>
              </w:tc>
              <w:tc>
                <w:tcPr>
                  <w:tcW w:w="463" w:type="pct"/>
                  <w:noWrap w:val="0"/>
                  <w:vAlign w:val="center"/>
                </w:tcPr>
                <w:p w14:paraId="47575895">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符合</w:t>
                  </w:r>
                </w:p>
              </w:tc>
            </w:tr>
            <w:tr w14:paraId="6C4C9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09" w:type="pct"/>
                  <w:vMerge w:val="continue"/>
                  <w:noWrap w:val="0"/>
                  <w:vAlign w:val="center"/>
                </w:tcPr>
                <w:p w14:paraId="47E6E19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p>
              </w:tc>
              <w:tc>
                <w:tcPr>
                  <w:tcW w:w="209" w:type="pct"/>
                  <w:noWrap w:val="0"/>
                  <w:vAlign w:val="center"/>
                </w:tcPr>
                <w:p w14:paraId="3FB7005E">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污染物排放管控</w:t>
                  </w:r>
                </w:p>
              </w:tc>
              <w:tc>
                <w:tcPr>
                  <w:tcW w:w="2574" w:type="pct"/>
                  <w:noWrap w:val="0"/>
                  <w:vAlign w:val="center"/>
                </w:tcPr>
                <w:p w14:paraId="03198965">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1、加强控制颗粒物的排放，红塔片区、南片区维持现状水平，污染排放等量或减量替代，不允许新增大气污染物。</w:t>
                  </w:r>
                </w:p>
                <w:p w14:paraId="180049B0">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r>
                    <w:rPr>
                      <w:rFonts w:hint="default" w:ascii="Times New Roman" w:hAnsi="Times New Roman" w:eastAsia="宋体" w:cs="Times New Roman"/>
                      <w:color w:val="auto"/>
                      <w:sz w:val="18"/>
                      <w:szCs w:val="18"/>
                      <w:highlight w:val="none"/>
                      <w:shd w:val="clear" w:color="auto" w:fill="FFFFFF"/>
                    </w:rPr>
                    <w:t xml:space="preserve"> 入驻企业采用低（无）VOCs含量、低反应活性的原辅材料，加快对芳香烃、含卤素有机化合物的绿色替代，全面加强无组织排放控制，新建治污设施或对现有治污设施实施改造，有效降低VOCs的排放量。</w:t>
                  </w:r>
                </w:p>
                <w:p w14:paraId="22F29F40">
                  <w:pPr>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3.</w:t>
                  </w:r>
                  <w:r>
                    <w:rPr>
                      <w:rFonts w:hint="default" w:ascii="Times New Roman" w:hAnsi="Times New Roman" w:eastAsia="宋体" w:cs="Times New Roman"/>
                      <w:color w:val="auto"/>
                      <w:sz w:val="18"/>
                      <w:szCs w:val="18"/>
                      <w:highlight w:val="none"/>
                      <w:shd w:val="clear" w:color="auto" w:fill="FFFFFF"/>
                    </w:rPr>
                    <w:t xml:space="preserve"> 南片区、九龙片区、大营街地块、观音山地块、莲池地块等区域污水进入第三污水处理厂。</w:t>
                  </w:r>
                </w:p>
              </w:tc>
              <w:tc>
                <w:tcPr>
                  <w:tcW w:w="1542" w:type="pct"/>
                  <w:noWrap w:val="0"/>
                  <w:vAlign w:val="center"/>
                </w:tcPr>
                <w:p w14:paraId="4BD16D03">
                  <w:pPr>
                    <w:keepNext w:val="0"/>
                    <w:keepLines w:val="0"/>
                    <w:pageBreakBefore w:val="0"/>
                    <w:widowControl w:val="0"/>
                    <w:kinsoku/>
                    <w:wordWrap/>
                    <w:overflowPunct/>
                    <w:topLinePunct w:val="0"/>
                    <w:bidi w:val="0"/>
                    <w:adjustRightInd w:val="0"/>
                    <w:snapToGrid w:val="0"/>
                    <w:textAlignment w:val="auto"/>
                    <w:rPr>
                      <w:rFonts w:hint="eastAsia" w:ascii="Times New Roman" w:hAnsi="Times New Roman" w:cs="Times New Roman"/>
                      <w:color w:val="auto"/>
                      <w:kern w:val="0"/>
                      <w:sz w:val="18"/>
                      <w:szCs w:val="18"/>
                      <w:highlight w:val="none"/>
                      <w:lang w:eastAsia="zh-CN"/>
                    </w:rPr>
                  </w:pPr>
                  <w:r>
                    <w:rPr>
                      <w:rFonts w:hint="default" w:ascii="Times New Roman" w:hAnsi="Times New Roman" w:eastAsia="宋体" w:cs="Times New Roman"/>
                      <w:color w:val="auto"/>
                      <w:sz w:val="18"/>
                      <w:szCs w:val="18"/>
                      <w:highlight w:val="none"/>
                    </w:rPr>
                    <w:t>1</w:t>
                  </w:r>
                  <w:r>
                    <w:rPr>
                      <w:rFonts w:hint="eastAsia"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kern w:val="0"/>
                      <w:sz w:val="18"/>
                      <w:szCs w:val="18"/>
                      <w:highlight w:val="none"/>
                    </w:rPr>
                    <w:t>项目</w:t>
                  </w:r>
                  <w:r>
                    <w:rPr>
                      <w:rFonts w:hint="eastAsia" w:cs="Times New Roman"/>
                      <w:color w:val="auto"/>
                      <w:kern w:val="0"/>
                      <w:sz w:val="18"/>
                      <w:szCs w:val="18"/>
                      <w:highlight w:val="none"/>
                      <w:lang w:val="en-US" w:eastAsia="zh-CN"/>
                    </w:rPr>
                    <w:t>位于云南红塔产业园区研和片区，不涉及</w:t>
                  </w:r>
                  <w:r>
                    <w:rPr>
                      <w:rFonts w:hint="default" w:ascii="Times New Roman" w:hAnsi="Times New Roman" w:eastAsia="宋体" w:cs="Times New Roman"/>
                      <w:color w:val="auto"/>
                      <w:sz w:val="18"/>
                      <w:szCs w:val="18"/>
                      <w:highlight w:val="none"/>
                    </w:rPr>
                    <w:t>红塔片区、南片区</w:t>
                  </w:r>
                  <w:r>
                    <w:rPr>
                      <w:rFonts w:hint="eastAsia" w:cs="Times New Roman"/>
                      <w:color w:val="auto"/>
                      <w:sz w:val="18"/>
                      <w:szCs w:val="18"/>
                      <w:highlight w:val="none"/>
                      <w:lang w:eastAsia="zh-CN"/>
                    </w:rPr>
                    <w:t>。</w:t>
                  </w:r>
                  <w:r>
                    <w:rPr>
                      <w:rFonts w:hint="default" w:ascii="Times New Roman" w:hAnsi="Times New Roman" w:eastAsia="宋体" w:cs="Times New Roman"/>
                      <w:color w:val="auto"/>
                      <w:kern w:val="0"/>
                      <w:sz w:val="18"/>
                      <w:szCs w:val="18"/>
                      <w:highlight w:val="none"/>
                    </w:rPr>
                    <w:t>有组织废气经“集气罩+布袋除尘”处理，原料堆放、卸料、投料及道路扬尘等无组织废气经喷淋洒水处理，经核算和预测对大气环境影响较小</w:t>
                  </w:r>
                  <w:r>
                    <w:rPr>
                      <w:rFonts w:hint="eastAsia" w:ascii="Times New Roman" w:hAnsi="Times New Roman" w:cs="Times New Roman"/>
                      <w:color w:val="auto"/>
                      <w:sz w:val="18"/>
                      <w:szCs w:val="18"/>
                      <w:highlight w:val="none"/>
                      <w:lang w:val="en-US" w:eastAsia="zh-CN"/>
                    </w:rPr>
                    <w:t>,对周边大气环境影响较小。</w:t>
                  </w:r>
                </w:p>
                <w:p w14:paraId="1260F70D">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2、本项目不涉及</w:t>
                  </w:r>
                  <w:r>
                    <w:rPr>
                      <w:rFonts w:hint="default" w:ascii="Times New Roman" w:hAnsi="Times New Roman" w:eastAsia="宋体" w:cs="Times New Roman"/>
                      <w:color w:val="auto"/>
                      <w:sz w:val="18"/>
                      <w:szCs w:val="18"/>
                      <w:highlight w:val="none"/>
                      <w:shd w:val="clear" w:color="auto" w:fill="FFFFFF"/>
                    </w:rPr>
                    <w:t>VOCs的排放</w:t>
                  </w:r>
                  <w:r>
                    <w:rPr>
                      <w:rFonts w:hint="eastAsia" w:ascii="Times New Roman" w:hAnsi="Times New Roman" w:cs="Times New Roman"/>
                      <w:color w:val="auto"/>
                      <w:kern w:val="0"/>
                      <w:sz w:val="18"/>
                      <w:szCs w:val="18"/>
                      <w:highlight w:val="none"/>
                      <w:lang w:val="en-US" w:eastAsia="zh-CN"/>
                    </w:rPr>
                    <w:t>。</w:t>
                  </w:r>
                </w:p>
                <w:p w14:paraId="6A9BD444">
                  <w:pPr>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3、本项目</w:t>
                  </w:r>
                  <w:r>
                    <w:rPr>
                      <w:rFonts w:hint="eastAsia" w:ascii="Times New Roman" w:hAnsi="Times New Roman"/>
                      <w:color w:val="auto"/>
                      <w:kern w:val="0"/>
                      <w:sz w:val="18"/>
                      <w:szCs w:val="18"/>
                      <w:highlight w:val="none"/>
                    </w:rPr>
                    <w:t>位于云南红塔产业园区</w:t>
                  </w:r>
                  <w:r>
                    <w:rPr>
                      <w:rFonts w:hint="eastAsia" w:ascii="Times New Roman" w:hAnsi="Times New Roman"/>
                      <w:color w:val="auto"/>
                      <w:kern w:val="0"/>
                      <w:sz w:val="18"/>
                      <w:szCs w:val="18"/>
                      <w:highlight w:val="none"/>
                      <w:lang w:eastAsia="zh-CN"/>
                    </w:rPr>
                    <w:t>研和片区的二地块，</w:t>
                  </w:r>
                  <w:r>
                    <w:rPr>
                      <w:rFonts w:hint="eastAsia" w:ascii="Times New Roman" w:hAnsi="Times New Roman"/>
                      <w:color w:val="auto"/>
                      <w:kern w:val="0"/>
                      <w:sz w:val="18"/>
                      <w:szCs w:val="18"/>
                      <w:highlight w:val="none"/>
                    </w:rPr>
                    <w:t>运营期</w:t>
                  </w:r>
                  <w:r>
                    <w:rPr>
                      <w:rFonts w:hint="eastAsia"/>
                      <w:color w:val="auto"/>
                      <w:kern w:val="0"/>
                      <w:sz w:val="18"/>
                      <w:szCs w:val="18"/>
                      <w:highlight w:val="none"/>
                      <w:lang w:val="en-US" w:eastAsia="zh-CN"/>
                    </w:rPr>
                    <w:t>洗车废水沉淀后回用</w:t>
                  </w:r>
                  <w:r>
                    <w:rPr>
                      <w:rFonts w:hint="eastAsia" w:ascii="Times New Roman" w:hAnsi="Times New Roman"/>
                      <w:color w:val="auto"/>
                      <w:sz w:val="18"/>
                      <w:szCs w:val="18"/>
                      <w:highlight w:val="none"/>
                      <w:lang w:eastAsia="zh-CN"/>
                    </w:rPr>
                    <w:t>，</w:t>
                  </w:r>
                  <w:r>
                    <w:rPr>
                      <w:rFonts w:ascii="Times New Roman" w:hAnsi="Times New Roman"/>
                      <w:color w:val="auto"/>
                      <w:sz w:val="18"/>
                      <w:szCs w:val="18"/>
                      <w:highlight w:val="none"/>
                    </w:rPr>
                    <w:t>生活污水经</w:t>
                  </w:r>
                  <w:r>
                    <w:rPr>
                      <w:rFonts w:hint="eastAsia" w:ascii="Times New Roman" w:hAnsi="Times New Roman"/>
                      <w:color w:val="auto"/>
                      <w:sz w:val="18"/>
                      <w:szCs w:val="18"/>
                      <w:highlight w:val="none"/>
                      <w:lang w:val="en-US" w:eastAsia="zh-CN"/>
                    </w:rPr>
                    <w:t>自建污水处理站</w:t>
                  </w:r>
                  <w:r>
                    <w:rPr>
                      <w:rFonts w:ascii="Times New Roman" w:hAnsi="Times New Roman"/>
                      <w:color w:val="auto"/>
                      <w:sz w:val="18"/>
                      <w:szCs w:val="18"/>
                      <w:highlight w:val="none"/>
                    </w:rPr>
                    <w:t>预处理后</w:t>
                  </w:r>
                  <w:r>
                    <w:rPr>
                      <w:rFonts w:hint="eastAsia" w:ascii="Times New Roman" w:hAnsi="Times New Roman"/>
                      <w:color w:val="auto"/>
                      <w:sz w:val="18"/>
                      <w:szCs w:val="18"/>
                      <w:highlight w:val="none"/>
                      <w:lang w:val="en-US" w:eastAsia="zh-CN"/>
                    </w:rPr>
                    <w:t>回用于</w:t>
                  </w:r>
                  <w:r>
                    <w:rPr>
                      <w:rFonts w:hint="eastAsia"/>
                      <w:color w:val="auto"/>
                      <w:sz w:val="18"/>
                      <w:szCs w:val="18"/>
                      <w:highlight w:val="none"/>
                      <w:lang w:val="en-US" w:eastAsia="zh-CN"/>
                    </w:rPr>
                    <w:t>厂区绿化</w:t>
                  </w:r>
                  <w:r>
                    <w:rPr>
                      <w:rFonts w:hint="eastAsia" w:ascii="Times New Roman" w:hAnsi="Times New Roman"/>
                      <w:color w:val="auto"/>
                      <w:sz w:val="18"/>
                      <w:szCs w:val="18"/>
                      <w:highlight w:val="none"/>
                      <w:lang w:val="en-US" w:eastAsia="zh-CN"/>
                    </w:rPr>
                    <w:t>，不外排</w:t>
                  </w:r>
                  <w:r>
                    <w:rPr>
                      <w:rFonts w:hint="eastAsia" w:ascii="Times New Roman" w:hAnsi="Times New Roman" w:eastAsia="宋体" w:cs="Times New Roman"/>
                      <w:color w:val="auto"/>
                      <w:sz w:val="18"/>
                      <w:szCs w:val="18"/>
                      <w:highlight w:val="none"/>
                      <w:lang w:eastAsia="zh-CN"/>
                    </w:rPr>
                    <w:t>。</w:t>
                  </w:r>
                </w:p>
              </w:tc>
              <w:tc>
                <w:tcPr>
                  <w:tcW w:w="463" w:type="pct"/>
                  <w:noWrap w:val="0"/>
                  <w:vAlign w:val="center"/>
                </w:tcPr>
                <w:p w14:paraId="554663D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01109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09" w:type="pct"/>
                  <w:vMerge w:val="continue"/>
                  <w:noWrap w:val="0"/>
                  <w:vAlign w:val="center"/>
                </w:tcPr>
                <w:p w14:paraId="0924E39F">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p>
              </w:tc>
              <w:tc>
                <w:tcPr>
                  <w:tcW w:w="209" w:type="pct"/>
                  <w:noWrap w:val="0"/>
                  <w:vAlign w:val="center"/>
                </w:tcPr>
                <w:p w14:paraId="73E2D25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环境风险防控</w:t>
                  </w:r>
                </w:p>
              </w:tc>
              <w:tc>
                <w:tcPr>
                  <w:tcW w:w="2574" w:type="pct"/>
                  <w:noWrap w:val="0"/>
                  <w:vAlign w:val="center"/>
                </w:tcPr>
                <w:p w14:paraId="4EE06F9D">
                  <w:pPr>
                    <w:keepNext w:val="0"/>
                    <w:keepLines w:val="0"/>
                    <w:pageBreakBefore w:val="0"/>
                    <w:widowControl w:val="0"/>
                    <w:numPr>
                      <w:ilvl w:val="0"/>
                      <w:numId w:val="5"/>
                    </w:numPr>
                    <w:kinsoku/>
                    <w:wordWrap/>
                    <w:overflowPunct/>
                    <w:topLinePunct w:val="0"/>
                    <w:bidi w:val="0"/>
                    <w:adjustRightInd w:val="0"/>
                    <w:snapToGrid w:val="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工业企业应有完善的风险防范措施，其最大可信事故半致死浓度范围内不得有居民点存在。</w:t>
                  </w:r>
                </w:p>
                <w:p w14:paraId="3046A34E">
                  <w:pPr>
                    <w:keepNext w:val="0"/>
                    <w:keepLines w:val="0"/>
                    <w:pageBreakBefore w:val="0"/>
                    <w:widowControl w:val="0"/>
                    <w:numPr>
                      <w:ilvl w:val="0"/>
                      <w:numId w:val="5"/>
                    </w:numPr>
                    <w:kinsoku/>
                    <w:wordWrap/>
                    <w:overflowPunct/>
                    <w:topLinePunct w:val="0"/>
                    <w:bidi w:val="0"/>
                    <w:adjustRightInd w:val="0"/>
                    <w:snapToGrid w:val="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制定突发环境事件应急预案，完善风险管理机制，加强风险控制防范。建立区域环境监测制度，加强规划实施的跟踪监测与管理。</w:t>
                  </w:r>
                </w:p>
              </w:tc>
              <w:tc>
                <w:tcPr>
                  <w:tcW w:w="1542" w:type="pct"/>
                  <w:noWrap w:val="0"/>
                  <w:vAlign w:val="center"/>
                </w:tcPr>
                <w:p w14:paraId="76A81CCB">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 w:val="18"/>
                      <w:szCs w:val="18"/>
                      <w:highlight w:val="none"/>
                    </w:rPr>
                  </w:pPr>
                  <w:r>
                    <w:rPr>
                      <w:rFonts w:hint="eastAsia" w:ascii="Times New Roman" w:hAnsi="Times New Roman"/>
                      <w:color w:val="auto"/>
                      <w:sz w:val="18"/>
                      <w:szCs w:val="18"/>
                      <w:highlight w:val="none"/>
                      <w:lang w:val="en-US" w:eastAsia="zh-CN"/>
                    </w:rPr>
                    <w:t>本环评要求项目建成后及时编制突发环境事件应急预案，</w:t>
                  </w:r>
                  <w:r>
                    <w:rPr>
                      <w:rFonts w:hint="default" w:ascii="Times New Roman" w:hAnsi="Times New Roman" w:eastAsia="宋体" w:cs="Times New Roman"/>
                      <w:color w:val="auto"/>
                      <w:sz w:val="18"/>
                      <w:szCs w:val="18"/>
                      <w:highlight w:val="none"/>
                    </w:rPr>
                    <w:t>建立环境监测制度</w:t>
                  </w:r>
                  <w:r>
                    <w:rPr>
                      <w:rFonts w:hint="eastAsia" w:ascii="Times New Roman" w:hAnsi="Times New Roman" w:eastAsia="宋体" w:cs="Times New Roman"/>
                      <w:color w:val="auto"/>
                      <w:sz w:val="18"/>
                      <w:szCs w:val="18"/>
                      <w:highlight w:val="none"/>
                      <w:lang w:val="en-US" w:eastAsia="zh-CN"/>
                    </w:rPr>
                    <w:t>和风险防控体系</w:t>
                  </w:r>
                  <w:r>
                    <w:rPr>
                      <w:rFonts w:hint="default" w:ascii="Times New Roman" w:hAnsi="Times New Roman" w:eastAsia="宋体" w:cs="Times New Roman"/>
                      <w:color w:val="auto"/>
                      <w:sz w:val="18"/>
                      <w:szCs w:val="18"/>
                      <w:highlight w:val="none"/>
                    </w:rPr>
                    <w:t>，</w:t>
                  </w:r>
                  <w:r>
                    <w:rPr>
                      <w:rFonts w:hint="eastAsia" w:ascii="Times New Roman" w:hAnsi="Times New Roman"/>
                      <w:color w:val="auto"/>
                      <w:sz w:val="18"/>
                      <w:szCs w:val="18"/>
                      <w:highlight w:val="none"/>
                    </w:rPr>
                    <w:t>防范环境风险</w:t>
                  </w:r>
                  <w:r>
                    <w:rPr>
                      <w:rFonts w:hint="default" w:ascii="Times New Roman" w:hAnsi="Times New Roman" w:eastAsia="宋体" w:cs="Times New Roman"/>
                      <w:color w:val="auto"/>
                      <w:sz w:val="18"/>
                      <w:szCs w:val="18"/>
                      <w:highlight w:val="none"/>
                    </w:rPr>
                    <w:t>。</w:t>
                  </w:r>
                </w:p>
              </w:tc>
              <w:tc>
                <w:tcPr>
                  <w:tcW w:w="463" w:type="pct"/>
                  <w:noWrap w:val="0"/>
                  <w:vAlign w:val="center"/>
                </w:tcPr>
                <w:p w14:paraId="0D1BF52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1B56D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09" w:type="pct"/>
                  <w:vMerge w:val="continue"/>
                  <w:noWrap w:val="0"/>
                  <w:vAlign w:val="center"/>
                </w:tcPr>
                <w:p w14:paraId="201B652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p>
              </w:tc>
              <w:tc>
                <w:tcPr>
                  <w:tcW w:w="209" w:type="pct"/>
                  <w:noWrap w:val="0"/>
                  <w:vAlign w:val="center"/>
                </w:tcPr>
                <w:p w14:paraId="138AF64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资源开发效率要求</w:t>
                  </w:r>
                </w:p>
              </w:tc>
              <w:tc>
                <w:tcPr>
                  <w:tcW w:w="2574" w:type="pct"/>
                  <w:noWrap w:val="0"/>
                  <w:vAlign w:val="center"/>
                </w:tcPr>
                <w:p w14:paraId="123C6256">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园区工业废水集中处理率不低于90%，再生水利用率达到30%，工业用水重复率不低于80%。</w:t>
                  </w:r>
                </w:p>
              </w:tc>
              <w:tc>
                <w:tcPr>
                  <w:tcW w:w="1542" w:type="pct"/>
                  <w:noWrap w:val="0"/>
                  <w:vAlign w:val="center"/>
                </w:tcPr>
                <w:p w14:paraId="04B0ACF5">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w:t>
                  </w:r>
                  <w:r>
                    <w:rPr>
                      <w:rFonts w:hint="eastAsia" w:ascii="Times New Roman" w:hAnsi="Times New Roman"/>
                      <w:color w:val="auto"/>
                      <w:kern w:val="0"/>
                      <w:sz w:val="18"/>
                      <w:szCs w:val="18"/>
                      <w:highlight w:val="none"/>
                    </w:rPr>
                    <w:t>运营期</w:t>
                  </w:r>
                  <w:r>
                    <w:rPr>
                      <w:rFonts w:hint="eastAsia"/>
                      <w:color w:val="auto"/>
                      <w:kern w:val="0"/>
                      <w:sz w:val="18"/>
                      <w:szCs w:val="18"/>
                      <w:highlight w:val="none"/>
                      <w:lang w:val="en-US" w:eastAsia="zh-CN"/>
                    </w:rPr>
                    <w:t>洗车废水沉淀后回用</w:t>
                  </w:r>
                  <w:r>
                    <w:rPr>
                      <w:rFonts w:hint="eastAsia" w:ascii="Times New Roman" w:hAnsi="Times New Roman"/>
                      <w:color w:val="auto"/>
                      <w:sz w:val="18"/>
                      <w:szCs w:val="18"/>
                      <w:highlight w:val="none"/>
                      <w:lang w:eastAsia="zh-CN"/>
                    </w:rPr>
                    <w:t>，</w:t>
                  </w:r>
                  <w:r>
                    <w:rPr>
                      <w:rFonts w:ascii="Times New Roman" w:hAnsi="Times New Roman"/>
                      <w:color w:val="auto"/>
                      <w:sz w:val="18"/>
                      <w:szCs w:val="18"/>
                      <w:highlight w:val="none"/>
                    </w:rPr>
                    <w:t>生活污水经</w:t>
                  </w:r>
                  <w:r>
                    <w:rPr>
                      <w:rFonts w:hint="eastAsia" w:ascii="Times New Roman" w:hAnsi="Times New Roman"/>
                      <w:color w:val="auto"/>
                      <w:sz w:val="18"/>
                      <w:szCs w:val="18"/>
                      <w:highlight w:val="none"/>
                      <w:lang w:val="en-US" w:eastAsia="zh-CN"/>
                    </w:rPr>
                    <w:t>自建污水处理站</w:t>
                  </w:r>
                  <w:r>
                    <w:rPr>
                      <w:rFonts w:ascii="Times New Roman" w:hAnsi="Times New Roman"/>
                      <w:color w:val="auto"/>
                      <w:sz w:val="18"/>
                      <w:szCs w:val="18"/>
                      <w:highlight w:val="none"/>
                    </w:rPr>
                    <w:t>预处理后</w:t>
                  </w:r>
                  <w:r>
                    <w:rPr>
                      <w:rFonts w:hint="eastAsia" w:ascii="Times New Roman" w:hAnsi="Times New Roman"/>
                      <w:color w:val="auto"/>
                      <w:sz w:val="18"/>
                      <w:szCs w:val="18"/>
                      <w:highlight w:val="none"/>
                      <w:lang w:val="en-US" w:eastAsia="zh-CN"/>
                    </w:rPr>
                    <w:t>回用于</w:t>
                  </w:r>
                  <w:r>
                    <w:rPr>
                      <w:rFonts w:hint="eastAsia"/>
                      <w:color w:val="auto"/>
                      <w:sz w:val="18"/>
                      <w:szCs w:val="18"/>
                      <w:highlight w:val="none"/>
                      <w:lang w:val="en-US" w:eastAsia="zh-CN"/>
                    </w:rPr>
                    <w:t>厂区绿化</w:t>
                  </w:r>
                  <w:r>
                    <w:rPr>
                      <w:rFonts w:hint="eastAsia" w:ascii="Times New Roman" w:hAnsi="Times New Roman"/>
                      <w:color w:val="auto"/>
                      <w:sz w:val="18"/>
                      <w:szCs w:val="18"/>
                      <w:highlight w:val="none"/>
                      <w:lang w:val="en-US" w:eastAsia="zh-CN"/>
                    </w:rPr>
                    <w:t>，不外排</w:t>
                  </w:r>
                  <w:r>
                    <w:rPr>
                      <w:rFonts w:hint="default" w:ascii="Times New Roman" w:hAnsi="Times New Roman" w:eastAsia="宋体" w:cs="Times New Roman"/>
                      <w:color w:val="auto"/>
                      <w:sz w:val="18"/>
                      <w:szCs w:val="18"/>
                      <w:highlight w:val="none"/>
                    </w:rPr>
                    <w:t>。</w:t>
                  </w:r>
                </w:p>
              </w:tc>
              <w:tc>
                <w:tcPr>
                  <w:tcW w:w="463" w:type="pct"/>
                  <w:noWrap w:val="0"/>
                  <w:vAlign w:val="center"/>
                </w:tcPr>
                <w:p w14:paraId="17BB8CA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bl>
          <w:p w14:paraId="767C6B7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综上所述，项目与</w:t>
            </w:r>
            <w:r>
              <w:rPr>
                <w:rFonts w:hint="eastAsia" w:ascii="Times New Roman" w:hAnsi="Times New Roman"/>
                <w:color w:val="auto"/>
                <w:sz w:val="24"/>
                <w:szCs w:val="24"/>
                <w:highlight w:val="none"/>
                <w:lang w:val="en-US" w:eastAsia="zh-CN"/>
              </w:rPr>
              <w:t>玉溪市生态环境局印发《玉溪市生态环境分区管控动态更新调整方案（2023年）》（玉市环〔2024〕40号）</w:t>
            </w:r>
            <w:r>
              <w:rPr>
                <w:rFonts w:hint="default" w:ascii="Times New Roman" w:hAnsi="Times New Roman" w:eastAsia="宋体" w:cs="Times New Roman"/>
                <w:bCs/>
                <w:color w:val="auto"/>
                <w:sz w:val="24"/>
                <w:szCs w:val="24"/>
                <w:highlight w:val="none"/>
              </w:rPr>
              <w:t>相符。</w:t>
            </w:r>
          </w:p>
          <w:p w14:paraId="3FFAA40F">
            <w:pPr>
              <w:keepNext w:val="0"/>
              <w:keepLines w:val="0"/>
              <w:pageBreakBefore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auto"/>
                <w:kern w:val="0"/>
                <w:sz w:val="24"/>
                <w:szCs w:val="24"/>
                <w:highlight w:val="none"/>
              </w:rPr>
            </w:pPr>
            <w:r>
              <w:rPr>
                <w:rFonts w:hint="eastAsia" w:ascii="Times New Roman" w:hAnsi="Times New Roman" w:eastAsia="宋体"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rPr>
              <w:t>与《长江经济带发展负面清单指南（试行），2022年版》符合性分析</w:t>
            </w:r>
          </w:p>
          <w:p w14:paraId="293F9960">
            <w:pPr>
              <w:pStyle w:val="10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96"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根据《长江经济带发展负面清单指南(试行，2022年版)》（长江办〔2022〕7号），本项目与其符合性详见如下：</w:t>
            </w:r>
          </w:p>
          <w:p w14:paraId="6954EDD9">
            <w:pPr>
              <w:pStyle w:val="10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96" w:firstLineChars="200"/>
              <w:textAlignment w:val="auto"/>
              <w:rPr>
                <w:rFonts w:hint="default" w:ascii="Times New Roman" w:hAnsi="Times New Roman" w:eastAsia="宋体" w:cs="Times New Roman"/>
                <w:color w:val="auto"/>
                <w:szCs w:val="24"/>
                <w:highlight w:val="none"/>
              </w:rPr>
            </w:pPr>
          </w:p>
          <w:p w14:paraId="5D938DD9">
            <w:pPr>
              <w:pStyle w:val="10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96" w:firstLineChars="200"/>
              <w:textAlignment w:val="auto"/>
              <w:rPr>
                <w:rFonts w:hint="default" w:ascii="Times New Roman" w:hAnsi="Times New Roman" w:eastAsia="宋体" w:cs="Times New Roman"/>
                <w:color w:val="auto"/>
                <w:szCs w:val="24"/>
                <w:highlight w:val="none"/>
              </w:rPr>
            </w:pPr>
          </w:p>
          <w:p w14:paraId="664C7C85">
            <w:pPr>
              <w:pStyle w:val="10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96" w:firstLineChars="200"/>
              <w:textAlignment w:val="auto"/>
              <w:rPr>
                <w:rFonts w:hint="default" w:ascii="Times New Roman" w:hAnsi="Times New Roman" w:eastAsia="宋体" w:cs="Times New Roman"/>
                <w:color w:val="auto"/>
                <w:szCs w:val="24"/>
                <w:highlight w:val="none"/>
              </w:rPr>
            </w:pPr>
          </w:p>
          <w:p w14:paraId="1F69FC2D">
            <w:pPr>
              <w:pStyle w:val="10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96" w:firstLineChars="200"/>
              <w:textAlignment w:val="auto"/>
              <w:rPr>
                <w:rFonts w:hint="default" w:ascii="Times New Roman" w:hAnsi="Times New Roman" w:eastAsia="宋体" w:cs="Times New Roman"/>
                <w:color w:val="auto"/>
                <w:szCs w:val="24"/>
                <w:highlight w:val="none"/>
              </w:rPr>
            </w:pPr>
          </w:p>
          <w:p w14:paraId="6AB1217C">
            <w:pPr>
              <w:adjustRightInd w:val="0"/>
              <w:snapToGrid w:val="0"/>
              <w:spacing w:after="158" w:afterLines="50"/>
              <w:jc w:val="center"/>
              <w:rPr>
                <w:rFonts w:hint="default" w:ascii="Times New Roman" w:hAnsi="Times New Roman" w:eastAsia="宋体" w:cs="宋体"/>
                <w:b/>
                <w:bCs/>
                <w:color w:val="auto"/>
                <w:spacing w:val="4"/>
                <w:kern w:val="0"/>
                <w:sz w:val="24"/>
                <w:highlight w:val="none"/>
              </w:rPr>
            </w:pPr>
            <w:r>
              <w:rPr>
                <w:rFonts w:hint="default" w:ascii="Times New Roman" w:hAnsi="Times New Roman" w:eastAsia="宋体" w:cs="宋体"/>
                <w:b/>
                <w:bCs/>
                <w:color w:val="auto"/>
                <w:spacing w:val="4"/>
                <w:kern w:val="0"/>
                <w:sz w:val="24"/>
                <w:highlight w:val="none"/>
              </w:rPr>
              <w:t>表</w:t>
            </w:r>
            <w:r>
              <w:rPr>
                <w:rFonts w:hint="default" w:ascii="Times New Roman" w:hAnsi="Times New Roman" w:eastAsia="宋体" w:cs="宋体"/>
                <w:b/>
                <w:bCs/>
                <w:color w:val="auto"/>
                <w:spacing w:val="4"/>
                <w:kern w:val="0"/>
                <w:sz w:val="24"/>
                <w:highlight w:val="none"/>
                <w:lang w:val="en-US" w:eastAsia="zh-CN"/>
              </w:rPr>
              <w:t>1</w:t>
            </w:r>
            <w:r>
              <w:rPr>
                <w:rFonts w:hint="default" w:ascii="Times New Roman" w:hAnsi="Times New Roman" w:eastAsia="宋体" w:cs="宋体"/>
                <w:b/>
                <w:bCs/>
                <w:color w:val="auto"/>
                <w:spacing w:val="4"/>
                <w:kern w:val="0"/>
                <w:sz w:val="24"/>
                <w:highlight w:val="none"/>
              </w:rPr>
              <w:t>-</w:t>
            </w:r>
            <w:r>
              <w:rPr>
                <w:rFonts w:hint="default" w:ascii="Times New Roman" w:hAnsi="Times New Roman" w:eastAsia="宋体" w:cs="宋体"/>
                <w:b/>
                <w:bCs/>
                <w:color w:val="auto"/>
                <w:spacing w:val="4"/>
                <w:kern w:val="0"/>
                <w:sz w:val="24"/>
                <w:highlight w:val="none"/>
                <w:lang w:val="en-US" w:eastAsia="zh-CN"/>
              </w:rPr>
              <w:t>5</w:t>
            </w:r>
            <w:r>
              <w:rPr>
                <w:rFonts w:hint="default" w:ascii="Times New Roman" w:hAnsi="Times New Roman" w:eastAsia="宋体" w:cs="宋体"/>
                <w:b/>
                <w:bCs/>
                <w:color w:val="auto"/>
                <w:spacing w:val="4"/>
                <w:kern w:val="0"/>
                <w:sz w:val="24"/>
                <w:highlight w:val="none"/>
              </w:rPr>
              <w:t xml:space="preserve">  本项目与长江经济带发展负面清单指南相关规定要求对照表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0"/>
              <w:gridCol w:w="2428"/>
              <w:gridCol w:w="688"/>
            </w:tblGrid>
            <w:tr w14:paraId="642C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26840D95">
                  <w:pPr>
                    <w:pStyle w:val="105"/>
                    <w:adjustRightInd w:val="0"/>
                    <w:snapToGrid w:val="0"/>
                    <w:spacing w:beforeLines="0" w:afterLines="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规定保护要求</w:t>
                  </w:r>
                </w:p>
              </w:tc>
              <w:tc>
                <w:tcPr>
                  <w:tcW w:w="2375" w:type="dxa"/>
                  <w:tcBorders>
                    <w:top w:val="single" w:color="auto" w:sz="4" w:space="0"/>
                    <w:left w:val="nil"/>
                    <w:bottom w:val="single" w:color="auto" w:sz="4" w:space="0"/>
                    <w:right w:val="single" w:color="auto" w:sz="4" w:space="0"/>
                  </w:tcBorders>
                  <w:shd w:val="clear" w:color="auto" w:fill="D7D7D7" w:themeFill="background1" w:themeFillShade="D8"/>
                  <w:noWrap w:val="0"/>
                  <w:vAlign w:val="center"/>
                </w:tcPr>
                <w:p w14:paraId="15EC8A49">
                  <w:pPr>
                    <w:pStyle w:val="105"/>
                    <w:adjustRightInd w:val="0"/>
                    <w:snapToGrid w:val="0"/>
                    <w:spacing w:beforeLines="0" w:afterLines="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本项目保护情况</w:t>
                  </w:r>
                </w:p>
              </w:tc>
              <w:tc>
                <w:tcPr>
                  <w:tcW w:w="673" w:type="dxa"/>
                  <w:tcBorders>
                    <w:top w:val="single" w:color="auto" w:sz="4" w:space="0"/>
                    <w:left w:val="nil"/>
                    <w:bottom w:val="single" w:color="auto" w:sz="4" w:space="0"/>
                    <w:right w:val="single" w:color="auto" w:sz="4" w:space="0"/>
                  </w:tcBorders>
                  <w:shd w:val="clear" w:color="auto" w:fill="D7D7D7" w:themeFill="background1" w:themeFillShade="D8"/>
                  <w:noWrap w:val="0"/>
                  <w:vAlign w:val="center"/>
                </w:tcPr>
                <w:p w14:paraId="456A6358">
                  <w:pPr>
                    <w:pStyle w:val="105"/>
                    <w:adjustRightInd w:val="0"/>
                    <w:snapToGrid w:val="0"/>
                    <w:spacing w:beforeLines="0" w:afterLines="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符合性</w:t>
                  </w:r>
                </w:p>
              </w:tc>
            </w:tr>
            <w:tr w14:paraId="57FC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noWrap w:val="0"/>
                  <w:vAlign w:val="center"/>
                </w:tcPr>
                <w:p w14:paraId="7956ECA8">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禁止建设不符合全国和省级港口布局规划以及港口总体规划的码头项目，禁止建设不符合《长江干线过江通道布局规划》的过长江通道项目。</w:t>
                  </w:r>
                </w:p>
              </w:tc>
              <w:tc>
                <w:tcPr>
                  <w:tcW w:w="2375" w:type="dxa"/>
                  <w:tcBorders>
                    <w:top w:val="single" w:color="auto" w:sz="4" w:space="0"/>
                    <w:left w:val="nil"/>
                    <w:bottom w:val="single" w:color="auto" w:sz="4" w:space="0"/>
                    <w:right w:val="single" w:color="auto" w:sz="4" w:space="0"/>
                  </w:tcBorders>
                  <w:noWrap w:val="0"/>
                  <w:vAlign w:val="center"/>
                </w:tcPr>
                <w:p w14:paraId="747DB2F1">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项目不属于码头项目，不涉及</w:t>
                  </w:r>
                  <w:r>
                    <w:rPr>
                      <w:rFonts w:hint="default" w:ascii="Times New Roman" w:hAnsi="Times New Roman" w:eastAsia="宋体" w:cs="Times New Roman"/>
                      <w:color w:val="auto"/>
                      <w:sz w:val="21"/>
                      <w:szCs w:val="21"/>
                      <w:highlight w:val="none"/>
                      <w:lang w:eastAsia="zh-CN"/>
                    </w:rPr>
                    <w:t>。</w:t>
                  </w:r>
                </w:p>
              </w:tc>
              <w:tc>
                <w:tcPr>
                  <w:tcW w:w="673" w:type="dxa"/>
                  <w:tcBorders>
                    <w:top w:val="single" w:color="auto" w:sz="4" w:space="0"/>
                    <w:left w:val="nil"/>
                    <w:bottom w:val="single" w:color="auto" w:sz="4" w:space="0"/>
                    <w:right w:val="single" w:color="auto" w:sz="4" w:space="0"/>
                  </w:tcBorders>
                  <w:noWrap w:val="0"/>
                  <w:vAlign w:val="center"/>
                </w:tcPr>
                <w:p w14:paraId="00488691">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997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noWrap w:val="0"/>
                  <w:vAlign w:val="center"/>
                </w:tcPr>
                <w:p w14:paraId="3F5FA17D">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禁止在自然保护区核心区、缓冲区的岸线和河段范围内投资建设旅游和生产经营项目。禁止在风景名胜区核心景区的岸线和河段范围内投资建设与风景名</w:t>
                  </w:r>
                  <w:r>
                    <w:rPr>
                      <w:rFonts w:hint="eastAsia" w:ascii="Times New Roman" w:hAnsi="Times New Roman" w:cs="Times New Roman"/>
                      <w:color w:val="auto"/>
                      <w:sz w:val="21"/>
                      <w:szCs w:val="21"/>
                      <w:highlight w:val="none"/>
                      <w:lang w:eastAsia="zh-CN"/>
                    </w:rPr>
                    <w:t>胜区</w:t>
                  </w:r>
                  <w:r>
                    <w:rPr>
                      <w:rFonts w:hint="default" w:ascii="Times New Roman" w:hAnsi="Times New Roman" w:eastAsia="宋体" w:cs="Times New Roman"/>
                      <w:color w:val="auto"/>
                      <w:sz w:val="21"/>
                      <w:szCs w:val="21"/>
                      <w:highlight w:val="none"/>
                    </w:rPr>
                    <w:t>资源保护无关的项目。</w:t>
                  </w:r>
                </w:p>
              </w:tc>
              <w:tc>
                <w:tcPr>
                  <w:tcW w:w="2375" w:type="dxa"/>
                  <w:tcBorders>
                    <w:top w:val="single" w:color="auto" w:sz="4" w:space="0"/>
                    <w:left w:val="nil"/>
                    <w:bottom w:val="single" w:color="auto" w:sz="4" w:space="0"/>
                    <w:right w:val="single" w:color="auto" w:sz="4" w:space="0"/>
                  </w:tcBorders>
                  <w:noWrap w:val="0"/>
                  <w:vAlign w:val="center"/>
                </w:tcPr>
                <w:p w14:paraId="4698883E">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项目位于云南省</w:t>
                  </w:r>
                  <w:r>
                    <w:rPr>
                      <w:rFonts w:hint="default" w:ascii="Times New Roman" w:hAnsi="Times New Roman" w:eastAsia="宋体" w:cs="Times New Roman"/>
                      <w:color w:val="auto"/>
                      <w:sz w:val="21"/>
                      <w:szCs w:val="21"/>
                      <w:highlight w:val="none"/>
                      <w:lang w:val="en-US" w:eastAsia="zh-CN"/>
                    </w:rPr>
                    <w:t>玉溪市红塔产业园区研和片区</w:t>
                  </w:r>
                  <w:r>
                    <w:rPr>
                      <w:rFonts w:hint="eastAsia" w:ascii="Times New Roman" w:hAnsi="Times New Roman" w:eastAsia="宋体" w:cs="Times New Roman"/>
                      <w:color w:val="auto"/>
                      <w:sz w:val="21"/>
                      <w:szCs w:val="21"/>
                      <w:highlight w:val="none"/>
                      <w:lang w:val="en-US" w:eastAsia="zh-CN"/>
                    </w:rPr>
                    <w:t>二地块，</w:t>
                  </w:r>
                  <w:r>
                    <w:rPr>
                      <w:rFonts w:hint="default" w:ascii="Times New Roman" w:hAnsi="Times New Roman" w:eastAsia="宋体" w:cs="Times New Roman"/>
                      <w:color w:val="auto"/>
                      <w:sz w:val="21"/>
                      <w:szCs w:val="21"/>
                      <w:highlight w:val="none"/>
                    </w:rPr>
                    <w:t>不在自然保护区及风景名胜区范围。</w:t>
                  </w:r>
                </w:p>
              </w:tc>
              <w:tc>
                <w:tcPr>
                  <w:tcW w:w="673" w:type="dxa"/>
                  <w:tcBorders>
                    <w:top w:val="single" w:color="auto" w:sz="4" w:space="0"/>
                    <w:left w:val="nil"/>
                    <w:bottom w:val="single" w:color="auto" w:sz="4" w:space="0"/>
                    <w:right w:val="single" w:color="auto" w:sz="4" w:space="0"/>
                  </w:tcBorders>
                  <w:noWrap w:val="0"/>
                  <w:vAlign w:val="center"/>
                </w:tcPr>
                <w:p w14:paraId="696CBF01">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185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noWrap w:val="0"/>
                  <w:vAlign w:val="center"/>
                </w:tcPr>
                <w:p w14:paraId="2700EE41">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375" w:type="dxa"/>
                  <w:tcBorders>
                    <w:top w:val="single" w:color="auto" w:sz="4" w:space="0"/>
                    <w:left w:val="nil"/>
                    <w:bottom w:val="single" w:color="auto" w:sz="4" w:space="0"/>
                    <w:right w:val="single" w:color="auto" w:sz="4" w:space="0"/>
                  </w:tcBorders>
                  <w:noWrap w:val="0"/>
                  <w:vAlign w:val="center"/>
                </w:tcPr>
                <w:p w14:paraId="3C2C9DED">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项目不在饮用水水源地保护区。</w:t>
                  </w:r>
                </w:p>
              </w:tc>
              <w:tc>
                <w:tcPr>
                  <w:tcW w:w="673" w:type="dxa"/>
                  <w:tcBorders>
                    <w:top w:val="single" w:color="auto" w:sz="4" w:space="0"/>
                    <w:left w:val="nil"/>
                    <w:bottom w:val="single" w:color="auto" w:sz="4" w:space="0"/>
                    <w:right w:val="single" w:color="auto" w:sz="4" w:space="0"/>
                  </w:tcBorders>
                  <w:noWrap w:val="0"/>
                  <w:vAlign w:val="center"/>
                </w:tcPr>
                <w:p w14:paraId="477013BA">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93C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noWrap w:val="0"/>
                  <w:vAlign w:val="center"/>
                </w:tcPr>
                <w:p w14:paraId="65A4A0E4">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375" w:type="dxa"/>
                  <w:tcBorders>
                    <w:top w:val="single" w:color="auto" w:sz="4" w:space="0"/>
                    <w:left w:val="nil"/>
                    <w:bottom w:val="single" w:color="auto" w:sz="4" w:space="0"/>
                    <w:right w:val="single" w:color="auto" w:sz="4" w:space="0"/>
                  </w:tcBorders>
                  <w:noWrap w:val="0"/>
                  <w:vAlign w:val="center"/>
                </w:tcPr>
                <w:p w14:paraId="30E61A52">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项目不在水产种质资源保护区及国家湿地公园范围。</w:t>
                  </w:r>
                </w:p>
              </w:tc>
              <w:tc>
                <w:tcPr>
                  <w:tcW w:w="673" w:type="dxa"/>
                  <w:tcBorders>
                    <w:top w:val="single" w:color="auto" w:sz="4" w:space="0"/>
                    <w:left w:val="nil"/>
                    <w:bottom w:val="single" w:color="auto" w:sz="4" w:space="0"/>
                    <w:right w:val="single" w:color="auto" w:sz="4" w:space="0"/>
                  </w:tcBorders>
                  <w:noWrap w:val="0"/>
                  <w:vAlign w:val="center"/>
                </w:tcPr>
                <w:p w14:paraId="2802F5B3">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424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noWrap w:val="0"/>
                  <w:vAlign w:val="center"/>
                </w:tcPr>
                <w:p w14:paraId="60F2B6CB">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75" w:type="dxa"/>
                  <w:tcBorders>
                    <w:top w:val="single" w:color="auto" w:sz="4" w:space="0"/>
                    <w:left w:val="nil"/>
                    <w:bottom w:val="single" w:color="auto" w:sz="4" w:space="0"/>
                    <w:right w:val="single" w:color="auto" w:sz="4" w:space="0"/>
                  </w:tcBorders>
                  <w:noWrap w:val="0"/>
                  <w:vAlign w:val="center"/>
                </w:tcPr>
                <w:p w14:paraId="3D8B0360">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本项目不在《长江岸线保护和开发利用总体规划》划定的岸线保护区内。</w:t>
                  </w:r>
                </w:p>
              </w:tc>
              <w:tc>
                <w:tcPr>
                  <w:tcW w:w="673" w:type="dxa"/>
                  <w:tcBorders>
                    <w:top w:val="single" w:color="auto" w:sz="4" w:space="0"/>
                    <w:left w:val="nil"/>
                    <w:bottom w:val="single" w:color="auto" w:sz="4" w:space="0"/>
                    <w:right w:val="single" w:color="auto" w:sz="4" w:space="0"/>
                  </w:tcBorders>
                  <w:noWrap w:val="0"/>
                  <w:vAlign w:val="center"/>
                </w:tcPr>
                <w:p w14:paraId="09ABAE92">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B74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noWrap w:val="0"/>
                  <w:vAlign w:val="center"/>
                </w:tcPr>
                <w:p w14:paraId="458205EE">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禁止未经许可在长江干支流及湖泊新设、改设或扩大排污口。</w:t>
                  </w:r>
                </w:p>
              </w:tc>
              <w:tc>
                <w:tcPr>
                  <w:tcW w:w="2375" w:type="dxa"/>
                  <w:tcBorders>
                    <w:top w:val="single" w:color="auto" w:sz="4" w:space="0"/>
                    <w:left w:val="nil"/>
                    <w:bottom w:val="single" w:color="auto" w:sz="4" w:space="0"/>
                    <w:right w:val="single" w:color="auto" w:sz="4" w:space="0"/>
                  </w:tcBorders>
                  <w:noWrap w:val="0"/>
                  <w:vAlign w:val="center"/>
                </w:tcPr>
                <w:p w14:paraId="2504F3F3">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本项目不在长江干支流范</w:t>
                  </w:r>
                  <w:r>
                    <w:rPr>
                      <w:rFonts w:hint="eastAsia" w:cs="Times New Roman"/>
                      <w:color w:val="auto"/>
                      <w:sz w:val="21"/>
                      <w:szCs w:val="21"/>
                      <w:highlight w:val="none"/>
                      <w:lang w:eastAsia="zh-CN"/>
                    </w:rPr>
                    <w:t>围内</w:t>
                  </w:r>
                  <w:r>
                    <w:rPr>
                      <w:rFonts w:hint="default" w:ascii="Times New Roman" w:hAnsi="Times New Roman" w:eastAsia="宋体" w:cs="Times New Roman"/>
                      <w:color w:val="auto"/>
                      <w:sz w:val="21"/>
                      <w:szCs w:val="21"/>
                      <w:highlight w:val="none"/>
                      <w:lang w:eastAsia="zh-CN"/>
                    </w:rPr>
                    <w:t>。</w:t>
                  </w:r>
                </w:p>
              </w:tc>
              <w:tc>
                <w:tcPr>
                  <w:tcW w:w="673" w:type="dxa"/>
                  <w:tcBorders>
                    <w:top w:val="single" w:color="auto" w:sz="4" w:space="0"/>
                    <w:left w:val="nil"/>
                    <w:bottom w:val="single" w:color="auto" w:sz="4" w:space="0"/>
                    <w:right w:val="single" w:color="auto" w:sz="4" w:space="0"/>
                  </w:tcBorders>
                  <w:noWrap w:val="0"/>
                  <w:vAlign w:val="center"/>
                </w:tcPr>
                <w:p w14:paraId="5A80ADF8">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CB7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noWrap w:val="0"/>
                  <w:vAlign w:val="center"/>
                </w:tcPr>
                <w:p w14:paraId="692A42B2">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禁止在“一江一口两湖七河”和332个水生生物保护区开展生产性捕捞。</w:t>
                  </w:r>
                </w:p>
              </w:tc>
              <w:tc>
                <w:tcPr>
                  <w:tcW w:w="2375" w:type="dxa"/>
                  <w:tcBorders>
                    <w:top w:val="single" w:color="auto" w:sz="4" w:space="0"/>
                    <w:left w:val="nil"/>
                    <w:bottom w:val="single" w:color="auto" w:sz="4" w:space="0"/>
                    <w:right w:val="single" w:color="auto" w:sz="4" w:space="0"/>
                  </w:tcBorders>
                  <w:noWrap w:val="0"/>
                  <w:vAlign w:val="center"/>
                </w:tcPr>
                <w:p w14:paraId="5BF48F42">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本项目不在“一江一口两湖七河”和332个水生生物保护区，且本项目不涉及生产性捕捞。</w:t>
                  </w:r>
                </w:p>
              </w:tc>
              <w:tc>
                <w:tcPr>
                  <w:tcW w:w="673" w:type="dxa"/>
                  <w:tcBorders>
                    <w:top w:val="single" w:color="auto" w:sz="4" w:space="0"/>
                    <w:left w:val="nil"/>
                    <w:bottom w:val="single" w:color="auto" w:sz="4" w:space="0"/>
                    <w:right w:val="single" w:color="auto" w:sz="4" w:space="0"/>
                  </w:tcBorders>
                  <w:noWrap w:val="0"/>
                  <w:vAlign w:val="center"/>
                </w:tcPr>
                <w:p w14:paraId="54CF7409">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4E2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noWrap w:val="0"/>
                  <w:vAlign w:val="center"/>
                </w:tcPr>
                <w:p w14:paraId="4FAF9AF6">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375" w:type="dxa"/>
                  <w:tcBorders>
                    <w:top w:val="single" w:color="auto" w:sz="4" w:space="0"/>
                    <w:left w:val="nil"/>
                    <w:bottom w:val="single" w:color="auto" w:sz="4" w:space="0"/>
                    <w:right w:val="single" w:color="auto" w:sz="4" w:space="0"/>
                  </w:tcBorders>
                  <w:noWrap w:val="0"/>
                  <w:vAlign w:val="center"/>
                </w:tcPr>
                <w:p w14:paraId="3016B464">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本项目不在长江干支流、重要湖泊岸线一公里范围内、长江干流岸线三公里范围内和重要支流岸线一公里范围内。</w:t>
                  </w:r>
                </w:p>
              </w:tc>
              <w:tc>
                <w:tcPr>
                  <w:tcW w:w="673" w:type="dxa"/>
                  <w:tcBorders>
                    <w:top w:val="single" w:color="auto" w:sz="4" w:space="0"/>
                    <w:left w:val="nil"/>
                    <w:bottom w:val="single" w:color="auto" w:sz="4" w:space="0"/>
                    <w:right w:val="single" w:color="auto" w:sz="4" w:space="0"/>
                  </w:tcBorders>
                  <w:noWrap w:val="0"/>
                  <w:vAlign w:val="center"/>
                </w:tcPr>
                <w:p w14:paraId="1F2DA686">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79E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noWrap w:val="0"/>
                  <w:vAlign w:val="center"/>
                </w:tcPr>
                <w:p w14:paraId="14522D82">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禁止新建、扩建不符合国家石化、现代煤化工等产业布局规划的项目。</w:t>
                  </w:r>
                </w:p>
              </w:tc>
              <w:tc>
                <w:tcPr>
                  <w:tcW w:w="2375" w:type="dxa"/>
                  <w:tcBorders>
                    <w:top w:val="single" w:color="auto" w:sz="4" w:space="0"/>
                    <w:left w:val="nil"/>
                    <w:bottom w:val="single" w:color="auto" w:sz="4" w:space="0"/>
                    <w:right w:val="single" w:color="auto" w:sz="4" w:space="0"/>
                  </w:tcBorders>
                  <w:noWrap w:val="0"/>
                  <w:vAlign w:val="center"/>
                </w:tcPr>
                <w:p w14:paraId="60C45AFF">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铁矿石加工项目</w:t>
                  </w:r>
                  <w:r>
                    <w:rPr>
                      <w:rFonts w:hint="default" w:ascii="Times New Roman" w:hAnsi="Times New Roman" w:eastAsia="宋体" w:cs="Times New Roman"/>
                      <w:color w:val="auto"/>
                      <w:sz w:val="21"/>
                      <w:szCs w:val="21"/>
                      <w:highlight w:val="none"/>
                    </w:rPr>
                    <w:t>，不属于国家石化、现代煤化工等产业布局规划的项目。</w:t>
                  </w:r>
                </w:p>
              </w:tc>
              <w:tc>
                <w:tcPr>
                  <w:tcW w:w="673" w:type="dxa"/>
                  <w:tcBorders>
                    <w:top w:val="single" w:color="auto" w:sz="4" w:space="0"/>
                    <w:left w:val="nil"/>
                    <w:bottom w:val="single" w:color="auto" w:sz="4" w:space="0"/>
                    <w:right w:val="single" w:color="auto" w:sz="4" w:space="0"/>
                  </w:tcBorders>
                  <w:noWrap w:val="0"/>
                  <w:vAlign w:val="center"/>
                </w:tcPr>
                <w:p w14:paraId="1BD34085">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926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18" w:type="dxa"/>
                  <w:tcBorders>
                    <w:top w:val="single" w:color="auto" w:sz="4" w:space="0"/>
                    <w:left w:val="single" w:color="auto" w:sz="4" w:space="0"/>
                    <w:bottom w:val="single" w:color="auto" w:sz="4" w:space="0"/>
                    <w:right w:val="single" w:color="auto" w:sz="4" w:space="0"/>
                  </w:tcBorders>
                  <w:noWrap w:val="0"/>
                  <w:vAlign w:val="center"/>
                </w:tcPr>
                <w:p w14:paraId="76610C50">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2375" w:type="dxa"/>
                  <w:tcBorders>
                    <w:top w:val="single" w:color="auto" w:sz="4" w:space="0"/>
                    <w:left w:val="nil"/>
                    <w:bottom w:val="single" w:color="auto" w:sz="4" w:space="0"/>
                    <w:right w:val="single" w:color="auto" w:sz="4" w:space="0"/>
                  </w:tcBorders>
                  <w:noWrap w:val="0"/>
                  <w:vAlign w:val="center"/>
                </w:tcPr>
                <w:p w14:paraId="0E0DAD21">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铁矿石加工项目</w:t>
                  </w:r>
                  <w:r>
                    <w:rPr>
                      <w:rFonts w:hint="default" w:ascii="Times New Roman" w:hAnsi="Times New Roman" w:eastAsia="宋体" w:cs="Times New Roman"/>
                      <w:color w:val="auto"/>
                      <w:sz w:val="21"/>
                      <w:szCs w:val="21"/>
                      <w:highlight w:val="none"/>
                    </w:rPr>
                    <w:t>，不属于法律法规和相关政策明令禁止的落后产能项目。项目不属于高耗能项目。</w:t>
                  </w:r>
                </w:p>
              </w:tc>
              <w:tc>
                <w:tcPr>
                  <w:tcW w:w="673" w:type="dxa"/>
                  <w:tcBorders>
                    <w:top w:val="single" w:color="auto" w:sz="4" w:space="0"/>
                    <w:left w:val="nil"/>
                    <w:bottom w:val="single" w:color="auto" w:sz="4" w:space="0"/>
                    <w:right w:val="single" w:color="auto" w:sz="4" w:space="0"/>
                  </w:tcBorders>
                  <w:noWrap w:val="0"/>
                  <w:vAlign w:val="center"/>
                </w:tcPr>
                <w:p w14:paraId="4A8478D2">
                  <w:pPr>
                    <w:pStyle w:val="105"/>
                    <w:adjustRightInd w:val="0"/>
                    <w:snapToGrid w:val="0"/>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54D55365">
            <w:pPr>
              <w:pStyle w:val="34"/>
              <w:keepNext w:val="0"/>
              <w:keepLines w:val="0"/>
              <w:pageBreakBefore w:val="0"/>
              <w:widowControl w:val="0"/>
              <w:kinsoku/>
              <w:wordWrap/>
              <w:overflowPunct/>
              <w:topLinePunct w:val="0"/>
              <w:autoSpaceDE/>
              <w:autoSpaceDN/>
              <w:bidi w:val="0"/>
              <w:adjustRightInd w:val="0"/>
              <w:snapToGrid w:val="0"/>
              <w:spacing w:before="160" w:beforeLines="50" w:after="0"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综上所述，本项目建设符合《长江经济带发展负面清单指南（试行），2022年版》要求。</w:t>
            </w:r>
          </w:p>
          <w:p w14:paraId="6E634F37">
            <w:pPr>
              <w:autoSpaceDE w:val="0"/>
              <w:autoSpaceDN w:val="0"/>
              <w:adjustRightInd w:val="0"/>
              <w:snapToGrid w:val="0"/>
              <w:spacing w:line="360" w:lineRule="auto"/>
              <w:jc w:val="left"/>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与《云南省长江经济带发展负面清单指南实施细则（试行）》符合性分析</w:t>
            </w:r>
          </w:p>
          <w:p w14:paraId="1CA0188A">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0"/>
                <w:sz w:val="24"/>
                <w:highlight w:val="none"/>
              </w:rPr>
              <w:t>项目位于云南红塔产业园区研和片区大坡头原武警教导队地块</w:t>
            </w:r>
            <w:r>
              <w:rPr>
                <w:rFonts w:hint="default" w:ascii="Times New Roman" w:hAnsi="Times New Roman" w:eastAsia="宋体" w:cs="Times New Roman"/>
                <w:color w:val="auto"/>
                <w:sz w:val="24"/>
                <w:szCs w:val="24"/>
                <w:highlight w:val="none"/>
                <w:lang w:eastAsia="zh-CN"/>
              </w:rPr>
              <w:t>，不在《云南省长江经济带发展负面清单指南实施细则（试行）》禁止建设的负面清单内。具体符合性分析见下表。</w:t>
            </w:r>
          </w:p>
          <w:p w14:paraId="48E06DC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TW" w:eastAsia="zh-CN"/>
              </w:rPr>
              <w:t>表</w:t>
            </w:r>
            <w:r>
              <w:rPr>
                <w:rFonts w:hint="default" w:ascii="Times New Roman" w:hAnsi="Times New Roman" w:eastAsia="宋体" w:cs="Times New Roman"/>
                <w:b/>
                <w:bCs/>
                <w:color w:val="auto"/>
                <w:sz w:val="24"/>
                <w:szCs w:val="24"/>
                <w:highlight w:val="none"/>
                <w:lang w:val="en-US" w:eastAsia="zh-CN"/>
              </w:rPr>
              <w:t>1-6 与《云南省长江经济带发展负面清单指南实施细则（试行）》符合性分析</w:t>
            </w:r>
          </w:p>
          <w:tbl>
            <w:tblPr>
              <w:tblStyle w:val="3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3"/>
              <w:gridCol w:w="2050"/>
              <w:gridCol w:w="894"/>
            </w:tblGrid>
            <w:tr w14:paraId="29CE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shd w:val="clear" w:color="auto" w:fill="D7D7D7" w:themeFill="background1" w:themeFillShade="D8"/>
                  <w:noWrap w:val="0"/>
                  <w:vAlign w:val="center"/>
                </w:tcPr>
                <w:p w14:paraId="03DE3BF1">
                  <w:pPr>
                    <w:pStyle w:val="95"/>
                    <w:widowControl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法律规定保护要求</w:t>
                  </w:r>
                </w:p>
              </w:tc>
              <w:tc>
                <w:tcPr>
                  <w:tcW w:w="2709" w:type="dxa"/>
                  <w:shd w:val="clear" w:color="auto" w:fill="D7D7D7" w:themeFill="background1" w:themeFillShade="D8"/>
                  <w:noWrap w:val="0"/>
                  <w:vAlign w:val="center"/>
                </w:tcPr>
                <w:p w14:paraId="30E81350">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本项目保护情况</w:t>
                  </w:r>
                </w:p>
              </w:tc>
              <w:tc>
                <w:tcPr>
                  <w:tcW w:w="1137" w:type="dxa"/>
                  <w:shd w:val="clear" w:color="auto" w:fill="D7D7D7" w:themeFill="background1" w:themeFillShade="D8"/>
                  <w:noWrap w:val="0"/>
                  <w:vAlign w:val="center"/>
                </w:tcPr>
                <w:p w14:paraId="0EC21F2D">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符合性</w:t>
                  </w:r>
                </w:p>
              </w:tc>
            </w:tr>
            <w:tr w14:paraId="13D3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60CE3C30">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禁止一切不符合主体功能定位的投资建设项目，严禁任意改变用途，因国家重大战略资源勘查需要，在不影响主体功能定位的前提下，经依法批准后予以安排勘查项目</w:t>
                  </w:r>
                </w:p>
              </w:tc>
              <w:tc>
                <w:tcPr>
                  <w:tcW w:w="2709" w:type="dxa"/>
                  <w:noWrap w:val="0"/>
                  <w:vAlign w:val="center"/>
                </w:tcPr>
                <w:p w14:paraId="63634B32">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w:t>
                  </w:r>
                  <w:r>
                    <w:rPr>
                      <w:rFonts w:hint="default" w:ascii="Times New Roman" w:hAnsi="Times New Roman" w:eastAsia="宋体" w:cs="Times New Roman"/>
                      <w:bCs/>
                      <w:color w:val="auto"/>
                      <w:sz w:val="21"/>
                      <w:szCs w:val="21"/>
                      <w:highlight w:val="none"/>
                      <w:lang w:eastAsia="zh-CN"/>
                    </w:rPr>
                    <w:t>厂址</w:t>
                  </w:r>
                  <w:r>
                    <w:rPr>
                      <w:rFonts w:hint="default" w:ascii="Times New Roman" w:hAnsi="Times New Roman" w:eastAsia="宋体" w:cs="Times New Roman"/>
                      <w:bCs/>
                      <w:color w:val="auto"/>
                      <w:sz w:val="21"/>
                      <w:szCs w:val="21"/>
                      <w:highlight w:val="none"/>
                      <w:lang w:val="en-US" w:eastAsia="zh-CN"/>
                    </w:rPr>
                    <w:t>位于</w:t>
                  </w:r>
                  <w:r>
                    <w:rPr>
                      <w:rFonts w:hint="default" w:ascii="Times New Roman" w:hAnsi="Times New Roman" w:eastAsia="宋体" w:cs="Times New Roman"/>
                      <w:color w:val="auto"/>
                      <w:sz w:val="21"/>
                      <w:szCs w:val="21"/>
                      <w:highlight w:val="none"/>
                    </w:rPr>
                    <w:t>云南省</w:t>
                  </w:r>
                  <w:r>
                    <w:rPr>
                      <w:rFonts w:hint="default" w:ascii="Times New Roman" w:hAnsi="Times New Roman" w:eastAsia="宋体" w:cs="Times New Roman"/>
                      <w:color w:val="auto"/>
                      <w:sz w:val="21"/>
                      <w:szCs w:val="21"/>
                      <w:highlight w:val="none"/>
                      <w:lang w:val="en-US" w:eastAsia="zh-CN"/>
                    </w:rPr>
                    <w:t>玉溪市红塔产业园区研和片区</w:t>
                  </w:r>
                  <w:r>
                    <w:rPr>
                      <w:rFonts w:hint="eastAsia" w:ascii="Times New Roman" w:hAnsi="Times New Roman" w:eastAsia="宋体" w:cs="Times New Roman"/>
                      <w:color w:val="auto"/>
                      <w:sz w:val="21"/>
                      <w:szCs w:val="21"/>
                      <w:highlight w:val="none"/>
                      <w:lang w:val="en-US" w:eastAsia="zh-CN"/>
                    </w:rPr>
                    <w:t>二地块</w:t>
                  </w:r>
                  <w:r>
                    <w:rPr>
                      <w:rFonts w:hint="default" w:ascii="Times New Roman" w:hAnsi="Times New Roman" w:eastAsia="宋体" w:cs="Times New Roman"/>
                      <w:bCs/>
                      <w:color w:val="auto"/>
                      <w:sz w:val="21"/>
                      <w:szCs w:val="21"/>
                      <w:highlight w:val="none"/>
                      <w:lang w:eastAsia="zh-CN"/>
                    </w:rPr>
                    <w:t>，项目于202</w:t>
                  </w:r>
                  <w:r>
                    <w:rPr>
                      <w:rFonts w:hint="eastAsia"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eastAsia="zh-CN"/>
                    </w:rPr>
                    <w:t>年</w:t>
                  </w:r>
                  <w:r>
                    <w:rPr>
                      <w:rFonts w:hint="eastAsia" w:ascii="Times New Roman" w:hAnsi="Times New Roman" w:eastAsia="宋体" w:cs="Times New Roman"/>
                      <w:bCs/>
                      <w:color w:val="auto"/>
                      <w:sz w:val="21"/>
                      <w:szCs w:val="21"/>
                      <w:highlight w:val="none"/>
                      <w:lang w:val="en-US" w:eastAsia="zh-CN"/>
                    </w:rPr>
                    <w:t>9</w:t>
                  </w:r>
                  <w:r>
                    <w:rPr>
                      <w:rFonts w:hint="default" w:ascii="Times New Roman" w:hAnsi="Times New Roman" w:eastAsia="宋体" w:cs="Times New Roman"/>
                      <w:bCs/>
                      <w:color w:val="auto"/>
                      <w:sz w:val="21"/>
                      <w:szCs w:val="21"/>
                      <w:highlight w:val="none"/>
                      <w:lang w:eastAsia="zh-CN"/>
                    </w:rPr>
                    <w:t>月</w:t>
                  </w:r>
                  <w:r>
                    <w:rPr>
                      <w:rFonts w:hint="eastAsia" w:ascii="Times New Roman" w:hAnsi="Times New Roman" w:eastAsia="宋体" w:cs="Times New Roman"/>
                      <w:bCs/>
                      <w:color w:val="auto"/>
                      <w:sz w:val="21"/>
                      <w:szCs w:val="21"/>
                      <w:highlight w:val="none"/>
                      <w:lang w:val="en-US" w:eastAsia="zh-CN"/>
                    </w:rPr>
                    <w:t>9</w:t>
                  </w:r>
                  <w:r>
                    <w:rPr>
                      <w:rFonts w:hint="default" w:ascii="Times New Roman" w:hAnsi="Times New Roman" w:eastAsia="宋体" w:cs="Times New Roman"/>
                      <w:bCs/>
                      <w:color w:val="auto"/>
                      <w:sz w:val="21"/>
                      <w:szCs w:val="21"/>
                      <w:highlight w:val="none"/>
                      <w:lang w:eastAsia="zh-CN"/>
                    </w:rPr>
                    <w:t>日取得了玉溪市</w:t>
                  </w:r>
                  <w:r>
                    <w:rPr>
                      <w:rFonts w:hint="eastAsia" w:ascii="Times New Roman" w:hAnsi="Times New Roman" w:eastAsia="宋体" w:cs="Times New Roman"/>
                      <w:bCs/>
                      <w:color w:val="auto"/>
                      <w:sz w:val="21"/>
                      <w:szCs w:val="21"/>
                      <w:highlight w:val="none"/>
                      <w:lang w:val="en-US" w:eastAsia="zh-CN"/>
                    </w:rPr>
                    <w:t>红塔区</w:t>
                  </w:r>
                  <w:r>
                    <w:rPr>
                      <w:rFonts w:hint="default" w:ascii="Times New Roman" w:hAnsi="Times New Roman" w:eastAsia="宋体" w:cs="Times New Roman"/>
                      <w:bCs/>
                      <w:color w:val="auto"/>
                      <w:sz w:val="21"/>
                      <w:szCs w:val="21"/>
                      <w:highlight w:val="none"/>
                      <w:lang w:eastAsia="zh-CN"/>
                    </w:rPr>
                    <w:t>发展和改革局出具的《投资项目备案证》。</w:t>
                  </w:r>
                </w:p>
              </w:tc>
              <w:tc>
                <w:tcPr>
                  <w:tcW w:w="1137" w:type="dxa"/>
                  <w:noWrap w:val="0"/>
                  <w:vAlign w:val="center"/>
                </w:tcPr>
                <w:p w14:paraId="46688F2A">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484E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0191D567">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2709" w:type="dxa"/>
                  <w:noWrap w:val="0"/>
                  <w:vAlign w:val="center"/>
                </w:tcPr>
                <w:p w14:paraId="2C264AD9">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本项目不在</w:t>
                  </w:r>
                  <w:r>
                    <w:rPr>
                      <w:rFonts w:hint="default" w:ascii="Times New Roman" w:hAnsi="Times New Roman" w:eastAsia="宋体" w:cs="Times New Roman"/>
                      <w:bCs/>
                      <w:color w:val="auto"/>
                      <w:sz w:val="21"/>
                      <w:szCs w:val="21"/>
                      <w:highlight w:val="none"/>
                    </w:rPr>
                    <w:t>《长江岸线保护和开发利用总体规划》划定的岸线保护区内。</w:t>
                  </w:r>
                </w:p>
              </w:tc>
              <w:tc>
                <w:tcPr>
                  <w:tcW w:w="1137" w:type="dxa"/>
                  <w:noWrap w:val="0"/>
                  <w:vAlign w:val="center"/>
                </w:tcPr>
                <w:p w14:paraId="22AB069F">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13B0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7811958A">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2709" w:type="dxa"/>
                  <w:noWrap w:val="0"/>
                  <w:vAlign w:val="center"/>
                </w:tcPr>
                <w:p w14:paraId="594F9A0C">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w:t>
                  </w:r>
                  <w:r>
                    <w:rPr>
                      <w:rFonts w:hint="default" w:ascii="Times New Roman" w:hAnsi="Times New Roman" w:eastAsia="宋体" w:cs="Times New Roman"/>
                      <w:bCs/>
                      <w:color w:val="auto"/>
                      <w:sz w:val="21"/>
                      <w:szCs w:val="21"/>
                      <w:highlight w:val="none"/>
                      <w:lang w:eastAsia="zh-CN"/>
                    </w:rPr>
                    <w:t>厂址</w:t>
                  </w:r>
                  <w:r>
                    <w:rPr>
                      <w:rFonts w:hint="default" w:ascii="Times New Roman" w:hAnsi="Times New Roman" w:eastAsia="宋体" w:cs="Times New Roman"/>
                      <w:bCs/>
                      <w:color w:val="auto"/>
                      <w:sz w:val="21"/>
                      <w:szCs w:val="21"/>
                      <w:highlight w:val="none"/>
                      <w:lang w:val="en-US" w:eastAsia="zh-CN"/>
                    </w:rPr>
                    <w:t>位于</w:t>
                  </w:r>
                  <w:r>
                    <w:rPr>
                      <w:rFonts w:hint="default" w:ascii="Times New Roman" w:hAnsi="Times New Roman" w:eastAsia="宋体" w:cs="Times New Roman"/>
                      <w:color w:val="auto"/>
                      <w:sz w:val="21"/>
                      <w:szCs w:val="21"/>
                      <w:highlight w:val="none"/>
                    </w:rPr>
                    <w:t>云南省</w:t>
                  </w:r>
                  <w:r>
                    <w:rPr>
                      <w:rFonts w:hint="default" w:ascii="Times New Roman" w:hAnsi="Times New Roman" w:eastAsia="宋体" w:cs="Times New Roman"/>
                      <w:color w:val="auto"/>
                      <w:sz w:val="21"/>
                      <w:szCs w:val="21"/>
                      <w:highlight w:val="none"/>
                      <w:lang w:val="en-US" w:eastAsia="zh-CN"/>
                    </w:rPr>
                    <w:t>玉溪市红塔产业园区研和片区</w:t>
                  </w:r>
                  <w:r>
                    <w:rPr>
                      <w:rFonts w:hint="eastAsia" w:ascii="Times New Roman" w:hAnsi="Times New Roman" w:eastAsia="宋体" w:cs="Times New Roman"/>
                      <w:color w:val="auto"/>
                      <w:sz w:val="21"/>
                      <w:szCs w:val="21"/>
                      <w:highlight w:val="none"/>
                      <w:lang w:val="en-US" w:eastAsia="zh-CN"/>
                    </w:rPr>
                    <w:t>二地块</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本项目选址不在生态保护红线范围内。</w:t>
                  </w:r>
                </w:p>
              </w:tc>
              <w:tc>
                <w:tcPr>
                  <w:tcW w:w="1137" w:type="dxa"/>
                  <w:noWrap w:val="0"/>
                  <w:vAlign w:val="center"/>
                </w:tcPr>
                <w:p w14:paraId="3EDE77BB">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59F6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04F528ED">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2709" w:type="dxa"/>
                  <w:noWrap w:val="0"/>
                  <w:vAlign w:val="center"/>
                </w:tcPr>
                <w:p w14:paraId="6A3E9CB0">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本项目用地为工业用地</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项目选址不占用永久基本农田。</w:t>
                  </w:r>
                </w:p>
              </w:tc>
              <w:tc>
                <w:tcPr>
                  <w:tcW w:w="1137" w:type="dxa"/>
                  <w:noWrap w:val="0"/>
                  <w:vAlign w:val="center"/>
                </w:tcPr>
                <w:p w14:paraId="20BCE6A1">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315D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55864D5C">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2709" w:type="dxa"/>
                  <w:noWrap w:val="0"/>
                  <w:vAlign w:val="center"/>
                </w:tcPr>
                <w:p w14:paraId="05725A23">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本项目用地为工业用地</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项目选址不占用永久基本农田。</w:t>
                  </w:r>
                </w:p>
              </w:tc>
              <w:tc>
                <w:tcPr>
                  <w:tcW w:w="1137" w:type="dxa"/>
                  <w:noWrap w:val="0"/>
                  <w:vAlign w:val="center"/>
                </w:tcPr>
                <w:p w14:paraId="7D543456">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18DC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6B9C94D6">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禁止在金沙江、长江一级支流（详见附件1）建设除党中央、国务院、国家投资主管部门、省级有关部门批复同意以外的过江基础设施项目。</w:t>
                  </w:r>
                </w:p>
              </w:tc>
              <w:tc>
                <w:tcPr>
                  <w:tcW w:w="2709" w:type="dxa"/>
                  <w:noWrap w:val="0"/>
                  <w:vAlign w:val="center"/>
                </w:tcPr>
                <w:p w14:paraId="6A694436">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本项目选址不在金沙江、长江一级支流范围内</w:t>
                  </w:r>
                </w:p>
              </w:tc>
              <w:tc>
                <w:tcPr>
                  <w:tcW w:w="1137" w:type="dxa"/>
                  <w:noWrap w:val="0"/>
                  <w:vAlign w:val="center"/>
                </w:tcPr>
                <w:p w14:paraId="538ECB6C">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51AD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19D2625E">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w:t>
                  </w:r>
                  <w:r>
                    <w:rPr>
                      <w:rFonts w:hint="eastAsia" w:ascii="Times New Roman" w:hAnsi="Times New Roman" w:cs="Times New Roman"/>
                      <w:bCs/>
                      <w:color w:val="auto"/>
                      <w:sz w:val="21"/>
                      <w:szCs w:val="21"/>
                      <w:highlight w:val="none"/>
                      <w:lang w:eastAsia="zh-CN"/>
                    </w:rPr>
                    <w:t>狩猎</w:t>
                  </w:r>
                  <w:r>
                    <w:rPr>
                      <w:rFonts w:hint="default" w:ascii="Times New Roman" w:hAnsi="Times New Roman" w:eastAsia="宋体" w:cs="Times New Roman"/>
                      <w:bCs/>
                      <w:color w:val="auto"/>
                      <w:sz w:val="21"/>
                      <w:szCs w:val="21"/>
                      <w:highlight w:val="none"/>
                    </w:rPr>
                    <w:t>、捕捞、采药、开垦、烧荒、开矿、采石、挖沙等活动，法律、行政法规另有规定的除外。</w:t>
                  </w:r>
                </w:p>
              </w:tc>
              <w:tc>
                <w:tcPr>
                  <w:tcW w:w="2709" w:type="dxa"/>
                  <w:noWrap w:val="0"/>
                  <w:vAlign w:val="center"/>
                </w:tcPr>
                <w:p w14:paraId="207D1E00">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本项目选址不在自然保护区核心区、缓冲区</w:t>
                  </w:r>
                </w:p>
              </w:tc>
              <w:tc>
                <w:tcPr>
                  <w:tcW w:w="1137" w:type="dxa"/>
                  <w:noWrap w:val="0"/>
                  <w:vAlign w:val="center"/>
                </w:tcPr>
                <w:p w14:paraId="2F9BC5F2">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52A1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70AD0C60">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禁止风景名胜区规划未经批准前或者违反经批准的风景名胜区规划进行各类建设活动。禁止在风景名胜区内设立各类开发区和在核心景区内投资建设宾馆、招待所、培训中心、疗养院以及与风景名</w:t>
                  </w:r>
                  <w:r>
                    <w:rPr>
                      <w:rFonts w:hint="eastAsia" w:ascii="Times New Roman" w:hAnsi="Times New Roman" w:cs="Times New Roman"/>
                      <w:color w:val="auto"/>
                      <w:sz w:val="21"/>
                      <w:szCs w:val="21"/>
                      <w:highlight w:val="none"/>
                      <w:lang w:eastAsia="zh-CN"/>
                    </w:rPr>
                    <w:t>胜区</w:t>
                  </w:r>
                  <w:r>
                    <w:rPr>
                      <w:rFonts w:hint="default" w:ascii="Times New Roman" w:hAnsi="Times New Roman" w:eastAsia="宋体" w:cs="Times New Roman"/>
                      <w:color w:val="auto"/>
                      <w:sz w:val="21"/>
                      <w:szCs w:val="21"/>
                      <w:highlight w:val="none"/>
                    </w:rPr>
                    <w:t>资源保护无关的其他建筑物。禁止在风景名胜区内进行开山、采石、开矿、开荒、修坟立碑等破坏景观、植被和地形地貌的活动；禁止修建储存爆炸性、易燃性、放射性、毒害性、腐蚀性物品的设施。</w:t>
                  </w:r>
                </w:p>
              </w:tc>
              <w:tc>
                <w:tcPr>
                  <w:tcW w:w="2709" w:type="dxa"/>
                  <w:noWrap w:val="0"/>
                  <w:vAlign w:val="center"/>
                </w:tcPr>
                <w:p w14:paraId="786C9A7E">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本项目选址不在</w:t>
                  </w:r>
                  <w:r>
                    <w:rPr>
                      <w:rFonts w:hint="default" w:ascii="Times New Roman" w:hAnsi="Times New Roman" w:eastAsia="宋体" w:cs="Times New Roman"/>
                      <w:color w:val="auto"/>
                      <w:sz w:val="21"/>
                      <w:szCs w:val="21"/>
                      <w:highlight w:val="none"/>
                    </w:rPr>
                    <w:t>风景名胜区</w:t>
                  </w:r>
                </w:p>
              </w:tc>
              <w:tc>
                <w:tcPr>
                  <w:tcW w:w="1137" w:type="dxa"/>
                  <w:noWrap w:val="0"/>
                  <w:vAlign w:val="center"/>
                </w:tcPr>
                <w:p w14:paraId="32B05A70">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78DE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6F6E46DA">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709" w:type="dxa"/>
                  <w:noWrap w:val="0"/>
                  <w:vAlign w:val="center"/>
                </w:tcPr>
                <w:p w14:paraId="06EBCBD0">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本项目不</w:t>
                  </w:r>
                  <w:r>
                    <w:rPr>
                      <w:rFonts w:hint="default" w:ascii="Times New Roman" w:hAnsi="Times New Roman" w:eastAsia="宋体" w:cs="Times New Roman"/>
                      <w:color w:val="auto"/>
                      <w:sz w:val="21"/>
                      <w:szCs w:val="21"/>
                      <w:highlight w:val="none"/>
                    </w:rPr>
                    <w:t>在饮用水水源一级、二级的岸线和河段范围内。</w:t>
                  </w:r>
                </w:p>
              </w:tc>
              <w:tc>
                <w:tcPr>
                  <w:tcW w:w="1137" w:type="dxa"/>
                  <w:noWrap w:val="0"/>
                  <w:vAlign w:val="center"/>
                </w:tcPr>
                <w:p w14:paraId="7D496B08">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0D98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5F6D56B1">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禁止开（围）垦、填埋或者排干湿地；禁 止截断湿地水源、挖沙、采矿、引入外来物种；禁止擅自放牧、捕捞、取土、取水、排污、放生；禁止其他破坏湿地及其生态功能的活动</w:t>
                  </w:r>
                </w:p>
              </w:tc>
              <w:tc>
                <w:tcPr>
                  <w:tcW w:w="2709" w:type="dxa"/>
                  <w:noWrap w:val="0"/>
                  <w:vAlign w:val="center"/>
                </w:tcPr>
                <w:p w14:paraId="473A933D">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r>
                    <w:rPr>
                      <w:rFonts w:hint="default" w:ascii="Times New Roman" w:hAnsi="Times New Roman" w:eastAsia="宋体" w:cs="Times New Roman"/>
                      <w:bCs/>
                      <w:color w:val="auto"/>
                      <w:sz w:val="21"/>
                      <w:szCs w:val="21"/>
                      <w:highlight w:val="none"/>
                      <w:lang w:val="en-US" w:eastAsia="zh-CN"/>
                    </w:rPr>
                    <w:t>不</w:t>
                  </w:r>
                  <w:r>
                    <w:rPr>
                      <w:rFonts w:hint="default" w:ascii="Times New Roman" w:hAnsi="Times New Roman" w:eastAsia="宋体" w:cs="Times New Roman"/>
                      <w:bCs/>
                      <w:color w:val="auto"/>
                      <w:sz w:val="21"/>
                      <w:szCs w:val="21"/>
                      <w:highlight w:val="none"/>
                      <w:lang w:eastAsia="zh-CN"/>
                    </w:rPr>
                    <w:t>在</w:t>
                  </w:r>
                  <w:r>
                    <w:rPr>
                      <w:rFonts w:hint="default" w:ascii="Times New Roman" w:hAnsi="Times New Roman" w:eastAsia="宋体" w:cs="Times New Roman"/>
                      <w:color w:val="auto"/>
                      <w:sz w:val="21"/>
                      <w:szCs w:val="21"/>
                      <w:highlight w:val="none"/>
                    </w:rPr>
                    <w:t>水产种质资源保护区的岸线和河段范围内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highlight w:val="none"/>
                      <w:lang w:val="en-US" w:eastAsia="zh-CN"/>
                    </w:rPr>
                    <w:t>本项目不涉及湿地，</w:t>
                  </w:r>
                  <w:r>
                    <w:rPr>
                      <w:rFonts w:hint="default" w:ascii="Times New Roman" w:hAnsi="Times New Roman" w:eastAsia="宋体" w:cs="Times New Roman"/>
                      <w:bCs/>
                      <w:color w:val="auto"/>
                      <w:sz w:val="21"/>
                      <w:szCs w:val="21"/>
                      <w:highlight w:val="none"/>
                      <w:lang w:eastAsia="zh-CN"/>
                    </w:rPr>
                    <w:t>不设置排污口。</w:t>
                  </w:r>
                </w:p>
              </w:tc>
              <w:tc>
                <w:tcPr>
                  <w:tcW w:w="1137" w:type="dxa"/>
                  <w:noWrap w:val="0"/>
                  <w:vAlign w:val="center"/>
                </w:tcPr>
                <w:p w14:paraId="7621DEAC">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264E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798C0446">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2709" w:type="dxa"/>
                  <w:noWrap w:val="0"/>
                  <w:vAlign w:val="center"/>
                </w:tcPr>
                <w:p w14:paraId="18BE8D67">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本项目不在</w:t>
                  </w:r>
                  <w:r>
                    <w:rPr>
                      <w:rFonts w:hint="default" w:ascii="Times New Roman" w:hAnsi="Times New Roman" w:eastAsia="宋体" w:cs="Times New Roman"/>
                      <w:color w:val="auto"/>
                      <w:sz w:val="21"/>
                      <w:szCs w:val="21"/>
                      <w:highlight w:val="none"/>
                    </w:rPr>
                    <w:t>金沙江、长江一级支流岸线边界1公里范围内</w:t>
                  </w:r>
                </w:p>
              </w:tc>
              <w:tc>
                <w:tcPr>
                  <w:tcW w:w="1137" w:type="dxa"/>
                  <w:noWrap w:val="0"/>
                  <w:vAlign w:val="center"/>
                </w:tcPr>
                <w:p w14:paraId="449FED49">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71B4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723BF029">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禁止新建不符合非煤矿山转型升级有关准入标准的非煤矿山。禁止在金沙江岸线3公里、长江一级支流岸</w:t>
                  </w:r>
                </w:p>
                <w:p w14:paraId="177BAF5E">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线1公里范围内新建、改建、扩建尾矿库。</w:t>
                  </w:r>
                </w:p>
              </w:tc>
              <w:tc>
                <w:tcPr>
                  <w:tcW w:w="2709" w:type="dxa"/>
                  <w:noWrap w:val="0"/>
                  <w:vAlign w:val="center"/>
                </w:tcPr>
                <w:p w14:paraId="113E3A05">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本项目为</w:t>
                  </w:r>
                  <w:r>
                    <w:rPr>
                      <w:rFonts w:hint="eastAsia" w:ascii="Times New Roman" w:hAnsi="Times New Roman" w:eastAsia="宋体" w:cs="Times New Roman"/>
                      <w:color w:val="auto"/>
                      <w:sz w:val="21"/>
                      <w:szCs w:val="21"/>
                      <w:highlight w:val="none"/>
                      <w:lang w:val="en-US" w:eastAsia="zh-CN"/>
                    </w:rPr>
                    <w:t>铁矿石加工项目</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不属于</w:t>
                  </w:r>
                  <w:r>
                    <w:rPr>
                      <w:rFonts w:hint="default" w:ascii="Times New Roman" w:hAnsi="Times New Roman" w:eastAsia="宋体" w:cs="Times New Roman"/>
                      <w:color w:val="auto"/>
                      <w:sz w:val="21"/>
                      <w:szCs w:val="21"/>
                      <w:highlight w:val="none"/>
                    </w:rPr>
                    <w:t>非煤矿山及尾矿库。</w:t>
                  </w:r>
                </w:p>
              </w:tc>
              <w:tc>
                <w:tcPr>
                  <w:tcW w:w="1137" w:type="dxa"/>
                  <w:noWrap w:val="0"/>
                  <w:vAlign w:val="center"/>
                </w:tcPr>
                <w:p w14:paraId="3F607B95">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7F3C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202F1BC9">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禁止在合规园区（详见附件2）外新建、扩建钢铁、石化、化工、焦化、建材、有色等高污染项目。禁止新增钢铁、水泥、平板玻璃等行业建设产能，确有必要建设的，应按规定实施产能等量或减量置换。</w:t>
                  </w:r>
                </w:p>
              </w:tc>
              <w:tc>
                <w:tcPr>
                  <w:tcW w:w="2709" w:type="dxa"/>
                  <w:noWrap w:val="0"/>
                  <w:vAlign w:val="center"/>
                </w:tcPr>
                <w:p w14:paraId="1E836484">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r>
                    <w:rPr>
                      <w:rFonts w:hint="default" w:ascii="Times New Roman" w:hAnsi="Times New Roman" w:eastAsia="宋体" w:cs="Times New Roman"/>
                      <w:bCs/>
                      <w:color w:val="auto"/>
                      <w:sz w:val="21"/>
                      <w:szCs w:val="21"/>
                      <w:highlight w:val="none"/>
                      <w:lang w:eastAsia="zh-CN"/>
                    </w:rPr>
                    <w:t>为</w:t>
                  </w:r>
                  <w:r>
                    <w:rPr>
                      <w:rFonts w:hint="eastAsia" w:ascii="Times New Roman" w:hAnsi="Times New Roman" w:eastAsia="宋体" w:cs="Times New Roman"/>
                      <w:color w:val="auto"/>
                      <w:sz w:val="21"/>
                      <w:szCs w:val="21"/>
                      <w:highlight w:val="none"/>
                      <w:lang w:val="en-US" w:eastAsia="zh-CN"/>
                    </w:rPr>
                    <w:t>铁矿石加工项目</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eastAsia="zh-CN"/>
                    </w:rPr>
                    <w:t>不属于</w:t>
                  </w:r>
                  <w:r>
                    <w:rPr>
                      <w:rFonts w:hint="default" w:ascii="Times New Roman" w:hAnsi="Times New Roman" w:eastAsia="宋体" w:cs="Times New Roman"/>
                      <w:color w:val="auto"/>
                      <w:sz w:val="21"/>
                      <w:szCs w:val="21"/>
                      <w:highlight w:val="none"/>
                    </w:rPr>
                    <w:t>钢铁、石化、化工、焦化、建材、有色等高污染项目</w:t>
                  </w:r>
                </w:p>
              </w:tc>
              <w:tc>
                <w:tcPr>
                  <w:tcW w:w="1137" w:type="dxa"/>
                  <w:noWrap w:val="0"/>
                  <w:vAlign w:val="center"/>
                </w:tcPr>
                <w:p w14:paraId="294FA310">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5035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54226046">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禁止新建、扩建不符合国家石化、现代煤化工等产业布局规划的项目。</w:t>
                  </w:r>
                </w:p>
              </w:tc>
              <w:tc>
                <w:tcPr>
                  <w:tcW w:w="2709" w:type="dxa"/>
                  <w:noWrap w:val="0"/>
                  <w:vAlign w:val="center"/>
                </w:tcPr>
                <w:p w14:paraId="692DB330">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r>
                    <w:rPr>
                      <w:rFonts w:hint="default" w:ascii="Times New Roman" w:hAnsi="Times New Roman" w:eastAsia="宋体" w:cs="Times New Roman"/>
                      <w:bCs/>
                      <w:color w:val="auto"/>
                      <w:sz w:val="21"/>
                      <w:szCs w:val="21"/>
                      <w:highlight w:val="none"/>
                      <w:lang w:eastAsia="zh-CN"/>
                    </w:rPr>
                    <w:t>为</w:t>
                  </w:r>
                  <w:r>
                    <w:rPr>
                      <w:rFonts w:hint="eastAsia" w:ascii="Times New Roman" w:hAnsi="Times New Roman" w:eastAsia="宋体" w:cs="Times New Roman"/>
                      <w:color w:val="auto"/>
                      <w:sz w:val="21"/>
                      <w:szCs w:val="21"/>
                      <w:highlight w:val="none"/>
                      <w:lang w:val="en-US" w:eastAsia="zh-CN"/>
                    </w:rPr>
                    <w:t>铁矿石加工项目</w:t>
                  </w:r>
                  <w:r>
                    <w:rPr>
                      <w:rFonts w:hint="default" w:ascii="Times New Roman" w:hAnsi="Times New Roman" w:eastAsia="宋体" w:cs="Times New Roman"/>
                      <w:bCs/>
                      <w:color w:val="auto"/>
                      <w:sz w:val="21"/>
                      <w:szCs w:val="21"/>
                      <w:highlight w:val="none"/>
                    </w:rPr>
                    <w:t>，不属于</w:t>
                  </w:r>
                  <w:r>
                    <w:rPr>
                      <w:rFonts w:hint="default" w:ascii="Times New Roman" w:hAnsi="Times New Roman" w:eastAsia="宋体" w:cs="Times New Roman"/>
                      <w:color w:val="auto"/>
                      <w:sz w:val="21"/>
                      <w:szCs w:val="21"/>
                      <w:highlight w:val="none"/>
                    </w:rPr>
                    <w:t>国家石化、现代煤化工等产业布局规划的项目。</w:t>
                  </w:r>
                </w:p>
              </w:tc>
              <w:tc>
                <w:tcPr>
                  <w:tcW w:w="1137" w:type="dxa"/>
                  <w:noWrap w:val="0"/>
                  <w:vAlign w:val="center"/>
                </w:tcPr>
                <w:p w14:paraId="4BF4EBE9">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0206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44F3BCC7">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禁止新建、扩建法律法规和相关政策明令禁止的落后产能项目，依法依规淘汰不符合要求的电石炉及开放式电石炉、无化</w:t>
                  </w:r>
                  <w:r>
                    <w:rPr>
                      <w:rFonts w:hint="eastAsia" w:cs="Times New Roman"/>
                      <w:color w:val="auto"/>
                      <w:sz w:val="21"/>
                      <w:szCs w:val="21"/>
                      <w:highlight w:val="none"/>
                      <w:lang w:eastAsia="zh-CN"/>
                    </w:rPr>
                    <w:t>渣</w:t>
                  </w:r>
                  <w:r>
                    <w:rPr>
                      <w:rFonts w:hint="default" w:ascii="Times New Roman" w:hAnsi="Times New Roman" w:eastAsia="宋体" w:cs="Times New Roman"/>
                      <w:color w:val="auto"/>
                      <w:sz w:val="21"/>
                      <w:szCs w:val="21"/>
                      <w:highlight w:val="none"/>
                    </w:rPr>
                    <w:t>回收的单一炼焦生产设施，依法依规淘汰不符合要求的硫铁矿制酸、硫磺制酸、黄磷生产、有钙</w:t>
                  </w:r>
                  <w:r>
                    <w:rPr>
                      <w:rFonts w:hint="eastAsia" w:ascii="Times New Roman" w:hAnsi="Times New Roman" w:cs="Times New Roman"/>
                      <w:color w:val="auto"/>
                      <w:sz w:val="21"/>
                      <w:szCs w:val="21"/>
                      <w:highlight w:val="none"/>
                      <w:lang w:eastAsia="zh-CN"/>
                    </w:rPr>
                    <w:t>焙烧</w:t>
                  </w:r>
                  <w:r>
                    <w:rPr>
                      <w:rFonts w:hint="default" w:ascii="Times New Roman" w:hAnsi="Times New Roman" w:eastAsia="宋体" w:cs="Times New Roman"/>
                      <w:color w:val="auto"/>
                      <w:sz w:val="21"/>
                      <w:szCs w:val="21"/>
                      <w:highlight w:val="none"/>
                    </w:rPr>
                    <w:t xml:space="preserve"> 络化合物生产装置和有机一无机复混肥料、过磷酸钙和钙铁磷肥生产线。</w:t>
                  </w:r>
                </w:p>
              </w:tc>
              <w:tc>
                <w:tcPr>
                  <w:tcW w:w="2709" w:type="dxa"/>
                  <w:noWrap w:val="0"/>
                  <w:vAlign w:val="center"/>
                </w:tcPr>
                <w:p w14:paraId="14053656">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r>
                    <w:rPr>
                      <w:rFonts w:hint="default" w:ascii="Times New Roman" w:hAnsi="Times New Roman" w:eastAsia="宋体" w:cs="Times New Roman"/>
                      <w:bCs/>
                      <w:color w:val="auto"/>
                      <w:sz w:val="21"/>
                      <w:szCs w:val="21"/>
                      <w:highlight w:val="none"/>
                      <w:lang w:eastAsia="zh-CN"/>
                    </w:rPr>
                    <w:t>为</w:t>
                  </w:r>
                  <w:r>
                    <w:rPr>
                      <w:rFonts w:hint="eastAsia" w:ascii="Times New Roman" w:hAnsi="Times New Roman" w:eastAsia="宋体" w:cs="Times New Roman"/>
                      <w:color w:val="auto"/>
                      <w:sz w:val="21"/>
                      <w:szCs w:val="21"/>
                      <w:highlight w:val="none"/>
                      <w:lang w:val="en-US" w:eastAsia="zh-CN"/>
                    </w:rPr>
                    <w:t>铁矿石加工项目</w:t>
                  </w:r>
                  <w:r>
                    <w:rPr>
                      <w:rFonts w:hint="default" w:ascii="Times New Roman" w:hAnsi="Times New Roman" w:eastAsia="宋体" w:cs="Times New Roman"/>
                      <w:bCs/>
                      <w:color w:val="auto"/>
                      <w:sz w:val="21"/>
                      <w:szCs w:val="21"/>
                      <w:highlight w:val="none"/>
                    </w:rPr>
                    <w:t>，不属于</w:t>
                  </w:r>
                  <w:r>
                    <w:rPr>
                      <w:rFonts w:hint="default" w:ascii="Times New Roman" w:hAnsi="Times New Roman" w:eastAsia="宋体" w:cs="Times New Roman"/>
                      <w:color w:val="auto"/>
                      <w:sz w:val="21"/>
                      <w:szCs w:val="21"/>
                      <w:highlight w:val="none"/>
                    </w:rPr>
                    <w:t>法律法规和相关政策明令禁止的落后产能项目。</w:t>
                  </w:r>
                </w:p>
              </w:tc>
              <w:tc>
                <w:tcPr>
                  <w:tcW w:w="1137" w:type="dxa"/>
                  <w:noWrap w:val="0"/>
                  <w:vAlign w:val="center"/>
                </w:tcPr>
                <w:p w14:paraId="63361EF2">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3880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78F1E9B9">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禁止建设高毒高残留以及对环境影响大的农药原药生产装置，严格控制尿素、磷倍、电石、焦炭、黄磷、烧碱、纯碱、聚氯乙烯等行业新增产能</w:t>
                  </w:r>
                </w:p>
              </w:tc>
              <w:tc>
                <w:tcPr>
                  <w:tcW w:w="2709" w:type="dxa"/>
                  <w:noWrap w:val="0"/>
                  <w:vAlign w:val="center"/>
                </w:tcPr>
                <w:p w14:paraId="3FDDE90B">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本项目</w:t>
                  </w:r>
                  <w:r>
                    <w:rPr>
                      <w:rFonts w:hint="default" w:ascii="Times New Roman" w:hAnsi="Times New Roman" w:eastAsia="宋体" w:cs="Times New Roman"/>
                      <w:bCs/>
                      <w:color w:val="auto"/>
                      <w:sz w:val="21"/>
                      <w:szCs w:val="21"/>
                      <w:highlight w:val="none"/>
                      <w:lang w:eastAsia="zh-CN"/>
                    </w:rPr>
                    <w:t>为</w:t>
                  </w:r>
                  <w:r>
                    <w:rPr>
                      <w:rFonts w:hint="eastAsia" w:ascii="Times New Roman" w:hAnsi="Times New Roman" w:eastAsia="宋体" w:cs="Times New Roman"/>
                      <w:color w:val="auto"/>
                      <w:sz w:val="21"/>
                      <w:szCs w:val="21"/>
                      <w:highlight w:val="none"/>
                      <w:lang w:val="en-US" w:eastAsia="zh-CN"/>
                    </w:rPr>
                    <w:t>铁矿石加工项目</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eastAsia="zh-CN"/>
                    </w:rPr>
                    <w:t>不</w:t>
                  </w:r>
                  <w:r>
                    <w:rPr>
                      <w:rFonts w:hint="default" w:ascii="Times New Roman" w:hAnsi="Times New Roman" w:eastAsia="宋体" w:cs="Times New Roman"/>
                      <w:bCs/>
                      <w:color w:val="auto"/>
                      <w:sz w:val="21"/>
                      <w:szCs w:val="21"/>
                      <w:highlight w:val="none"/>
                    </w:rPr>
                    <w:t>属于</w:t>
                  </w:r>
                  <w:r>
                    <w:rPr>
                      <w:rFonts w:hint="default" w:ascii="Times New Roman" w:hAnsi="Times New Roman" w:eastAsia="宋体" w:cs="Times New Roman"/>
                      <w:color w:val="auto"/>
                      <w:sz w:val="21"/>
                      <w:szCs w:val="21"/>
                      <w:highlight w:val="none"/>
                    </w:rPr>
                    <w:t>高毒高残留</w:t>
                  </w:r>
                  <w:r>
                    <w:rPr>
                      <w:rFonts w:hint="default" w:ascii="Times New Roman" w:hAnsi="Times New Roman" w:eastAsia="宋体" w:cs="Times New Roman"/>
                      <w:color w:val="auto"/>
                      <w:sz w:val="21"/>
                      <w:szCs w:val="21"/>
                      <w:highlight w:val="none"/>
                      <w:lang w:eastAsia="zh-CN"/>
                    </w:rPr>
                    <w:t>行业。</w:t>
                  </w:r>
                </w:p>
              </w:tc>
              <w:tc>
                <w:tcPr>
                  <w:tcW w:w="1137" w:type="dxa"/>
                  <w:noWrap w:val="0"/>
                  <w:vAlign w:val="center"/>
                </w:tcPr>
                <w:p w14:paraId="5B6E0F93">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6C48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0" w:type="dxa"/>
                  <w:noWrap w:val="0"/>
                  <w:vAlign w:val="center"/>
                </w:tcPr>
                <w:p w14:paraId="71389955">
                  <w:pPr>
                    <w:widowControl w:val="0"/>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2709" w:type="dxa"/>
                  <w:noWrap w:val="0"/>
                  <w:vAlign w:val="center"/>
                </w:tcPr>
                <w:p w14:paraId="73092370">
                  <w:pPr>
                    <w:pStyle w:val="95"/>
                    <w:widowControl w:val="0"/>
                    <w:adjustRightInd w:val="0"/>
                    <w:snapToGrid w:val="0"/>
                    <w:spacing w:line="240" w:lineRule="auto"/>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本项目不属于</w:t>
                  </w:r>
                  <w:r>
                    <w:rPr>
                      <w:rFonts w:hint="default" w:ascii="Times New Roman" w:hAnsi="Times New Roman" w:eastAsia="宋体" w:cs="Times New Roman"/>
                      <w:color w:val="auto"/>
                      <w:sz w:val="21"/>
                      <w:szCs w:val="21"/>
                      <w:highlight w:val="none"/>
                    </w:rPr>
                    <w:t>《云南省城镇人口密集区危险化学品生产企业搬迁改造名单》中的企业</w:t>
                  </w:r>
                </w:p>
              </w:tc>
              <w:tc>
                <w:tcPr>
                  <w:tcW w:w="1137" w:type="dxa"/>
                  <w:noWrap w:val="0"/>
                  <w:vAlign w:val="center"/>
                </w:tcPr>
                <w:p w14:paraId="236DD9E6">
                  <w:pPr>
                    <w:pStyle w:val="95"/>
                    <w:widowControl w:val="0"/>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14:paraId="1C946C98">
            <w:pPr>
              <w:pStyle w:val="4"/>
              <w:keepNext/>
              <w:keepLines/>
              <w:pageBreakBefore w:val="0"/>
              <w:widowControl w:val="0"/>
              <w:kinsoku/>
              <w:wordWrap/>
              <w:overflowPunct/>
              <w:topLinePunct w:val="0"/>
              <w:autoSpaceDE/>
              <w:autoSpaceDN/>
              <w:bidi w:val="0"/>
              <w:adjustRightInd w:val="0"/>
              <w:snapToGrid w:val="0"/>
              <w:spacing w:before="160" w:beforeLines="50" w:beforeAutospacing="0" w:after="0" w:afterAutospacing="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bookmarkStart w:id="3" w:name="_Toc30709"/>
            <w:bookmarkStart w:id="4" w:name="_Toc8623"/>
            <w:r>
              <w:rPr>
                <w:rFonts w:hint="default" w:ascii="Times New Roman" w:hAnsi="Times New Roman" w:eastAsia="宋体" w:cs="Times New Roman"/>
                <w:b w:val="0"/>
                <w:bCs w:val="0"/>
                <w:color w:val="auto"/>
                <w:sz w:val="24"/>
                <w:szCs w:val="24"/>
                <w:highlight w:val="none"/>
                <w:lang w:val="en-US" w:eastAsia="zh-CN"/>
              </w:rPr>
              <w:t>综上所述，本项目建设符合《云南省长江经济带发展负面清单指南实施细则（试行）》要求。</w:t>
            </w:r>
          </w:p>
          <w:p w14:paraId="337DFCD5">
            <w:pPr>
              <w:pStyle w:val="71"/>
              <w:numPr>
                <w:ilvl w:val="0"/>
                <w:numId w:val="0"/>
              </w:numPr>
              <w:ind w:leftChars="0"/>
              <w:jc w:val="both"/>
              <w:rPr>
                <w:rFonts w:hint="eastAsia" w:ascii="Times New Roman" w:hAnsi="Times New Roman" w:eastAsia="宋体" w:cs="Times New Roman"/>
                <w:b/>
                <w:bCs/>
                <w:color w:val="auto"/>
                <w:sz w:val="24"/>
                <w:szCs w:val="28"/>
                <w:highlight w:val="none"/>
                <w:lang w:val="en-US" w:eastAsia="zh-CN"/>
              </w:rPr>
            </w:pPr>
            <w:r>
              <w:rPr>
                <w:rFonts w:hint="eastAsia" w:ascii="Times New Roman" w:hAnsi="Times New Roman" w:cs="Times New Roman"/>
                <w:b/>
                <w:bCs/>
                <w:color w:val="auto"/>
                <w:sz w:val="24"/>
                <w:szCs w:val="28"/>
                <w:highlight w:val="none"/>
                <w:lang w:val="en-US" w:eastAsia="zh-CN"/>
              </w:rPr>
              <w:t>5</w:t>
            </w:r>
            <w:r>
              <w:rPr>
                <w:rFonts w:hint="eastAsia" w:ascii="Times New Roman" w:hAnsi="Times New Roman" w:eastAsia="宋体" w:cs="Times New Roman"/>
                <w:b/>
                <w:bCs/>
                <w:color w:val="auto"/>
                <w:sz w:val="24"/>
                <w:szCs w:val="28"/>
                <w:highlight w:val="none"/>
                <w:lang w:val="en-US" w:eastAsia="zh-CN"/>
              </w:rPr>
              <w:t>、与《空气质量持续改善行动计划》符合性分析</w:t>
            </w:r>
          </w:p>
          <w:p w14:paraId="26D0A03F">
            <w:pPr>
              <w:pStyle w:val="71"/>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为持续深入打好蓝天保卫战，切实保障人民群众身体健康，以空气质量持续改善推动经济高质量发展</w:t>
            </w:r>
            <w:r>
              <w:rPr>
                <w:rFonts w:hint="eastAsia" w:ascii="Times New Roman" w:hAnsi="Times New Roman" w:cs="Times New Roman"/>
                <w:color w:val="auto"/>
                <w:sz w:val="24"/>
                <w:szCs w:val="24"/>
                <w:highlight w:val="none"/>
                <w:lang w:val="en-US" w:eastAsia="zh-CN"/>
              </w:rPr>
              <w:t>，国务院发布了《国务院关于印发〈空气质量持续改善行动计划〉的通知》（国发〔2023〕24号）文件，项目与该文件符合性分析如下：</w:t>
            </w:r>
          </w:p>
          <w:p w14:paraId="43E630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 xml:space="preserve"> 与《空气质量持续改善行动计划</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的符合性分析</w:t>
            </w:r>
          </w:p>
          <w:tbl>
            <w:tblPr>
              <w:tblStyle w:val="3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2455"/>
              <w:gridCol w:w="864"/>
            </w:tblGrid>
            <w:tr w14:paraId="7D32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shd w:val="clear" w:color="auto" w:fill="D7D7D7" w:themeFill="background1" w:themeFillShade="D8"/>
                  <w:noWrap w:val="0"/>
                  <w:vAlign w:val="center"/>
                </w:tcPr>
                <w:p w14:paraId="35CD0984">
                  <w:pPr>
                    <w:pStyle w:val="33"/>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标准要求</w:t>
                  </w:r>
                </w:p>
              </w:tc>
              <w:tc>
                <w:tcPr>
                  <w:tcW w:w="1792" w:type="pct"/>
                  <w:shd w:val="clear" w:color="auto" w:fill="D7D7D7" w:themeFill="background1" w:themeFillShade="D8"/>
                  <w:noWrap w:val="0"/>
                  <w:vAlign w:val="center"/>
                </w:tcPr>
                <w:p w14:paraId="0CEFE754">
                  <w:pPr>
                    <w:pStyle w:val="3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p>
              </w:tc>
              <w:tc>
                <w:tcPr>
                  <w:tcW w:w="630" w:type="pct"/>
                  <w:shd w:val="clear" w:color="auto" w:fill="D7D7D7" w:themeFill="background1" w:themeFillShade="D8"/>
                  <w:noWrap w:val="0"/>
                  <w:vAlign w:val="center"/>
                </w:tcPr>
                <w:p w14:paraId="336CC675">
                  <w:pPr>
                    <w:pStyle w:val="33"/>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符合性</w:t>
                  </w:r>
                </w:p>
              </w:tc>
            </w:tr>
            <w:tr w14:paraId="74E2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noWrap w:val="0"/>
                  <w:vAlign w:val="center"/>
                </w:tcPr>
                <w:p w14:paraId="648294E3">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792" w:type="pct"/>
                  <w:noWrap w:val="0"/>
                  <w:vAlign w:val="center"/>
                </w:tcPr>
                <w:p w14:paraId="05384E71">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val="en-US" w:eastAsia="zh-CN"/>
                    </w:rPr>
                    <w:t>位于红塔产业园区研和片区二地块</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属于工业用地</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为铁矿石加工项目，项目工艺为简单的破碎。筛分物理工艺，不涉及化学反应，污染物主要为颗粒物，不属于高耗能、高污染项目。项目已取得项目投资备案证，项目手续齐全，项目为新建，不涉及产能置换。</w:t>
                  </w:r>
                </w:p>
              </w:tc>
              <w:tc>
                <w:tcPr>
                  <w:tcW w:w="630" w:type="pct"/>
                  <w:noWrap w:val="0"/>
                  <w:vAlign w:val="center"/>
                </w:tcPr>
                <w:p w14:paraId="1E62131B">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eastAsia="zh-CN"/>
                    </w:rPr>
                    <w:t>符合</w:t>
                  </w:r>
                </w:p>
              </w:tc>
            </w:tr>
            <w:tr w14:paraId="5B43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noWrap w:val="0"/>
                  <w:vAlign w:val="center"/>
                </w:tcPr>
                <w:p w14:paraId="02588F26">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深化扬尘污染综合治理。鼓励经济发达地区5000平方米及以上建筑工地安装视频监控并接入当地监管平台；重点区域道路、水务等长距离线性工程实行分段施工。将防治扬尘污染费用纳入工程造价。到2025年，装配式建筑占新建建筑面积比例达30%；地级及以上城市建成区道路机械化清扫率达80%左右，县城达70%左右。对城市公共裸地进行排查建档并采取防尘措施。城市大型煤炭、矿石等干散货码头物料堆场基本完成抑尘设施建设和物料输送系统封闭改造。</w:t>
                  </w:r>
                </w:p>
              </w:tc>
              <w:tc>
                <w:tcPr>
                  <w:tcW w:w="1792" w:type="pct"/>
                  <w:noWrap w:val="0"/>
                  <w:vAlign w:val="center"/>
                </w:tcPr>
                <w:p w14:paraId="5D29DB4D">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项目铁矿石堆场均设置于三面围挡加顶棚的厂房内，项目</w:t>
                  </w:r>
                  <w:r>
                    <w:rPr>
                      <w:rFonts w:hint="eastAsia" w:ascii="Times New Roman" w:hAnsi="Times New Roman" w:eastAsia="宋体" w:cs="Times New Roman"/>
                      <w:color w:val="auto"/>
                      <w:sz w:val="21"/>
                      <w:szCs w:val="21"/>
                      <w:highlight w:val="none"/>
                      <w:lang w:val="en-US" w:eastAsia="zh-CN"/>
                    </w:rPr>
                    <w:t>破碎、筛分过程</w:t>
                  </w:r>
                  <w:r>
                    <w:rPr>
                      <w:rFonts w:hint="eastAsia" w:ascii="Times New Roman" w:hAnsi="Times New Roman" w:eastAsia="宋体" w:cs="Arial"/>
                      <w:i w:val="0"/>
                      <w:iCs w:val="0"/>
                      <w:caps w:val="0"/>
                      <w:color w:val="auto"/>
                      <w:spacing w:val="0"/>
                      <w:sz w:val="21"/>
                      <w:szCs w:val="21"/>
                      <w:highlight w:val="none"/>
                      <w:shd w:val="clear" w:color="auto" w:fill="FFFFFF"/>
                      <w:lang w:val="en-US" w:eastAsia="zh-CN"/>
                    </w:rPr>
                    <w:t>产生的</w:t>
                  </w:r>
                  <w:r>
                    <w:rPr>
                      <w:rFonts w:ascii="Times New Roman" w:hAnsi="Times New Roman" w:eastAsia="宋体" w:cs="Arial"/>
                      <w:i w:val="0"/>
                      <w:iCs w:val="0"/>
                      <w:caps w:val="0"/>
                      <w:color w:val="auto"/>
                      <w:spacing w:val="0"/>
                      <w:sz w:val="21"/>
                      <w:szCs w:val="21"/>
                      <w:highlight w:val="none"/>
                      <w:shd w:val="clear" w:color="auto" w:fill="FFFFFF"/>
                    </w:rPr>
                    <w:t>粉尘</w:t>
                  </w:r>
                  <w:r>
                    <w:rPr>
                      <w:rFonts w:hint="eastAsia" w:ascii="Times New Roman" w:hAnsi="Times New Roman" w:eastAsia="宋体" w:cs="Arial"/>
                      <w:i w:val="0"/>
                      <w:iCs w:val="0"/>
                      <w:caps w:val="0"/>
                      <w:color w:val="auto"/>
                      <w:spacing w:val="0"/>
                      <w:sz w:val="21"/>
                      <w:szCs w:val="21"/>
                      <w:highlight w:val="none"/>
                      <w:shd w:val="clear" w:color="auto" w:fill="FFFFFF"/>
                      <w:lang w:val="en-US" w:eastAsia="zh-CN"/>
                    </w:rPr>
                    <w:t>采取“集气罩+布袋除尘器”措施处理，处理后分别通过1根</w:t>
                  </w:r>
                  <w:r>
                    <w:rPr>
                      <w:rFonts w:hint="default" w:ascii="Times New Roman" w:hAnsi="Times New Roman" w:eastAsia="宋体" w:cs="Times New Roman"/>
                      <w:i w:val="0"/>
                      <w:iCs w:val="0"/>
                      <w:caps w:val="0"/>
                      <w:color w:val="auto"/>
                      <w:spacing w:val="0"/>
                      <w:sz w:val="21"/>
                      <w:szCs w:val="21"/>
                      <w:highlight w:val="none"/>
                      <w:shd w:val="clear" w:color="auto" w:fill="FFFFFF"/>
                      <w:lang w:val="en-US" w:eastAsia="zh-CN"/>
                    </w:rPr>
                    <w:t>1</w:t>
                  </w:r>
                  <w:r>
                    <w:rPr>
                      <w:rFonts w:hint="eastAsia" w:cs="Times New Roman"/>
                      <w:i w:val="0"/>
                      <w:iCs w:val="0"/>
                      <w:caps w:val="0"/>
                      <w:color w:val="auto"/>
                      <w:spacing w:val="0"/>
                      <w:sz w:val="21"/>
                      <w:szCs w:val="21"/>
                      <w:highlight w:val="none"/>
                      <w:shd w:val="clear" w:color="auto" w:fill="FFFFFF"/>
                      <w:lang w:val="en-US" w:eastAsia="zh-CN"/>
                    </w:rPr>
                    <w:t>6</w:t>
                  </w:r>
                  <w:r>
                    <w:rPr>
                      <w:rFonts w:hint="default" w:ascii="Times New Roman" w:hAnsi="Times New Roman" w:eastAsia="宋体" w:cs="Times New Roman"/>
                      <w:i w:val="0"/>
                      <w:iCs w:val="0"/>
                      <w:caps w:val="0"/>
                      <w:color w:val="auto"/>
                      <w:spacing w:val="0"/>
                      <w:sz w:val="21"/>
                      <w:szCs w:val="21"/>
                      <w:highlight w:val="none"/>
                      <w:shd w:val="clear" w:color="auto" w:fill="FFFFFF"/>
                      <w:lang w:val="en-US" w:eastAsia="zh-CN"/>
                    </w:rPr>
                    <w:t>m</w:t>
                  </w:r>
                  <w:r>
                    <w:rPr>
                      <w:rFonts w:hint="eastAsia" w:ascii="Times New Roman" w:hAnsi="Times New Roman" w:eastAsia="宋体" w:cs="Arial"/>
                      <w:i w:val="0"/>
                      <w:iCs w:val="0"/>
                      <w:caps w:val="0"/>
                      <w:color w:val="auto"/>
                      <w:spacing w:val="0"/>
                      <w:sz w:val="21"/>
                      <w:szCs w:val="21"/>
                      <w:highlight w:val="none"/>
                      <w:shd w:val="clear" w:color="auto" w:fill="FFFFFF"/>
                      <w:lang w:val="en-US" w:eastAsia="zh-CN"/>
                    </w:rPr>
                    <w:t>高排气筒排放，逸散粉尘、扬尘、集气罩未收集粉尘通过喷雾降尘+厂房阻隔后无组织排放</w:t>
                  </w:r>
                  <w:r>
                    <w:rPr>
                      <w:rFonts w:ascii="Times New Roman" w:hAnsi="Times New Roman" w:eastAsia="宋体" w:cs="Arial"/>
                      <w:i w:val="0"/>
                      <w:iCs w:val="0"/>
                      <w:caps w:val="0"/>
                      <w:color w:val="auto"/>
                      <w:spacing w:val="0"/>
                      <w:sz w:val="21"/>
                      <w:szCs w:val="21"/>
                      <w:highlight w:val="none"/>
                      <w:shd w:val="clear" w:color="auto" w:fill="FFFFFF"/>
                    </w:rPr>
                    <w:t>。</w:t>
                  </w:r>
                </w:p>
              </w:tc>
              <w:tc>
                <w:tcPr>
                  <w:tcW w:w="630" w:type="pct"/>
                  <w:noWrap w:val="0"/>
                  <w:vAlign w:val="center"/>
                </w:tcPr>
                <w:p w14:paraId="374BF6A8">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eastAsia="zh-CN"/>
                    </w:rPr>
                    <w:t>符合</w:t>
                  </w:r>
                </w:p>
              </w:tc>
            </w:tr>
          </w:tbl>
          <w:p w14:paraId="62FA0EB8">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由上表可知，项目的建设符合《空气质量持续改善行动计划》的相关要求</w:t>
            </w:r>
            <w:r>
              <w:rPr>
                <w:rFonts w:hint="eastAsia" w:ascii="Times New Roman" w:hAnsi="Times New Roman" w:eastAsia="宋体" w:cs="Times New Roman"/>
                <w:color w:val="auto"/>
                <w:sz w:val="24"/>
                <w:szCs w:val="24"/>
                <w:highlight w:val="none"/>
                <w:lang w:eastAsia="zh-CN"/>
              </w:rPr>
              <w:t>。</w:t>
            </w:r>
          </w:p>
          <w:p w14:paraId="1F2D1FB6">
            <w:pPr>
              <w:pStyle w:val="71"/>
              <w:numPr>
                <w:ilvl w:val="0"/>
                <w:numId w:val="0"/>
              </w:numPr>
              <w:ind w:leftChars="0"/>
              <w:jc w:val="both"/>
              <w:rPr>
                <w:rFonts w:hint="default" w:ascii="Times New Roman" w:hAnsi="Times New Roman" w:cs="Times New Roman"/>
                <w:b/>
                <w:bCs/>
                <w:color w:val="auto"/>
                <w:sz w:val="24"/>
                <w:szCs w:val="28"/>
                <w:highlight w:val="none"/>
                <w:lang w:val="en-US" w:eastAsia="zh-CN"/>
              </w:rPr>
            </w:pPr>
            <w:r>
              <w:rPr>
                <w:rFonts w:hint="eastAsia" w:ascii="Times New Roman" w:hAnsi="Times New Roman" w:cs="Times New Roman"/>
                <w:b/>
                <w:bCs/>
                <w:color w:val="auto"/>
                <w:sz w:val="24"/>
                <w:szCs w:val="28"/>
                <w:highlight w:val="none"/>
                <w:lang w:val="en-US" w:eastAsia="zh-CN"/>
              </w:rPr>
              <w:t>6、与《云南省空气质量持续改善行动实施方案》的符合性分析</w:t>
            </w:r>
          </w:p>
          <w:p w14:paraId="5260AD9E">
            <w:pPr>
              <w:pStyle w:val="71"/>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为全面贯彻落实《国务院关于印发〈空气质量持续改善行动计划〉的通知》（国发〔2023〕24号）精神，持续深入打好蓝天保卫战，结合</w:t>
            </w:r>
            <w:r>
              <w:rPr>
                <w:rFonts w:hint="eastAsia" w:ascii="Times New Roman" w:hAnsi="Times New Roman" w:cs="Times New Roman"/>
                <w:color w:val="auto"/>
                <w:sz w:val="24"/>
                <w:szCs w:val="24"/>
                <w:highlight w:val="none"/>
                <w:lang w:val="en-US" w:eastAsia="zh-CN"/>
              </w:rPr>
              <w:t>云南</w:t>
            </w:r>
            <w:r>
              <w:rPr>
                <w:rFonts w:hint="default" w:ascii="Times New Roman" w:hAnsi="Times New Roman" w:eastAsia="宋体" w:cs="Times New Roman"/>
                <w:color w:val="auto"/>
                <w:sz w:val="24"/>
                <w:szCs w:val="24"/>
                <w:highlight w:val="none"/>
                <w:lang w:val="en-US" w:eastAsia="zh-CN"/>
              </w:rPr>
              <w:t>省实际，云南省人民政府印发了《云南省空气质量持续改善行动实施方案》（云政发〔2024〕14号</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项目与该方案符合性分析如下：</w:t>
            </w:r>
          </w:p>
          <w:p w14:paraId="2718DEE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 xml:space="preserve"> 与《</w:t>
            </w:r>
            <w:r>
              <w:rPr>
                <w:rFonts w:hint="eastAsia" w:ascii="Times New Roman" w:hAnsi="Times New Roman" w:cs="Times New Roman"/>
                <w:b/>
                <w:bCs/>
                <w:color w:val="auto"/>
                <w:sz w:val="24"/>
                <w:szCs w:val="28"/>
                <w:highlight w:val="none"/>
                <w:lang w:val="en-US" w:eastAsia="zh-CN"/>
              </w:rPr>
              <w:t>云南省空气质量持续改善行动实施方案</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的符合性分析</w:t>
            </w:r>
          </w:p>
          <w:tbl>
            <w:tblPr>
              <w:tblStyle w:val="3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2455"/>
              <w:gridCol w:w="864"/>
            </w:tblGrid>
            <w:tr w14:paraId="2696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shd w:val="clear" w:color="auto" w:fill="D7D7D7" w:themeFill="background1" w:themeFillShade="D8"/>
                  <w:noWrap w:val="0"/>
                  <w:vAlign w:val="center"/>
                </w:tcPr>
                <w:p w14:paraId="18C65BF7">
                  <w:pPr>
                    <w:pStyle w:val="33"/>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文件</w:t>
                  </w:r>
                  <w:r>
                    <w:rPr>
                      <w:rFonts w:hint="default" w:ascii="Times New Roman" w:hAnsi="Times New Roman" w:eastAsia="宋体" w:cs="Times New Roman"/>
                      <w:b w:val="0"/>
                      <w:bCs w:val="0"/>
                      <w:color w:val="auto"/>
                      <w:sz w:val="21"/>
                      <w:szCs w:val="21"/>
                      <w:highlight w:val="none"/>
                      <w:vertAlign w:val="baseline"/>
                      <w:lang w:eastAsia="zh-CN"/>
                    </w:rPr>
                    <w:t>要求</w:t>
                  </w:r>
                </w:p>
              </w:tc>
              <w:tc>
                <w:tcPr>
                  <w:tcW w:w="1792" w:type="pct"/>
                  <w:shd w:val="clear" w:color="auto" w:fill="D7D7D7" w:themeFill="background1" w:themeFillShade="D8"/>
                  <w:noWrap w:val="0"/>
                  <w:vAlign w:val="center"/>
                </w:tcPr>
                <w:p w14:paraId="04C1FAF6">
                  <w:pPr>
                    <w:pStyle w:val="3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p>
              </w:tc>
              <w:tc>
                <w:tcPr>
                  <w:tcW w:w="630" w:type="pct"/>
                  <w:shd w:val="clear" w:color="auto" w:fill="D7D7D7" w:themeFill="background1" w:themeFillShade="D8"/>
                  <w:noWrap w:val="0"/>
                  <w:vAlign w:val="center"/>
                </w:tcPr>
                <w:p w14:paraId="4FD9CF77">
                  <w:pPr>
                    <w:pStyle w:val="33"/>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符合性</w:t>
                  </w:r>
                </w:p>
              </w:tc>
            </w:tr>
            <w:tr w14:paraId="6032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noWrap w:val="0"/>
                  <w:vAlign w:val="center"/>
                </w:tcPr>
                <w:p w14:paraId="454096E3">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优化产业结构：新改扩建项目严格落实产业政策、生态环境分区管控、规划环评、项目环评、重点污染物总量控制等要求，原则上采用清洁运输方式</w:t>
                  </w:r>
                </w:p>
              </w:tc>
              <w:tc>
                <w:tcPr>
                  <w:tcW w:w="1792" w:type="pct"/>
                  <w:noWrap w:val="0"/>
                  <w:vAlign w:val="center"/>
                </w:tcPr>
                <w:p w14:paraId="68431A2C">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w:t>
                  </w:r>
                  <w:r>
                    <w:rPr>
                      <w:rFonts w:hint="eastAsia" w:cs="Times New Roman"/>
                      <w:color w:val="auto"/>
                      <w:kern w:val="0"/>
                      <w:sz w:val="21"/>
                      <w:szCs w:val="21"/>
                      <w:highlight w:val="none"/>
                      <w:lang w:val="en-US" w:eastAsia="zh-CN" w:bidi="ar"/>
                    </w:rPr>
                    <w:t>正在进行</w:t>
                  </w:r>
                  <w:r>
                    <w:rPr>
                      <w:rFonts w:hint="default" w:ascii="Times New Roman" w:hAnsi="Times New Roman" w:eastAsia="宋体" w:cs="Times New Roman"/>
                      <w:color w:val="auto"/>
                      <w:kern w:val="0"/>
                      <w:sz w:val="21"/>
                      <w:szCs w:val="21"/>
                      <w:highlight w:val="none"/>
                      <w:lang w:val="en-US" w:eastAsia="zh-CN" w:bidi="ar"/>
                    </w:rPr>
                    <w:t>环评审批</w:t>
                  </w:r>
                  <w:r>
                    <w:rPr>
                      <w:rFonts w:hint="eastAsia" w:cs="Times New Roman"/>
                      <w:color w:val="auto"/>
                      <w:kern w:val="0"/>
                      <w:sz w:val="21"/>
                      <w:szCs w:val="21"/>
                      <w:highlight w:val="none"/>
                      <w:lang w:val="en-US" w:eastAsia="zh-CN" w:bidi="ar"/>
                    </w:rPr>
                    <w:t>手续</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未来建设将</w:t>
                  </w:r>
                  <w:r>
                    <w:rPr>
                      <w:rFonts w:hint="default" w:ascii="Times New Roman" w:hAnsi="Times New Roman" w:eastAsia="宋体" w:cs="Times New Roman"/>
                      <w:color w:val="auto"/>
                      <w:kern w:val="0"/>
                      <w:sz w:val="21"/>
                      <w:szCs w:val="21"/>
                      <w:highlight w:val="none"/>
                      <w:lang w:val="en-US" w:eastAsia="zh-CN" w:bidi="ar"/>
                    </w:rPr>
                    <w:t>落实铁矿中转场大气污染物总量控制；采用密闭皮带廊道+新能源车辆短驳，优先清洁运输，符合源头防控要求</w:t>
                  </w:r>
                </w:p>
              </w:tc>
              <w:tc>
                <w:tcPr>
                  <w:tcW w:w="630" w:type="pct"/>
                  <w:noWrap w:val="0"/>
                  <w:vAlign w:val="center"/>
                </w:tcPr>
                <w:p w14:paraId="084BB3BD">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eastAsia="zh-CN"/>
                    </w:rPr>
                    <w:t>符合</w:t>
                  </w:r>
                </w:p>
              </w:tc>
            </w:tr>
            <w:tr w14:paraId="0E18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noWrap w:val="0"/>
                  <w:vAlign w:val="center"/>
                </w:tcPr>
                <w:p w14:paraId="0A05E578">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优化交通结构：大宗货物短距离运输优先采用封闭式皮带廊道或新能源车船；新建及迁建大宗货物年运量 150 万吨以上的工矿企业，原则上接入铁路专用线或管道</w:t>
                  </w:r>
                </w:p>
              </w:tc>
              <w:tc>
                <w:tcPr>
                  <w:tcW w:w="1792" w:type="pct"/>
                  <w:noWrap w:val="0"/>
                  <w:vAlign w:val="center"/>
                </w:tcPr>
                <w:p w14:paraId="5F3E38AE">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铁矿中转采用全封闭皮带输送系统，场内短驳使用新能源货车，落实清洁运输结构优化要求</w:t>
                  </w:r>
                </w:p>
              </w:tc>
              <w:tc>
                <w:tcPr>
                  <w:tcW w:w="630" w:type="pct"/>
                  <w:noWrap w:val="0"/>
                  <w:vAlign w:val="center"/>
                </w:tcPr>
                <w:p w14:paraId="2CCBB76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eastAsia="zh-CN"/>
                    </w:rPr>
                    <w:t>符合</w:t>
                  </w:r>
                </w:p>
              </w:tc>
            </w:tr>
            <w:tr w14:paraId="60D1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noWrap w:val="0"/>
                  <w:vAlign w:val="center"/>
                </w:tcPr>
                <w:p w14:paraId="12B8D8CA">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提升面源污染治理：持续推动扬尘污染治理管控，严格落实防尘措施；</w:t>
                  </w:r>
                </w:p>
              </w:tc>
              <w:tc>
                <w:tcPr>
                  <w:tcW w:w="1792" w:type="pct"/>
                  <w:noWrap w:val="0"/>
                  <w:vAlign w:val="center"/>
                </w:tcPr>
                <w:p w14:paraId="6C2C65BF">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料场建设全封闭钢结构大棚，配套喷淋、车辆冲洗平台、道路硬化；落实</w:t>
                  </w:r>
                  <w:r>
                    <w:rPr>
                      <w:rFonts w:hint="eastAsia" w:cs="Times New Roman"/>
                      <w:color w:val="auto"/>
                      <w:kern w:val="0"/>
                      <w:sz w:val="21"/>
                      <w:szCs w:val="21"/>
                      <w:highlight w:val="none"/>
                      <w:lang w:val="en-US" w:eastAsia="zh-CN" w:bidi="ar"/>
                    </w:rPr>
                    <w:t>各项</w:t>
                  </w:r>
                  <w:r>
                    <w:rPr>
                      <w:rFonts w:hint="default" w:ascii="Times New Roman" w:hAnsi="Times New Roman" w:eastAsia="宋体" w:cs="Times New Roman"/>
                      <w:color w:val="auto"/>
                      <w:kern w:val="0"/>
                      <w:sz w:val="21"/>
                      <w:szCs w:val="21"/>
                      <w:highlight w:val="none"/>
                      <w:lang w:val="en-US" w:eastAsia="zh-CN" w:bidi="ar"/>
                    </w:rPr>
                    <w:t>防尘</w:t>
                  </w:r>
                  <w:r>
                    <w:rPr>
                      <w:rFonts w:hint="eastAsia" w:cs="Times New Roman"/>
                      <w:color w:val="auto"/>
                      <w:kern w:val="0"/>
                      <w:sz w:val="21"/>
                      <w:szCs w:val="21"/>
                      <w:highlight w:val="none"/>
                      <w:lang w:val="en-US" w:eastAsia="zh-CN" w:bidi="ar"/>
                    </w:rPr>
                    <w:t>措施</w:t>
                  </w:r>
                  <w:r>
                    <w:rPr>
                      <w:rFonts w:hint="default" w:ascii="Times New Roman" w:hAnsi="Times New Roman" w:eastAsia="宋体" w:cs="Times New Roman"/>
                      <w:color w:val="auto"/>
                      <w:kern w:val="0"/>
                      <w:sz w:val="21"/>
                      <w:szCs w:val="21"/>
                      <w:highlight w:val="none"/>
                      <w:lang w:val="en-US" w:eastAsia="zh-CN" w:bidi="ar"/>
                    </w:rPr>
                    <w:t>；同步规划清洁运输通道，严控无组织扬尘</w:t>
                  </w:r>
                </w:p>
              </w:tc>
              <w:tc>
                <w:tcPr>
                  <w:tcW w:w="630" w:type="pct"/>
                  <w:noWrap w:val="0"/>
                  <w:vAlign w:val="center"/>
                </w:tcPr>
                <w:p w14:paraId="6B20FE79">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符合</w:t>
                  </w:r>
                </w:p>
              </w:tc>
            </w:tr>
            <w:tr w14:paraId="251F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noWrap w:val="0"/>
                  <w:vAlign w:val="center"/>
                </w:tcPr>
                <w:p w14:paraId="7BFFFC69">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强化多污染物减排：推进重点行业污染深度治理，强化治污设施运行维护，减少非正常工况排放；重点涉气企业逐步取消烟气旁路</w:t>
                  </w:r>
                </w:p>
              </w:tc>
              <w:tc>
                <w:tcPr>
                  <w:tcW w:w="1792" w:type="pct"/>
                  <w:noWrap w:val="0"/>
                  <w:vAlign w:val="center"/>
                </w:tcPr>
                <w:p w14:paraId="5030924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配套布袋除尘 + 抑尘喷洒组合治理设施；建立</w:t>
                  </w:r>
                  <w:r>
                    <w:rPr>
                      <w:rFonts w:hint="eastAsia" w:cs="Times New Roman"/>
                      <w:color w:val="auto"/>
                      <w:kern w:val="0"/>
                      <w:sz w:val="21"/>
                      <w:szCs w:val="21"/>
                      <w:highlight w:val="none"/>
                      <w:lang w:val="en-US" w:eastAsia="zh-CN" w:bidi="ar"/>
                    </w:rPr>
                    <w:t>有效</w:t>
                  </w:r>
                  <w:r>
                    <w:rPr>
                      <w:rFonts w:hint="default" w:ascii="Times New Roman" w:hAnsi="Times New Roman" w:eastAsia="宋体" w:cs="Times New Roman"/>
                      <w:color w:val="auto"/>
                      <w:kern w:val="0"/>
                      <w:sz w:val="21"/>
                      <w:szCs w:val="21"/>
                      <w:highlight w:val="none"/>
                      <w:lang w:val="en-US" w:eastAsia="zh-CN" w:bidi="ar"/>
                    </w:rPr>
                    <w:t>工况监控，无废气旁路；定期维护除尘设备，确保颗粒物稳定达标排放。</w:t>
                  </w:r>
                </w:p>
              </w:tc>
              <w:tc>
                <w:tcPr>
                  <w:tcW w:w="630" w:type="pct"/>
                  <w:noWrap w:val="0"/>
                  <w:vAlign w:val="center"/>
                </w:tcPr>
                <w:p w14:paraId="6A0CC479">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符合</w:t>
                  </w:r>
                </w:p>
              </w:tc>
            </w:tr>
            <w:tr w14:paraId="408E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noWrap w:val="0"/>
                  <w:vAlign w:val="center"/>
                </w:tcPr>
                <w:p w14:paraId="180ECD60">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加强能力建设和执法监督：拓展非现场监管手段应用，加强重点领域监督执法；重点排污单位及时公布自行监测和污染排放数据</w:t>
                  </w:r>
                  <w:r>
                    <w:rPr>
                      <w:rFonts w:hint="eastAsia" w:cs="Times New Roman"/>
                      <w:color w:val="auto"/>
                      <w:kern w:val="0"/>
                      <w:sz w:val="21"/>
                      <w:szCs w:val="21"/>
                      <w:highlight w:val="none"/>
                      <w:lang w:val="en-US" w:eastAsia="zh-CN" w:bidi="ar"/>
                    </w:rPr>
                    <w:t>。</w:t>
                  </w:r>
                </w:p>
              </w:tc>
              <w:tc>
                <w:tcPr>
                  <w:tcW w:w="1792" w:type="pct"/>
                  <w:noWrap w:val="0"/>
                  <w:vAlign w:val="center"/>
                </w:tcPr>
                <w:p w14:paraId="010F1BE0">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建立内部环保台账，定期开展无组织排放自查；按规范开展颗粒物自行监测，数据公开并上报，配合生态环境部门执法检查</w:t>
                  </w:r>
                  <w:r>
                    <w:rPr>
                      <w:rFonts w:hint="eastAsia" w:cs="Times New Roman"/>
                      <w:color w:val="auto"/>
                      <w:kern w:val="0"/>
                      <w:sz w:val="21"/>
                      <w:szCs w:val="21"/>
                      <w:highlight w:val="none"/>
                      <w:lang w:val="en-US" w:eastAsia="zh-CN" w:bidi="ar"/>
                    </w:rPr>
                    <w:t>。</w:t>
                  </w:r>
                </w:p>
              </w:tc>
              <w:tc>
                <w:tcPr>
                  <w:tcW w:w="630" w:type="pct"/>
                  <w:noWrap w:val="0"/>
                  <w:vAlign w:val="center"/>
                </w:tcPr>
                <w:p w14:paraId="6C205BB1">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符合</w:t>
                  </w:r>
                </w:p>
              </w:tc>
            </w:tr>
          </w:tbl>
          <w:p w14:paraId="48963C31">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由上表可知，项目的建设符合《云南省空气质量持续改善行动实施方案》（云政发〔2024〕14号</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的相关要求</w:t>
            </w:r>
            <w:r>
              <w:rPr>
                <w:rFonts w:hint="eastAsia" w:ascii="Times New Roman" w:hAnsi="Times New Roman" w:eastAsia="宋体" w:cs="Times New Roman"/>
                <w:color w:val="auto"/>
                <w:sz w:val="24"/>
                <w:szCs w:val="24"/>
                <w:highlight w:val="none"/>
                <w:lang w:eastAsia="zh-CN"/>
              </w:rPr>
              <w:t>。</w:t>
            </w:r>
          </w:p>
          <w:bookmarkEnd w:id="3"/>
          <w:bookmarkEnd w:id="4"/>
          <w:p w14:paraId="0ED53E7A">
            <w:pPr>
              <w:pStyle w:val="71"/>
              <w:ind w:firstLine="0" w:firstLineChars="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、与《云南省大气污染防治条例》符合性分析</w:t>
            </w:r>
          </w:p>
          <w:p w14:paraId="6C688FCC">
            <w:pPr>
              <w:spacing w:line="360" w:lineRule="auto"/>
              <w:ind w:firstLine="480"/>
              <w:rPr>
                <w:rFonts w:ascii="Times New Roman" w:hAnsi="Times New Roman"/>
                <w:b/>
                <w:bCs/>
                <w:color w:val="auto"/>
                <w:szCs w:val="21"/>
                <w:highlight w:val="none"/>
              </w:rPr>
            </w:pPr>
            <w:r>
              <w:rPr>
                <w:rFonts w:ascii="Times New Roman" w:hAnsi="Times New Roman"/>
                <w:color w:val="auto"/>
                <w:sz w:val="24"/>
                <w:highlight w:val="none"/>
              </w:rPr>
              <w:t>本项目与</w:t>
            </w:r>
            <w:r>
              <w:rPr>
                <w:rFonts w:hint="eastAsia" w:ascii="Times New Roman" w:hAnsi="Times New Roman"/>
                <w:color w:val="auto"/>
                <w:sz w:val="24"/>
                <w:highlight w:val="none"/>
                <w:lang w:eastAsia="zh-CN"/>
              </w:rPr>
              <w:t>《云南省大气污染防治条例》</w:t>
            </w:r>
            <w:r>
              <w:rPr>
                <w:rFonts w:ascii="Times New Roman" w:hAnsi="Times New Roman"/>
                <w:color w:val="auto"/>
                <w:sz w:val="24"/>
                <w:highlight w:val="none"/>
              </w:rPr>
              <w:t>的符合性分析见下表</w:t>
            </w:r>
            <w:r>
              <w:rPr>
                <w:rFonts w:hint="eastAsia" w:ascii="Times New Roman" w:hAnsi="Times New Roman"/>
                <w:color w:val="auto"/>
                <w:sz w:val="24"/>
                <w:highlight w:val="none"/>
              </w:rPr>
              <w:t>。</w:t>
            </w:r>
          </w:p>
          <w:p w14:paraId="3FE206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lang w:val="zh-TW" w:eastAsia="zh-CN"/>
              </w:rPr>
            </w:pPr>
            <w:r>
              <w:rPr>
                <w:rFonts w:hint="default" w:ascii="Times New Roman" w:hAnsi="Times New Roman" w:eastAsia="宋体" w:cs="Times New Roman"/>
                <w:b/>
                <w:bCs/>
                <w:color w:val="auto"/>
                <w:sz w:val="24"/>
                <w:szCs w:val="24"/>
                <w:highlight w:val="none"/>
                <w:lang w:val="zh-TW" w:eastAsia="zh-CN"/>
              </w:rPr>
              <w:t>表1</w:t>
            </w:r>
            <w:r>
              <w:rPr>
                <w:rFonts w:hint="eastAsia" w:ascii="Times New Roman" w:hAnsi="Times New Roman" w:eastAsia="宋体" w:cs="Times New Roman"/>
                <w:b/>
                <w:bCs/>
                <w:color w:val="auto"/>
                <w:sz w:val="24"/>
                <w:szCs w:val="24"/>
                <w:highlight w:val="none"/>
                <w:lang w:val="zh-TW" w:eastAsia="zh-CN"/>
              </w:rPr>
              <w:t>-</w:t>
            </w:r>
            <w:r>
              <w:rPr>
                <w:rFonts w:hint="eastAsia" w:cs="Times New Roman"/>
                <w:b/>
                <w:bCs/>
                <w:color w:val="auto"/>
                <w:sz w:val="24"/>
                <w:szCs w:val="24"/>
                <w:highlight w:val="none"/>
                <w:lang w:val="en-US" w:eastAsia="zh-CN"/>
              </w:rPr>
              <w:t>9</w:t>
            </w:r>
            <w:r>
              <w:rPr>
                <w:rFonts w:hint="eastAsia" w:ascii="Times New Roman" w:hAnsi="Times New Roman" w:eastAsia="宋体" w:cs="Times New Roman"/>
                <w:b/>
                <w:bCs/>
                <w:color w:val="auto"/>
                <w:sz w:val="24"/>
                <w:szCs w:val="24"/>
                <w:highlight w:val="none"/>
                <w:lang w:val="zh-TW" w:eastAsia="zh-CN"/>
              </w:rPr>
              <w:t xml:space="preserve"> </w:t>
            </w:r>
            <w:r>
              <w:rPr>
                <w:rFonts w:hint="default" w:ascii="Times New Roman" w:hAnsi="Times New Roman" w:eastAsia="宋体" w:cs="Times New Roman"/>
                <w:b/>
                <w:bCs/>
                <w:color w:val="auto"/>
                <w:sz w:val="24"/>
                <w:szCs w:val="24"/>
                <w:highlight w:val="none"/>
                <w:lang w:val="zh-TW" w:eastAsia="zh-CN"/>
              </w:rPr>
              <w:t>本项目与</w:t>
            </w:r>
            <w:r>
              <w:rPr>
                <w:rFonts w:hint="eastAsia" w:ascii="Times New Roman" w:hAnsi="Times New Roman" w:cs="Times New Roman"/>
                <w:b/>
                <w:bCs/>
                <w:color w:val="auto"/>
                <w:sz w:val="24"/>
                <w:szCs w:val="24"/>
                <w:highlight w:val="none"/>
                <w:lang w:val="zh-TW" w:eastAsia="zh-CN"/>
              </w:rPr>
              <w:t>《云南省大气污染防治条例》</w:t>
            </w:r>
            <w:r>
              <w:rPr>
                <w:rFonts w:hint="default" w:ascii="Times New Roman" w:hAnsi="Times New Roman" w:eastAsia="宋体" w:cs="Times New Roman"/>
                <w:b/>
                <w:bCs/>
                <w:color w:val="auto"/>
                <w:sz w:val="24"/>
                <w:szCs w:val="24"/>
                <w:highlight w:val="none"/>
                <w:lang w:val="zh-TW" w:eastAsia="zh-CN"/>
              </w:rPr>
              <w:t>的符合性分析</w:t>
            </w:r>
          </w:p>
          <w:tbl>
            <w:tblPr>
              <w:tblStyle w:val="3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3"/>
              <w:gridCol w:w="2315"/>
              <w:gridCol w:w="729"/>
            </w:tblGrid>
            <w:tr w14:paraId="4AF7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1" w:type="dxa"/>
                  <w:shd w:val="clear" w:color="auto" w:fill="D7D7D7" w:themeFill="background1" w:themeFillShade="D8"/>
                  <w:noWrap w:val="0"/>
                  <w:vAlign w:val="center"/>
                </w:tcPr>
                <w:p w14:paraId="666D10BA">
                  <w:pPr>
                    <w:jc w:val="center"/>
                    <w:rPr>
                      <w:rFonts w:ascii="Times New Roman" w:hAnsi="Times New Roman"/>
                      <w:b w:val="0"/>
                      <w:bCs w:val="0"/>
                      <w:color w:val="auto"/>
                      <w:szCs w:val="21"/>
                      <w:highlight w:val="none"/>
                    </w:rPr>
                  </w:pPr>
                  <w:r>
                    <w:rPr>
                      <w:rFonts w:ascii="Times New Roman" w:hAnsi="Times New Roman"/>
                      <w:b w:val="0"/>
                      <w:bCs w:val="0"/>
                      <w:color w:val="auto"/>
                      <w:szCs w:val="21"/>
                      <w:highlight w:val="none"/>
                    </w:rPr>
                    <w:t>相关规定</w:t>
                  </w:r>
                </w:p>
              </w:tc>
              <w:tc>
                <w:tcPr>
                  <w:tcW w:w="2168" w:type="dxa"/>
                  <w:shd w:val="clear" w:color="auto" w:fill="D7D7D7" w:themeFill="background1" w:themeFillShade="D8"/>
                  <w:noWrap w:val="0"/>
                  <w:vAlign w:val="center"/>
                </w:tcPr>
                <w:p w14:paraId="7AA7D16E">
                  <w:pPr>
                    <w:jc w:val="center"/>
                    <w:rPr>
                      <w:rFonts w:ascii="Times New Roman" w:hAnsi="Times New Roman"/>
                      <w:b w:val="0"/>
                      <w:bCs w:val="0"/>
                      <w:color w:val="auto"/>
                      <w:szCs w:val="21"/>
                      <w:highlight w:val="none"/>
                    </w:rPr>
                  </w:pPr>
                  <w:r>
                    <w:rPr>
                      <w:rFonts w:ascii="Times New Roman" w:hAnsi="Times New Roman"/>
                      <w:b w:val="0"/>
                      <w:bCs w:val="0"/>
                      <w:color w:val="auto"/>
                      <w:szCs w:val="21"/>
                      <w:highlight w:val="none"/>
                    </w:rPr>
                    <w:t>本项目实际情况</w:t>
                  </w:r>
                </w:p>
              </w:tc>
              <w:tc>
                <w:tcPr>
                  <w:tcW w:w="682" w:type="dxa"/>
                  <w:shd w:val="clear" w:color="auto" w:fill="D7D7D7" w:themeFill="background1" w:themeFillShade="D8"/>
                  <w:noWrap w:val="0"/>
                  <w:vAlign w:val="center"/>
                </w:tcPr>
                <w:p w14:paraId="750B5E1F">
                  <w:pPr>
                    <w:jc w:val="center"/>
                    <w:rPr>
                      <w:rFonts w:ascii="Times New Roman" w:hAnsi="Times New Roman"/>
                      <w:b w:val="0"/>
                      <w:bCs w:val="0"/>
                      <w:color w:val="auto"/>
                      <w:szCs w:val="21"/>
                      <w:highlight w:val="none"/>
                    </w:rPr>
                  </w:pPr>
                  <w:r>
                    <w:rPr>
                      <w:rFonts w:ascii="Times New Roman" w:hAnsi="Times New Roman"/>
                      <w:b w:val="0"/>
                      <w:bCs w:val="0"/>
                      <w:color w:val="auto"/>
                      <w:szCs w:val="21"/>
                      <w:highlight w:val="none"/>
                    </w:rPr>
                    <w:t>相符性</w:t>
                  </w:r>
                </w:p>
              </w:tc>
            </w:tr>
            <w:tr w14:paraId="7F69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1" w:type="dxa"/>
                  <w:noWrap w:val="0"/>
                  <w:vAlign w:val="center"/>
                </w:tcPr>
                <w:p w14:paraId="5384E44E">
                  <w:pPr>
                    <w:rPr>
                      <w:rFonts w:hint="eastAsia" w:ascii="Times New Roman" w:hAnsi="Times New Roman"/>
                      <w:color w:val="auto"/>
                      <w:szCs w:val="21"/>
                      <w:highlight w:val="none"/>
                    </w:rPr>
                  </w:pPr>
                  <w:r>
                    <w:rPr>
                      <w:rFonts w:ascii="Times New Roman" w:hAnsi="Times New Roman" w:eastAsia="宋体" w:cs="Arial"/>
                      <w:i w:val="0"/>
                      <w:iCs w:val="0"/>
                      <w:caps w:val="0"/>
                      <w:color w:val="auto"/>
                      <w:spacing w:val="0"/>
                      <w:sz w:val="21"/>
                      <w:szCs w:val="21"/>
                      <w:highlight w:val="none"/>
                      <w:shd w:val="clear" w:color="auto" w:fill="FFFFFF"/>
                    </w:rPr>
                    <w:t>第九条</w:t>
                  </w:r>
                  <w:r>
                    <w:rPr>
                      <w:rFonts w:hint="default" w:ascii="Times New Roman" w:hAnsi="Times New Roman" w:eastAsia="宋体" w:cs="Arial"/>
                      <w:i w:val="0"/>
                      <w:iCs w:val="0"/>
                      <w:caps w:val="0"/>
                      <w:color w:val="auto"/>
                      <w:spacing w:val="0"/>
                      <w:sz w:val="21"/>
                      <w:szCs w:val="21"/>
                      <w:highlight w:val="none"/>
                      <w:shd w:val="clear" w:color="auto" w:fill="FFFFFF"/>
                    </w:rPr>
                    <w:t> </w:t>
                  </w:r>
                  <w:r>
                    <w:rPr>
                      <w:rFonts w:hint="eastAsia" w:ascii="Times New Roman" w:hAnsi="Times New Roman"/>
                      <w:color w:val="auto"/>
                      <w:szCs w:val="21"/>
                      <w:highlight w:val="none"/>
                    </w:rPr>
                    <w:t>按照国家有关规定依法实行排污许可管理的单位，应当取得排污许可证，并按照排污许可证的规定排放大气污染物，禁止无排污许可证或者不按照排污许可证的规定排放大气污染物。</w:t>
                  </w:r>
                </w:p>
              </w:tc>
              <w:tc>
                <w:tcPr>
                  <w:tcW w:w="2168" w:type="dxa"/>
                  <w:noWrap w:val="0"/>
                  <w:vAlign w:val="center"/>
                </w:tcPr>
                <w:p w14:paraId="0240A94F">
                  <w:pPr>
                    <w:rPr>
                      <w:rFonts w:ascii="Times New Roman" w:hAnsi="Times New Roman"/>
                      <w:color w:val="auto"/>
                      <w:szCs w:val="21"/>
                      <w:highlight w:val="none"/>
                    </w:rPr>
                  </w:pPr>
                  <w:r>
                    <w:rPr>
                      <w:rFonts w:hint="eastAsia" w:ascii="Times New Roman" w:hAnsi="Times New Roman"/>
                      <w:color w:val="auto"/>
                      <w:szCs w:val="21"/>
                      <w:highlight w:val="none"/>
                    </w:rPr>
                    <w:t>本项目</w:t>
                  </w:r>
                  <w:r>
                    <w:rPr>
                      <w:rFonts w:hint="eastAsia" w:ascii="Times New Roman" w:hAnsi="Times New Roman"/>
                      <w:color w:val="auto"/>
                      <w:szCs w:val="21"/>
                      <w:highlight w:val="none"/>
                      <w:lang w:val="en-US" w:eastAsia="zh-CN"/>
                    </w:rPr>
                    <w:t>建成后根据</w:t>
                  </w:r>
                  <w:r>
                    <w:rPr>
                      <w:rFonts w:hint="eastAsia" w:ascii="Times New Roman" w:hAnsi="Times New Roman"/>
                      <w:color w:val="auto"/>
                      <w:szCs w:val="21"/>
                      <w:highlight w:val="none"/>
                    </w:rPr>
                    <w:t>相关要求办理排污许可证。</w:t>
                  </w:r>
                </w:p>
              </w:tc>
              <w:tc>
                <w:tcPr>
                  <w:tcW w:w="682" w:type="dxa"/>
                  <w:noWrap w:val="0"/>
                  <w:vAlign w:val="center"/>
                </w:tcPr>
                <w:p w14:paraId="67DB4204">
                  <w:pPr>
                    <w:jc w:val="center"/>
                    <w:rPr>
                      <w:rFonts w:hint="eastAsia" w:ascii="Times New Roman" w:hAnsi="Times New Roman"/>
                      <w:color w:val="auto"/>
                      <w:szCs w:val="21"/>
                      <w:highlight w:val="none"/>
                    </w:rPr>
                  </w:pPr>
                  <w:r>
                    <w:rPr>
                      <w:rFonts w:hint="eastAsia" w:ascii="Times New Roman" w:hAnsi="Times New Roman"/>
                      <w:color w:val="auto"/>
                      <w:szCs w:val="21"/>
                      <w:highlight w:val="none"/>
                    </w:rPr>
                    <w:t>符合</w:t>
                  </w:r>
                </w:p>
              </w:tc>
            </w:tr>
            <w:tr w14:paraId="336A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1" w:type="dxa"/>
                  <w:noWrap w:val="0"/>
                  <w:vAlign w:val="center"/>
                </w:tcPr>
                <w:p w14:paraId="488E18A5">
                  <w:pPr>
                    <w:rPr>
                      <w:rFonts w:hint="eastAsia" w:ascii="Times New Roman" w:hAnsi="Times New Roman"/>
                      <w:color w:val="auto"/>
                      <w:szCs w:val="21"/>
                      <w:highlight w:val="none"/>
                    </w:rPr>
                  </w:pPr>
                  <w:r>
                    <w:rPr>
                      <w:rFonts w:hint="eastAsia" w:ascii="Times New Roman" w:hAnsi="Times New Roman"/>
                      <w:color w:val="auto"/>
                      <w:szCs w:val="21"/>
                      <w:highlight w:val="none"/>
                    </w:rPr>
                    <w:t>第十四条 向大气排放污染物的企业事业单位和其他生产经营者应当按照有关规定设置大气污染物排放口。</w:t>
                  </w:r>
                </w:p>
                <w:p w14:paraId="549FFCEE">
                  <w:pPr>
                    <w:rPr>
                      <w:rFonts w:ascii="Times New Roman" w:hAnsi="Times New Roman"/>
                      <w:color w:val="auto"/>
                      <w:szCs w:val="21"/>
                      <w:highlight w:val="none"/>
                    </w:rPr>
                  </w:pPr>
                  <w:r>
                    <w:rPr>
                      <w:rFonts w:hint="eastAsia" w:ascii="Times New Roman" w:hAnsi="Times New Roman"/>
                      <w:color w:val="auto"/>
                      <w:szCs w:val="21"/>
                      <w:highlight w:val="none"/>
                    </w:rPr>
                    <w:t>根据国家规定开展自行监测的排污单位应当对监测数据的真实性、准确性负责，自行监测的原始记录保存期限不得少于3年。</w:t>
                  </w:r>
                </w:p>
              </w:tc>
              <w:tc>
                <w:tcPr>
                  <w:tcW w:w="2168" w:type="dxa"/>
                  <w:noWrap w:val="0"/>
                  <w:vAlign w:val="center"/>
                </w:tcPr>
                <w:p w14:paraId="6CA449EE">
                  <w:pPr>
                    <w:widowControl/>
                    <w:rPr>
                      <w:rFonts w:hint="default" w:ascii="Times New Roman" w:hAnsi="Times New Roman" w:eastAsia="宋体"/>
                      <w:color w:val="auto"/>
                      <w:szCs w:val="21"/>
                      <w:highlight w:val="none"/>
                      <w:lang w:val="en-US" w:eastAsia="zh-CN"/>
                    </w:rPr>
                  </w:pPr>
                  <w:r>
                    <w:rPr>
                      <w:rFonts w:hint="eastAsia" w:ascii="Times New Roman" w:hAnsi="Times New Roman" w:eastAsia="宋体" w:cs="Arial"/>
                      <w:i w:val="0"/>
                      <w:iCs w:val="0"/>
                      <w:caps w:val="0"/>
                      <w:color w:val="auto"/>
                      <w:spacing w:val="0"/>
                      <w:sz w:val="21"/>
                      <w:szCs w:val="21"/>
                      <w:highlight w:val="none"/>
                      <w:shd w:val="clear" w:color="auto" w:fill="FFFFFF"/>
                      <w:lang w:val="en-US" w:eastAsia="zh-CN"/>
                    </w:rPr>
                    <w:t>本项目按</w:t>
                  </w:r>
                  <w:r>
                    <w:rPr>
                      <w:rFonts w:hint="eastAsia" w:ascii="Times New Roman" w:hAnsi="Times New Roman"/>
                      <w:color w:val="auto"/>
                      <w:szCs w:val="21"/>
                      <w:highlight w:val="none"/>
                    </w:rPr>
                    <w:t>《排污单位自行监测技术指南 总则》</w:t>
                  </w:r>
                  <w:r>
                    <w:rPr>
                      <w:rFonts w:hint="eastAsia" w:ascii="Times New Roman" w:hAnsi="Times New Roman" w:eastAsia="宋体" w:cs="Arial"/>
                      <w:i w:val="0"/>
                      <w:iCs w:val="0"/>
                      <w:caps w:val="0"/>
                      <w:color w:val="auto"/>
                      <w:spacing w:val="0"/>
                      <w:sz w:val="21"/>
                      <w:szCs w:val="21"/>
                      <w:highlight w:val="none"/>
                      <w:shd w:val="clear" w:color="auto" w:fill="FFFFFF"/>
                      <w:lang w:val="en-US" w:eastAsia="zh-CN"/>
                    </w:rPr>
                    <w:t>要求</w:t>
                  </w:r>
                  <w:r>
                    <w:rPr>
                      <w:rFonts w:ascii="Times New Roman" w:hAnsi="Times New Roman" w:eastAsia="宋体" w:cs="Arial"/>
                      <w:i w:val="0"/>
                      <w:iCs w:val="0"/>
                      <w:caps w:val="0"/>
                      <w:color w:val="auto"/>
                      <w:spacing w:val="0"/>
                      <w:sz w:val="21"/>
                      <w:szCs w:val="21"/>
                      <w:highlight w:val="none"/>
                      <w:shd w:val="clear" w:color="auto" w:fill="FFFFFF"/>
                    </w:rPr>
                    <w:t>设置大气污染物排放口</w:t>
                  </w:r>
                  <w:r>
                    <w:rPr>
                      <w:rFonts w:hint="eastAsia" w:ascii="Times New Roman" w:hAnsi="Times New Roman" w:eastAsia="宋体" w:cs="Arial"/>
                      <w:i w:val="0"/>
                      <w:iCs w:val="0"/>
                      <w:caps w:val="0"/>
                      <w:color w:val="auto"/>
                      <w:spacing w:val="0"/>
                      <w:sz w:val="21"/>
                      <w:szCs w:val="21"/>
                      <w:highlight w:val="none"/>
                      <w:shd w:val="clear" w:color="auto" w:fill="FFFFFF"/>
                      <w:lang w:eastAsia="zh-CN"/>
                    </w:rPr>
                    <w:t>，</w:t>
                  </w:r>
                  <w:r>
                    <w:rPr>
                      <w:rFonts w:hint="eastAsia" w:ascii="Times New Roman" w:hAnsi="Times New Roman" w:eastAsia="宋体" w:cs="Arial"/>
                      <w:i w:val="0"/>
                      <w:iCs w:val="0"/>
                      <w:caps w:val="0"/>
                      <w:color w:val="auto"/>
                      <w:spacing w:val="0"/>
                      <w:sz w:val="21"/>
                      <w:szCs w:val="21"/>
                      <w:highlight w:val="none"/>
                      <w:shd w:val="clear" w:color="auto" w:fill="FFFFFF"/>
                      <w:lang w:val="en-US" w:eastAsia="zh-CN"/>
                    </w:rPr>
                    <w:t>并根据监测要求进行监测，监测的原始记录保存期限不少于</w:t>
                  </w:r>
                  <w:r>
                    <w:rPr>
                      <w:rFonts w:hint="default" w:ascii="Times New Roman" w:hAnsi="Times New Roman" w:eastAsia="宋体" w:cs="Times New Roman"/>
                      <w:i w:val="0"/>
                      <w:iCs w:val="0"/>
                      <w:caps w:val="0"/>
                      <w:color w:val="auto"/>
                      <w:spacing w:val="0"/>
                      <w:sz w:val="21"/>
                      <w:szCs w:val="21"/>
                      <w:highlight w:val="none"/>
                      <w:shd w:val="clear" w:color="auto" w:fill="FFFFFF"/>
                      <w:lang w:val="en-US" w:eastAsia="zh-CN"/>
                    </w:rPr>
                    <w:t>3</w:t>
                  </w:r>
                  <w:r>
                    <w:rPr>
                      <w:rFonts w:hint="eastAsia" w:ascii="Times New Roman" w:hAnsi="Times New Roman" w:eastAsia="宋体" w:cs="Arial"/>
                      <w:i w:val="0"/>
                      <w:iCs w:val="0"/>
                      <w:caps w:val="0"/>
                      <w:color w:val="auto"/>
                      <w:spacing w:val="0"/>
                      <w:sz w:val="21"/>
                      <w:szCs w:val="21"/>
                      <w:highlight w:val="none"/>
                      <w:shd w:val="clear" w:color="auto" w:fill="FFFFFF"/>
                      <w:lang w:val="en-US" w:eastAsia="zh-CN"/>
                    </w:rPr>
                    <w:t>年。</w:t>
                  </w:r>
                </w:p>
              </w:tc>
              <w:tc>
                <w:tcPr>
                  <w:tcW w:w="682" w:type="dxa"/>
                  <w:noWrap w:val="0"/>
                  <w:vAlign w:val="center"/>
                </w:tcPr>
                <w:p w14:paraId="6B1CE1C7">
                  <w:pPr>
                    <w:jc w:val="center"/>
                    <w:rPr>
                      <w:rFonts w:hint="eastAsia" w:ascii="Times New Roman" w:hAnsi="Times New Roman"/>
                      <w:color w:val="auto"/>
                      <w:szCs w:val="21"/>
                      <w:highlight w:val="none"/>
                    </w:rPr>
                  </w:pPr>
                  <w:r>
                    <w:rPr>
                      <w:rFonts w:ascii="Times New Roman" w:hAnsi="Times New Roman"/>
                      <w:color w:val="auto"/>
                      <w:szCs w:val="21"/>
                      <w:highlight w:val="none"/>
                    </w:rPr>
                    <w:t>符合</w:t>
                  </w:r>
                </w:p>
              </w:tc>
            </w:tr>
            <w:tr w14:paraId="1C32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1" w:type="dxa"/>
                  <w:noWrap w:val="0"/>
                  <w:vAlign w:val="center"/>
                </w:tcPr>
                <w:p w14:paraId="62A73E72">
                  <w:pPr>
                    <w:rPr>
                      <w:rFonts w:ascii="Times New Roman" w:hAnsi="Times New Roman"/>
                      <w:color w:val="auto"/>
                      <w:szCs w:val="21"/>
                      <w:highlight w:val="none"/>
                    </w:rPr>
                  </w:pPr>
                  <w:r>
                    <w:rPr>
                      <w:rFonts w:hint="eastAsia" w:ascii="Times New Roman" w:hAnsi="Times New Roman"/>
                      <w:color w:val="auto"/>
                      <w:szCs w:val="21"/>
                      <w:highlight w:val="none"/>
                    </w:rPr>
                    <w:t>第二十一条 钢铁、有色金属、建材、石油、炼焦、化工、铁合金、火电等工业企业以及燃煤锅炉使用单位应当按照规定配套建设、使用和维护除尘、脱硫、脱硝等装置。</w:t>
                  </w:r>
                </w:p>
              </w:tc>
              <w:tc>
                <w:tcPr>
                  <w:tcW w:w="2168" w:type="dxa"/>
                  <w:noWrap w:val="0"/>
                  <w:vAlign w:val="center"/>
                </w:tcPr>
                <w:p w14:paraId="3EDA79A2">
                  <w:pPr>
                    <w:rPr>
                      <w:rFonts w:hint="eastAsia" w:ascii="Times New Roman" w:hAnsi="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项目为</w:t>
                  </w:r>
                  <w:r>
                    <w:rPr>
                      <w:rFonts w:hint="eastAsia" w:ascii="Times New Roman" w:hAnsi="Times New Roman" w:eastAsia="宋体" w:cs="Times New Roman"/>
                      <w:color w:val="auto"/>
                      <w:sz w:val="21"/>
                      <w:szCs w:val="21"/>
                      <w:highlight w:val="none"/>
                      <w:lang w:val="en-US" w:eastAsia="zh-CN"/>
                    </w:rPr>
                    <w:t>铁矿石加工项目，破碎。筛分过程</w:t>
                  </w:r>
                  <w:r>
                    <w:rPr>
                      <w:rFonts w:hint="eastAsia" w:ascii="Times New Roman" w:hAnsi="Times New Roman" w:eastAsia="宋体" w:cs="Arial"/>
                      <w:i w:val="0"/>
                      <w:iCs w:val="0"/>
                      <w:caps w:val="0"/>
                      <w:color w:val="auto"/>
                      <w:spacing w:val="0"/>
                      <w:sz w:val="21"/>
                      <w:szCs w:val="21"/>
                      <w:highlight w:val="none"/>
                      <w:shd w:val="clear" w:color="auto" w:fill="FFFFFF"/>
                      <w:lang w:val="en-US" w:eastAsia="zh-CN"/>
                    </w:rPr>
                    <w:t>产生的</w:t>
                  </w:r>
                  <w:r>
                    <w:rPr>
                      <w:rFonts w:ascii="Times New Roman" w:hAnsi="Times New Roman" w:eastAsia="宋体" w:cs="Arial"/>
                      <w:i w:val="0"/>
                      <w:iCs w:val="0"/>
                      <w:caps w:val="0"/>
                      <w:color w:val="auto"/>
                      <w:spacing w:val="0"/>
                      <w:sz w:val="21"/>
                      <w:szCs w:val="21"/>
                      <w:highlight w:val="none"/>
                      <w:shd w:val="clear" w:color="auto" w:fill="FFFFFF"/>
                    </w:rPr>
                    <w:t>粉尘</w:t>
                  </w:r>
                  <w:r>
                    <w:rPr>
                      <w:rFonts w:hint="eastAsia" w:ascii="Times New Roman" w:hAnsi="Times New Roman" w:eastAsia="宋体" w:cs="Arial"/>
                      <w:i w:val="0"/>
                      <w:iCs w:val="0"/>
                      <w:caps w:val="0"/>
                      <w:color w:val="auto"/>
                      <w:spacing w:val="0"/>
                      <w:sz w:val="21"/>
                      <w:szCs w:val="21"/>
                      <w:highlight w:val="none"/>
                      <w:shd w:val="clear" w:color="auto" w:fill="FFFFFF"/>
                      <w:lang w:val="en-US" w:eastAsia="zh-CN"/>
                    </w:rPr>
                    <w:t>采取“集气罩+布袋除尘器”措施处理，处理后分别通过1根</w:t>
                  </w:r>
                  <w:r>
                    <w:rPr>
                      <w:rFonts w:hint="default" w:ascii="Times New Roman" w:hAnsi="Times New Roman" w:eastAsia="宋体" w:cs="Times New Roman"/>
                      <w:i w:val="0"/>
                      <w:iCs w:val="0"/>
                      <w:caps w:val="0"/>
                      <w:color w:val="auto"/>
                      <w:spacing w:val="0"/>
                      <w:sz w:val="21"/>
                      <w:szCs w:val="21"/>
                      <w:highlight w:val="none"/>
                      <w:shd w:val="clear" w:color="auto" w:fill="FFFFFF"/>
                      <w:lang w:val="en-US" w:eastAsia="zh-CN"/>
                    </w:rPr>
                    <w:t>1</w:t>
                  </w:r>
                  <w:r>
                    <w:rPr>
                      <w:rFonts w:hint="eastAsia" w:cs="Times New Roman"/>
                      <w:i w:val="0"/>
                      <w:iCs w:val="0"/>
                      <w:caps w:val="0"/>
                      <w:color w:val="auto"/>
                      <w:spacing w:val="0"/>
                      <w:sz w:val="21"/>
                      <w:szCs w:val="21"/>
                      <w:highlight w:val="none"/>
                      <w:shd w:val="clear" w:color="auto" w:fill="FFFFFF"/>
                      <w:lang w:val="en-US" w:eastAsia="zh-CN"/>
                    </w:rPr>
                    <w:t>6</w:t>
                  </w:r>
                  <w:r>
                    <w:rPr>
                      <w:rFonts w:hint="default" w:ascii="Times New Roman" w:hAnsi="Times New Roman" w:eastAsia="宋体" w:cs="Times New Roman"/>
                      <w:i w:val="0"/>
                      <w:iCs w:val="0"/>
                      <w:caps w:val="0"/>
                      <w:color w:val="auto"/>
                      <w:spacing w:val="0"/>
                      <w:sz w:val="21"/>
                      <w:szCs w:val="21"/>
                      <w:highlight w:val="none"/>
                      <w:shd w:val="clear" w:color="auto" w:fill="FFFFFF"/>
                      <w:lang w:val="en-US" w:eastAsia="zh-CN"/>
                    </w:rPr>
                    <w:t>m</w:t>
                  </w:r>
                  <w:r>
                    <w:rPr>
                      <w:rFonts w:hint="eastAsia" w:ascii="Times New Roman" w:hAnsi="Times New Roman" w:eastAsia="宋体" w:cs="Arial"/>
                      <w:i w:val="0"/>
                      <w:iCs w:val="0"/>
                      <w:caps w:val="0"/>
                      <w:color w:val="auto"/>
                      <w:spacing w:val="0"/>
                      <w:sz w:val="21"/>
                      <w:szCs w:val="21"/>
                      <w:highlight w:val="none"/>
                      <w:shd w:val="clear" w:color="auto" w:fill="FFFFFF"/>
                      <w:lang w:val="en-US" w:eastAsia="zh-CN"/>
                    </w:rPr>
                    <w:t>高排气筒排放，逸散粉尘、扬尘、集气罩未收集粉尘通过喷雾降尘+厂房阻隔后无组织排放</w:t>
                  </w:r>
                  <w:r>
                    <w:rPr>
                      <w:rFonts w:ascii="Times New Roman" w:hAnsi="Times New Roman" w:eastAsia="宋体" w:cs="Arial"/>
                      <w:i w:val="0"/>
                      <w:iCs w:val="0"/>
                      <w:caps w:val="0"/>
                      <w:color w:val="auto"/>
                      <w:spacing w:val="0"/>
                      <w:sz w:val="21"/>
                      <w:szCs w:val="21"/>
                      <w:highlight w:val="none"/>
                      <w:shd w:val="clear" w:color="auto" w:fill="FFFFFF"/>
                    </w:rPr>
                    <w:t>。</w:t>
                  </w:r>
                </w:p>
              </w:tc>
              <w:tc>
                <w:tcPr>
                  <w:tcW w:w="682" w:type="dxa"/>
                  <w:noWrap w:val="0"/>
                  <w:vAlign w:val="center"/>
                </w:tcPr>
                <w:p w14:paraId="0FF264EB">
                  <w:pPr>
                    <w:jc w:val="center"/>
                    <w:rPr>
                      <w:rFonts w:ascii="Times New Roman" w:hAnsi="Times New Roman"/>
                      <w:color w:val="auto"/>
                      <w:szCs w:val="21"/>
                      <w:highlight w:val="none"/>
                    </w:rPr>
                  </w:pPr>
                  <w:r>
                    <w:rPr>
                      <w:rFonts w:ascii="Times New Roman" w:hAnsi="Times New Roman"/>
                      <w:color w:val="auto"/>
                      <w:szCs w:val="21"/>
                      <w:highlight w:val="none"/>
                    </w:rPr>
                    <w:t>符合</w:t>
                  </w:r>
                </w:p>
              </w:tc>
            </w:tr>
            <w:tr w14:paraId="1961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1" w:type="dxa"/>
                  <w:noWrap w:val="0"/>
                  <w:vAlign w:val="center"/>
                </w:tcPr>
                <w:p w14:paraId="0AA5115B">
                  <w:pPr>
                    <w:rPr>
                      <w:rFonts w:ascii="Times New Roman" w:hAnsi="Times New Roman"/>
                      <w:color w:val="auto"/>
                      <w:szCs w:val="21"/>
                      <w:highlight w:val="none"/>
                    </w:rPr>
                  </w:pPr>
                  <w:r>
                    <w:rPr>
                      <w:rFonts w:ascii="Times New Roman" w:hAnsi="Times New Roman" w:eastAsia="宋体" w:cs="Arial"/>
                      <w:i w:val="0"/>
                      <w:iCs w:val="0"/>
                      <w:caps w:val="0"/>
                      <w:color w:val="auto"/>
                      <w:spacing w:val="0"/>
                      <w:sz w:val="21"/>
                      <w:szCs w:val="21"/>
                      <w:highlight w:val="none"/>
                      <w:shd w:val="clear" w:color="auto" w:fill="FFFFFF"/>
                    </w:rPr>
                    <w:t>第三十二条 运输煤炭、垃圾、渣土、砂石、土方、灰浆等散装、流体物料的车辆应当采取密闭或者其他措施防止物料遗撒造成扬尘污染，并按照规定路线和时间行驶。</w:t>
                  </w:r>
                </w:p>
              </w:tc>
              <w:tc>
                <w:tcPr>
                  <w:tcW w:w="2168" w:type="dxa"/>
                  <w:noWrap w:val="0"/>
                  <w:vAlign w:val="center"/>
                </w:tcPr>
                <w:p w14:paraId="148FF232">
                  <w:pPr>
                    <w:rPr>
                      <w:rFonts w:ascii="Times New Roman" w:hAnsi="Times New Roman"/>
                      <w:color w:val="auto"/>
                      <w:szCs w:val="21"/>
                      <w:highlight w:val="none"/>
                    </w:rPr>
                  </w:pPr>
                  <w:r>
                    <w:rPr>
                      <w:rFonts w:hint="eastAsia" w:ascii="Times New Roman" w:hAnsi="Times New Roman"/>
                      <w:color w:val="auto"/>
                      <w:szCs w:val="21"/>
                      <w:highlight w:val="none"/>
                    </w:rPr>
                    <w:t>本项目运输车辆运输物料过程中进行遮盖密闭，并划定好运输路线，在物料装卸过程中进行喷雾降尘。</w:t>
                  </w:r>
                </w:p>
              </w:tc>
              <w:tc>
                <w:tcPr>
                  <w:tcW w:w="682" w:type="dxa"/>
                  <w:noWrap w:val="0"/>
                  <w:vAlign w:val="center"/>
                </w:tcPr>
                <w:p w14:paraId="4EC4B553">
                  <w:pPr>
                    <w:jc w:val="center"/>
                    <w:rPr>
                      <w:rFonts w:hint="eastAsia" w:ascii="Times New Roman" w:hAnsi="Times New Roman"/>
                      <w:color w:val="auto"/>
                      <w:szCs w:val="21"/>
                      <w:highlight w:val="none"/>
                    </w:rPr>
                  </w:pPr>
                  <w:r>
                    <w:rPr>
                      <w:rFonts w:ascii="Times New Roman" w:hAnsi="Times New Roman"/>
                      <w:color w:val="auto"/>
                      <w:szCs w:val="21"/>
                      <w:highlight w:val="none"/>
                    </w:rPr>
                    <w:t>符合</w:t>
                  </w:r>
                </w:p>
              </w:tc>
            </w:tr>
          </w:tbl>
          <w:p w14:paraId="1115B49E">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outlineLvl w:val="9"/>
              <w:rPr>
                <w:rFonts w:hint="eastAsia" w:ascii="Times New Roman" w:hAnsi="Times New Roman"/>
                <w:color w:val="auto"/>
                <w:sz w:val="28"/>
                <w:szCs w:val="28"/>
                <w:highlight w:val="none"/>
                <w:lang w:val="en-US" w:eastAsia="zh-CN"/>
              </w:rPr>
            </w:pPr>
            <w:r>
              <w:rPr>
                <w:rFonts w:hint="default" w:ascii="Times New Roman" w:hAnsi="Times New Roman" w:eastAsia="宋体" w:cs="Times New Roman"/>
                <w:color w:val="auto"/>
                <w:sz w:val="24"/>
                <w:szCs w:val="24"/>
                <w:highlight w:val="none"/>
              </w:rPr>
              <w:t>由上表可知，项目的建设符合《云南省大气污染防治条例》的相关要求</w:t>
            </w:r>
            <w:r>
              <w:rPr>
                <w:rFonts w:hint="eastAsia" w:ascii="Times New Roman" w:hAnsi="Times New Roman" w:eastAsia="宋体" w:cs="Times New Roman"/>
                <w:color w:val="auto"/>
                <w:sz w:val="24"/>
                <w:szCs w:val="24"/>
                <w:highlight w:val="none"/>
                <w:lang w:eastAsia="zh-CN"/>
              </w:rPr>
              <w:t>。</w:t>
            </w:r>
          </w:p>
          <w:p w14:paraId="05EAB427">
            <w:pPr>
              <w:pStyle w:val="71"/>
              <w:numPr>
                <w:ilvl w:val="0"/>
                <w:numId w:val="6"/>
              </w:numPr>
              <w:ind w:firstLine="0" w:firstLineChars="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lang w:val="en-US" w:eastAsia="zh-CN"/>
              </w:rPr>
              <w:t>中共云南省委、云南省人民政府《关于深入打好污染防治攻坚战的实施意见》符合性分析</w:t>
            </w:r>
          </w:p>
          <w:p w14:paraId="3112B61D">
            <w:pPr>
              <w:pStyle w:val="44"/>
              <w:widowControl w:val="0"/>
              <w:numPr>
                <w:ilvl w:val="0"/>
                <w:numId w:val="0"/>
              </w:numPr>
              <w:snapToGrid w:val="0"/>
              <w:spacing w:line="360" w:lineRule="auto"/>
              <w:jc w:val="left"/>
              <w:rPr>
                <w:rFonts w:hint="default"/>
                <w:color w:val="auto"/>
                <w:lang w:val="en-US" w:eastAsia="zh-CN"/>
              </w:rPr>
            </w:pPr>
          </w:p>
          <w:p w14:paraId="1A2EDD8F">
            <w:pPr>
              <w:pStyle w:val="44"/>
              <w:widowControl w:val="0"/>
              <w:numPr>
                <w:ilvl w:val="0"/>
                <w:numId w:val="0"/>
              </w:numPr>
              <w:snapToGrid w:val="0"/>
              <w:spacing w:line="360" w:lineRule="auto"/>
              <w:jc w:val="left"/>
              <w:rPr>
                <w:rFonts w:hint="default"/>
                <w:color w:val="auto"/>
                <w:lang w:val="en-US" w:eastAsia="zh-CN"/>
              </w:rPr>
            </w:pPr>
          </w:p>
          <w:p w14:paraId="3B232747">
            <w:pPr>
              <w:pStyle w:val="44"/>
              <w:widowControl w:val="0"/>
              <w:numPr>
                <w:ilvl w:val="0"/>
                <w:numId w:val="0"/>
              </w:numPr>
              <w:snapToGrid w:val="0"/>
              <w:spacing w:line="360" w:lineRule="auto"/>
              <w:jc w:val="left"/>
              <w:rPr>
                <w:rFonts w:hint="default"/>
                <w:color w:val="auto"/>
                <w:lang w:val="en-US" w:eastAsia="zh-CN"/>
              </w:rPr>
            </w:pPr>
          </w:p>
          <w:p w14:paraId="0C042F4B">
            <w:pPr>
              <w:pStyle w:val="44"/>
              <w:widowControl w:val="0"/>
              <w:numPr>
                <w:ilvl w:val="0"/>
                <w:numId w:val="0"/>
              </w:numPr>
              <w:snapToGrid w:val="0"/>
              <w:spacing w:line="360" w:lineRule="auto"/>
              <w:jc w:val="left"/>
              <w:rPr>
                <w:rFonts w:hint="default"/>
                <w:color w:val="auto"/>
                <w:lang w:val="en-US" w:eastAsia="zh-CN"/>
              </w:rPr>
            </w:pPr>
          </w:p>
          <w:p w14:paraId="160BE2AB">
            <w:pPr>
              <w:pStyle w:val="44"/>
              <w:widowControl w:val="0"/>
              <w:numPr>
                <w:ilvl w:val="0"/>
                <w:numId w:val="0"/>
              </w:numPr>
              <w:snapToGrid w:val="0"/>
              <w:spacing w:line="360" w:lineRule="auto"/>
              <w:jc w:val="left"/>
              <w:rPr>
                <w:rFonts w:hint="default"/>
                <w:color w:val="auto"/>
                <w:lang w:val="en-US" w:eastAsia="zh-CN"/>
              </w:rPr>
            </w:pPr>
          </w:p>
          <w:p w14:paraId="1CA083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ascii="Times New Roman" w:hAnsi="Times New Roman" w:eastAsia="宋体" w:cs="Times New Roman"/>
                <w:b/>
                <w:bCs/>
                <w:color w:val="auto"/>
                <w:sz w:val="24"/>
                <w:szCs w:val="24"/>
                <w:highlight w:val="none"/>
                <w:lang w:val="en-US" w:eastAsia="zh-CN"/>
              </w:rPr>
              <w:t>1-1</w:t>
            </w:r>
            <w:r>
              <w:rPr>
                <w:rFonts w:hint="eastAsia" w:cs="Times New Roman"/>
                <w:b/>
                <w:bCs/>
                <w:color w:val="auto"/>
                <w:sz w:val="24"/>
                <w:szCs w:val="24"/>
                <w:highlight w:val="none"/>
                <w:lang w:val="en-US" w:eastAsia="zh-CN"/>
              </w:rPr>
              <w:t>0</w:t>
            </w:r>
            <w:r>
              <w:rPr>
                <w:rFonts w:hint="eastAsia" w:ascii="Times New Roman" w:hAnsi="Times New Roman" w:eastAsia="宋体"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lang w:val="en-US" w:eastAsia="zh-CN"/>
              </w:rPr>
              <w:t>《关于深入打好污染防治攻坚战的实施意见》符合性分析</w:t>
            </w:r>
          </w:p>
          <w:tbl>
            <w:tblPr>
              <w:tblStyle w:val="35"/>
              <w:tblW w:w="4950" w:type="pct"/>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108" w:type="dxa"/>
                <w:bottom w:w="0" w:type="dxa"/>
                <w:right w:w="108" w:type="dxa"/>
              </w:tblCellMar>
            </w:tblPr>
            <w:tblGrid>
              <w:gridCol w:w="449"/>
              <w:gridCol w:w="391"/>
              <w:gridCol w:w="3950"/>
              <w:gridCol w:w="1457"/>
              <w:gridCol w:w="600"/>
            </w:tblGrid>
            <w:tr w14:paraId="4C281217">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0" w:hRule="atLeast"/>
                <w:jc w:val="center"/>
              </w:trPr>
              <w:tc>
                <w:tcPr>
                  <w:tcW w:w="328" w:type="pct"/>
                  <w:shd w:val="clear" w:color="auto" w:fill="D7D7D7" w:themeFill="background1" w:themeFillShade="D8"/>
                  <w:noWrap w:val="0"/>
                  <w:vAlign w:val="center"/>
                </w:tcPr>
                <w:p w14:paraId="592F3D30">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序号</w:t>
                  </w:r>
                </w:p>
              </w:tc>
              <w:tc>
                <w:tcPr>
                  <w:tcW w:w="3168" w:type="pct"/>
                  <w:gridSpan w:val="2"/>
                  <w:shd w:val="clear" w:color="auto" w:fill="D7D7D7" w:themeFill="background1" w:themeFillShade="D8"/>
                  <w:noWrap w:val="0"/>
                  <w:vAlign w:val="center"/>
                </w:tcPr>
                <w:p w14:paraId="1C692489">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相关要求</w:t>
                  </w:r>
                </w:p>
              </w:tc>
              <w:tc>
                <w:tcPr>
                  <w:tcW w:w="1063" w:type="pct"/>
                  <w:shd w:val="clear" w:color="auto" w:fill="D7D7D7" w:themeFill="background1" w:themeFillShade="D8"/>
                  <w:noWrap w:val="0"/>
                  <w:vAlign w:val="center"/>
                </w:tcPr>
                <w:p w14:paraId="1EAB9778">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项目情况</w:t>
                  </w:r>
                </w:p>
              </w:tc>
              <w:tc>
                <w:tcPr>
                  <w:tcW w:w="438" w:type="pct"/>
                  <w:shd w:val="clear" w:color="auto" w:fill="D7D7D7" w:themeFill="background1" w:themeFillShade="D8"/>
                  <w:noWrap w:val="0"/>
                  <w:vAlign w:val="center"/>
                </w:tcPr>
                <w:p w14:paraId="1BD5288E">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符合性</w:t>
                  </w:r>
                </w:p>
              </w:tc>
            </w:tr>
            <w:tr w14:paraId="49EFAEA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0" w:hRule="atLeast"/>
                <w:jc w:val="center"/>
              </w:trPr>
              <w:tc>
                <w:tcPr>
                  <w:tcW w:w="328" w:type="pct"/>
                  <w:noWrap w:val="0"/>
                  <w:vAlign w:val="center"/>
                </w:tcPr>
                <w:p w14:paraId="2900DE1A">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三</w:t>
                  </w:r>
                </w:p>
              </w:tc>
              <w:tc>
                <w:tcPr>
                  <w:tcW w:w="285" w:type="pct"/>
                  <w:noWrap w:val="0"/>
                  <w:vAlign w:val="center"/>
                </w:tcPr>
                <w:p w14:paraId="0B9C11F7">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深入打好蓝天保卫战</w:t>
                  </w:r>
                </w:p>
              </w:tc>
              <w:tc>
                <w:tcPr>
                  <w:tcW w:w="2883" w:type="pct"/>
                  <w:noWrap w:val="0"/>
                  <w:vAlign w:val="center"/>
                </w:tcPr>
                <w:p w14:paraId="57FBF4F5">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一）持续打好柴油货车污染治理攻坚战。深入开展清洁柴油车（机）行动，基本淘汰国三及以下排放标准汽车。加大清洁能源汽车推广力度，推动氢燃料电池汽车示范应用。以大宗货物运输“公转铁”、“公转水”为重点推进运输结构调整。</w:t>
                  </w:r>
                </w:p>
                <w:p w14:paraId="16DF2772">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二）深入打好建筑施工工地扬尘污染治理攻坚战。全面推行绿色施工，落实施工工地“六个百分之百”工作要求，推动扬尘精细化管控。加强建筑渣土运输管理，严格落实密闭运输措施。强化施工、道路、堆场、裸露地面等扬尘管控。</w:t>
                  </w:r>
                </w:p>
                <w:p w14:paraId="02340046">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三</w:t>
                  </w:r>
                  <w:r>
                    <w:rPr>
                      <w:rFonts w:hint="default" w:ascii="Times New Roman" w:hAnsi="Times New Roman" w:eastAsia="宋体" w:cs="Times New Roman"/>
                      <w:b w:val="0"/>
                      <w:bCs w:val="0"/>
                      <w:color w:val="auto"/>
                      <w:sz w:val="21"/>
                      <w:szCs w:val="21"/>
                      <w:highlight w:val="none"/>
                      <w:lang w:eastAsia="zh-CN"/>
                    </w:rPr>
                    <w:t>）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1063" w:type="pct"/>
                  <w:noWrap w:val="0"/>
                  <w:vAlign w:val="center"/>
                </w:tcPr>
                <w:p w14:paraId="41C5648F">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eastAsia="zh-CN"/>
                    </w:rPr>
                    <w:t>外部运输及内部运输均采用清洁柴油车或清洁能源汽车，淘汰国三及以下排放标准汽车</w:t>
                  </w:r>
                  <w:r>
                    <w:rPr>
                      <w:rFonts w:hint="default" w:ascii="Times New Roman" w:hAnsi="Times New Roman" w:eastAsia="宋体" w:cs="Times New Roman"/>
                      <w:b w:val="0"/>
                      <w:bCs w:val="0"/>
                      <w:color w:val="auto"/>
                      <w:sz w:val="21"/>
                      <w:szCs w:val="21"/>
                      <w:highlight w:val="none"/>
                    </w:rPr>
                    <w:t>。</w:t>
                  </w:r>
                </w:p>
                <w:p w14:paraId="4EE00FD9">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eastAsia="zh-CN"/>
                    </w:rPr>
                    <w:t>施工期严格落实环评提出的各项措施，符合环保要求，施工扬尘得到有效管控。</w:t>
                  </w:r>
                </w:p>
                <w:p w14:paraId="0500FB40">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3、运营期</w:t>
                  </w:r>
                  <w:r>
                    <w:rPr>
                      <w:rFonts w:hint="default" w:ascii="Times New Roman" w:hAnsi="Times New Roman" w:eastAsia="宋体" w:cs="Times New Roman"/>
                      <w:b w:val="0"/>
                      <w:bCs w:val="0"/>
                      <w:color w:val="auto"/>
                      <w:sz w:val="21"/>
                      <w:szCs w:val="21"/>
                      <w:highlight w:val="none"/>
                      <w:lang w:eastAsia="zh-CN"/>
                    </w:rPr>
                    <w:t>严格落实废气治理措施及噪声防治措施后，</w:t>
                  </w:r>
                  <w:r>
                    <w:rPr>
                      <w:rFonts w:hint="default" w:ascii="Times New Roman" w:hAnsi="Times New Roman" w:eastAsia="宋体" w:cs="Times New Roman"/>
                      <w:b w:val="0"/>
                      <w:bCs w:val="0"/>
                      <w:color w:val="auto"/>
                      <w:sz w:val="21"/>
                      <w:szCs w:val="21"/>
                      <w:highlight w:val="none"/>
                    </w:rPr>
                    <w:t>不会改变区域环境功能</w:t>
                  </w:r>
                  <w:r>
                    <w:rPr>
                      <w:rFonts w:hint="default" w:ascii="Times New Roman" w:hAnsi="Times New Roman" w:eastAsia="宋体" w:cs="Times New Roman"/>
                      <w:b w:val="0"/>
                      <w:bCs w:val="0"/>
                      <w:color w:val="auto"/>
                      <w:sz w:val="21"/>
                      <w:szCs w:val="21"/>
                      <w:highlight w:val="none"/>
                      <w:lang w:eastAsia="zh-CN"/>
                    </w:rPr>
                    <w:t>。</w:t>
                  </w:r>
                </w:p>
              </w:tc>
              <w:tc>
                <w:tcPr>
                  <w:tcW w:w="438" w:type="pct"/>
                  <w:noWrap w:val="0"/>
                  <w:vAlign w:val="center"/>
                </w:tcPr>
                <w:p w14:paraId="3B4FBFF5">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0AEF55A2">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0" w:hRule="atLeast"/>
                <w:jc w:val="center"/>
              </w:trPr>
              <w:tc>
                <w:tcPr>
                  <w:tcW w:w="328" w:type="pct"/>
                  <w:noWrap w:val="0"/>
                  <w:vAlign w:val="center"/>
                </w:tcPr>
                <w:p w14:paraId="45D430CA">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四</w:t>
                  </w:r>
                </w:p>
              </w:tc>
              <w:tc>
                <w:tcPr>
                  <w:tcW w:w="285" w:type="pct"/>
                  <w:noWrap w:val="0"/>
                  <w:vAlign w:val="center"/>
                </w:tcPr>
                <w:p w14:paraId="0E7E30D9">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深入打好碧水保卫战</w:t>
                  </w:r>
                </w:p>
              </w:tc>
              <w:tc>
                <w:tcPr>
                  <w:tcW w:w="2883" w:type="pct"/>
                  <w:noWrap w:val="0"/>
                  <w:vAlign w:val="center"/>
                </w:tcPr>
                <w:p w14:paraId="298F1CF8">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一）深入打好“湖泊革命”攻坚战。以革命性措施抓好九大高原湖泊保护治理，坚持“退、减、调、治、管”多措并举。强化流域空间管控和生态减负，引导人口和产业有序退出。转变农业生产方式，严控农业面源污染。系统推进流域环湖截污治污，加强湖泊内源污染风险防范。</w:t>
                  </w:r>
                </w:p>
                <w:p w14:paraId="0459FEC9">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二）深入打好长江流域（云南段）保护修复攻坚战。严控长江岸线开发利用，强化自然岸线保护，推进岸线生态修复，巩固小水电清理整改成果。实施好长江流域重点水域十年禁渔。持续开展工业园区污染治理、“三磷”行业整治等专项行动。</w:t>
                  </w:r>
                </w:p>
                <w:p w14:paraId="328F55D7">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（三）深入打好珠江流域（云南段）保护治理攻坚战。强化南盘江总磷超标治理，持续推进重金属行业企业排查整治。加强南盘江干流及重要支流水生态环境综合治理。</w:t>
                  </w:r>
                </w:p>
                <w:p w14:paraId="495D25EE">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（四）深入打好赤水河流域（云南段）保护治理攻坚战。严格落实流域产业准入和空间管控。实施生态修复工程，加强珍稀特有鱼类保护和生物多样性监测。加快推进沿河集镇污水处理设施及其配套管网建设。</w:t>
                  </w:r>
                </w:p>
                <w:p w14:paraId="403706D6">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五）深入打好重度污染水体脱劣攻坚战。以重度污染水体为重点，开展污水处理提质增效、农业面源污染治理、入河排污口整治、开发区污染治理等专项行动。建立水环境质量管理长效机制，持续巩固治理成效。</w:t>
                  </w:r>
                </w:p>
                <w:p w14:paraId="38D8CAFB">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六）持续打好城市黑臭水体治理攻坚战。有效控制入河污染物排放，强化溯源整治，推进城镇污水管网全覆盖。因地制宜开展水体内源污染治理和生态修复。巩固城市黑臭水体整治成效，建立“长治久清”长效机制。</w:t>
                  </w:r>
                </w:p>
                <w:p w14:paraId="0B3938B0">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七）巩固提升饮用水安全保障水平。巩固地级集中式饮用水水源保护治理成果，开展县级集中式饮用水水源不达标整治，基本完成乡镇级水源保护区划定、立标并开展环境问题排查整治，加强农村水源保护，推动跨界水源联保共治。</w:t>
                  </w:r>
                </w:p>
                <w:p w14:paraId="6E39BD85">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（八）强化陆域水域污染协同治理。持续开展入河排污口“查、测、溯、治”，推进重点流域综合治理和生态修复。建成一批具有全省示范价值的美丽河湖。</w:t>
                  </w:r>
                </w:p>
              </w:tc>
              <w:tc>
                <w:tcPr>
                  <w:tcW w:w="1063" w:type="pct"/>
                  <w:noWrap w:val="0"/>
                  <w:vAlign w:val="center"/>
                </w:tcPr>
                <w:p w14:paraId="2C57B02B">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kern w:val="0"/>
                      <w:sz w:val="21"/>
                      <w:szCs w:val="21"/>
                      <w:highlight w:val="none"/>
                      <w:lang w:val="en-US" w:eastAsia="zh-CN"/>
                    </w:rPr>
                    <w:t>生活污水经</w:t>
                  </w:r>
                  <w:r>
                    <w:rPr>
                      <w:rFonts w:hint="eastAsia" w:ascii="Times New Roman" w:hAnsi="Times New Roman" w:eastAsia="宋体" w:cs="Times New Roman"/>
                      <w:color w:val="auto"/>
                      <w:kern w:val="0"/>
                      <w:sz w:val="21"/>
                      <w:szCs w:val="21"/>
                      <w:highlight w:val="none"/>
                      <w:lang w:val="en-US" w:eastAsia="zh-CN"/>
                    </w:rPr>
                    <w:t>隔油池、</w:t>
                  </w:r>
                  <w:r>
                    <w:rPr>
                      <w:rFonts w:hint="default" w:ascii="Times New Roman" w:hAnsi="Times New Roman" w:eastAsia="宋体" w:cs="Times New Roman"/>
                      <w:color w:val="auto"/>
                      <w:kern w:val="0"/>
                      <w:sz w:val="21"/>
                      <w:szCs w:val="21"/>
                      <w:highlight w:val="none"/>
                      <w:lang w:val="en-US" w:eastAsia="zh-CN"/>
                    </w:rPr>
                    <w:t>化粪池</w:t>
                  </w:r>
                  <w:r>
                    <w:rPr>
                      <w:rFonts w:hint="eastAsia" w:ascii="Times New Roman" w:hAnsi="Times New Roman" w:eastAsia="宋体" w:cs="Times New Roman"/>
                      <w:color w:val="auto"/>
                      <w:kern w:val="0"/>
                      <w:sz w:val="21"/>
                      <w:szCs w:val="21"/>
                      <w:highlight w:val="none"/>
                      <w:lang w:val="en-US" w:eastAsia="zh-CN"/>
                    </w:rPr>
                    <w:t>预处理后进入</w:t>
                  </w:r>
                  <w:r>
                    <w:rPr>
                      <w:rFonts w:hint="default" w:ascii="Times New Roman" w:hAnsi="Times New Roman" w:eastAsia="宋体" w:cs="Times New Roman"/>
                      <w:color w:val="auto"/>
                      <w:kern w:val="0"/>
                      <w:sz w:val="21"/>
                      <w:szCs w:val="21"/>
                      <w:highlight w:val="none"/>
                      <w:lang w:val="en-US" w:eastAsia="zh-CN"/>
                    </w:rPr>
                    <w:t>一体化污水处理设备处理，处理</w:t>
                  </w:r>
                  <w:r>
                    <w:rPr>
                      <w:rFonts w:hint="eastAsia" w:ascii="Times New Roman" w:hAnsi="Times New Roman" w:cs="Times New Roman"/>
                      <w:color w:val="auto"/>
                      <w:kern w:val="0"/>
                      <w:sz w:val="21"/>
                      <w:szCs w:val="21"/>
                      <w:highlight w:val="none"/>
                      <w:lang w:val="en-US" w:eastAsia="zh-CN"/>
                    </w:rPr>
                    <w:t>达到</w:t>
                  </w:r>
                  <w:r>
                    <w:rPr>
                      <w:rFonts w:hint="default" w:ascii="Times New Roman" w:hAnsi="Times New Roman" w:eastAsia="宋体" w:cs="Times New Roman"/>
                      <w:color w:val="auto"/>
                      <w:kern w:val="0"/>
                      <w:sz w:val="21"/>
                      <w:szCs w:val="21"/>
                      <w:highlight w:val="none"/>
                      <w:lang w:val="en-US" w:eastAsia="zh-CN"/>
                    </w:rPr>
                    <w:t>《城市污水再生利用城市杂用水水质》（GB/T18920-2020）中的城市绿化标准后，</w:t>
                  </w:r>
                  <w:r>
                    <w:rPr>
                      <w:rFonts w:hint="eastAsia" w:ascii="Times New Roman" w:hAnsi="Times New Roman" w:eastAsia="宋体" w:cs="Times New Roman"/>
                      <w:color w:val="auto"/>
                      <w:kern w:val="0"/>
                      <w:sz w:val="21"/>
                      <w:szCs w:val="21"/>
                      <w:highlight w:val="none"/>
                      <w:lang w:val="en-US" w:eastAsia="zh-CN"/>
                    </w:rPr>
                    <w:t>晴天</w:t>
                  </w:r>
                  <w:r>
                    <w:rPr>
                      <w:rFonts w:hint="default" w:ascii="Times New Roman" w:hAnsi="Times New Roman" w:eastAsia="宋体" w:cs="Times New Roman"/>
                      <w:color w:val="auto"/>
                      <w:kern w:val="0"/>
                      <w:sz w:val="21"/>
                      <w:szCs w:val="21"/>
                      <w:highlight w:val="none"/>
                      <w:lang w:val="en-US" w:eastAsia="zh-CN"/>
                    </w:rPr>
                    <w:t>回用于厂区绿化</w:t>
                  </w:r>
                  <w:r>
                    <w:rPr>
                      <w:rFonts w:hint="eastAsia" w:ascii="Times New Roman" w:hAnsi="Times New Roman" w:eastAsia="宋体" w:cs="Times New Roman"/>
                      <w:color w:val="auto"/>
                      <w:kern w:val="0"/>
                      <w:sz w:val="21"/>
                      <w:szCs w:val="21"/>
                      <w:highlight w:val="none"/>
                      <w:lang w:val="en-US" w:eastAsia="zh-CN"/>
                    </w:rPr>
                    <w:t>，雨天暂存于中水池中，</w:t>
                  </w:r>
                  <w:r>
                    <w:rPr>
                      <w:rFonts w:hint="default" w:ascii="Times New Roman" w:hAnsi="Times New Roman" w:eastAsia="宋体" w:cs="Times New Roman"/>
                      <w:color w:val="auto"/>
                      <w:kern w:val="0"/>
                      <w:sz w:val="21"/>
                      <w:szCs w:val="21"/>
                      <w:highlight w:val="none"/>
                      <w:lang w:val="en-US" w:eastAsia="zh-CN"/>
                    </w:rPr>
                    <w:t>不外排。</w:t>
                  </w:r>
                  <w:r>
                    <w:rPr>
                      <w:rFonts w:hint="eastAsia" w:ascii="Times New Roman" w:hAnsi="Times New Roman" w:eastAsia="宋体" w:cs="Times New Roman"/>
                      <w:color w:val="auto"/>
                      <w:kern w:val="0"/>
                      <w:sz w:val="21"/>
                      <w:szCs w:val="21"/>
                      <w:highlight w:val="none"/>
                      <w:lang w:val="en-US" w:eastAsia="zh-CN"/>
                    </w:rPr>
                    <w:t>项目</w:t>
                  </w:r>
                  <w:r>
                    <w:rPr>
                      <w:rFonts w:hint="eastAsia" w:ascii="Times New Roman" w:hAnsi="Times New Roman" w:cs="Times New Roman"/>
                      <w:color w:val="auto"/>
                      <w:kern w:val="0"/>
                      <w:sz w:val="21"/>
                      <w:szCs w:val="21"/>
                      <w:highlight w:val="none"/>
                      <w:lang w:val="en-US" w:eastAsia="zh-CN"/>
                    </w:rPr>
                    <w:t>洗车废水沉淀后回用</w:t>
                  </w:r>
                  <w:r>
                    <w:rPr>
                      <w:rFonts w:hint="eastAsia" w:ascii="Times New Roman" w:hAnsi="Times New Roman" w:eastAsia="宋体" w:cs="Times New Roman"/>
                      <w:color w:val="auto"/>
                      <w:kern w:val="0"/>
                      <w:sz w:val="21"/>
                      <w:szCs w:val="21"/>
                      <w:highlight w:val="none"/>
                      <w:lang w:val="en-US" w:eastAsia="zh-CN"/>
                    </w:rPr>
                    <w:t>，涉及的降尘用水全部蒸发。</w:t>
                  </w:r>
                </w:p>
              </w:tc>
              <w:tc>
                <w:tcPr>
                  <w:tcW w:w="438" w:type="pct"/>
                  <w:noWrap w:val="0"/>
                  <w:vAlign w:val="center"/>
                </w:tcPr>
                <w:p w14:paraId="1FB375F2">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7D12D51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0" w:hRule="atLeast"/>
                <w:jc w:val="center"/>
              </w:trPr>
              <w:tc>
                <w:tcPr>
                  <w:tcW w:w="328" w:type="pct"/>
                  <w:noWrap w:val="0"/>
                  <w:vAlign w:val="center"/>
                </w:tcPr>
                <w:p w14:paraId="05BCA8E0">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五</w:t>
                  </w:r>
                </w:p>
              </w:tc>
              <w:tc>
                <w:tcPr>
                  <w:tcW w:w="285" w:type="pct"/>
                  <w:noWrap w:val="0"/>
                  <w:vAlign w:val="center"/>
                </w:tcPr>
                <w:p w14:paraId="5A113FD4">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深入打好净土保卫战</w:t>
                  </w:r>
                </w:p>
              </w:tc>
              <w:tc>
                <w:tcPr>
                  <w:tcW w:w="2883" w:type="pct"/>
                  <w:noWrap w:val="0"/>
                  <w:vAlign w:val="center"/>
                </w:tcPr>
                <w:p w14:paraId="3F1F0FA7">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一）持续打好农业农村污染治理攻坚战。因地制宜推进农村厕所革命、生活污水治理、生活垃圾治理，基本消除较大面积的农村黑臭水体。实施化肥农药减量增效行动和农膜回收行动，推进农作物秸秆综合利用和畜禽粪污资源化利用。</w:t>
                  </w:r>
                </w:p>
                <w:p w14:paraId="3F25C3F2">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（二）深入推进农用地土壤污染防治和安全利用。实施农用地土壤镉等重金属污染源头防治行动。开展耕地土壤污染成因排查和分析。落实农用地分类管理制度，强化受污染耕地安全利用和风险管控。</w:t>
                  </w:r>
                </w:p>
                <w:p w14:paraId="0336BCE7">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（三）有效管控建设用地土壤污染风险。严格建设用地土壤污染风险管控和修复名录内地块的准入管理，从严管控农药、化工等行业的重度污染地块规划用途。</w:t>
                  </w:r>
                </w:p>
                <w:p w14:paraId="294B4A13">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（四）稳步推进“无废城市”建设。稳步推进地级城市开展“无废城市”建设，积极推进无废学校、社区、企业等“无废细胞”建设。</w:t>
                  </w:r>
                </w:p>
                <w:p w14:paraId="1650E5D8">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（五）加强新污染物治理。推进持久性有机污染物、内分泌干扰物等新污染物的调查监测和环境风险评估。建立健全有毒有害化学物质环境风险管理制度，强化源头准入，加强新污染物环境风险管控。</w:t>
                  </w:r>
                </w:p>
                <w:p w14:paraId="72D43019">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（六）进一步加强重金属污染防控。完善重金属污染物排放全口径清单动态调整机制。依法依规推动有色金属矿采选、冶炼行业落后和低效产能退出。深入开展重点行业重金属污染治理。</w:t>
                  </w:r>
                </w:p>
                <w:p w14:paraId="4B90F2B2">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（七）强化地下水污染协同防治。持续开展地下水环境状况调查评估，加强地下水型饮用水水源补给区保护，开展地下水污染防治重点区划定及污染风险管控。</w:t>
                  </w:r>
                </w:p>
              </w:tc>
              <w:tc>
                <w:tcPr>
                  <w:tcW w:w="1063" w:type="pct"/>
                  <w:noWrap w:val="0"/>
                  <w:vAlign w:val="center"/>
                </w:tcPr>
                <w:p w14:paraId="276F90A7">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项目生活垃圾收集后委托</w:t>
                  </w:r>
                  <w:r>
                    <w:rPr>
                      <w:rFonts w:hint="default" w:ascii="Times New Roman" w:hAnsi="Times New Roman" w:eastAsia="宋体" w:cs="Times New Roman"/>
                      <w:b w:val="0"/>
                      <w:bCs w:val="0"/>
                      <w:color w:val="auto"/>
                      <w:sz w:val="21"/>
                      <w:szCs w:val="21"/>
                      <w:highlight w:val="none"/>
                      <w:lang w:val="en-US" w:eastAsia="zh-CN"/>
                    </w:rPr>
                    <w:t>园区</w:t>
                  </w:r>
                  <w:r>
                    <w:rPr>
                      <w:rFonts w:hint="default" w:ascii="Times New Roman" w:hAnsi="Times New Roman" w:eastAsia="宋体" w:cs="Times New Roman"/>
                      <w:b w:val="0"/>
                      <w:bCs w:val="0"/>
                      <w:color w:val="auto"/>
                      <w:sz w:val="21"/>
                      <w:szCs w:val="21"/>
                      <w:highlight w:val="none"/>
                      <w:lang w:eastAsia="zh-CN"/>
                    </w:rPr>
                    <w:t>环卫部门清运；</w:t>
                  </w:r>
                  <w:r>
                    <w:rPr>
                      <w:rFonts w:hint="default" w:ascii="Times New Roman" w:hAnsi="Times New Roman" w:eastAsia="宋体" w:cs="Times New Roman"/>
                      <w:b w:val="0"/>
                      <w:bCs w:val="0"/>
                      <w:color w:val="auto"/>
                      <w:sz w:val="21"/>
                      <w:szCs w:val="21"/>
                      <w:highlight w:val="none"/>
                      <w:lang w:val="en-US" w:eastAsia="zh-CN"/>
                    </w:rPr>
                    <w:t>产生的一般工业固废妥善处置，产生的</w:t>
                  </w:r>
                  <w:r>
                    <w:rPr>
                      <w:rFonts w:hint="default" w:ascii="Times New Roman" w:hAnsi="Times New Roman" w:eastAsia="宋体" w:cs="Times New Roman"/>
                      <w:b w:val="0"/>
                      <w:bCs w:val="0"/>
                      <w:color w:val="auto"/>
                      <w:sz w:val="21"/>
                      <w:szCs w:val="21"/>
                      <w:highlight w:val="none"/>
                      <w:lang w:eastAsia="zh-CN"/>
                    </w:rPr>
                    <w:t>危废分类收集、分区暂存于危废间内，定期委托有资质单位进场清运处置，</w:t>
                  </w:r>
                  <w:r>
                    <w:rPr>
                      <w:rFonts w:hint="default" w:ascii="Times New Roman" w:hAnsi="Times New Roman" w:eastAsia="宋体" w:cs="Times New Roman"/>
                      <w:b w:val="0"/>
                      <w:bCs w:val="0"/>
                      <w:color w:val="auto"/>
                      <w:sz w:val="21"/>
                      <w:szCs w:val="21"/>
                      <w:highlight w:val="none"/>
                      <w:lang w:val="en-US" w:eastAsia="zh-CN"/>
                    </w:rPr>
                    <w:t>固废</w:t>
                  </w:r>
                  <w:r>
                    <w:rPr>
                      <w:rFonts w:hint="default" w:ascii="Times New Roman" w:hAnsi="Times New Roman" w:eastAsia="宋体" w:cs="Times New Roman"/>
                      <w:b w:val="0"/>
                      <w:bCs w:val="0"/>
                      <w:color w:val="auto"/>
                      <w:sz w:val="21"/>
                      <w:szCs w:val="21"/>
                      <w:highlight w:val="none"/>
                      <w:lang w:eastAsia="zh-CN"/>
                    </w:rPr>
                    <w:t>处理处置率100%。</w:t>
                  </w:r>
                  <w:r>
                    <w:rPr>
                      <w:rFonts w:hint="default"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lang w:eastAsia="zh-CN"/>
                    </w:rPr>
                    <w:t>用地为</w:t>
                  </w:r>
                  <w:r>
                    <w:rPr>
                      <w:rFonts w:hint="default" w:ascii="Times New Roman" w:hAnsi="Times New Roman" w:eastAsia="宋体" w:cs="Times New Roman"/>
                      <w:b w:val="0"/>
                      <w:bCs w:val="0"/>
                      <w:color w:val="auto"/>
                      <w:sz w:val="21"/>
                      <w:szCs w:val="21"/>
                      <w:highlight w:val="none"/>
                      <w:lang w:val="en-US" w:eastAsia="zh-CN"/>
                    </w:rPr>
                    <w:t>园区规划</w:t>
                  </w:r>
                  <w:r>
                    <w:rPr>
                      <w:rFonts w:hint="default" w:ascii="Times New Roman" w:hAnsi="Times New Roman" w:eastAsia="宋体" w:cs="Times New Roman"/>
                      <w:b w:val="0"/>
                      <w:bCs w:val="0"/>
                      <w:color w:val="auto"/>
                      <w:sz w:val="21"/>
                      <w:szCs w:val="21"/>
                      <w:highlight w:val="none"/>
                      <w:lang w:eastAsia="zh-CN"/>
                    </w:rPr>
                    <w:t>工业用地，严格落实土壤污染防治措施，加强废气、废水、固废的治理，与地下水污染协同防治。</w:t>
                  </w:r>
                </w:p>
              </w:tc>
              <w:tc>
                <w:tcPr>
                  <w:tcW w:w="438" w:type="pct"/>
                  <w:noWrap w:val="0"/>
                  <w:vAlign w:val="center"/>
                </w:tcPr>
                <w:p w14:paraId="6BB77054">
                  <w:pPr>
                    <w:pStyle w:val="69"/>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bl>
          <w:p w14:paraId="547FE683">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由上表可知，项目的建设符合中共云南省委、云南省人民政府《关于深入打好污染防治攻坚战的实施意见》的相关要求</w:t>
            </w:r>
            <w:r>
              <w:rPr>
                <w:rFonts w:hint="eastAsia" w:ascii="Times New Roman" w:hAnsi="Times New Roman" w:eastAsia="宋体" w:cs="Times New Roman"/>
                <w:color w:val="auto"/>
                <w:sz w:val="24"/>
                <w:szCs w:val="24"/>
                <w:highlight w:val="none"/>
                <w:lang w:eastAsia="zh-CN"/>
              </w:rPr>
              <w:t>。</w:t>
            </w:r>
          </w:p>
          <w:p w14:paraId="7F207EDD">
            <w:pPr>
              <w:pStyle w:val="71"/>
              <w:numPr>
                <w:ilvl w:val="0"/>
                <w:numId w:val="0"/>
              </w:numPr>
              <w:ind w:leftChars="0"/>
              <w:jc w:val="both"/>
              <w:rPr>
                <w:rFonts w:hint="eastAsia" w:ascii="Times New Roman" w:hAnsi="Times New Roman" w:eastAsia="宋体" w:cs="Times New Roman"/>
                <w:b/>
                <w:bCs/>
                <w:color w:val="auto"/>
                <w:sz w:val="24"/>
                <w:szCs w:val="28"/>
                <w:highlight w:val="none"/>
                <w:lang w:val="en-US" w:eastAsia="zh-CN"/>
              </w:rPr>
            </w:pPr>
            <w:r>
              <w:rPr>
                <w:rFonts w:hint="eastAsia" w:ascii="Times New Roman" w:hAnsi="Times New Roman" w:cs="Times New Roman"/>
                <w:b/>
                <w:bCs/>
                <w:color w:val="auto"/>
                <w:sz w:val="24"/>
                <w:szCs w:val="28"/>
                <w:highlight w:val="none"/>
                <w:lang w:val="en-US" w:eastAsia="zh-CN"/>
              </w:rPr>
              <w:t>9</w:t>
            </w:r>
            <w:r>
              <w:rPr>
                <w:rFonts w:hint="eastAsia" w:ascii="Times New Roman" w:hAnsi="Times New Roman" w:eastAsia="宋体" w:cs="Times New Roman"/>
                <w:b/>
                <w:bCs/>
                <w:color w:val="auto"/>
                <w:sz w:val="24"/>
                <w:szCs w:val="28"/>
                <w:highlight w:val="none"/>
                <w:lang w:val="en-US" w:eastAsia="zh-CN"/>
              </w:rPr>
              <w:t>、与《云南省土壤、地下水污染防治“十四五”规划》符合性分析</w:t>
            </w:r>
          </w:p>
          <w:p w14:paraId="7247EF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根据云南省生态环境厅发布的《云南省土壤、地下水污染防治“十四五”规划》（云环通〔2022〕120号），项目建设与该文件符合性分析如下：</w:t>
            </w:r>
          </w:p>
          <w:p w14:paraId="7B6F8C6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表1-</w:t>
            </w:r>
            <w:r>
              <w:rPr>
                <w:rFonts w:hint="eastAsia"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 xml:space="preserve"> 与《云南省土壤、地下水污染防治“十四五”规划</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的符合性分析</w:t>
            </w:r>
          </w:p>
          <w:tbl>
            <w:tblPr>
              <w:tblStyle w:val="3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2455"/>
              <w:gridCol w:w="864"/>
            </w:tblGrid>
            <w:tr w14:paraId="0EFC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shd w:val="clear" w:color="auto" w:fill="D7D7D7" w:themeFill="background1" w:themeFillShade="D8"/>
                  <w:noWrap w:val="0"/>
                  <w:vAlign w:val="center"/>
                </w:tcPr>
                <w:p w14:paraId="470E3F54">
                  <w:pPr>
                    <w:pStyle w:val="33"/>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文件</w:t>
                  </w:r>
                  <w:r>
                    <w:rPr>
                      <w:rFonts w:hint="default" w:ascii="Times New Roman" w:hAnsi="Times New Roman" w:eastAsia="宋体" w:cs="Times New Roman"/>
                      <w:b w:val="0"/>
                      <w:bCs w:val="0"/>
                      <w:color w:val="auto"/>
                      <w:sz w:val="21"/>
                      <w:szCs w:val="21"/>
                      <w:highlight w:val="none"/>
                      <w:vertAlign w:val="baseline"/>
                      <w:lang w:eastAsia="zh-CN"/>
                    </w:rPr>
                    <w:t>要求</w:t>
                  </w:r>
                </w:p>
              </w:tc>
              <w:tc>
                <w:tcPr>
                  <w:tcW w:w="1792" w:type="pct"/>
                  <w:shd w:val="clear" w:color="auto" w:fill="D7D7D7" w:themeFill="background1" w:themeFillShade="D8"/>
                  <w:noWrap w:val="0"/>
                  <w:vAlign w:val="center"/>
                </w:tcPr>
                <w:p w14:paraId="6543BAAB">
                  <w:pPr>
                    <w:pStyle w:val="3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p>
              </w:tc>
              <w:tc>
                <w:tcPr>
                  <w:tcW w:w="630" w:type="pct"/>
                  <w:shd w:val="clear" w:color="auto" w:fill="D7D7D7" w:themeFill="background1" w:themeFillShade="D8"/>
                  <w:noWrap w:val="0"/>
                  <w:vAlign w:val="center"/>
                </w:tcPr>
                <w:p w14:paraId="7040FFD5">
                  <w:pPr>
                    <w:pStyle w:val="33"/>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符合性</w:t>
                  </w:r>
                </w:p>
              </w:tc>
            </w:tr>
            <w:tr w14:paraId="71A1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noWrap w:val="0"/>
                  <w:vAlign w:val="center"/>
                </w:tcPr>
                <w:p w14:paraId="01D4B888">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对涉及有毒有害物质可能造成土壤污染的新（改、扩）建项目，依法进行环境影响评价，提出并落实防腐蚀、防渗漏、防遗撒等土壤污染防治具体措施；建设项目配套建设的土壤污染防治设施，应当与主体工程同时设计、同时施工、同时投入使用</w:t>
                  </w:r>
                  <w:r>
                    <w:rPr>
                      <w:rFonts w:hint="eastAsia" w:ascii="Times New Roman" w:hAnsi="Times New Roman" w:eastAsia="宋体" w:cs="Times New Roman"/>
                      <w:color w:val="auto"/>
                      <w:kern w:val="0"/>
                      <w:sz w:val="21"/>
                      <w:szCs w:val="21"/>
                      <w:highlight w:val="none"/>
                      <w:lang w:val="en-US" w:eastAsia="zh-CN" w:bidi="ar"/>
                    </w:rPr>
                    <w:t>。</w:t>
                  </w:r>
                </w:p>
              </w:tc>
              <w:tc>
                <w:tcPr>
                  <w:tcW w:w="1792" w:type="pct"/>
                  <w:noWrap w:val="0"/>
                  <w:vAlign w:val="center"/>
                </w:tcPr>
                <w:p w14:paraId="55B7D9F7">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严格执行环评审批，编制</w:t>
                  </w:r>
                  <w:r>
                    <w:rPr>
                      <w:rFonts w:hint="eastAsia" w:ascii="Times New Roman" w:hAnsi="Times New Roman" w:eastAsia="宋体" w:cs="Times New Roman"/>
                      <w:color w:val="auto"/>
                      <w:kern w:val="0"/>
                      <w:sz w:val="21"/>
                      <w:szCs w:val="21"/>
                      <w:highlight w:val="none"/>
                      <w:lang w:val="en-US" w:eastAsia="zh-CN" w:bidi="ar"/>
                    </w:rPr>
                    <w:t>环境影响评价文件</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对原料堆场、产品堆场</w:t>
                  </w:r>
                  <w:r>
                    <w:rPr>
                      <w:rFonts w:hint="default" w:ascii="Times New Roman" w:hAnsi="Times New Roman" w:eastAsia="宋体" w:cs="Times New Roman"/>
                      <w:color w:val="auto"/>
                      <w:kern w:val="0"/>
                      <w:sz w:val="21"/>
                      <w:szCs w:val="21"/>
                      <w:highlight w:val="none"/>
                      <w:lang w:val="en-US" w:eastAsia="zh-CN" w:bidi="ar"/>
                    </w:rPr>
                    <w:t>、输送系统、危废暂存区实施分区防渗；配套</w:t>
                  </w:r>
                  <w:r>
                    <w:rPr>
                      <w:rFonts w:hint="eastAsia" w:ascii="Times New Roman" w:hAnsi="Times New Roman" w:eastAsia="宋体" w:cs="Times New Roman"/>
                      <w:color w:val="auto"/>
                      <w:kern w:val="0"/>
                      <w:sz w:val="21"/>
                      <w:szCs w:val="21"/>
                      <w:highlight w:val="none"/>
                      <w:lang w:val="en-US" w:eastAsia="zh-CN" w:bidi="ar"/>
                    </w:rPr>
                    <w:t>初期雨水</w:t>
                  </w:r>
                  <w:r>
                    <w:rPr>
                      <w:rFonts w:hint="default" w:ascii="Times New Roman" w:hAnsi="Times New Roman" w:eastAsia="宋体" w:cs="Times New Roman"/>
                      <w:color w:val="auto"/>
                      <w:kern w:val="0"/>
                      <w:sz w:val="21"/>
                      <w:szCs w:val="21"/>
                      <w:highlight w:val="none"/>
                      <w:lang w:val="en-US" w:eastAsia="zh-CN" w:bidi="ar"/>
                    </w:rPr>
                    <w:t>收集池、</w:t>
                  </w:r>
                  <w:r>
                    <w:rPr>
                      <w:rFonts w:hint="eastAsia" w:ascii="Times New Roman" w:hAnsi="Times New Roman" w:eastAsia="宋体" w:cs="Times New Roman"/>
                      <w:color w:val="auto"/>
                      <w:kern w:val="0"/>
                      <w:sz w:val="21"/>
                      <w:szCs w:val="21"/>
                      <w:highlight w:val="none"/>
                      <w:lang w:val="en-US" w:eastAsia="zh-CN" w:bidi="ar"/>
                    </w:rPr>
                    <w:t>柴油储罐</w:t>
                  </w:r>
                  <w:r>
                    <w:rPr>
                      <w:rFonts w:hint="default" w:ascii="Times New Roman" w:hAnsi="Times New Roman" w:eastAsia="宋体" w:cs="Times New Roman"/>
                      <w:color w:val="auto"/>
                      <w:kern w:val="0"/>
                      <w:sz w:val="21"/>
                      <w:szCs w:val="21"/>
                      <w:highlight w:val="none"/>
                      <w:lang w:val="en-US" w:eastAsia="zh-CN" w:bidi="ar"/>
                    </w:rPr>
                    <w:t>应急围堰，同步建设密闭输送、喷淋抑尘设施，落实</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三同时</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要求</w:t>
                  </w:r>
                </w:p>
              </w:tc>
              <w:tc>
                <w:tcPr>
                  <w:tcW w:w="630" w:type="pct"/>
                  <w:noWrap w:val="0"/>
                  <w:vAlign w:val="center"/>
                </w:tcPr>
                <w:p w14:paraId="16F9CE8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eastAsia="zh-CN"/>
                    </w:rPr>
                    <w:t>符合</w:t>
                  </w:r>
                </w:p>
              </w:tc>
            </w:tr>
            <w:tr w14:paraId="0905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noWrap w:val="0"/>
                  <w:vAlign w:val="center"/>
                </w:tcPr>
                <w:p w14:paraId="1FE48060">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严格建设用地准入管理，污染地块未完成调查评估或未达到风险管控、修复目标的，不得开工建设相关项目</w:t>
                  </w:r>
                  <w:r>
                    <w:rPr>
                      <w:rFonts w:hint="eastAsia" w:ascii="Times New Roman" w:hAnsi="Times New Roman" w:eastAsia="宋体" w:cs="Times New Roman"/>
                      <w:color w:val="auto"/>
                      <w:kern w:val="0"/>
                      <w:sz w:val="21"/>
                      <w:szCs w:val="21"/>
                      <w:highlight w:val="none"/>
                      <w:lang w:val="en-US" w:eastAsia="zh-CN" w:bidi="ar"/>
                    </w:rPr>
                    <w:t>。</w:t>
                  </w:r>
                </w:p>
              </w:tc>
              <w:tc>
                <w:tcPr>
                  <w:tcW w:w="1792" w:type="pct"/>
                  <w:noWrap w:val="0"/>
                  <w:vAlign w:val="center"/>
                </w:tcPr>
                <w:p w14:paraId="22D42966">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本项目位于红塔产业园区研和片区地块二</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选址避开建设用地土壤污染风险管控和修复名录地块，不占用优先保护类耕地</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落实建设用地准入联动监管</w:t>
                  </w:r>
                </w:p>
              </w:tc>
              <w:tc>
                <w:tcPr>
                  <w:tcW w:w="630" w:type="pct"/>
                  <w:noWrap w:val="0"/>
                  <w:vAlign w:val="center"/>
                </w:tcPr>
                <w:p w14:paraId="5415E82F">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eastAsia="zh-CN"/>
                    </w:rPr>
                    <w:t>符合</w:t>
                  </w:r>
                </w:p>
              </w:tc>
            </w:tr>
            <w:tr w14:paraId="6C12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6" w:type="pct"/>
                  <w:noWrap w:val="0"/>
                  <w:vAlign w:val="center"/>
                </w:tcPr>
                <w:p w14:paraId="6202CB8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保障地下水型饮用水水源环境安全，加强补给区环境管理，减少受污染河段侧渗和垂直补给对地下水的污染</w:t>
                  </w:r>
                  <w:r>
                    <w:rPr>
                      <w:rFonts w:hint="eastAsia" w:ascii="Times New Roman" w:hAnsi="Times New Roman" w:eastAsia="宋体" w:cs="Times New Roman"/>
                      <w:color w:val="auto"/>
                      <w:kern w:val="0"/>
                      <w:sz w:val="21"/>
                      <w:szCs w:val="21"/>
                      <w:highlight w:val="none"/>
                      <w:lang w:val="en-US" w:eastAsia="zh-CN" w:bidi="ar"/>
                    </w:rPr>
                    <w:t>。</w:t>
                  </w:r>
                </w:p>
              </w:tc>
              <w:tc>
                <w:tcPr>
                  <w:tcW w:w="1792" w:type="pct"/>
                  <w:noWrap w:val="0"/>
                  <w:vAlign w:val="center"/>
                </w:tcPr>
                <w:p w14:paraId="68D6D10C">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选址</w:t>
                  </w:r>
                  <w:r>
                    <w:rPr>
                      <w:rFonts w:hint="eastAsia" w:ascii="Times New Roman" w:hAnsi="Times New Roman" w:eastAsia="宋体" w:cs="Times New Roman"/>
                      <w:color w:val="auto"/>
                      <w:kern w:val="0"/>
                      <w:sz w:val="21"/>
                      <w:szCs w:val="21"/>
                      <w:highlight w:val="none"/>
                      <w:lang w:val="en-US" w:eastAsia="zh-CN" w:bidi="ar"/>
                    </w:rPr>
                    <w:t>不在</w:t>
                  </w:r>
                  <w:r>
                    <w:rPr>
                      <w:rFonts w:hint="default" w:ascii="Times New Roman" w:hAnsi="Times New Roman" w:eastAsia="宋体" w:cs="Times New Roman"/>
                      <w:color w:val="auto"/>
                      <w:kern w:val="0"/>
                      <w:sz w:val="21"/>
                      <w:szCs w:val="21"/>
                      <w:highlight w:val="none"/>
                      <w:lang w:val="en-US" w:eastAsia="zh-CN" w:bidi="ar"/>
                    </w:rPr>
                    <w:t>地下水型饮用水水源保护区及补给区，保持安全距离；不设置污染性设施；加强与水利部门协同，管控地表水与地下水水力联系，防止污染物垂直补给</w:t>
                  </w:r>
                  <w:r>
                    <w:rPr>
                      <w:rFonts w:hint="eastAsia" w:ascii="Times New Roman" w:hAnsi="Times New Roman" w:eastAsia="宋体" w:cs="Times New Roman"/>
                      <w:color w:val="auto"/>
                      <w:kern w:val="0"/>
                      <w:sz w:val="21"/>
                      <w:szCs w:val="21"/>
                      <w:highlight w:val="none"/>
                      <w:lang w:val="en-US" w:eastAsia="zh-CN" w:bidi="ar"/>
                    </w:rPr>
                    <w:t>。</w:t>
                  </w:r>
                </w:p>
              </w:tc>
              <w:tc>
                <w:tcPr>
                  <w:tcW w:w="630" w:type="pct"/>
                  <w:noWrap w:val="0"/>
                  <w:vAlign w:val="center"/>
                </w:tcPr>
                <w:p w14:paraId="46F280C0">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bl>
          <w:p w14:paraId="7E9F8D67">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由上表可知，项目的建设符合《空气质量持续改善行动计划》的相关要求。的相关要求。</w:t>
            </w:r>
          </w:p>
          <w:p w14:paraId="2967E689">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10</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与《云南省主体功能区</w:t>
            </w:r>
            <w:r>
              <w:rPr>
                <w:rFonts w:hint="default" w:ascii="Times New Roman" w:hAnsi="Times New Roman" w:eastAsia="宋体" w:cs="Times New Roman"/>
                <w:b/>
                <w:bCs/>
                <w:color w:val="auto"/>
                <w:sz w:val="24"/>
                <w:szCs w:val="24"/>
                <w:highlight w:val="none"/>
                <w:lang w:eastAsia="zh-CN"/>
              </w:rPr>
              <w:t>规</w:t>
            </w:r>
            <w:r>
              <w:rPr>
                <w:rFonts w:hint="default" w:ascii="Times New Roman" w:hAnsi="Times New Roman" w:eastAsia="宋体" w:cs="Times New Roman"/>
                <w:b/>
                <w:bCs/>
                <w:color w:val="auto"/>
                <w:sz w:val="24"/>
                <w:szCs w:val="24"/>
                <w:highlight w:val="none"/>
              </w:rPr>
              <w:t>划》符合性</w:t>
            </w:r>
            <w:r>
              <w:rPr>
                <w:rFonts w:hint="default" w:ascii="Times New Roman" w:hAnsi="Times New Roman" w:eastAsia="宋体" w:cs="Times New Roman"/>
                <w:b/>
                <w:bCs/>
                <w:color w:val="auto"/>
                <w:sz w:val="24"/>
                <w:szCs w:val="24"/>
                <w:highlight w:val="none"/>
                <w:lang w:val="en-US" w:eastAsia="zh-CN"/>
              </w:rPr>
              <w:t>分析</w:t>
            </w:r>
          </w:p>
          <w:p w14:paraId="26B36F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云南省主体功能区规划》将云南省国土空间按照开发方式分为重点开发区域、限制开发区域和禁止开发区域三类主体功能区域，其中重点开发区是重点进行工业化城镇化开发的区域，包括国家层面的重点开发区域、省级层面集中连片重点开发区域和其它重点开发的城镇。限制开发区域是保障农产品供给和生态安全的重要区域，包括农产品主产区和重点生态功能区。禁止开发区域是保护自然文化遗产的重要区域，包括农产品主产区和重点生态功能区，具体包括：自然保护区、世界遗产、风景名胜区、森林公园、地质公园、城市饮用水源保护区、湿地公园、水产种质资源保护区等。</w:t>
            </w:r>
          </w:p>
          <w:p w14:paraId="0413F9C2">
            <w:pPr>
              <w:pStyle w:val="83"/>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项目选址位于</w:t>
            </w:r>
            <w:r>
              <w:rPr>
                <w:rFonts w:hint="default" w:ascii="Times New Roman" w:hAnsi="Times New Roman" w:eastAsia="宋体" w:cs="Times New Roman"/>
                <w:color w:val="auto"/>
                <w:sz w:val="24"/>
                <w:szCs w:val="24"/>
                <w:highlight w:val="none"/>
                <w:lang w:val="en-US" w:eastAsia="zh-CN" w:bidi="ar-SA"/>
              </w:rPr>
              <w:t>云南红塔产业园区研和片区</w:t>
            </w:r>
            <w:r>
              <w:rPr>
                <w:rFonts w:hint="eastAsia"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lang w:val="en-US" w:eastAsia="zh-CN"/>
              </w:rPr>
              <w:t>地块</w:t>
            </w:r>
            <w:r>
              <w:rPr>
                <w:rFonts w:hint="default"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rPr>
              <w:t>属于国家</w:t>
            </w:r>
            <w:r>
              <w:rPr>
                <w:rFonts w:hint="default" w:ascii="Times New Roman" w:hAnsi="Times New Roman" w:eastAsia="宋体" w:cs="Times New Roman"/>
                <w:color w:val="auto"/>
                <w:sz w:val="24"/>
                <w:szCs w:val="24"/>
                <w:highlight w:val="none"/>
                <w:lang w:val="en-US" w:eastAsia="zh-CN"/>
              </w:rPr>
              <w:t>级</w:t>
            </w:r>
            <w:r>
              <w:rPr>
                <w:rFonts w:hint="default" w:ascii="Times New Roman" w:hAnsi="Times New Roman" w:eastAsia="宋体" w:cs="Times New Roman"/>
                <w:color w:val="auto"/>
                <w:sz w:val="24"/>
                <w:szCs w:val="24"/>
                <w:highlight w:val="none"/>
              </w:rPr>
              <w:t>重点开发区域，</w:t>
            </w:r>
            <w:r>
              <w:rPr>
                <w:rFonts w:hint="default" w:ascii="Times New Roman" w:hAnsi="Times New Roman" w:eastAsia="宋体" w:cs="Times New Roman"/>
                <w:color w:val="auto"/>
                <w:sz w:val="24"/>
                <w:szCs w:val="24"/>
                <w:highlight w:val="none"/>
                <w:lang w:eastAsia="zh-CN"/>
              </w:rPr>
              <w:t>符合《云南省主体功能区规划》（云政发〔2014〕1号）</w:t>
            </w:r>
            <w:r>
              <w:rPr>
                <w:rFonts w:hint="default" w:ascii="Times New Roman" w:hAnsi="Times New Roman" w:eastAsia="宋体" w:cs="Times New Roman"/>
                <w:color w:val="auto"/>
                <w:sz w:val="24"/>
                <w:szCs w:val="24"/>
                <w:highlight w:val="none"/>
              </w:rPr>
              <w:t>要求。</w:t>
            </w:r>
          </w:p>
          <w:p w14:paraId="6C6D867C">
            <w:pPr>
              <w:keepNext w:val="0"/>
              <w:keepLines w:val="0"/>
              <w:pageBreakBefore w:val="0"/>
              <w:kinsoku/>
              <w:wordWrap/>
              <w:overflowPunct/>
              <w:topLinePunct w:val="0"/>
              <w:autoSpaceDE/>
              <w:autoSpaceDN/>
              <w:bidi w:val="0"/>
              <w:spacing w:line="360" w:lineRule="auto"/>
              <w:textAlignment w:val="auto"/>
              <w:outlineLvl w:val="9"/>
              <w:rPr>
                <w:rFonts w:hint="default"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11</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与《云南省生态功能区划》符合性分析</w:t>
            </w:r>
          </w:p>
          <w:p w14:paraId="4824A9FE">
            <w:pPr>
              <w:keepNext w:val="0"/>
              <w:keepLines w:val="0"/>
              <w:pageBreakBefore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rPr>
              <w:t>本项目位于</w:t>
            </w:r>
            <w:r>
              <w:rPr>
                <w:rFonts w:hint="default" w:ascii="Times New Roman" w:hAnsi="Times New Roman" w:eastAsia="宋体" w:cs="Times New Roman"/>
                <w:color w:val="auto"/>
                <w:sz w:val="24"/>
                <w:szCs w:val="24"/>
                <w:highlight w:val="none"/>
                <w:lang w:val="en-US" w:eastAsia="zh-CN" w:bidi="ar-SA"/>
              </w:rPr>
              <w:t>云南红塔产业园区研和片区</w:t>
            </w:r>
            <w:r>
              <w:rPr>
                <w:rFonts w:hint="eastAsia"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lang w:val="en-US" w:eastAsia="zh-CN"/>
              </w:rPr>
              <w:t>地块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rPr>
              <w:t>所在地生态区属于Ⅲ高原亚热带北部常绿阔叶林生态区</w:t>
            </w:r>
            <w:r>
              <w:rPr>
                <w:rFonts w:hint="default" w:ascii="Times New Roman" w:hAnsi="Times New Roman" w:eastAsia="宋体" w:cs="Times New Roman"/>
                <w:color w:val="auto"/>
                <w:kern w:val="2"/>
                <w:sz w:val="24"/>
                <w:szCs w:val="24"/>
                <w:highlight w:val="none"/>
                <w:lang w:eastAsia="zh-CN"/>
              </w:rPr>
              <w:t>中Ⅲ1-6昆明、玉溪高原湖盆城镇建设生态功能区</w:t>
            </w:r>
            <w:r>
              <w:rPr>
                <w:rFonts w:hint="default" w:ascii="Times New Roman" w:hAnsi="Times New Roman" w:eastAsia="宋体" w:cs="Times New Roman"/>
                <w:color w:val="auto"/>
                <w:kern w:val="2"/>
                <w:sz w:val="24"/>
                <w:szCs w:val="24"/>
                <w:highlight w:val="none"/>
              </w:rPr>
              <w:t>，主要生态特征以湖盆和丘状高原地貌为主。杞麓湖高原湖泊分布在本区内，大部分地区的年降雨量在900</w:t>
            </w:r>
            <w:r>
              <w:rPr>
                <w:rFonts w:hint="eastAsia"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1000毫米，现存植被以云南松林为主。土壤以红壤、紫色土和水稻土为主。主要生态环境问题为农业面源污染</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环境污染、水资源和土地资源短缺，生态环境敏感性为高原湖盆和城乡交错带的生态脆弱性，主要生态系统服务功能为昆明中心城市建设及维护高原湖泊群及周边地区的生态安全，保护措施与发展方向为调整产业结构，发展循环经济，推行清洁生产，治理高原湖泊水体污染和流域区的面源污染</w:t>
            </w:r>
            <w:r>
              <w:rPr>
                <w:rFonts w:hint="default" w:ascii="Times New Roman" w:hAnsi="Times New Roman" w:eastAsia="宋体" w:cs="Times New Roman"/>
                <w:color w:val="auto"/>
                <w:kern w:val="2"/>
                <w:sz w:val="24"/>
                <w:szCs w:val="24"/>
                <w:highlight w:val="none"/>
                <w:lang w:eastAsia="zh-CN"/>
              </w:rPr>
              <w:t>。</w:t>
            </w:r>
          </w:p>
          <w:p w14:paraId="5FE16B17">
            <w:pPr>
              <w:keepNext w:val="0"/>
              <w:keepLines w:val="0"/>
              <w:pageBreakBefore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用地类型为工业用地，</w:t>
            </w:r>
            <w:r>
              <w:rPr>
                <w:rFonts w:hint="default" w:ascii="Times New Roman" w:hAnsi="Times New Roman" w:eastAsia="宋体" w:cs="Times New Roman"/>
                <w:color w:val="auto"/>
                <w:sz w:val="24"/>
                <w:szCs w:val="24"/>
                <w:highlight w:val="none"/>
                <w:lang w:val="en-US" w:eastAsia="zh-CN"/>
              </w:rPr>
              <w:t>运营期</w:t>
            </w:r>
            <w:r>
              <w:rPr>
                <w:rFonts w:hint="default" w:ascii="Times New Roman" w:hAnsi="Times New Roman" w:eastAsia="宋体" w:cs="Times New Roman"/>
                <w:color w:val="auto"/>
                <w:kern w:val="2"/>
                <w:sz w:val="24"/>
                <w:szCs w:val="24"/>
                <w:highlight w:val="none"/>
                <w:lang w:eastAsia="zh-CN"/>
              </w:rPr>
              <w:t>废水不外排，</w:t>
            </w:r>
            <w:r>
              <w:rPr>
                <w:rFonts w:hint="default" w:ascii="Times New Roman" w:hAnsi="Times New Roman" w:eastAsia="宋体" w:cs="Times New Roman"/>
                <w:color w:val="auto"/>
                <w:kern w:val="2"/>
                <w:sz w:val="24"/>
                <w:szCs w:val="24"/>
                <w:highlight w:val="none"/>
                <w:lang w:val="en-US" w:eastAsia="zh-CN"/>
              </w:rPr>
              <w:t>不涉及</w:t>
            </w:r>
            <w:r>
              <w:rPr>
                <w:rFonts w:hint="default" w:ascii="Times New Roman" w:hAnsi="Times New Roman" w:eastAsia="宋体" w:cs="Times New Roman"/>
                <w:color w:val="auto"/>
                <w:kern w:val="2"/>
                <w:sz w:val="24"/>
                <w:szCs w:val="24"/>
                <w:highlight w:val="none"/>
              </w:rPr>
              <w:t>高原湖泊</w:t>
            </w:r>
            <w:r>
              <w:rPr>
                <w:rFonts w:hint="default" w:ascii="Times New Roman" w:hAnsi="Times New Roman" w:eastAsia="宋体" w:cs="Times New Roman"/>
                <w:color w:val="auto"/>
                <w:kern w:val="2"/>
                <w:sz w:val="24"/>
                <w:szCs w:val="24"/>
                <w:highlight w:val="none"/>
                <w:lang w:val="en-US" w:eastAsia="zh-CN"/>
              </w:rPr>
              <w:t>污染</w:t>
            </w:r>
            <w:r>
              <w:rPr>
                <w:rFonts w:hint="eastAsia" w:ascii="Times New Roman" w:hAnsi="Times New Roman" w:cs="Times New Roman"/>
                <w:color w:val="auto"/>
                <w:kern w:val="2"/>
                <w:sz w:val="24"/>
                <w:szCs w:val="24"/>
                <w:highlight w:val="none"/>
                <w:lang w:val="en-US" w:eastAsia="zh-CN"/>
              </w:rPr>
              <w:t>问题</w:t>
            </w:r>
            <w:r>
              <w:rPr>
                <w:rFonts w:hint="default" w:ascii="Times New Roman" w:hAnsi="Times New Roman" w:eastAsia="宋体" w:cs="Times New Roman"/>
                <w:color w:val="auto"/>
                <w:kern w:val="2"/>
                <w:sz w:val="24"/>
                <w:szCs w:val="24"/>
                <w:highlight w:val="none"/>
                <w:lang w:val="en-US" w:eastAsia="zh-CN"/>
              </w:rPr>
              <w:t>，因此</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rPr>
              <w:t>符合</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云南省生态功能区划</w:t>
            </w:r>
            <w:r>
              <w:rPr>
                <w:rFonts w:hint="default" w:ascii="Times New Roman" w:hAnsi="Times New Roman" w:eastAsia="宋体" w:cs="Times New Roman"/>
                <w:color w:val="auto"/>
                <w:kern w:val="2"/>
                <w:sz w:val="24"/>
                <w:szCs w:val="24"/>
                <w:highlight w:val="none"/>
                <w:lang w:eastAsia="zh-CN"/>
              </w:rPr>
              <w:t>》。</w:t>
            </w:r>
          </w:p>
          <w:p w14:paraId="52292AC3">
            <w:pPr>
              <w:pStyle w:val="71"/>
              <w:numPr>
                <w:ilvl w:val="0"/>
                <w:numId w:val="0"/>
              </w:numPr>
              <w:ind w:leftChars="0"/>
              <w:jc w:val="both"/>
              <w:rPr>
                <w:rFonts w:hint="default" w:ascii="Times New Roman" w:hAnsi="Times New Roman" w:eastAsia="宋体" w:cs="Times New Roman"/>
                <w:b/>
                <w:bCs/>
                <w:color w:val="auto"/>
                <w:sz w:val="24"/>
                <w:szCs w:val="28"/>
                <w:highlight w:val="none"/>
                <w:lang w:val="en-US" w:eastAsia="zh-CN"/>
              </w:rPr>
            </w:pPr>
            <w:r>
              <w:rPr>
                <w:rFonts w:hint="eastAsia" w:ascii="Times New Roman" w:hAnsi="Times New Roman" w:cs="Times New Roman"/>
                <w:b/>
                <w:bCs/>
                <w:color w:val="auto"/>
                <w:sz w:val="24"/>
                <w:szCs w:val="28"/>
                <w:highlight w:val="none"/>
                <w:lang w:val="en-US" w:eastAsia="zh-CN"/>
              </w:rPr>
              <w:t>12</w:t>
            </w:r>
            <w:r>
              <w:rPr>
                <w:rFonts w:hint="eastAsia" w:ascii="Times New Roman" w:hAnsi="Times New Roman" w:eastAsia="宋体" w:cs="Times New Roman"/>
                <w:b/>
                <w:bCs/>
                <w:color w:val="auto"/>
                <w:sz w:val="24"/>
                <w:szCs w:val="28"/>
                <w:highlight w:val="none"/>
                <w:lang w:val="en-US" w:eastAsia="zh-CN"/>
              </w:rPr>
              <w:t>、</w:t>
            </w:r>
            <w:r>
              <w:rPr>
                <w:rFonts w:hint="default" w:ascii="Times New Roman" w:hAnsi="Times New Roman" w:eastAsia="宋体" w:cs="Times New Roman"/>
                <w:b/>
                <w:bCs/>
                <w:color w:val="auto"/>
                <w:sz w:val="24"/>
                <w:szCs w:val="28"/>
                <w:highlight w:val="none"/>
                <w:lang w:val="en-US" w:eastAsia="zh-CN"/>
              </w:rPr>
              <w:t>与《玉溪市红塔区国土空间总体规划（2021</w:t>
            </w:r>
            <w:r>
              <w:rPr>
                <w:rFonts w:hint="eastAsia" w:ascii="Times New Roman" w:hAnsi="Times New Roman" w:cs="Times New Roman"/>
                <w:b/>
                <w:bCs/>
                <w:color w:val="auto"/>
                <w:sz w:val="24"/>
                <w:szCs w:val="28"/>
                <w:highlight w:val="none"/>
                <w:lang w:val="en-US" w:eastAsia="zh-CN"/>
              </w:rPr>
              <w:t>—</w:t>
            </w:r>
            <w:r>
              <w:rPr>
                <w:rFonts w:hint="default" w:ascii="Times New Roman" w:hAnsi="Times New Roman" w:eastAsia="宋体" w:cs="Times New Roman"/>
                <w:b/>
                <w:bCs/>
                <w:color w:val="auto"/>
                <w:sz w:val="24"/>
                <w:szCs w:val="28"/>
                <w:highlight w:val="none"/>
                <w:lang w:val="en-US" w:eastAsia="zh-CN"/>
              </w:rPr>
              <w:t>2035年）》符合性分析</w:t>
            </w:r>
          </w:p>
          <w:p w14:paraId="29BD181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8"/>
                <w:highlight w:val="none"/>
                <w:lang w:val="en-US" w:eastAsia="zh-CN"/>
              </w:rPr>
            </w:pPr>
            <w:r>
              <w:rPr>
                <w:rFonts w:hint="default" w:ascii="Times New Roman" w:hAnsi="Times New Roman" w:eastAsia="宋体" w:cs="Times New Roman"/>
                <w:color w:val="auto"/>
                <w:kern w:val="0"/>
                <w:sz w:val="24"/>
                <w:highlight w:val="none"/>
                <w:lang w:val="en-US" w:eastAsia="zh-CN"/>
              </w:rPr>
              <w:t>根据</w:t>
            </w:r>
            <w:r>
              <w:rPr>
                <w:rFonts w:hint="default" w:ascii="Times New Roman" w:hAnsi="Times New Roman" w:eastAsia="宋体" w:cs="Times New Roman"/>
                <w:color w:val="auto"/>
                <w:sz w:val="24"/>
                <w:szCs w:val="28"/>
                <w:highlight w:val="none"/>
                <w:lang w:val="en-US" w:eastAsia="zh-CN"/>
              </w:rPr>
              <w:t>《玉溪市红塔区国土空间总体规划（2021</w:t>
            </w:r>
            <w:r>
              <w:rPr>
                <w:rFonts w:hint="eastAsia" w:ascii="Times New Roman" w:hAnsi="Times New Roman"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lang w:val="en-US" w:eastAsia="zh-CN"/>
              </w:rPr>
              <w:t>2035年）》</w:t>
            </w:r>
            <w:r>
              <w:rPr>
                <w:rFonts w:hint="eastAsia" w:ascii="Times New Roman" w:hAnsi="Times New Roman" w:eastAsia="宋体" w:cs="Times New Roman"/>
                <w:color w:val="auto"/>
                <w:sz w:val="24"/>
                <w:szCs w:val="28"/>
                <w:highlight w:val="none"/>
                <w:lang w:val="en-US" w:eastAsia="zh-CN"/>
              </w:rPr>
              <w:t>，深刻把握红塔区在全省、滇中城市群、玉溪市空间发展格局中的地位，以生态优先、绿色发展为先导，以政治、文化和经济社会发展为基础，以山水林田湖草沙生态保护为目标，构建“四区一带一屏多点、一核一轴三廊多片”的全域总体格局。</w:t>
            </w:r>
          </w:p>
          <w:p w14:paraId="4A07BB6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四区：</w:t>
            </w:r>
            <w:r>
              <w:rPr>
                <w:rFonts w:hint="eastAsia" w:ascii="Times New Roman" w:hAnsi="Times New Roman" w:eastAsia="宋体" w:cs="Times New Roman"/>
                <w:color w:val="auto"/>
                <w:sz w:val="24"/>
                <w:szCs w:val="28"/>
                <w:highlight w:val="none"/>
                <w:lang w:val="en-US" w:eastAsia="zh-CN"/>
              </w:rPr>
              <w:t>即中部粮食主产区、东部粮菜烟果综合区、西部山地生态农业区、南部特色优势农业区。</w:t>
            </w:r>
          </w:p>
          <w:p w14:paraId="2D0F497B">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一带：</w:t>
            </w:r>
            <w:r>
              <w:rPr>
                <w:rFonts w:hint="eastAsia" w:ascii="Times New Roman" w:hAnsi="Times New Roman" w:eastAsia="宋体" w:cs="Times New Roman"/>
                <w:color w:val="auto"/>
                <w:sz w:val="24"/>
                <w:szCs w:val="28"/>
                <w:highlight w:val="none"/>
                <w:lang w:val="en-US" w:eastAsia="zh-CN"/>
              </w:rPr>
              <w:t>玉溪大河源自东风水库向西贯穿中心城区流入南盘江，形成“玉溪大河滨水生态控制带”。</w:t>
            </w:r>
          </w:p>
          <w:p w14:paraId="317FE05C">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一屏：</w:t>
            </w:r>
            <w:r>
              <w:rPr>
                <w:rFonts w:hint="eastAsia" w:ascii="Times New Roman" w:hAnsi="Times New Roman" w:eastAsia="宋体" w:cs="Times New Roman"/>
                <w:color w:val="auto"/>
                <w:sz w:val="24"/>
                <w:szCs w:val="28"/>
                <w:highlight w:val="none"/>
                <w:lang w:val="en-US" w:eastAsia="zh-CN"/>
              </w:rPr>
              <w:t>即由棋盘山、白虎山、双脑山、凤凰山等西部群山带组成的“西部水土保持生态屏障”。</w:t>
            </w:r>
          </w:p>
          <w:p w14:paraId="550B2E5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多点：</w:t>
            </w:r>
            <w:r>
              <w:rPr>
                <w:rFonts w:hint="eastAsia" w:ascii="Times New Roman" w:hAnsi="Times New Roman" w:eastAsia="宋体" w:cs="Times New Roman"/>
                <w:color w:val="auto"/>
                <w:sz w:val="24"/>
                <w:szCs w:val="28"/>
                <w:highlight w:val="none"/>
                <w:lang w:val="en-US" w:eastAsia="zh-CN"/>
              </w:rPr>
              <w:t>以玉溪九龙池公园、重要水源地保护区、湿地、风景名胜区、郊野公园、近郊公园、国家公益林等要素为生态重要节点，营造具有红塔区域特色的生态格局。</w:t>
            </w:r>
          </w:p>
          <w:p w14:paraId="1A6CADCD">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一核：</w:t>
            </w:r>
            <w:r>
              <w:rPr>
                <w:rFonts w:hint="eastAsia" w:ascii="Times New Roman" w:hAnsi="Times New Roman" w:eastAsia="宋体" w:cs="Times New Roman"/>
                <w:color w:val="auto"/>
                <w:sz w:val="24"/>
                <w:szCs w:val="28"/>
                <w:highlight w:val="none"/>
                <w:lang w:val="en-US" w:eastAsia="zh-CN"/>
              </w:rPr>
              <w:t>即中心城区核心，构建以玉兴街道、玉带街道、凤凰街道、李棋街道、高仓街道、大营街街道六个街道形成的城市核心区，高效挖掘存量空间，合理安排增量空间补齐公共服务设施短板。</w:t>
            </w:r>
          </w:p>
          <w:p w14:paraId="763B5196">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一轴：</w:t>
            </w:r>
            <w:r>
              <w:rPr>
                <w:rFonts w:hint="eastAsia" w:ascii="Times New Roman" w:hAnsi="Times New Roman" w:eastAsia="宋体" w:cs="Times New Roman"/>
                <w:color w:val="auto"/>
                <w:sz w:val="24"/>
                <w:szCs w:val="28"/>
                <w:highlight w:val="none"/>
                <w:lang w:val="en-US" w:eastAsia="zh-CN"/>
              </w:rPr>
              <w:t>即昆玉同城发展轴，联合昆明打造区域科创走廊，推动昆玉产业同链、交通同网、生态共治、民生同保。</w:t>
            </w:r>
          </w:p>
          <w:p w14:paraId="3AFE2F1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三廊：</w:t>
            </w:r>
            <w:r>
              <w:rPr>
                <w:rFonts w:hint="eastAsia" w:ascii="Times New Roman" w:hAnsi="Times New Roman" w:eastAsia="宋体" w:cs="Times New Roman"/>
                <w:color w:val="auto"/>
                <w:sz w:val="24"/>
                <w:szCs w:val="28"/>
                <w:highlight w:val="none"/>
                <w:lang w:val="en-US" w:eastAsia="zh-CN"/>
              </w:rPr>
              <w:t>指昆曼国际通道发展走廊、昆河国际通道发展走廊和红江融合发展走廊。依托昆磨高速、泛亚铁路中线，融入昆曼国际通道发展走廊；依托泛亚铁路东线，融入昆河国际通道发展走廊；以玉江快速通道、玉溪机场高速公路、北城至研和高速等交通廊道为支撑，构建红塔区、江川区融合发展走廊，促进红塔区、江川区一体化发展。</w:t>
            </w:r>
          </w:p>
          <w:p w14:paraId="7CFDF79C">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多片：</w:t>
            </w:r>
            <w:r>
              <w:rPr>
                <w:rFonts w:hint="eastAsia" w:ascii="Times New Roman" w:hAnsi="Times New Roman" w:eastAsia="宋体" w:cs="Times New Roman"/>
                <w:color w:val="auto"/>
                <w:sz w:val="24"/>
                <w:szCs w:val="28"/>
                <w:highlight w:val="none"/>
                <w:lang w:val="en-US" w:eastAsia="zh-CN"/>
              </w:rPr>
              <w:t>即依托老城区联动生态文化区、科教创新城、高铁新城、高新区南片区等重要片区形成的红塔区中心城区核心片区，带动周边片区联动发展。北部形成云南红塔产业园区卧牛山—青龙山片区以及高新区九龙片区；西部形成云南红塔产业园区观音山片区；南部形成云南红塔产业园区研和片区。</w:t>
            </w:r>
          </w:p>
          <w:p w14:paraId="12F86772">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本项目位于云南红塔产业园区研和片区</w:t>
            </w:r>
            <w:r>
              <w:rPr>
                <w:rFonts w:hint="eastAsia"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lang w:val="en-US" w:eastAsia="zh-CN"/>
              </w:rPr>
              <w:t>地块</w:t>
            </w:r>
            <w:r>
              <w:rPr>
                <w:rFonts w:hint="eastAsia" w:ascii="Times New Roman" w:hAnsi="Times New Roman" w:eastAsia="宋体" w:cs="Times New Roman"/>
                <w:color w:val="auto"/>
                <w:kern w:val="2"/>
                <w:sz w:val="24"/>
                <w:szCs w:val="24"/>
                <w:highlight w:val="none"/>
                <w:lang w:val="en-US" w:eastAsia="zh-CN" w:bidi="ar-SA"/>
              </w:rPr>
              <w:t>，项目所在地为工业用地，符合用地规划，本项目属于铁矿石加工项目，与中心城区发展规划不冲突，符合</w:t>
            </w:r>
            <w:r>
              <w:rPr>
                <w:rFonts w:hint="default" w:ascii="Times New Roman" w:hAnsi="Times New Roman" w:eastAsia="宋体" w:cs="Times New Roman"/>
                <w:color w:val="auto"/>
                <w:sz w:val="24"/>
                <w:szCs w:val="28"/>
                <w:highlight w:val="none"/>
                <w:lang w:val="en-US" w:eastAsia="zh-CN"/>
              </w:rPr>
              <w:t>《玉溪市红塔区国土空间总体规划（2021</w:t>
            </w:r>
            <w:r>
              <w:rPr>
                <w:rFonts w:hint="eastAsia" w:ascii="Times New Roman" w:hAnsi="Times New Roman"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lang w:val="en-US" w:eastAsia="zh-CN"/>
              </w:rPr>
              <w:t>2035年）》</w:t>
            </w:r>
            <w:r>
              <w:rPr>
                <w:rFonts w:hint="eastAsia" w:ascii="Times New Roman" w:hAnsi="Times New Roman" w:eastAsia="宋体" w:cs="Times New Roman"/>
                <w:color w:val="auto"/>
                <w:sz w:val="24"/>
                <w:szCs w:val="28"/>
                <w:highlight w:val="none"/>
                <w:lang w:val="en-US" w:eastAsia="zh-CN"/>
              </w:rPr>
              <w:t>要求。</w:t>
            </w:r>
          </w:p>
          <w:p w14:paraId="47680ABD">
            <w:pPr>
              <w:keepNext w:val="0"/>
              <w:keepLines/>
              <w:pageBreakBefore w:val="0"/>
              <w:widowControl w:val="0"/>
              <w:kinsoku/>
              <w:wordWrap w:val="0"/>
              <w:overflowPunct/>
              <w:topLinePunct/>
              <w:autoSpaceDE/>
              <w:autoSpaceDN/>
              <w:bidi w:val="0"/>
              <w:adjustRightInd w:val="0"/>
              <w:snapToGrid w:val="0"/>
              <w:spacing w:line="360" w:lineRule="auto"/>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选址合理性分析</w:t>
            </w:r>
          </w:p>
          <w:p w14:paraId="3FBEF73E">
            <w:pPr>
              <w:spacing w:line="360" w:lineRule="auto"/>
              <w:ind w:firstLine="480"/>
              <w:rPr>
                <w:rFonts w:hint="eastAsia" w:cs="宋体"/>
                <w:color w:val="auto"/>
                <w:kern w:val="0"/>
                <w:sz w:val="24"/>
                <w:lang w:eastAsia="zh-CN"/>
              </w:rPr>
            </w:pPr>
            <w:r>
              <w:rPr>
                <w:rFonts w:hint="default" w:ascii="Times New Roman" w:hAnsi="Times New Roman" w:eastAsia="宋体" w:cs="Times New Roman"/>
                <w:color w:val="auto"/>
                <w:kern w:val="0"/>
                <w:sz w:val="24"/>
                <w:szCs w:val="24"/>
                <w:highlight w:val="none"/>
              </w:rPr>
              <w:t>本项目位于云南红塔产业园区研和片区大坡头原武警教导队地块。项目周围</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00m范围没有需要特殊保护的文物、风景游览区、名胜古迹和</w:t>
            </w:r>
            <w:r>
              <w:rPr>
                <w:rFonts w:hint="eastAsia" w:ascii="Times New Roman" w:hAnsi="Times New Roman" w:cs="Times New Roman"/>
                <w:color w:val="auto"/>
                <w:kern w:val="0"/>
                <w:sz w:val="24"/>
                <w:szCs w:val="24"/>
                <w:highlight w:val="none"/>
                <w:lang w:eastAsia="zh-CN"/>
              </w:rPr>
              <w:t>文化和自然遗产</w:t>
            </w:r>
            <w:r>
              <w:rPr>
                <w:rFonts w:hint="default" w:ascii="Times New Roman" w:hAnsi="Times New Roman" w:eastAsia="宋体" w:cs="Times New Roman"/>
                <w:color w:val="auto"/>
                <w:kern w:val="0"/>
                <w:sz w:val="24"/>
                <w:szCs w:val="24"/>
                <w:highlight w:val="none"/>
              </w:rPr>
              <w:t>，不属于自然保护区、生活饮用水源保护区、风景名胜区、基本农田保护区、生态功能保护区和其他需要特别保护的范围。</w:t>
            </w:r>
            <w:r>
              <w:rPr>
                <w:rFonts w:hint="default" w:ascii="Times New Roman" w:hAnsi="Times New Roman" w:eastAsia="宋体" w:cs="Times New Roman"/>
                <w:color w:val="auto"/>
                <w:kern w:val="0"/>
                <w:sz w:val="24"/>
                <w:szCs w:val="24"/>
                <w:highlight w:val="none"/>
                <w:lang w:val="en-US" w:eastAsia="zh-CN"/>
              </w:rPr>
              <w:t>项目选址符合《玉溪市生态环境分区管控动态更新调整方案（2023年）》（玉市环〔2024〕40号）中的要求。项目于202</w:t>
            </w:r>
            <w:r>
              <w:rPr>
                <w:rFonts w:hint="eastAsia"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年</w:t>
            </w:r>
            <w:r>
              <w:rPr>
                <w:rFonts w:hint="eastAsia"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月</w:t>
            </w:r>
            <w:r>
              <w:rPr>
                <w:rFonts w:hint="eastAsia" w:ascii="Times New Roman" w:hAnsi="Times New Roman" w:eastAsia="宋体" w:cs="Times New Roman"/>
                <w:color w:val="auto"/>
                <w:kern w:val="0"/>
                <w:sz w:val="24"/>
                <w:szCs w:val="24"/>
                <w:highlight w:val="none"/>
                <w:lang w:val="en-US" w:eastAsia="zh-CN"/>
              </w:rPr>
              <w:t>26</w:t>
            </w:r>
            <w:r>
              <w:rPr>
                <w:rFonts w:hint="default" w:ascii="Times New Roman" w:hAnsi="Times New Roman" w:eastAsia="宋体" w:cs="Times New Roman"/>
                <w:color w:val="auto"/>
                <w:kern w:val="0"/>
                <w:sz w:val="24"/>
                <w:szCs w:val="24"/>
                <w:highlight w:val="none"/>
                <w:lang w:val="en-US" w:eastAsia="zh-CN"/>
              </w:rPr>
              <w:t>日取得</w:t>
            </w:r>
            <w:r>
              <w:rPr>
                <w:rFonts w:hint="eastAsia" w:ascii="Times New Roman" w:hAnsi="Times New Roman" w:eastAsia="宋体" w:cs="Times New Roman"/>
                <w:color w:val="auto"/>
                <w:kern w:val="0"/>
                <w:sz w:val="24"/>
                <w:highlight w:val="none"/>
                <w:lang w:val="en-US" w:eastAsia="zh-CN"/>
              </w:rPr>
              <w:t>云南红塔</w:t>
            </w:r>
            <w:r>
              <w:rPr>
                <w:rFonts w:hint="default" w:ascii="Times New Roman" w:hAnsi="Times New Roman" w:eastAsia="宋体" w:cs="Times New Roman"/>
                <w:color w:val="auto"/>
                <w:kern w:val="0"/>
                <w:sz w:val="24"/>
                <w:highlight w:val="none"/>
                <w:lang w:val="en-US" w:eastAsia="zh-CN"/>
              </w:rPr>
              <w:t>产业园区管理委员会</w:t>
            </w:r>
            <w:r>
              <w:rPr>
                <w:rFonts w:hint="default" w:ascii="Times New Roman" w:hAnsi="Times New Roman" w:eastAsia="宋体" w:cs="Times New Roman"/>
                <w:color w:val="auto"/>
                <w:kern w:val="0"/>
                <w:sz w:val="24"/>
                <w:szCs w:val="24"/>
                <w:highlight w:val="none"/>
                <w:lang w:val="en-US" w:eastAsia="zh-CN"/>
              </w:rPr>
              <w:t>的入园通知，同意项目入园（附件</w:t>
            </w:r>
            <w:r>
              <w:rPr>
                <w:rFonts w:hint="eastAsia"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cs="宋体"/>
                <w:color w:val="auto"/>
                <w:kern w:val="0"/>
                <w:sz w:val="24"/>
              </w:rPr>
              <w:t>项目运营过程中将产生一定量的环境污染物，主要为废气、废水和噪声；项目产生的废气主要为原料、成品</w:t>
            </w:r>
            <w:r>
              <w:rPr>
                <w:rFonts w:hint="eastAsia" w:cs="宋体"/>
                <w:color w:val="auto"/>
                <w:kern w:val="0"/>
                <w:sz w:val="24"/>
                <w:lang w:val="en-US" w:eastAsia="zh-CN"/>
              </w:rPr>
              <w:t>仓库</w:t>
            </w:r>
            <w:r>
              <w:rPr>
                <w:rFonts w:hint="eastAsia" w:ascii="Times New Roman" w:hAnsi="Times New Roman" w:cs="宋体"/>
                <w:color w:val="auto"/>
                <w:kern w:val="0"/>
                <w:sz w:val="24"/>
              </w:rPr>
              <w:t>堆放粉尘，原料及成品装卸粉尘，破碎筛分粉尘，运输扬尘和装载机燃油尾气，各类废气经相应的防治措施处理后均能达标排放；本项目</w:t>
            </w:r>
            <w:r>
              <w:rPr>
                <w:rFonts w:hint="eastAsia" w:cs="宋体"/>
                <w:color w:val="auto"/>
                <w:kern w:val="0"/>
                <w:sz w:val="24"/>
                <w:lang w:val="en-US" w:eastAsia="zh-CN"/>
              </w:rPr>
              <w:t>洗车废水沉淀后回用</w:t>
            </w:r>
            <w:r>
              <w:rPr>
                <w:rFonts w:hint="eastAsia" w:ascii="Times New Roman" w:hAnsi="Times New Roman" w:cs="宋体"/>
                <w:color w:val="auto"/>
                <w:kern w:val="0"/>
                <w:sz w:val="24"/>
              </w:rPr>
              <w:t>；食堂废水通过隔油池处理后，与其他生活污水一起进入化粪池处理，最后进入新建的污水处理站，处理达到《城市污水再生利用城市杂用水水质》（GB/T18920-2020）中的城市绿化标准后，回用于厂区绿化，不外排；项目产生的固体废物均按照相关规范要求进行贮存和处置，处置率达100%，有效避免了二次污染的发生，项目噪声经隔声、降噪、减震措施处理后对周围声环境影响小</w:t>
            </w:r>
            <w:r>
              <w:rPr>
                <w:rFonts w:hint="eastAsia" w:cs="宋体"/>
                <w:color w:val="auto"/>
                <w:kern w:val="0"/>
                <w:sz w:val="24"/>
                <w:lang w:eastAsia="zh-CN"/>
              </w:rPr>
              <w:t>。</w:t>
            </w:r>
          </w:p>
          <w:p w14:paraId="2379F84C">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宋体"/>
                <w:color w:val="auto"/>
                <w:kern w:val="0"/>
                <w:sz w:val="24"/>
              </w:rPr>
              <w:t>综上所述，项目对周边环境影响小，外环境对本项目无明显制约因素，因此项目选址较合理</w:t>
            </w:r>
            <w:r>
              <w:rPr>
                <w:rFonts w:hint="default" w:ascii="Times New Roman" w:hAnsi="Times New Roman" w:eastAsia="宋体" w:cs="Times New Roman"/>
                <w:color w:val="auto"/>
                <w:kern w:val="0"/>
                <w:sz w:val="24"/>
                <w:szCs w:val="24"/>
                <w:highlight w:val="none"/>
              </w:rPr>
              <w:t>。</w:t>
            </w:r>
          </w:p>
          <w:p w14:paraId="7A90EF07">
            <w:pPr>
              <w:spacing w:line="360" w:lineRule="auto"/>
              <w:ind w:firstLine="480" w:firstLineChars="200"/>
              <w:rPr>
                <w:rFonts w:hint="eastAsia" w:ascii="Times New Roman" w:hAnsi="Times New Roman" w:eastAsia="宋体" w:cs="Times New Roman"/>
                <w:bCs/>
                <w:color w:val="auto"/>
                <w:sz w:val="24"/>
                <w:highlight w:val="none"/>
              </w:rPr>
            </w:pPr>
          </w:p>
          <w:p w14:paraId="064CED9D">
            <w:pPr>
              <w:spacing w:line="360" w:lineRule="auto"/>
              <w:ind w:firstLine="480" w:firstLineChars="200"/>
              <w:rPr>
                <w:rFonts w:hint="eastAsia" w:ascii="Times New Roman" w:hAnsi="Times New Roman" w:eastAsia="宋体" w:cs="Times New Roman"/>
                <w:bCs/>
                <w:color w:val="auto"/>
                <w:sz w:val="24"/>
                <w:highlight w:val="none"/>
              </w:rPr>
            </w:pPr>
          </w:p>
          <w:p w14:paraId="1BCD4652">
            <w:pPr>
              <w:spacing w:line="360" w:lineRule="auto"/>
              <w:ind w:firstLine="480" w:firstLineChars="200"/>
              <w:rPr>
                <w:rFonts w:hint="eastAsia" w:ascii="Times New Roman" w:hAnsi="Times New Roman" w:eastAsia="宋体" w:cs="Times New Roman"/>
                <w:bCs/>
                <w:color w:val="auto"/>
                <w:sz w:val="24"/>
                <w:highlight w:val="none"/>
              </w:rPr>
            </w:pPr>
          </w:p>
          <w:p w14:paraId="3AB79A89">
            <w:pPr>
              <w:spacing w:line="360" w:lineRule="auto"/>
              <w:rPr>
                <w:rFonts w:hint="eastAsia" w:ascii="Times New Roman" w:hAnsi="Times New Roman"/>
                <w:color w:val="auto"/>
                <w:sz w:val="10"/>
                <w:szCs w:val="10"/>
                <w:highlight w:val="none"/>
                <w:lang w:val="zh-CN"/>
              </w:rPr>
            </w:pPr>
          </w:p>
        </w:tc>
      </w:tr>
    </w:tbl>
    <w:p w14:paraId="629ED9BF">
      <w:pPr>
        <w:spacing w:line="360" w:lineRule="auto"/>
        <w:outlineLvl w:val="0"/>
        <w:rPr>
          <w:rFonts w:ascii="Times New Roman" w:hAnsi="Times New Roman" w:eastAsia="黑体"/>
          <w:color w:val="auto"/>
          <w:sz w:val="30"/>
          <w:highlight w:val="none"/>
        </w:rPr>
        <w:sectPr>
          <w:footerReference r:id="rId4" w:type="default"/>
          <w:pgSz w:w="11905" w:h="16838"/>
          <w:pgMar w:top="1440" w:right="1701" w:bottom="1440" w:left="1701" w:header="851" w:footer="1077" w:gutter="0"/>
          <w:pgNumType w:start="1"/>
          <w:cols w:space="720" w:num="1"/>
          <w:docGrid w:type="lines" w:linePitch="317" w:charSpace="0"/>
        </w:sectPr>
      </w:pPr>
    </w:p>
    <w:p w14:paraId="26A2FAAC">
      <w:pPr>
        <w:pStyle w:val="30"/>
        <w:adjustRightInd w:val="0"/>
        <w:snapToGrid w:val="0"/>
        <w:spacing w:before="0" w:beforeAutospacing="0" w:after="0" w:afterAutospacing="0" w:line="360" w:lineRule="auto"/>
        <w:jc w:val="center"/>
        <w:outlineLvl w:val="0"/>
        <w:rPr>
          <w:rFonts w:ascii="Times New Roman" w:hAnsi="Times New Roman" w:eastAsia="黑体"/>
          <w:b/>
          <w:bCs/>
          <w:snapToGrid w:val="0"/>
          <w:color w:val="auto"/>
          <w:sz w:val="30"/>
          <w:szCs w:val="30"/>
          <w:highlight w:val="none"/>
        </w:rPr>
      </w:pPr>
      <w:bookmarkStart w:id="5" w:name="_Toc137737892"/>
      <w:r>
        <w:rPr>
          <w:rFonts w:hint="eastAsia" w:ascii="Times New Roman" w:hAnsi="Times New Roman" w:eastAsia="黑体"/>
          <w:b/>
          <w:bCs/>
          <w:snapToGrid w:val="0"/>
          <w:color w:val="auto"/>
          <w:sz w:val="30"/>
          <w:szCs w:val="30"/>
          <w:highlight w:val="none"/>
        </w:rPr>
        <w:t>二、建设项目工程分析</w:t>
      </w:r>
      <w:bookmarkEnd w:id="5"/>
    </w:p>
    <w:tbl>
      <w:tblPr>
        <w:tblStyle w:val="35"/>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
        <w:gridCol w:w="8501"/>
      </w:tblGrid>
      <w:tr w14:paraId="4D238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83" w:type="dxa"/>
            <w:noWrap w:val="0"/>
            <w:vAlign w:val="center"/>
          </w:tcPr>
          <w:p w14:paraId="04761839">
            <w:pPr>
              <w:pStyle w:val="30"/>
              <w:adjustRightInd w:val="0"/>
              <w:snapToGrid w:val="0"/>
              <w:spacing w:before="0" w:beforeAutospacing="0" w:after="0" w:afterAutospacing="0"/>
              <w:jc w:val="center"/>
              <w:rPr>
                <w:rFonts w:ascii="Times New Roman" w:hAnsi="Times New Roman" w:cs="宋体"/>
                <w:b/>
                <w:bCs/>
                <w:color w:val="auto"/>
                <w:szCs w:val="24"/>
                <w:highlight w:val="none"/>
              </w:rPr>
            </w:pPr>
            <w:r>
              <w:rPr>
                <w:rFonts w:hint="eastAsia" w:ascii="Times New Roman" w:hAnsi="Times New Roman" w:cs="宋体"/>
                <w:b/>
                <w:bCs/>
                <w:color w:val="auto"/>
                <w:szCs w:val="24"/>
                <w:highlight w:val="none"/>
              </w:rPr>
              <w:t>建设内容</w:t>
            </w:r>
          </w:p>
        </w:tc>
        <w:tc>
          <w:tcPr>
            <w:tcW w:w="8501" w:type="dxa"/>
            <w:noWrap w:val="0"/>
            <w:vAlign w:val="top"/>
          </w:tcPr>
          <w:p w14:paraId="596634A9">
            <w:pPr>
              <w:adjustRightInd w:val="0"/>
              <w:snapToGrid w:val="0"/>
              <w:spacing w:line="360" w:lineRule="auto"/>
              <w:outlineLvl w:val="1"/>
              <w:rPr>
                <w:rFonts w:hint="default" w:ascii="Times New Roman" w:hAnsi="Times New Roman" w:eastAsia="宋体"/>
                <w:b/>
                <w:color w:val="auto"/>
                <w:sz w:val="24"/>
                <w:highlight w:val="none"/>
                <w:lang w:val="en-US" w:eastAsia="zh-CN"/>
              </w:rPr>
            </w:pPr>
            <w:bookmarkStart w:id="6" w:name="_Toc137737893"/>
            <w:r>
              <w:rPr>
                <w:rFonts w:hint="eastAsia" w:ascii="Times New Roman" w:hAnsi="Times New Roman"/>
                <w:b/>
                <w:color w:val="auto"/>
                <w:sz w:val="24"/>
                <w:highlight w:val="none"/>
                <w:lang w:val="en-US" w:eastAsia="zh-CN"/>
              </w:rPr>
              <w:t>一、项目由来</w:t>
            </w:r>
          </w:p>
          <w:p w14:paraId="0711DBE0">
            <w:pPr>
              <w:adjustRightInd w:val="0"/>
              <w:snapToGrid w:val="0"/>
              <w:spacing w:line="360" w:lineRule="auto"/>
              <w:ind w:firstLine="480" w:firstLineChars="200"/>
              <w:rPr>
                <w:rFonts w:hint="eastAsia" w:ascii="Times New Roman" w:hAnsi="Times New Roman" w:cs="黑体"/>
                <w:color w:val="auto"/>
                <w:sz w:val="24"/>
                <w:highlight w:val="none"/>
                <w:lang w:eastAsia="zh-CN"/>
              </w:rPr>
            </w:pPr>
            <w:r>
              <w:rPr>
                <w:rFonts w:hint="eastAsia" w:ascii="Times New Roman" w:hAnsi="Times New Roman" w:cs="黑体"/>
                <w:color w:val="auto"/>
                <w:sz w:val="24"/>
                <w:highlight w:val="none"/>
                <w:lang w:eastAsia="zh-CN"/>
              </w:rPr>
              <w:t>玉溪振天经贸有限公司成立于2025年9月4日，经营范围涵盖金属矿石销售、矿物洗选加工、煤炭及制品销售、货物进出口、国内贸易代理等业务。</w:t>
            </w:r>
          </w:p>
          <w:p w14:paraId="6BD72150">
            <w:pPr>
              <w:adjustRightInd w:val="0"/>
              <w:snapToGrid w:val="0"/>
              <w:spacing w:line="360" w:lineRule="auto"/>
              <w:ind w:firstLine="480" w:firstLineChars="200"/>
              <w:rPr>
                <w:rFonts w:hint="eastAsia" w:ascii="Times New Roman" w:hAnsi="Times New Roman" w:cs="黑体"/>
                <w:color w:val="auto"/>
                <w:sz w:val="24"/>
                <w:highlight w:val="none"/>
                <w:lang w:eastAsia="zh-CN"/>
              </w:rPr>
            </w:pPr>
            <w:r>
              <w:rPr>
                <w:rFonts w:hint="eastAsia" w:ascii="Times New Roman" w:hAnsi="Times New Roman" w:cs="黑体"/>
                <w:color w:val="auto"/>
                <w:sz w:val="24"/>
                <w:highlight w:val="none"/>
                <w:lang w:eastAsia="zh-CN"/>
              </w:rPr>
              <w:t>本项目选址于云南红塔产业园区研和片区二地块，该地块原为武警教导队用地，后因该单位搬迁而闲置。云南红塔产业园区管委会对该闲置地块实施收储后，完成了地表建筑物拆除、场地平整等前期整理工作，同步保留了水电管网等相关配套设施，为项目建设提供了基础条件。本项目拟依托该整理后地块，建设铁矿石加工车间、成品库，配套设置破碎机、筛分设备、输送带等生产设施，建成3条铁矿石加工生产线；同时，在地块东南侧新建大车充电区、食堂、宿舍楼、办公楼及其他相关配套设施。项目建成后，将形成年处理120万吨铁矿石的综合加工规模。目前，本项目已取得玉溪市红塔区发展和改革局出具的项目投资备案证，项目代码为2509-530402-04-01-419818。</w:t>
            </w:r>
          </w:p>
          <w:p w14:paraId="55B44F41">
            <w:pPr>
              <w:adjustRightInd w:val="0"/>
              <w:snapToGrid w:val="0"/>
              <w:spacing w:line="360" w:lineRule="auto"/>
              <w:ind w:firstLine="480" w:firstLineChars="200"/>
              <w:rPr>
                <w:rFonts w:hint="eastAsia" w:ascii="Times New Roman" w:hAnsi="Times New Roman" w:cs="黑体"/>
                <w:color w:val="auto"/>
                <w:sz w:val="24"/>
                <w:highlight w:val="none"/>
              </w:rPr>
            </w:pPr>
            <w:r>
              <w:rPr>
                <w:rFonts w:hint="eastAsia" w:ascii="Times New Roman" w:hAnsi="Times New Roman" w:cs="黑体"/>
                <w:color w:val="auto"/>
                <w:sz w:val="24"/>
                <w:highlight w:val="none"/>
                <w:lang w:eastAsia="zh-CN"/>
              </w:rPr>
              <w:t>根据《中华人民共和国环境影响评价法》《建设项目环境保护管理条例》（国务院第253号令）以及《建设项目环境影响评价分类管理目录》（2021版，生态环境部令第16号）的有关规定，经对照确认，本建设项目类别属于“六、黑色金属矿采选业 9、单独的矿石破碎、集运”，按照相关要求应编制环境影响报告表。为此，项目建设单位玉溪振天经贸有限公司于2026年1月正式委托</w:t>
            </w:r>
            <w:r>
              <w:rPr>
                <w:rFonts w:hint="eastAsia" w:cs="黑体"/>
                <w:color w:val="auto"/>
                <w:sz w:val="24"/>
                <w:highlight w:val="none"/>
                <w:lang w:eastAsia="zh-CN"/>
              </w:rPr>
              <w:t>云南畅泓环境技术工程有限公司</w:t>
            </w:r>
            <w:r>
              <w:rPr>
                <w:rFonts w:hint="eastAsia" w:ascii="Times New Roman" w:hAnsi="Times New Roman" w:cs="黑体"/>
                <w:color w:val="auto"/>
                <w:sz w:val="24"/>
                <w:highlight w:val="none"/>
                <w:lang w:eastAsia="zh-CN"/>
              </w:rPr>
              <w:t>承担本项目的环境影响评价工作。我公司（</w:t>
            </w:r>
            <w:r>
              <w:rPr>
                <w:rFonts w:hint="eastAsia" w:cs="黑体"/>
                <w:color w:val="auto"/>
                <w:sz w:val="24"/>
                <w:highlight w:val="none"/>
                <w:lang w:eastAsia="zh-CN"/>
              </w:rPr>
              <w:t>云南畅泓环境技术工程有限公司</w:t>
            </w:r>
            <w:r>
              <w:rPr>
                <w:rFonts w:hint="eastAsia" w:ascii="Times New Roman" w:hAnsi="Times New Roman" w:cs="黑体"/>
                <w:color w:val="auto"/>
                <w:sz w:val="24"/>
                <w:highlight w:val="none"/>
                <w:lang w:eastAsia="zh-CN"/>
              </w:rPr>
              <w:t>）承接委托后，结合本项目实际特点，组织专业技术人员对项目区域进行了实地踏勘，系统收集了项目所在地自然环境、社会环境及环境质量现状等相关基础资料。在此基础上，严格遵循国家环境保护相关法律法规、标准规范及环境影响评价技术导则，编制完成本项目环境影响报告表，供建设单位上报生态环境行政管理部门审批，作为项目后续环境管理工作的重要依据。</w:t>
            </w:r>
          </w:p>
          <w:p w14:paraId="064DD948">
            <w:pPr>
              <w:adjustRightInd w:val="0"/>
              <w:snapToGrid w:val="0"/>
              <w:spacing w:line="360" w:lineRule="auto"/>
              <w:outlineLvl w:val="1"/>
              <w:rPr>
                <w:rFonts w:ascii="Times New Roman" w:hAnsi="Times New Roman"/>
                <w:b/>
                <w:color w:val="auto"/>
                <w:sz w:val="24"/>
                <w:highlight w:val="none"/>
              </w:rPr>
            </w:pPr>
            <w:r>
              <w:rPr>
                <w:rFonts w:hint="eastAsia" w:ascii="Times New Roman" w:hAnsi="Times New Roman"/>
                <w:b/>
                <w:color w:val="auto"/>
                <w:sz w:val="24"/>
                <w:highlight w:val="none"/>
                <w:lang w:val="en-US" w:eastAsia="zh-CN"/>
              </w:rPr>
              <w:t>二</w:t>
            </w:r>
            <w:r>
              <w:rPr>
                <w:rFonts w:ascii="Times New Roman" w:hAnsi="Times New Roman"/>
                <w:b/>
                <w:color w:val="auto"/>
                <w:sz w:val="24"/>
                <w:highlight w:val="none"/>
              </w:rPr>
              <w:t>、项目概况</w:t>
            </w:r>
            <w:bookmarkEnd w:id="6"/>
          </w:p>
          <w:p w14:paraId="02417BA9">
            <w:pPr>
              <w:pStyle w:val="70"/>
              <w:ind w:firstLine="480"/>
              <w:rPr>
                <w:rFonts w:hint="eastAsia" w:ascii="Times New Roman" w:hAnsi="Times New Roman" w:eastAsia="宋体"/>
                <w:snapToGrid w:val="0"/>
                <w:color w:val="auto"/>
                <w:kern w:val="24"/>
                <w:sz w:val="24"/>
                <w:highlight w:val="none"/>
                <w:lang w:eastAsia="zh-CN"/>
              </w:rPr>
            </w:pPr>
            <w:r>
              <w:rPr>
                <w:rFonts w:ascii="Times New Roman" w:hAnsi="Times New Roman"/>
                <w:color w:val="auto"/>
                <w:sz w:val="24"/>
                <w:highlight w:val="none"/>
                <w:lang w:val="zh-CN"/>
              </w:rPr>
              <w:t>项目名称：</w:t>
            </w:r>
            <w:r>
              <w:rPr>
                <w:rFonts w:hint="eastAsia" w:ascii="Times New Roman" w:hAnsi="Times New Roman"/>
                <w:color w:val="auto"/>
                <w:sz w:val="24"/>
                <w:highlight w:val="none"/>
                <w:lang w:eastAsia="zh-CN"/>
              </w:rPr>
              <w:t>矿石智能化集散贸易加工中心建设项目</w:t>
            </w:r>
          </w:p>
          <w:p w14:paraId="38C92652">
            <w:pPr>
              <w:pStyle w:val="70"/>
              <w:ind w:firstLine="480"/>
              <w:rPr>
                <w:rFonts w:hint="eastAsia" w:ascii="Times New Roman" w:hAnsi="Times New Roman" w:eastAsia="宋体"/>
                <w:color w:val="auto"/>
                <w:sz w:val="24"/>
                <w:highlight w:val="none"/>
                <w:lang w:val="zh-CN" w:eastAsia="zh-CN"/>
              </w:rPr>
            </w:pPr>
            <w:r>
              <w:rPr>
                <w:rFonts w:ascii="Times New Roman" w:hAnsi="Times New Roman"/>
                <w:color w:val="auto"/>
                <w:sz w:val="24"/>
                <w:highlight w:val="none"/>
                <w:lang w:val="zh-CN"/>
              </w:rPr>
              <w:t>建设单位：</w:t>
            </w:r>
            <w:r>
              <w:rPr>
                <w:rFonts w:hint="eastAsia" w:ascii="Times New Roman" w:hAnsi="Times New Roman"/>
                <w:color w:val="auto"/>
                <w:sz w:val="24"/>
                <w:highlight w:val="none"/>
                <w:lang w:eastAsia="zh-CN"/>
              </w:rPr>
              <w:t>玉溪振天经贸有限公司</w:t>
            </w:r>
          </w:p>
          <w:p w14:paraId="53AEFBCB">
            <w:pPr>
              <w:pStyle w:val="70"/>
              <w:ind w:firstLine="480"/>
              <w:rPr>
                <w:rFonts w:hint="eastAsia" w:ascii="Times New Roman" w:hAnsi="Times New Roman"/>
                <w:color w:val="auto"/>
                <w:sz w:val="24"/>
                <w:highlight w:val="none"/>
                <w:lang w:val="zh-CN"/>
              </w:rPr>
            </w:pPr>
            <w:r>
              <w:rPr>
                <w:rFonts w:ascii="Times New Roman" w:hAnsi="Times New Roman"/>
                <w:color w:val="auto"/>
                <w:sz w:val="24"/>
                <w:highlight w:val="none"/>
                <w:lang w:val="zh-CN"/>
              </w:rPr>
              <w:t>投资：</w:t>
            </w:r>
            <w:r>
              <w:rPr>
                <w:rFonts w:hint="eastAsia" w:ascii="Times New Roman" w:hAnsi="Times New Roman"/>
                <w:color w:val="auto"/>
                <w:sz w:val="24"/>
                <w:highlight w:val="none"/>
                <w:lang w:val="zh-CN"/>
              </w:rPr>
              <w:t>项目总投资</w:t>
            </w:r>
            <w:r>
              <w:rPr>
                <w:rFonts w:hint="eastAsia" w:ascii="Times New Roman" w:hAnsi="Times New Roman"/>
                <w:color w:val="auto"/>
                <w:sz w:val="24"/>
                <w:highlight w:val="none"/>
                <w:lang w:val="en-US" w:eastAsia="zh-CN"/>
              </w:rPr>
              <w:t>12000</w:t>
            </w:r>
            <w:r>
              <w:rPr>
                <w:rFonts w:ascii="Times New Roman" w:hAnsi="Times New Roman"/>
                <w:color w:val="auto"/>
                <w:kern w:val="24"/>
                <w:sz w:val="24"/>
                <w:highlight w:val="none"/>
              </w:rPr>
              <w:t>万元</w:t>
            </w:r>
          </w:p>
          <w:p w14:paraId="7C10C644">
            <w:pPr>
              <w:pStyle w:val="70"/>
              <w:ind w:firstLine="480"/>
              <w:rPr>
                <w:rFonts w:hint="eastAsia" w:ascii="Times New Roman" w:hAnsi="Times New Roman" w:eastAsia="宋体"/>
                <w:color w:val="auto"/>
                <w:sz w:val="24"/>
                <w:highlight w:val="none"/>
                <w:lang w:val="zh-CN" w:eastAsia="zh-CN"/>
              </w:rPr>
            </w:pPr>
            <w:r>
              <w:rPr>
                <w:rFonts w:ascii="Times New Roman" w:hAnsi="Times New Roman"/>
                <w:color w:val="auto"/>
                <w:sz w:val="24"/>
                <w:highlight w:val="none"/>
                <w:lang w:val="zh-CN"/>
              </w:rPr>
              <w:t>建设性质：</w:t>
            </w:r>
            <w:r>
              <w:rPr>
                <w:rFonts w:hint="eastAsia" w:ascii="Times New Roman" w:hAnsi="Times New Roman"/>
                <w:color w:val="auto"/>
                <w:sz w:val="24"/>
                <w:highlight w:val="none"/>
                <w:lang w:val="en-US" w:eastAsia="zh-CN"/>
              </w:rPr>
              <w:t>新建</w:t>
            </w:r>
          </w:p>
          <w:p w14:paraId="16A683FF">
            <w:pPr>
              <w:pStyle w:val="70"/>
              <w:ind w:firstLine="480"/>
              <w:rPr>
                <w:rFonts w:hint="eastAsia" w:ascii="Times New Roman" w:hAnsi="Times New Roman" w:eastAsia="宋体"/>
                <w:color w:val="auto"/>
                <w:kern w:val="24"/>
                <w:sz w:val="24"/>
                <w:highlight w:val="none"/>
                <w:lang w:val="en-US" w:eastAsia="zh-CN"/>
              </w:rPr>
            </w:pPr>
            <w:r>
              <w:rPr>
                <w:rFonts w:ascii="Times New Roman" w:hAnsi="Times New Roman"/>
                <w:color w:val="auto"/>
                <w:kern w:val="24"/>
                <w:sz w:val="24"/>
                <w:highlight w:val="none"/>
                <w:lang w:val="zh-CN"/>
              </w:rPr>
              <w:t>建设地点：</w:t>
            </w:r>
            <w:r>
              <w:rPr>
                <w:rFonts w:hint="eastAsia" w:ascii="Times New Roman" w:hAnsi="Times New Roman"/>
                <w:color w:val="auto"/>
                <w:sz w:val="24"/>
                <w:highlight w:val="none"/>
                <w:lang w:eastAsia="zh-CN"/>
              </w:rPr>
              <w:t>云南红塔产业园区研和片区大坡头原武警教导队地块</w:t>
            </w:r>
          </w:p>
          <w:p w14:paraId="18572219">
            <w:pPr>
              <w:pStyle w:val="70"/>
              <w:ind w:firstLine="480"/>
              <w:rPr>
                <w:rFonts w:ascii="Times New Roman" w:hAnsi="Times New Roman"/>
                <w:color w:val="auto"/>
                <w:sz w:val="24"/>
                <w:highlight w:val="none"/>
              </w:rPr>
            </w:pPr>
            <w:bookmarkStart w:id="7" w:name="_Toc22318"/>
            <w:r>
              <w:rPr>
                <w:rFonts w:ascii="Times New Roman" w:hAnsi="Times New Roman"/>
                <w:color w:val="auto"/>
                <w:sz w:val="24"/>
                <w:highlight w:val="none"/>
              </w:rPr>
              <w:t>建设规模：</w:t>
            </w:r>
            <w:bookmarkEnd w:id="7"/>
            <w:r>
              <w:rPr>
                <w:rFonts w:hint="eastAsia" w:ascii="Times New Roman" w:hAnsi="Times New Roman"/>
                <w:color w:val="auto"/>
                <w:sz w:val="24"/>
                <w:highlight w:val="none"/>
                <w:lang w:val="en-US" w:eastAsia="zh-CN"/>
              </w:rPr>
              <w:t>年加工120万吨铁矿石加工生产线</w:t>
            </w:r>
            <w:r>
              <w:rPr>
                <w:rFonts w:hint="eastAsia" w:ascii="Times New Roman" w:hAnsi="Times New Roman"/>
                <w:color w:val="auto"/>
                <w:sz w:val="24"/>
                <w:highlight w:val="none"/>
              </w:rPr>
              <w:t>。</w:t>
            </w:r>
          </w:p>
          <w:p w14:paraId="3DE3BCBB">
            <w:pPr>
              <w:adjustRightInd w:val="0"/>
              <w:snapToGrid w:val="0"/>
              <w:spacing w:line="360" w:lineRule="auto"/>
              <w:outlineLvl w:val="1"/>
              <w:rPr>
                <w:rFonts w:ascii="Times New Roman" w:hAnsi="Times New Roman"/>
                <w:b/>
                <w:color w:val="auto"/>
                <w:sz w:val="24"/>
                <w:highlight w:val="none"/>
              </w:rPr>
            </w:pPr>
            <w:r>
              <w:rPr>
                <w:rFonts w:hint="eastAsia" w:ascii="Times New Roman" w:hAnsi="Times New Roman"/>
                <w:b/>
                <w:color w:val="auto"/>
                <w:sz w:val="24"/>
                <w:highlight w:val="none"/>
                <w:lang w:val="en-US" w:eastAsia="zh-CN"/>
              </w:rPr>
              <w:t>三</w:t>
            </w:r>
            <w:r>
              <w:rPr>
                <w:rFonts w:hint="eastAsia" w:ascii="Times New Roman" w:hAnsi="Times New Roman"/>
                <w:b/>
                <w:color w:val="auto"/>
                <w:sz w:val="24"/>
                <w:highlight w:val="none"/>
              </w:rPr>
              <w:t>、</w:t>
            </w:r>
            <w:r>
              <w:rPr>
                <w:rFonts w:ascii="Times New Roman" w:hAnsi="Times New Roman"/>
                <w:b/>
                <w:color w:val="auto"/>
                <w:sz w:val="24"/>
                <w:highlight w:val="none"/>
              </w:rPr>
              <w:t>工程内容</w:t>
            </w:r>
          </w:p>
          <w:p w14:paraId="1409A4FD">
            <w:pPr>
              <w:pStyle w:val="70"/>
              <w:ind w:firstLine="480"/>
              <w:rPr>
                <w:rFonts w:ascii="Times New Roman" w:hAnsi="Times New Roman" w:cs="黑体"/>
                <w:color w:val="auto"/>
                <w:sz w:val="24"/>
                <w:highlight w:val="none"/>
              </w:rPr>
            </w:pPr>
            <w:r>
              <w:rPr>
                <w:rFonts w:hint="eastAsia" w:ascii="Times New Roman" w:hAnsi="Times New Roman"/>
                <w:color w:val="auto"/>
                <w:kern w:val="1"/>
                <w:sz w:val="24"/>
                <w:szCs w:val="20"/>
                <w:highlight w:val="none"/>
              </w:rPr>
              <w:t>本项目位于</w:t>
            </w:r>
            <w:r>
              <w:rPr>
                <w:rFonts w:hint="eastAsia" w:ascii="Times New Roman" w:hAnsi="Times New Roman"/>
                <w:color w:val="auto"/>
                <w:sz w:val="24"/>
                <w:highlight w:val="none"/>
                <w:lang w:eastAsia="zh-CN"/>
              </w:rPr>
              <w:t>云南红塔产业园区研和片区</w:t>
            </w:r>
            <w:r>
              <w:rPr>
                <w:rFonts w:hint="eastAsia" w:ascii="Times New Roman" w:hAnsi="Times New Roman"/>
                <w:color w:val="auto"/>
                <w:sz w:val="24"/>
                <w:highlight w:val="none"/>
                <w:lang w:val="en-US" w:eastAsia="zh-CN"/>
              </w:rPr>
              <w:t>二地块</w:t>
            </w:r>
            <w:r>
              <w:rPr>
                <w:rFonts w:hint="eastAsia" w:ascii="Times New Roman" w:hAnsi="Times New Roman"/>
                <w:color w:val="auto"/>
                <w:kern w:val="1"/>
                <w:sz w:val="24"/>
                <w:szCs w:val="20"/>
                <w:highlight w:val="none"/>
              </w:rPr>
              <w:t>，</w:t>
            </w:r>
            <w:r>
              <w:rPr>
                <w:rFonts w:hint="eastAsia" w:ascii="Times New Roman" w:hAnsi="Times New Roman"/>
                <w:color w:val="auto"/>
                <w:sz w:val="24"/>
                <w:highlight w:val="none"/>
                <w:lang w:val="en-US" w:eastAsia="zh-CN"/>
              </w:rPr>
              <w:t>总厂区面积71280m</w:t>
            </w:r>
            <w:r>
              <w:rPr>
                <w:rFonts w:hint="eastAsia" w:ascii="Times New Roman" w:hAnsi="Times New Roman"/>
                <w:color w:val="auto"/>
                <w:sz w:val="24"/>
                <w:highlight w:val="none"/>
                <w:vertAlign w:val="superscript"/>
                <w:lang w:val="en-US" w:eastAsia="zh-CN"/>
              </w:rPr>
              <w:t>2</w:t>
            </w:r>
            <w:r>
              <w:rPr>
                <w:rFonts w:hint="eastAsia" w:ascii="Times New Roman" w:hAnsi="Times New Roman"/>
                <w:color w:val="auto"/>
                <w:sz w:val="24"/>
                <w:highlight w:val="none"/>
                <w:vertAlign w:val="baseline"/>
                <w:lang w:val="en-US" w:eastAsia="zh-CN"/>
              </w:rPr>
              <w:t>。</w:t>
            </w:r>
            <w:r>
              <w:rPr>
                <w:rFonts w:hint="eastAsia" w:ascii="Times New Roman" w:hAnsi="Times New Roman" w:cs="黑体"/>
                <w:color w:val="auto"/>
                <w:sz w:val="24"/>
                <w:highlight w:val="none"/>
                <w:lang w:eastAsia="zh-CN"/>
              </w:rPr>
              <w:t>建设铁矿石加工车间、成品库，配套设置破碎机、筛分设备、输送带等生产设施，建成3条铁矿石加工生产线；同时，在地块东南侧新建大车充电区、食堂、宿舍楼、办公楼及其他相关配套设施</w:t>
            </w:r>
            <w:r>
              <w:rPr>
                <w:rFonts w:hint="eastAsia" w:ascii="Times New Roman" w:hAnsi="Times New Roman"/>
                <w:color w:val="auto"/>
                <w:kern w:val="0"/>
                <w:sz w:val="24"/>
                <w:highlight w:val="none"/>
              </w:rPr>
              <w:t>。项目主要建设工程内容见下</w:t>
            </w:r>
            <w:r>
              <w:rPr>
                <w:rFonts w:hint="eastAsia" w:ascii="Times New Roman" w:hAnsi="Times New Roman"/>
                <w:color w:val="auto"/>
                <w:sz w:val="24"/>
                <w:szCs w:val="20"/>
                <w:highlight w:val="none"/>
              </w:rPr>
              <w:t>表</w:t>
            </w:r>
            <w:r>
              <w:rPr>
                <w:rFonts w:ascii="Times New Roman" w:hAnsi="Times New Roman"/>
                <w:color w:val="auto"/>
                <w:sz w:val="24"/>
                <w:szCs w:val="20"/>
                <w:highlight w:val="none"/>
              </w:rPr>
              <w:t>。</w:t>
            </w:r>
          </w:p>
          <w:p w14:paraId="5F309233">
            <w:pPr>
              <w:pStyle w:val="66"/>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表2.1.</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-1本项目工程组成一览表</w:t>
            </w:r>
          </w:p>
          <w:tbl>
            <w:tblPr>
              <w:tblStyle w:val="35"/>
              <w:tblW w:w="83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426"/>
              <w:gridCol w:w="1206"/>
              <w:gridCol w:w="5993"/>
            </w:tblGrid>
            <w:tr w14:paraId="06DB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330" w:type="dxa"/>
                  <w:gridSpan w:val="3"/>
                  <w:shd w:val="clear" w:color="auto" w:fill="D9D9D9"/>
                  <w:noWrap w:val="0"/>
                  <w:vAlign w:val="top"/>
                </w:tcPr>
                <w:p w14:paraId="3F08569E">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名称</w:t>
                  </w:r>
                </w:p>
              </w:tc>
              <w:tc>
                <w:tcPr>
                  <w:tcW w:w="5993" w:type="dxa"/>
                  <w:shd w:val="clear" w:color="auto" w:fill="D9D9D9"/>
                  <w:noWrap w:val="0"/>
                  <w:vAlign w:val="top"/>
                </w:tcPr>
                <w:p w14:paraId="7AEEA2D3">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建设内容及规模</w:t>
                  </w:r>
                </w:p>
              </w:tc>
            </w:tr>
            <w:tr w14:paraId="4478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noWrap w:val="0"/>
                  <w:vAlign w:val="center"/>
                </w:tcPr>
                <w:p w14:paraId="38D2A9AF">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主体工程</w:t>
                  </w:r>
                </w:p>
              </w:tc>
              <w:tc>
                <w:tcPr>
                  <w:tcW w:w="1632" w:type="dxa"/>
                  <w:gridSpan w:val="2"/>
                  <w:noWrap w:val="0"/>
                  <w:vAlign w:val="center"/>
                </w:tcPr>
                <w:p w14:paraId="590A7C56">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olor w:val="auto"/>
                      <w:kern w:val="1"/>
                      <w:sz w:val="21"/>
                      <w:szCs w:val="21"/>
                      <w:highlight w:val="none"/>
                      <w:lang w:val="en-US"/>
                    </w:rPr>
                  </w:pPr>
                  <w:r>
                    <w:rPr>
                      <w:rFonts w:hint="eastAsia" w:ascii="Times New Roman" w:hAnsi="Times New Roman" w:eastAsia="宋体"/>
                      <w:color w:val="auto"/>
                      <w:kern w:val="1"/>
                      <w:sz w:val="21"/>
                      <w:szCs w:val="21"/>
                      <w:highlight w:val="none"/>
                      <w:lang w:val="en-US" w:eastAsia="zh-CN"/>
                    </w:rPr>
                    <w:t>铁矿石加工车间</w:t>
                  </w:r>
                </w:p>
              </w:tc>
              <w:tc>
                <w:tcPr>
                  <w:tcW w:w="5993" w:type="dxa"/>
                  <w:tcBorders>
                    <w:bottom w:val="single" w:color="auto" w:sz="4" w:space="0"/>
                  </w:tcBorders>
                  <w:noWrap w:val="0"/>
                  <w:vAlign w:val="center"/>
                </w:tcPr>
                <w:p w14:paraId="2E5D17EF">
                  <w:pPr>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olor w:val="auto"/>
                      <w:kern w:val="1"/>
                      <w:sz w:val="21"/>
                      <w:szCs w:val="21"/>
                      <w:highlight w:val="none"/>
                      <w:vertAlign w:val="baseline"/>
                      <w:lang w:val="en-US" w:eastAsia="zh-CN"/>
                    </w:rPr>
                  </w:pPr>
                  <w:r>
                    <w:rPr>
                      <w:rFonts w:hint="eastAsia" w:ascii="Times New Roman" w:hAnsi="Times New Roman" w:eastAsia="宋体"/>
                      <w:color w:val="auto"/>
                      <w:kern w:val="1"/>
                      <w:sz w:val="21"/>
                      <w:szCs w:val="21"/>
                      <w:highlight w:val="none"/>
                      <w:vertAlign w:val="baseline"/>
                      <w:lang w:val="en-US" w:eastAsia="zh-CN"/>
                    </w:rPr>
                    <w:t>设置3个独立车间，3条生产线，每条生产线占地300m</w:t>
                  </w:r>
                  <w:r>
                    <w:rPr>
                      <w:rFonts w:hint="eastAsia" w:ascii="Times New Roman" w:hAnsi="Times New Roman" w:eastAsia="宋体"/>
                      <w:color w:val="auto"/>
                      <w:kern w:val="1"/>
                      <w:sz w:val="21"/>
                      <w:szCs w:val="21"/>
                      <w:highlight w:val="none"/>
                      <w:vertAlign w:val="superscript"/>
                      <w:lang w:val="en-US" w:eastAsia="zh-CN"/>
                    </w:rPr>
                    <w:t>2</w:t>
                  </w:r>
                  <w:r>
                    <w:rPr>
                      <w:rFonts w:hint="eastAsia" w:ascii="Times New Roman" w:hAnsi="Times New Roman" w:eastAsia="宋体"/>
                      <w:color w:val="auto"/>
                      <w:kern w:val="1"/>
                      <w:sz w:val="21"/>
                      <w:szCs w:val="21"/>
                      <w:highlight w:val="none"/>
                      <w:vertAlign w:val="baseline"/>
                      <w:lang w:val="en-US" w:eastAsia="zh-CN"/>
                    </w:rPr>
                    <w:t>，均为封闭的生产车间</w:t>
                  </w:r>
                  <w:r>
                    <w:rPr>
                      <w:rFonts w:hint="eastAsia" w:ascii="Times New Roman" w:hAnsi="Times New Roman" w:eastAsia="宋体" w:cs="Times New Roman"/>
                      <w:color w:val="auto"/>
                      <w:sz w:val="21"/>
                      <w:szCs w:val="21"/>
                      <w:highlight w:val="none"/>
                      <w:vertAlign w:val="baseline"/>
                      <w:lang w:val="en-US" w:eastAsia="zh-CN"/>
                    </w:rPr>
                    <w:t>，第一生产线位于中部偏北，第二生产线位于厂区正中偏北，第三生产线位于东北侧，均设置颚式破碎机、反击式破碎机、振动筛、滚筒筛、给料机和带式输送机</w:t>
                  </w:r>
                  <w:r>
                    <w:rPr>
                      <w:rFonts w:hint="eastAsia" w:cs="Times New Roman"/>
                      <w:color w:val="auto"/>
                      <w:sz w:val="21"/>
                      <w:szCs w:val="21"/>
                      <w:highlight w:val="none"/>
                      <w:vertAlign w:val="baseline"/>
                      <w:lang w:val="en-US" w:eastAsia="zh-CN"/>
                    </w:rPr>
                    <w:t>，第三生产线在此设备基础上多1台球磨机</w:t>
                  </w:r>
                  <w:r>
                    <w:rPr>
                      <w:rFonts w:hint="eastAsia" w:ascii="Times New Roman" w:hAnsi="Times New Roman" w:eastAsia="宋体" w:cs="Times New Roman"/>
                      <w:color w:val="auto"/>
                      <w:sz w:val="21"/>
                      <w:szCs w:val="21"/>
                      <w:highlight w:val="none"/>
                      <w:vertAlign w:val="baseline"/>
                      <w:lang w:val="en-US" w:eastAsia="zh-CN"/>
                    </w:rPr>
                    <w:t>。</w:t>
                  </w:r>
                </w:p>
              </w:tc>
            </w:tr>
            <w:tr w14:paraId="796A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restart"/>
                  <w:noWrap w:val="0"/>
                  <w:vAlign w:val="center"/>
                </w:tcPr>
                <w:p w14:paraId="7FC68C38">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储运工程</w:t>
                  </w:r>
                </w:p>
              </w:tc>
              <w:tc>
                <w:tcPr>
                  <w:tcW w:w="1632" w:type="dxa"/>
                  <w:gridSpan w:val="2"/>
                  <w:noWrap w:val="0"/>
                  <w:vAlign w:val="center"/>
                </w:tcPr>
                <w:p w14:paraId="66A3697A">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铁矿石原料仓</w:t>
                  </w:r>
                </w:p>
              </w:tc>
              <w:tc>
                <w:tcPr>
                  <w:tcW w:w="5993" w:type="dxa"/>
                  <w:noWrap w:val="0"/>
                  <w:vAlign w:val="center"/>
                </w:tcPr>
                <w:p w14:paraId="1DFAF87F">
                  <w:pPr>
                    <w:keepNext w:val="0"/>
                    <w:keepLines w:val="0"/>
                    <w:pageBreakBefore w:val="0"/>
                    <w:widowControl w:val="0"/>
                    <w:tabs>
                      <w:tab w:val="left" w:pos="5220"/>
                    </w:tabs>
                    <w:kinsoku/>
                    <w:wordWrap/>
                    <w:overflowPunct/>
                    <w:topLinePunct w:val="0"/>
                    <w:autoSpaceDE/>
                    <w:autoSpaceDN/>
                    <w:bidi w:val="0"/>
                    <w:adjustRightInd w:val="0"/>
                    <w:snapToGrid w:val="0"/>
                    <w:rPr>
                      <w:rFonts w:hint="default" w:ascii="Times New Roman" w:hAnsi="Times New Roman" w:eastAsia="宋体"/>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占地面积</w:t>
                  </w:r>
                  <w:r>
                    <w:rPr>
                      <w:rFonts w:hint="eastAsia" w:ascii="Times New Roman" w:hAnsi="Times New Roman" w:eastAsia="宋体" w:cs="Times New Roman"/>
                      <w:color w:val="auto"/>
                      <w:sz w:val="21"/>
                      <w:szCs w:val="21"/>
                      <w:highlight w:val="none"/>
                      <w:lang w:val="en-US" w:eastAsia="zh-CN"/>
                    </w:rPr>
                    <w:t>25000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钢架大棚，</w:t>
                  </w:r>
                  <w:r>
                    <w:rPr>
                      <w:rFonts w:hint="eastAsia" w:ascii="Times New Roman" w:hAnsi="Times New Roman" w:eastAsia="宋体" w:cs="Times New Roman"/>
                      <w:color w:val="auto"/>
                      <w:sz w:val="21"/>
                      <w:szCs w:val="21"/>
                      <w:vertAlign w:val="baseline"/>
                      <w:lang w:val="en-US" w:eastAsia="zh-CN"/>
                    </w:rPr>
                    <w:t>三面围挡加顶棚，</w:t>
                  </w:r>
                  <w:r>
                    <w:rPr>
                      <w:rFonts w:hint="eastAsia" w:ascii="Times New Roman" w:hAnsi="Times New Roman" w:eastAsia="宋体" w:cs="Times New Roman"/>
                      <w:color w:val="auto"/>
                      <w:sz w:val="21"/>
                      <w:szCs w:val="21"/>
                      <w:highlight w:val="none"/>
                      <w:vertAlign w:val="baseline"/>
                      <w:lang w:val="en-US" w:eastAsia="zh-CN"/>
                    </w:rPr>
                    <w:t>H=13m，围绕各条生产线设置，用于原料铁矿堆放。最大存储32万吨铁矿，实现80天原料加工量的存储。</w:t>
                  </w:r>
                </w:p>
              </w:tc>
            </w:tr>
            <w:tr w14:paraId="1BB8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423B9F8C">
                  <w:pPr>
                    <w:keepNext w:val="0"/>
                    <w:keepLines w:val="0"/>
                    <w:pageBreakBefore w:val="0"/>
                    <w:widowControl w:val="0"/>
                    <w:tabs>
                      <w:tab w:val="left" w:pos="5220"/>
                    </w:tabs>
                    <w:kinsoku/>
                    <w:wordWrap/>
                    <w:overflowPunct/>
                    <w:topLinePunct w:val="0"/>
                    <w:autoSpaceDE/>
                    <w:autoSpaceDN/>
                    <w:bidi w:val="0"/>
                    <w:adjustRightInd w:val="0"/>
                    <w:snapToGrid w:val="0"/>
                    <w:jc w:val="center"/>
                    <w:rPr>
                      <w:rFonts w:hint="eastAsia" w:ascii="Times New Roman" w:hAnsi="Times New Roman" w:eastAsia="宋体"/>
                      <w:color w:val="auto"/>
                      <w:sz w:val="21"/>
                      <w:szCs w:val="21"/>
                      <w:highlight w:val="none"/>
                    </w:rPr>
                  </w:pPr>
                </w:p>
              </w:tc>
              <w:tc>
                <w:tcPr>
                  <w:tcW w:w="1632" w:type="dxa"/>
                  <w:gridSpan w:val="2"/>
                  <w:noWrap w:val="0"/>
                  <w:vAlign w:val="center"/>
                </w:tcPr>
                <w:p w14:paraId="02C1B0FC">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成品</w:t>
                  </w:r>
                  <w:r>
                    <w:rPr>
                      <w:rFonts w:hint="default" w:ascii="Times New Roman" w:hAnsi="Times New Roman" w:eastAsia="宋体" w:cs="Times New Roman"/>
                      <w:color w:val="auto"/>
                      <w:sz w:val="21"/>
                      <w:szCs w:val="21"/>
                      <w:highlight w:val="none"/>
                      <w:lang w:val="en-US" w:eastAsia="zh-CN"/>
                    </w:rPr>
                    <w:t>仓库</w:t>
                  </w:r>
                </w:p>
              </w:tc>
              <w:tc>
                <w:tcPr>
                  <w:tcW w:w="5993" w:type="dxa"/>
                  <w:noWrap w:val="0"/>
                  <w:vAlign w:val="center"/>
                </w:tcPr>
                <w:p w14:paraId="67FCD840">
                  <w:pPr>
                    <w:keepNext w:val="0"/>
                    <w:keepLines w:val="0"/>
                    <w:pageBreakBefore w:val="0"/>
                    <w:widowControl w:val="0"/>
                    <w:tabs>
                      <w:tab w:val="left" w:pos="5220"/>
                    </w:tabs>
                    <w:kinsoku/>
                    <w:wordWrap/>
                    <w:overflowPunct/>
                    <w:topLinePunct w:val="0"/>
                    <w:autoSpaceDE/>
                    <w:autoSpaceDN/>
                    <w:bidi w:val="0"/>
                    <w:adjustRightInd w:val="0"/>
                    <w:snapToGrid w:val="0"/>
                    <w:rPr>
                      <w:rFonts w:hint="eastAsia" w:ascii="Times New Roman" w:hAnsi="Times New Roman" w:eastAsia="宋体"/>
                      <w:color w:val="auto"/>
                      <w:kern w:val="1"/>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占地面积</w:t>
                  </w:r>
                  <w:r>
                    <w:rPr>
                      <w:rFonts w:hint="eastAsia" w:ascii="Times New Roman" w:hAnsi="Times New Roman" w:eastAsia="宋体" w:cs="Times New Roman"/>
                      <w:color w:val="auto"/>
                      <w:sz w:val="21"/>
                      <w:szCs w:val="21"/>
                      <w:highlight w:val="none"/>
                      <w:lang w:val="en-US" w:eastAsia="zh-CN"/>
                    </w:rPr>
                    <w:t>10000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lang w:val="en-US" w:eastAsia="zh-CN"/>
                    </w:rPr>
                    <w:t>钢架大棚</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vertAlign w:val="baseline"/>
                      <w:lang w:val="en-US" w:eastAsia="zh-CN"/>
                    </w:rPr>
                    <w:t>三面围挡加顶棚，</w:t>
                  </w:r>
                  <w:r>
                    <w:rPr>
                      <w:rFonts w:hint="eastAsia" w:ascii="Times New Roman" w:hAnsi="Times New Roman" w:eastAsia="宋体" w:cs="Times New Roman"/>
                      <w:color w:val="auto"/>
                      <w:sz w:val="21"/>
                      <w:szCs w:val="21"/>
                      <w:highlight w:val="none"/>
                      <w:vertAlign w:val="baseline"/>
                      <w:lang w:val="en-US" w:eastAsia="zh-CN"/>
                    </w:rPr>
                    <w:t>H=13m</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vertAlign w:val="baseline"/>
                      <w:lang w:val="en-US" w:eastAsia="zh-CN"/>
                    </w:rPr>
                    <w:t>围绕各条生产线设置，</w:t>
                  </w:r>
                  <w:r>
                    <w:rPr>
                      <w:rFonts w:hint="default" w:ascii="Times New Roman" w:hAnsi="Times New Roman" w:eastAsia="宋体" w:cs="Times New Roman"/>
                      <w:color w:val="auto"/>
                      <w:sz w:val="21"/>
                      <w:szCs w:val="21"/>
                      <w:highlight w:val="none"/>
                      <w:lang w:eastAsia="zh-CN"/>
                    </w:rPr>
                    <w:t>用于破碎</w:t>
                  </w:r>
                  <w:r>
                    <w:rPr>
                      <w:rFonts w:hint="eastAsia" w:ascii="Times New Roman" w:hAnsi="Times New Roman" w:eastAsia="宋体" w:cs="Times New Roman"/>
                      <w:color w:val="auto"/>
                      <w:sz w:val="21"/>
                      <w:szCs w:val="21"/>
                      <w:highlight w:val="none"/>
                      <w:lang w:val="en-US" w:eastAsia="zh-CN"/>
                    </w:rPr>
                    <w:t>筛分</w:t>
                  </w:r>
                  <w:r>
                    <w:rPr>
                      <w:rFonts w:hint="default" w:ascii="Times New Roman" w:hAnsi="Times New Roman" w:eastAsia="宋体" w:cs="Times New Roman"/>
                      <w:color w:val="auto"/>
                      <w:sz w:val="21"/>
                      <w:szCs w:val="21"/>
                      <w:highlight w:val="none"/>
                      <w:lang w:eastAsia="zh-CN"/>
                    </w:rPr>
                    <w:t>后</w:t>
                  </w:r>
                  <w:r>
                    <w:rPr>
                      <w:rFonts w:hint="eastAsia"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eastAsia="zh-CN"/>
                    </w:rPr>
                    <w:t>成品堆放</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vertAlign w:val="baseline"/>
                      <w:lang w:val="en-US" w:eastAsia="zh-CN"/>
                    </w:rPr>
                    <w:t>最大存储32万吨铁矿产品，实现12天产品存储。</w:t>
                  </w:r>
                </w:p>
              </w:tc>
            </w:tr>
            <w:tr w14:paraId="1C4A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194BEC2F">
                  <w:pPr>
                    <w:keepNext w:val="0"/>
                    <w:keepLines w:val="0"/>
                    <w:pageBreakBefore w:val="0"/>
                    <w:widowControl w:val="0"/>
                    <w:tabs>
                      <w:tab w:val="left" w:pos="5220"/>
                    </w:tabs>
                    <w:kinsoku/>
                    <w:wordWrap/>
                    <w:overflowPunct/>
                    <w:topLinePunct w:val="0"/>
                    <w:autoSpaceDE/>
                    <w:autoSpaceDN/>
                    <w:bidi w:val="0"/>
                    <w:adjustRightInd w:val="0"/>
                    <w:snapToGrid w:val="0"/>
                    <w:jc w:val="center"/>
                    <w:rPr>
                      <w:rFonts w:hint="eastAsia" w:ascii="Times New Roman" w:hAnsi="Times New Roman" w:eastAsia="宋体"/>
                      <w:color w:val="auto"/>
                      <w:sz w:val="21"/>
                      <w:szCs w:val="21"/>
                      <w:highlight w:val="none"/>
                    </w:rPr>
                  </w:pPr>
                </w:p>
              </w:tc>
              <w:tc>
                <w:tcPr>
                  <w:tcW w:w="1632" w:type="dxa"/>
                  <w:gridSpan w:val="2"/>
                  <w:noWrap w:val="0"/>
                  <w:vAlign w:val="center"/>
                </w:tcPr>
                <w:p w14:paraId="499CD26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柴油储罐区</w:t>
                  </w:r>
                </w:p>
              </w:tc>
              <w:tc>
                <w:tcPr>
                  <w:tcW w:w="5993" w:type="dxa"/>
                  <w:noWrap w:val="0"/>
                  <w:vAlign w:val="center"/>
                </w:tcPr>
                <w:p w14:paraId="6C298F2A">
                  <w:pPr>
                    <w:pStyle w:val="3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占地面积120m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位于项目区</w:t>
                  </w:r>
                  <w:r>
                    <w:rPr>
                      <w:rFonts w:hint="eastAsia"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w:t>
                  </w:r>
                  <w:r>
                    <w:rPr>
                      <w:rFonts w:hint="eastAsia" w:ascii="Times New Roman" w:hAnsi="Times New Roman" w:eastAsia="宋体" w:cs="Times New Roman"/>
                      <w:color w:val="auto"/>
                      <w:sz w:val="21"/>
                      <w:szCs w:val="21"/>
                      <w:highlight w:val="none"/>
                      <w:lang w:val="en-US" w:eastAsia="zh-CN"/>
                    </w:rPr>
                    <w:t>，设置地上柴油罐1个（51.8m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，尺寸为φ=2.95×7.6m，卧式储油罐</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pacing w:val="-1"/>
                      <w:sz w:val="21"/>
                      <w:szCs w:val="21"/>
                      <w:highlight w:val="none"/>
                      <w:lang w:val="en-US" w:eastAsia="zh-CN"/>
                    </w:rPr>
                    <w:t>用于装载机加油。</w:t>
                  </w:r>
                </w:p>
              </w:tc>
            </w:tr>
            <w:tr w14:paraId="2E51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restart"/>
                  <w:noWrap w:val="0"/>
                  <w:vAlign w:val="center"/>
                </w:tcPr>
                <w:p w14:paraId="4EA11E2A">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辅助工程</w:t>
                  </w:r>
                </w:p>
              </w:tc>
              <w:tc>
                <w:tcPr>
                  <w:tcW w:w="1632" w:type="dxa"/>
                  <w:gridSpan w:val="2"/>
                  <w:noWrap w:val="0"/>
                  <w:vAlign w:val="center"/>
                </w:tcPr>
                <w:p w14:paraId="6FE971B5">
                  <w:pPr>
                    <w:pStyle w:val="87"/>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办公室</w:t>
                  </w:r>
                </w:p>
              </w:tc>
              <w:tc>
                <w:tcPr>
                  <w:tcW w:w="5993" w:type="dxa"/>
                  <w:noWrap w:val="0"/>
                  <w:vAlign w:val="center"/>
                </w:tcPr>
                <w:p w14:paraId="214ED28C">
                  <w:pPr>
                    <w:pStyle w:val="87"/>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textAlignment w:val="auto"/>
                    <w:rPr>
                      <w:rFonts w:hint="default" w:ascii="Times New Roman" w:hAnsi="Times New Roman" w:eastAsia="宋体"/>
                      <w:color w:val="auto"/>
                      <w:kern w:val="1"/>
                      <w:sz w:val="21"/>
                      <w:szCs w:val="21"/>
                      <w:highlight w:val="none"/>
                      <w:vertAlign w:val="baseline"/>
                      <w:lang w:val="en-US" w:eastAsia="zh-CN"/>
                    </w:rPr>
                  </w:pPr>
                  <w:r>
                    <w:rPr>
                      <w:rStyle w:val="97"/>
                      <w:rFonts w:hint="eastAsia" w:ascii="Times New Roman" w:hAnsi="Times New Roman" w:eastAsia="宋体"/>
                      <w:b w:val="0"/>
                      <w:bCs w:val="0"/>
                      <w:color w:val="auto"/>
                      <w:sz w:val="21"/>
                      <w:szCs w:val="21"/>
                      <w:highlight w:val="none"/>
                      <w:lang w:val="en-US" w:eastAsia="zh-CN"/>
                    </w:rPr>
                    <w:t>厂区东南侧，3层，砖混结构，H=10m</w:t>
                  </w:r>
                  <w:r>
                    <w:rPr>
                      <w:rFonts w:hint="eastAsia" w:ascii="Times New Roman" w:hAnsi="Times New Roman" w:eastAsia="宋体"/>
                      <w:b w:val="0"/>
                      <w:bCs w:val="0"/>
                      <w:color w:val="auto"/>
                      <w:sz w:val="21"/>
                      <w:szCs w:val="21"/>
                      <w:highlight w:val="none"/>
                      <w:lang w:eastAsia="zh-CN"/>
                    </w:rPr>
                    <w:t>，</w:t>
                  </w:r>
                  <w:r>
                    <w:rPr>
                      <w:rFonts w:hint="eastAsia" w:ascii="Times New Roman" w:hAnsi="Times New Roman" w:eastAsia="宋体"/>
                      <w:b w:val="0"/>
                      <w:bCs w:val="0"/>
                      <w:color w:val="auto"/>
                      <w:sz w:val="21"/>
                      <w:szCs w:val="21"/>
                      <w:highlight w:val="none"/>
                      <w:lang w:val="en-US" w:eastAsia="zh-CN"/>
                    </w:rPr>
                    <w:t>占地面积450m</w:t>
                  </w:r>
                  <w:r>
                    <w:rPr>
                      <w:rFonts w:hint="eastAsia" w:ascii="Times New Roman" w:hAnsi="Times New Roman" w:eastAsia="宋体"/>
                      <w:b w:val="0"/>
                      <w:bCs w:val="0"/>
                      <w:color w:val="auto"/>
                      <w:sz w:val="21"/>
                      <w:szCs w:val="21"/>
                      <w:highlight w:val="none"/>
                      <w:vertAlign w:val="superscript"/>
                      <w:lang w:val="en-US" w:eastAsia="zh-CN"/>
                    </w:rPr>
                    <w:t>2</w:t>
                  </w:r>
                  <w:r>
                    <w:rPr>
                      <w:rFonts w:hint="eastAsia" w:ascii="Times New Roman" w:hAnsi="Times New Roman" w:eastAsia="宋体"/>
                      <w:b w:val="0"/>
                      <w:bCs w:val="0"/>
                      <w:color w:val="auto"/>
                      <w:sz w:val="21"/>
                      <w:szCs w:val="21"/>
                      <w:highlight w:val="none"/>
                      <w:vertAlign w:val="baseline"/>
                      <w:lang w:val="en-US" w:eastAsia="zh-CN"/>
                    </w:rPr>
                    <w:t>，</w:t>
                  </w:r>
                  <w:r>
                    <w:rPr>
                      <w:rStyle w:val="97"/>
                      <w:rFonts w:hint="default" w:ascii="Times New Roman" w:hAnsi="Times New Roman" w:eastAsia="宋体"/>
                      <w:b w:val="0"/>
                      <w:bCs w:val="0"/>
                      <w:color w:val="auto"/>
                      <w:sz w:val="21"/>
                      <w:szCs w:val="21"/>
                      <w:highlight w:val="none"/>
                    </w:rPr>
                    <w:t>用于</w:t>
                  </w:r>
                  <w:r>
                    <w:rPr>
                      <w:rStyle w:val="97"/>
                      <w:rFonts w:hint="default" w:ascii="Times New Roman" w:hAnsi="Times New Roman" w:eastAsia="宋体"/>
                      <w:b w:val="0"/>
                      <w:bCs w:val="0"/>
                      <w:color w:val="auto"/>
                      <w:sz w:val="21"/>
                      <w:szCs w:val="21"/>
                      <w:highlight w:val="none"/>
                      <w:lang w:eastAsia="zh-CN"/>
                    </w:rPr>
                    <w:t>办公</w:t>
                  </w:r>
                </w:p>
              </w:tc>
            </w:tr>
            <w:tr w14:paraId="3578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3A9B0820">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noWrap w:val="0"/>
                  <w:vAlign w:val="center"/>
                </w:tcPr>
                <w:p w14:paraId="2385F6EE">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食堂</w:t>
                  </w:r>
                </w:p>
              </w:tc>
              <w:tc>
                <w:tcPr>
                  <w:tcW w:w="5993" w:type="dxa"/>
                  <w:noWrap w:val="0"/>
                  <w:vAlign w:val="center"/>
                </w:tcPr>
                <w:p w14:paraId="70502852">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Times New Roman" w:hAnsi="Times New Roman" w:eastAsia="宋体"/>
                      <w:color w:val="auto"/>
                      <w:kern w:val="1"/>
                      <w:sz w:val="21"/>
                      <w:szCs w:val="21"/>
                      <w:highlight w:val="none"/>
                      <w:lang w:val="en-US" w:eastAsia="zh-CN"/>
                    </w:rPr>
                  </w:pPr>
                  <w:r>
                    <w:rPr>
                      <w:rStyle w:val="97"/>
                      <w:rFonts w:hint="eastAsia" w:ascii="Times New Roman" w:hAnsi="Times New Roman" w:eastAsia="宋体"/>
                      <w:b w:val="0"/>
                      <w:bCs w:val="0"/>
                      <w:color w:val="auto"/>
                      <w:sz w:val="21"/>
                      <w:szCs w:val="21"/>
                      <w:highlight w:val="none"/>
                      <w:lang w:val="en-US" w:eastAsia="zh-CN"/>
                    </w:rPr>
                    <w:t>厂区东南侧，1层</w:t>
                  </w:r>
                  <w:r>
                    <w:rPr>
                      <w:rStyle w:val="97"/>
                      <w:rFonts w:hint="default" w:ascii="Times New Roman" w:hAnsi="Times New Roman" w:eastAsia="宋体"/>
                      <w:b w:val="0"/>
                      <w:bCs w:val="0"/>
                      <w:color w:val="auto"/>
                      <w:sz w:val="21"/>
                      <w:szCs w:val="21"/>
                      <w:highlight w:val="none"/>
                    </w:rPr>
                    <w:t>砖混，</w:t>
                  </w:r>
                  <w:r>
                    <w:rPr>
                      <w:rStyle w:val="97"/>
                      <w:rFonts w:hint="eastAsia" w:ascii="Times New Roman" w:hAnsi="Times New Roman" w:eastAsia="宋体"/>
                      <w:b w:val="0"/>
                      <w:bCs w:val="0"/>
                      <w:color w:val="auto"/>
                      <w:sz w:val="21"/>
                      <w:szCs w:val="21"/>
                      <w:highlight w:val="none"/>
                      <w:lang w:val="en-US" w:eastAsia="zh-CN"/>
                    </w:rPr>
                    <w:t>建筑面积282</w:t>
                  </w:r>
                  <w:r>
                    <w:rPr>
                      <w:rFonts w:ascii="Times New Roman" w:hAnsi="Times New Roman" w:eastAsia="宋体"/>
                      <w:b w:val="0"/>
                      <w:bCs w:val="0"/>
                      <w:color w:val="auto"/>
                      <w:sz w:val="21"/>
                      <w:szCs w:val="21"/>
                      <w:highlight w:val="none"/>
                    </w:rPr>
                    <w:t>m</w:t>
                  </w:r>
                  <w:r>
                    <w:rPr>
                      <w:rFonts w:ascii="Times New Roman" w:hAnsi="Times New Roman" w:eastAsia="宋体"/>
                      <w:b w:val="0"/>
                      <w:bCs w:val="0"/>
                      <w:color w:val="auto"/>
                      <w:sz w:val="21"/>
                      <w:szCs w:val="21"/>
                      <w:highlight w:val="none"/>
                      <w:vertAlign w:val="superscript"/>
                    </w:rPr>
                    <w:t>2</w:t>
                  </w:r>
                  <w:r>
                    <w:rPr>
                      <w:rFonts w:hint="eastAsia" w:ascii="Times New Roman" w:hAnsi="Times New Roman" w:eastAsia="宋体"/>
                      <w:b w:val="0"/>
                      <w:bCs w:val="0"/>
                      <w:color w:val="auto"/>
                      <w:sz w:val="21"/>
                      <w:szCs w:val="21"/>
                      <w:highlight w:val="none"/>
                      <w:vertAlign w:val="baseline"/>
                      <w:lang w:eastAsia="zh-CN"/>
                    </w:rPr>
                    <w:t>，</w:t>
                  </w:r>
                  <w:r>
                    <w:rPr>
                      <w:rFonts w:hint="eastAsia" w:ascii="Times New Roman" w:hAnsi="Times New Roman" w:eastAsia="宋体"/>
                      <w:b w:val="0"/>
                      <w:bCs w:val="0"/>
                      <w:color w:val="auto"/>
                      <w:sz w:val="21"/>
                      <w:szCs w:val="21"/>
                      <w:highlight w:val="none"/>
                      <w:lang w:eastAsia="zh-CN"/>
                    </w:rPr>
                    <w:t>H=</w:t>
                  </w:r>
                  <w:r>
                    <w:rPr>
                      <w:rFonts w:hint="eastAsia" w:ascii="Times New Roman" w:hAnsi="Times New Roman" w:eastAsia="宋体"/>
                      <w:b w:val="0"/>
                      <w:bCs w:val="0"/>
                      <w:color w:val="auto"/>
                      <w:sz w:val="21"/>
                      <w:szCs w:val="21"/>
                      <w:highlight w:val="none"/>
                      <w:lang w:val="en-US" w:eastAsia="zh-CN"/>
                    </w:rPr>
                    <w:t>3</w:t>
                  </w:r>
                  <w:r>
                    <w:rPr>
                      <w:rFonts w:hint="eastAsia" w:ascii="Times New Roman" w:hAnsi="Times New Roman" w:eastAsia="宋体"/>
                      <w:b w:val="0"/>
                      <w:bCs w:val="0"/>
                      <w:color w:val="auto"/>
                      <w:sz w:val="21"/>
                      <w:szCs w:val="21"/>
                      <w:highlight w:val="none"/>
                      <w:lang w:eastAsia="zh-CN"/>
                    </w:rPr>
                    <w:t>m。</w:t>
                  </w:r>
                </w:p>
              </w:tc>
            </w:tr>
            <w:tr w14:paraId="6FBD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69D5EA59">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noWrap w:val="0"/>
                  <w:vAlign w:val="center"/>
                </w:tcPr>
                <w:p w14:paraId="0CD92920">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倒班宿舍楼</w:t>
                  </w:r>
                </w:p>
              </w:tc>
              <w:tc>
                <w:tcPr>
                  <w:tcW w:w="5993" w:type="dxa"/>
                  <w:noWrap w:val="0"/>
                  <w:vAlign w:val="center"/>
                </w:tcPr>
                <w:p w14:paraId="167519B5">
                  <w:pPr>
                    <w:keepNext w:val="0"/>
                    <w:keepLines w:val="0"/>
                    <w:pageBreakBefore w:val="0"/>
                    <w:widowControl w:val="0"/>
                    <w:kinsoku/>
                    <w:wordWrap/>
                    <w:overflowPunct/>
                    <w:topLinePunct w:val="0"/>
                    <w:autoSpaceDE/>
                    <w:autoSpaceDN/>
                    <w:bidi w:val="0"/>
                    <w:adjustRightInd w:val="0"/>
                    <w:snapToGrid w:val="0"/>
                    <w:jc w:val="center"/>
                    <w:textAlignment w:val="baseline"/>
                    <w:rPr>
                      <w:rStyle w:val="97"/>
                      <w:rFonts w:hint="default" w:ascii="Times New Roman" w:hAnsi="Times New Roman" w:eastAsia="宋体"/>
                      <w:b w:val="0"/>
                      <w:bCs w:val="0"/>
                      <w:color w:val="auto"/>
                      <w:sz w:val="21"/>
                      <w:szCs w:val="21"/>
                      <w:highlight w:val="none"/>
                      <w:lang w:val="en-US" w:eastAsia="zh-CN"/>
                    </w:rPr>
                  </w:pPr>
                  <w:r>
                    <w:rPr>
                      <w:rStyle w:val="97"/>
                      <w:rFonts w:hint="eastAsia" w:ascii="Times New Roman" w:hAnsi="Times New Roman" w:eastAsia="宋体"/>
                      <w:b w:val="0"/>
                      <w:bCs w:val="0"/>
                      <w:color w:val="auto"/>
                      <w:sz w:val="21"/>
                      <w:szCs w:val="21"/>
                      <w:highlight w:val="none"/>
                      <w:lang w:val="en-US" w:eastAsia="zh-CN"/>
                    </w:rPr>
                    <w:t>厂区东南角，4层，砖混结构，H=12m</w:t>
                  </w:r>
                  <w:r>
                    <w:rPr>
                      <w:rFonts w:hint="eastAsia" w:ascii="Times New Roman" w:hAnsi="Times New Roman" w:eastAsia="宋体"/>
                      <w:b w:val="0"/>
                      <w:bCs w:val="0"/>
                      <w:color w:val="auto"/>
                      <w:sz w:val="21"/>
                      <w:szCs w:val="21"/>
                      <w:highlight w:val="none"/>
                      <w:lang w:eastAsia="zh-CN"/>
                    </w:rPr>
                    <w:t>，</w:t>
                  </w:r>
                  <w:r>
                    <w:rPr>
                      <w:rFonts w:hint="eastAsia" w:ascii="Times New Roman" w:hAnsi="Times New Roman" w:eastAsia="宋体"/>
                      <w:b w:val="0"/>
                      <w:bCs w:val="0"/>
                      <w:color w:val="auto"/>
                      <w:sz w:val="21"/>
                      <w:szCs w:val="21"/>
                      <w:highlight w:val="none"/>
                      <w:lang w:val="en-US" w:eastAsia="zh-CN"/>
                    </w:rPr>
                    <w:t>占地面积608m</w:t>
                  </w:r>
                  <w:r>
                    <w:rPr>
                      <w:rFonts w:hint="eastAsia" w:ascii="Times New Roman" w:hAnsi="Times New Roman" w:eastAsia="宋体"/>
                      <w:b w:val="0"/>
                      <w:bCs w:val="0"/>
                      <w:color w:val="auto"/>
                      <w:sz w:val="21"/>
                      <w:szCs w:val="21"/>
                      <w:highlight w:val="none"/>
                      <w:vertAlign w:val="superscript"/>
                      <w:lang w:val="en-US" w:eastAsia="zh-CN"/>
                    </w:rPr>
                    <w:t>2</w:t>
                  </w:r>
                </w:p>
              </w:tc>
            </w:tr>
            <w:tr w14:paraId="7B95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6BF98EA0">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noWrap w:val="0"/>
                  <w:vAlign w:val="center"/>
                </w:tcPr>
                <w:p w14:paraId="1B6E23A7">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公厕</w:t>
                  </w:r>
                </w:p>
              </w:tc>
              <w:tc>
                <w:tcPr>
                  <w:tcW w:w="5993" w:type="dxa"/>
                  <w:noWrap w:val="0"/>
                  <w:vAlign w:val="center"/>
                </w:tcPr>
                <w:p w14:paraId="6964444B">
                  <w:pPr>
                    <w:keepNext w:val="0"/>
                    <w:keepLines w:val="0"/>
                    <w:pageBreakBefore w:val="0"/>
                    <w:widowControl w:val="0"/>
                    <w:kinsoku/>
                    <w:wordWrap/>
                    <w:overflowPunct/>
                    <w:topLinePunct w:val="0"/>
                    <w:autoSpaceDE/>
                    <w:autoSpaceDN/>
                    <w:bidi w:val="0"/>
                    <w:adjustRightInd w:val="0"/>
                    <w:snapToGrid w:val="0"/>
                    <w:jc w:val="center"/>
                    <w:textAlignment w:val="baseline"/>
                    <w:rPr>
                      <w:rStyle w:val="97"/>
                      <w:rFonts w:hint="default" w:ascii="Times New Roman" w:hAnsi="Times New Roman" w:eastAsia="宋体"/>
                      <w:b w:val="0"/>
                      <w:bCs w:val="0"/>
                      <w:color w:val="auto"/>
                      <w:sz w:val="21"/>
                      <w:szCs w:val="21"/>
                      <w:highlight w:val="none"/>
                      <w:vertAlign w:val="baseline"/>
                      <w:lang w:val="en-US" w:eastAsia="zh-CN"/>
                    </w:rPr>
                  </w:pPr>
                  <w:r>
                    <w:rPr>
                      <w:rStyle w:val="97"/>
                      <w:rFonts w:hint="eastAsia" w:ascii="Times New Roman" w:hAnsi="Times New Roman" w:eastAsia="宋体"/>
                      <w:b w:val="0"/>
                      <w:bCs w:val="0"/>
                      <w:color w:val="auto"/>
                      <w:sz w:val="21"/>
                      <w:szCs w:val="21"/>
                      <w:highlight w:val="none"/>
                      <w:lang w:val="en-US" w:eastAsia="zh-CN"/>
                    </w:rPr>
                    <w:t>2座，均为水冲式厕所，第一座位于厂区南侧，占地面积20m</w:t>
                  </w:r>
                  <w:r>
                    <w:rPr>
                      <w:rStyle w:val="97"/>
                      <w:rFonts w:hint="eastAsia" w:ascii="Times New Roman" w:hAnsi="Times New Roman" w:eastAsia="宋体"/>
                      <w:b w:val="0"/>
                      <w:bCs w:val="0"/>
                      <w:color w:val="auto"/>
                      <w:sz w:val="21"/>
                      <w:szCs w:val="21"/>
                      <w:highlight w:val="none"/>
                      <w:vertAlign w:val="superscript"/>
                      <w:lang w:val="en-US" w:eastAsia="zh-CN"/>
                    </w:rPr>
                    <w:t>2</w:t>
                  </w:r>
                  <w:r>
                    <w:rPr>
                      <w:rStyle w:val="97"/>
                      <w:rFonts w:hint="eastAsia" w:ascii="Times New Roman" w:hAnsi="Times New Roman" w:eastAsia="宋体"/>
                      <w:b w:val="0"/>
                      <w:bCs w:val="0"/>
                      <w:color w:val="auto"/>
                      <w:sz w:val="21"/>
                      <w:szCs w:val="21"/>
                      <w:highlight w:val="none"/>
                      <w:vertAlign w:val="baseline"/>
                      <w:lang w:val="en-US" w:eastAsia="zh-CN"/>
                    </w:rPr>
                    <w:t>，第二座位于厂区东南角，宿舍楼旁，占地面积30m</w:t>
                  </w:r>
                  <w:r>
                    <w:rPr>
                      <w:rStyle w:val="97"/>
                      <w:rFonts w:hint="eastAsia" w:ascii="Times New Roman" w:hAnsi="Times New Roman" w:eastAsia="宋体"/>
                      <w:b w:val="0"/>
                      <w:bCs w:val="0"/>
                      <w:color w:val="auto"/>
                      <w:sz w:val="21"/>
                      <w:szCs w:val="21"/>
                      <w:highlight w:val="none"/>
                      <w:vertAlign w:val="superscript"/>
                      <w:lang w:val="en-US" w:eastAsia="zh-CN"/>
                    </w:rPr>
                    <w:t>2</w:t>
                  </w:r>
                  <w:r>
                    <w:rPr>
                      <w:rStyle w:val="97"/>
                      <w:rFonts w:hint="eastAsia" w:ascii="Times New Roman" w:hAnsi="Times New Roman" w:eastAsia="宋体"/>
                      <w:b w:val="0"/>
                      <w:bCs w:val="0"/>
                      <w:color w:val="auto"/>
                      <w:sz w:val="21"/>
                      <w:szCs w:val="21"/>
                      <w:highlight w:val="none"/>
                      <w:vertAlign w:val="baseline"/>
                      <w:lang w:val="en-US" w:eastAsia="zh-CN"/>
                    </w:rPr>
                    <w:t>。</w:t>
                  </w:r>
                </w:p>
              </w:tc>
            </w:tr>
            <w:tr w14:paraId="0420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43D8D3DE">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noWrap w:val="0"/>
                  <w:vAlign w:val="center"/>
                </w:tcPr>
                <w:p w14:paraId="6BFFFF71">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值班室</w:t>
                  </w:r>
                </w:p>
              </w:tc>
              <w:tc>
                <w:tcPr>
                  <w:tcW w:w="5993" w:type="dxa"/>
                  <w:noWrap w:val="0"/>
                  <w:vAlign w:val="center"/>
                </w:tcPr>
                <w:p w14:paraId="634D2A51">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Times New Roman" w:hAnsi="Times New Roman" w:eastAsia="宋体"/>
                      <w:color w:val="auto"/>
                      <w:kern w:val="1"/>
                      <w:sz w:val="21"/>
                      <w:szCs w:val="21"/>
                      <w:highlight w:val="none"/>
                      <w:lang w:val="en-US" w:eastAsia="zh-CN"/>
                    </w:rPr>
                  </w:pPr>
                  <w:r>
                    <w:rPr>
                      <w:rStyle w:val="97"/>
                      <w:rFonts w:hint="default" w:ascii="Times New Roman" w:hAnsi="Times New Roman" w:eastAsia="宋体"/>
                      <w:b w:val="0"/>
                      <w:bCs w:val="0"/>
                      <w:color w:val="auto"/>
                      <w:sz w:val="21"/>
                      <w:szCs w:val="21"/>
                      <w:highlight w:val="none"/>
                    </w:rPr>
                    <w:t>用于进、出厂区的管理</w:t>
                  </w:r>
                  <w:r>
                    <w:rPr>
                      <w:rStyle w:val="97"/>
                      <w:rFonts w:hint="default" w:ascii="Times New Roman" w:hAnsi="Times New Roman" w:eastAsia="宋体"/>
                      <w:b w:val="0"/>
                      <w:bCs w:val="0"/>
                      <w:color w:val="auto"/>
                      <w:sz w:val="21"/>
                      <w:szCs w:val="21"/>
                      <w:highlight w:val="none"/>
                      <w:lang w:eastAsia="zh-CN"/>
                    </w:rPr>
                    <w:t>，</w:t>
                  </w:r>
                  <w:r>
                    <w:rPr>
                      <w:rFonts w:ascii="Times New Roman" w:hAnsi="Times New Roman" w:eastAsia="宋体"/>
                      <w:b w:val="0"/>
                      <w:bCs w:val="0"/>
                      <w:color w:val="auto"/>
                      <w:sz w:val="21"/>
                      <w:szCs w:val="21"/>
                      <w:highlight w:val="none"/>
                    </w:rPr>
                    <w:t>砖混，</w:t>
                  </w:r>
                  <w:r>
                    <w:rPr>
                      <w:rFonts w:hint="eastAsia" w:ascii="Times New Roman" w:hAnsi="Times New Roman" w:eastAsia="宋体"/>
                      <w:b w:val="0"/>
                      <w:bCs w:val="0"/>
                      <w:color w:val="auto"/>
                      <w:sz w:val="21"/>
                      <w:szCs w:val="21"/>
                      <w:highlight w:val="none"/>
                      <w:lang w:val="en-US" w:eastAsia="zh-CN"/>
                    </w:rPr>
                    <w:t>建筑面积2</w:t>
                  </w:r>
                  <w:r>
                    <w:rPr>
                      <w:rFonts w:ascii="Times New Roman" w:hAnsi="Times New Roman" w:eastAsia="宋体"/>
                      <w:b w:val="0"/>
                      <w:bCs w:val="0"/>
                      <w:color w:val="auto"/>
                      <w:sz w:val="21"/>
                      <w:szCs w:val="21"/>
                      <w:highlight w:val="none"/>
                    </w:rPr>
                    <w:t>0m</w:t>
                  </w:r>
                  <w:r>
                    <w:rPr>
                      <w:rFonts w:ascii="Times New Roman" w:hAnsi="Times New Roman" w:eastAsia="宋体"/>
                      <w:b w:val="0"/>
                      <w:bCs w:val="0"/>
                      <w:color w:val="auto"/>
                      <w:sz w:val="21"/>
                      <w:szCs w:val="21"/>
                      <w:highlight w:val="none"/>
                      <w:vertAlign w:val="superscript"/>
                    </w:rPr>
                    <w:t>2</w:t>
                  </w:r>
                  <w:r>
                    <w:rPr>
                      <w:rFonts w:hint="eastAsia" w:ascii="Times New Roman" w:hAnsi="Times New Roman" w:eastAsia="宋体"/>
                      <w:b w:val="0"/>
                      <w:bCs w:val="0"/>
                      <w:color w:val="auto"/>
                      <w:sz w:val="21"/>
                      <w:szCs w:val="21"/>
                      <w:highlight w:val="none"/>
                      <w:vertAlign w:val="baseline"/>
                      <w:lang w:eastAsia="zh-CN"/>
                    </w:rPr>
                    <w:t>，</w:t>
                  </w:r>
                  <w:r>
                    <w:rPr>
                      <w:rFonts w:hint="eastAsia" w:ascii="Times New Roman" w:hAnsi="Times New Roman" w:eastAsia="宋体"/>
                      <w:b w:val="0"/>
                      <w:bCs w:val="0"/>
                      <w:color w:val="auto"/>
                      <w:sz w:val="21"/>
                      <w:szCs w:val="21"/>
                      <w:highlight w:val="none"/>
                      <w:lang w:eastAsia="zh-CN"/>
                    </w:rPr>
                    <w:t>H=</w:t>
                  </w:r>
                  <w:r>
                    <w:rPr>
                      <w:rFonts w:hint="eastAsia" w:ascii="Times New Roman" w:hAnsi="Times New Roman" w:eastAsia="宋体"/>
                      <w:b w:val="0"/>
                      <w:bCs w:val="0"/>
                      <w:color w:val="auto"/>
                      <w:sz w:val="21"/>
                      <w:szCs w:val="21"/>
                      <w:highlight w:val="none"/>
                      <w:lang w:val="en-US" w:eastAsia="zh-CN"/>
                    </w:rPr>
                    <w:t>3</w:t>
                  </w:r>
                  <w:r>
                    <w:rPr>
                      <w:rFonts w:hint="eastAsia" w:ascii="Times New Roman" w:hAnsi="Times New Roman" w:eastAsia="宋体"/>
                      <w:b w:val="0"/>
                      <w:bCs w:val="0"/>
                      <w:color w:val="auto"/>
                      <w:sz w:val="21"/>
                      <w:szCs w:val="21"/>
                      <w:highlight w:val="none"/>
                      <w:lang w:eastAsia="zh-CN"/>
                    </w:rPr>
                    <w:t>m。</w:t>
                  </w:r>
                </w:p>
              </w:tc>
            </w:tr>
            <w:tr w14:paraId="6914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4F893BB5">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noWrap w:val="0"/>
                  <w:vAlign w:val="center"/>
                </w:tcPr>
                <w:p w14:paraId="6E404043">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大车充电区</w:t>
                  </w:r>
                </w:p>
              </w:tc>
              <w:tc>
                <w:tcPr>
                  <w:tcW w:w="5993" w:type="dxa"/>
                  <w:noWrap w:val="0"/>
                  <w:vAlign w:val="center"/>
                </w:tcPr>
                <w:p w14:paraId="07A44E5F">
                  <w:pPr>
                    <w:keepNext w:val="0"/>
                    <w:keepLines w:val="0"/>
                    <w:pageBreakBefore w:val="0"/>
                    <w:widowControl w:val="0"/>
                    <w:kinsoku/>
                    <w:wordWrap/>
                    <w:overflowPunct/>
                    <w:topLinePunct w:val="0"/>
                    <w:autoSpaceDE/>
                    <w:autoSpaceDN/>
                    <w:bidi w:val="0"/>
                    <w:adjustRightInd w:val="0"/>
                    <w:snapToGrid w:val="0"/>
                    <w:jc w:val="center"/>
                    <w:textAlignment w:val="baseline"/>
                    <w:rPr>
                      <w:rStyle w:val="97"/>
                      <w:rFonts w:hint="default" w:ascii="Times New Roman" w:hAnsi="Times New Roman" w:eastAsia="宋体"/>
                      <w:b w:val="0"/>
                      <w:bCs w:val="0"/>
                      <w:color w:val="auto"/>
                      <w:sz w:val="21"/>
                      <w:szCs w:val="21"/>
                      <w:highlight w:val="none"/>
                      <w:vertAlign w:val="baseline"/>
                      <w:lang w:val="en-US" w:eastAsia="zh-CN"/>
                    </w:rPr>
                  </w:pPr>
                  <w:r>
                    <w:rPr>
                      <w:rStyle w:val="97"/>
                      <w:rFonts w:hint="eastAsia" w:ascii="Times New Roman" w:hAnsi="Times New Roman" w:eastAsia="宋体"/>
                      <w:b w:val="0"/>
                      <w:bCs w:val="0"/>
                      <w:color w:val="auto"/>
                      <w:sz w:val="21"/>
                      <w:szCs w:val="21"/>
                      <w:highlight w:val="none"/>
                      <w:lang w:val="en-US" w:eastAsia="zh-CN"/>
                    </w:rPr>
                    <w:t>位于厂区东侧，占地面积494m</w:t>
                  </w:r>
                  <w:r>
                    <w:rPr>
                      <w:rStyle w:val="97"/>
                      <w:rFonts w:hint="eastAsia" w:ascii="Times New Roman" w:hAnsi="Times New Roman" w:eastAsia="宋体"/>
                      <w:b w:val="0"/>
                      <w:bCs w:val="0"/>
                      <w:color w:val="auto"/>
                      <w:sz w:val="21"/>
                      <w:szCs w:val="21"/>
                      <w:highlight w:val="none"/>
                      <w:vertAlign w:val="superscript"/>
                      <w:lang w:val="en-US" w:eastAsia="zh-CN"/>
                    </w:rPr>
                    <w:t>2</w:t>
                  </w:r>
                  <w:r>
                    <w:rPr>
                      <w:rStyle w:val="97"/>
                      <w:rFonts w:hint="eastAsia" w:ascii="Times New Roman" w:hAnsi="Times New Roman" w:eastAsia="宋体"/>
                      <w:b w:val="0"/>
                      <w:bCs w:val="0"/>
                      <w:color w:val="auto"/>
                      <w:sz w:val="21"/>
                      <w:szCs w:val="21"/>
                      <w:highlight w:val="none"/>
                      <w:vertAlign w:val="baseline"/>
                      <w:lang w:val="en-US" w:eastAsia="zh-CN"/>
                    </w:rPr>
                    <w:t>，设置大车充电桩4个，主要为厂区运输卡车充电</w:t>
                  </w:r>
                </w:p>
              </w:tc>
            </w:tr>
            <w:tr w14:paraId="355C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restart"/>
                  <w:noWrap w:val="0"/>
                  <w:vAlign w:val="center"/>
                </w:tcPr>
                <w:p w14:paraId="26C4D9F2">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公用工程</w:t>
                  </w:r>
                </w:p>
              </w:tc>
              <w:tc>
                <w:tcPr>
                  <w:tcW w:w="1632" w:type="dxa"/>
                  <w:gridSpan w:val="2"/>
                  <w:noWrap w:val="0"/>
                  <w:vAlign w:val="center"/>
                </w:tcPr>
                <w:p w14:paraId="4702D1B4">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kern w:val="1"/>
                      <w:sz w:val="21"/>
                      <w:szCs w:val="21"/>
                      <w:highlight w:val="none"/>
                    </w:rPr>
                  </w:pPr>
                  <w:r>
                    <w:rPr>
                      <w:rFonts w:ascii="Times New Roman" w:hAnsi="Times New Roman" w:eastAsia="宋体"/>
                      <w:color w:val="auto"/>
                      <w:kern w:val="1"/>
                      <w:sz w:val="21"/>
                      <w:szCs w:val="21"/>
                      <w:highlight w:val="none"/>
                    </w:rPr>
                    <w:t>供配电系统</w:t>
                  </w:r>
                </w:p>
              </w:tc>
              <w:tc>
                <w:tcPr>
                  <w:tcW w:w="5993" w:type="dxa"/>
                  <w:noWrap w:val="0"/>
                  <w:vAlign w:val="center"/>
                </w:tcPr>
                <w:p w14:paraId="5D6B6C49">
                  <w:pPr>
                    <w:keepNext w:val="0"/>
                    <w:keepLines w:val="0"/>
                    <w:pageBreakBefore w:val="0"/>
                    <w:widowControl w:val="0"/>
                    <w:tabs>
                      <w:tab w:val="left" w:pos="5220"/>
                    </w:tabs>
                    <w:kinsoku/>
                    <w:wordWrap/>
                    <w:overflowPunct/>
                    <w:topLinePunct w:val="0"/>
                    <w:autoSpaceDE/>
                    <w:autoSpaceDN/>
                    <w:bidi w:val="0"/>
                    <w:adjustRightInd w:val="0"/>
                    <w:snapToGrid w:val="0"/>
                    <w:rPr>
                      <w:rFonts w:ascii="Times New Roman" w:hAnsi="Times New Roman" w:eastAsia="宋体"/>
                      <w:color w:val="auto"/>
                      <w:kern w:val="1"/>
                      <w:sz w:val="21"/>
                      <w:szCs w:val="21"/>
                      <w:highlight w:val="none"/>
                    </w:rPr>
                  </w:pPr>
                  <w:r>
                    <w:rPr>
                      <w:rFonts w:hint="default" w:ascii="Times New Roman" w:hAnsi="Times New Roman" w:eastAsia="宋体" w:cs="Times New Roman"/>
                      <w:color w:val="auto"/>
                      <w:sz w:val="21"/>
                      <w:szCs w:val="21"/>
                      <w:highlight w:val="none"/>
                    </w:rPr>
                    <w:t>由</w:t>
                  </w:r>
                  <w:r>
                    <w:rPr>
                      <w:rFonts w:hint="eastAsia" w:ascii="Times New Roman" w:hAnsi="Times New Roman" w:eastAsia="宋体" w:cs="Times New Roman"/>
                      <w:color w:val="auto"/>
                      <w:sz w:val="21"/>
                      <w:szCs w:val="21"/>
                      <w:highlight w:val="none"/>
                      <w:lang w:val="en-US" w:eastAsia="zh-CN"/>
                    </w:rPr>
                    <w:t>工业园区</w:t>
                  </w:r>
                  <w:r>
                    <w:rPr>
                      <w:rFonts w:hint="default" w:ascii="Times New Roman" w:hAnsi="Times New Roman" w:eastAsia="宋体" w:cs="Times New Roman"/>
                      <w:color w:val="auto"/>
                      <w:sz w:val="21"/>
                      <w:szCs w:val="21"/>
                      <w:highlight w:val="none"/>
                    </w:rPr>
                    <w:t>市政电网供给</w:t>
                  </w:r>
                </w:p>
              </w:tc>
            </w:tr>
            <w:tr w14:paraId="1070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4AED8E24">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noWrap w:val="0"/>
                  <w:vAlign w:val="center"/>
                </w:tcPr>
                <w:p w14:paraId="4CE07040">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给水系统</w:t>
                  </w:r>
                </w:p>
              </w:tc>
              <w:tc>
                <w:tcPr>
                  <w:tcW w:w="5993" w:type="dxa"/>
                  <w:noWrap w:val="0"/>
                  <w:vAlign w:val="center"/>
                </w:tcPr>
                <w:p w14:paraId="45B39A4D">
                  <w:pPr>
                    <w:keepNext w:val="0"/>
                    <w:keepLines w:val="0"/>
                    <w:pageBreakBefore w:val="0"/>
                    <w:widowControl w:val="0"/>
                    <w:kinsoku/>
                    <w:wordWrap/>
                    <w:overflowPunct/>
                    <w:topLinePunct w:val="0"/>
                    <w:autoSpaceDE/>
                    <w:autoSpaceDN/>
                    <w:bidi w:val="0"/>
                    <w:adjustRightInd w:val="0"/>
                    <w:snapToGrid w:val="0"/>
                    <w:textAlignment w:val="baseline"/>
                    <w:rPr>
                      <w:rFonts w:ascii="Times New Roman" w:hAnsi="Times New Roman" w:eastAsia="宋体"/>
                      <w:color w:val="auto"/>
                      <w:kern w:val="0"/>
                      <w:sz w:val="21"/>
                      <w:szCs w:val="21"/>
                      <w:highlight w:val="none"/>
                    </w:rPr>
                  </w:pPr>
                  <w:r>
                    <w:rPr>
                      <w:rFonts w:ascii="Times New Roman" w:hAnsi="Times New Roman" w:eastAsia="宋体"/>
                      <w:color w:val="auto"/>
                      <w:sz w:val="21"/>
                      <w:highlight w:val="none"/>
                      <w:lang w:val="en-US"/>
                    </w:rPr>
                    <w:t>由工业园区内现有供水管网供给</w:t>
                  </w:r>
                  <w:r>
                    <w:rPr>
                      <w:rFonts w:hint="eastAsia" w:ascii="Times New Roman" w:hAnsi="Times New Roman" w:eastAsia="宋体"/>
                      <w:color w:val="auto"/>
                      <w:sz w:val="21"/>
                      <w:highlight w:val="none"/>
                      <w:lang w:val="en-US"/>
                    </w:rPr>
                    <w:t>，</w:t>
                  </w:r>
                  <w:r>
                    <w:rPr>
                      <w:rFonts w:ascii="Times New Roman" w:hAnsi="Times New Roman" w:eastAsia="宋体"/>
                      <w:color w:val="auto"/>
                      <w:sz w:val="21"/>
                      <w:highlight w:val="none"/>
                      <w:lang w:val="en-US"/>
                    </w:rPr>
                    <w:t>项目用水</w:t>
                  </w:r>
                  <w:r>
                    <w:rPr>
                      <w:rFonts w:hint="eastAsia" w:ascii="Times New Roman" w:hAnsi="Times New Roman" w:eastAsia="宋体"/>
                      <w:color w:val="auto"/>
                      <w:sz w:val="21"/>
                      <w:highlight w:val="none"/>
                      <w:lang w:val="en-US"/>
                    </w:rPr>
                    <w:t>依托现有已铺设的自来水管网，</w:t>
                  </w:r>
                  <w:r>
                    <w:rPr>
                      <w:rFonts w:ascii="Times New Roman" w:hAnsi="Times New Roman" w:eastAsia="宋体"/>
                      <w:color w:val="auto"/>
                      <w:sz w:val="21"/>
                      <w:highlight w:val="none"/>
                      <w:lang w:val="en-US"/>
                    </w:rPr>
                    <w:t>由市政给水管网供给，生活供水系统与消防</w:t>
                  </w:r>
                  <w:r>
                    <w:rPr>
                      <w:rFonts w:hint="eastAsia" w:ascii="Times New Roman" w:hAnsi="Times New Roman" w:eastAsia="宋体"/>
                      <w:color w:val="auto"/>
                      <w:sz w:val="21"/>
                      <w:highlight w:val="none"/>
                      <w:lang w:val="en-US"/>
                    </w:rPr>
                    <w:t>给水系统</w:t>
                  </w:r>
                  <w:r>
                    <w:rPr>
                      <w:rFonts w:ascii="Times New Roman" w:hAnsi="Times New Roman" w:eastAsia="宋体"/>
                      <w:color w:val="auto"/>
                      <w:sz w:val="21"/>
                      <w:highlight w:val="none"/>
                      <w:lang w:val="en-US"/>
                    </w:rPr>
                    <w:t>分开。</w:t>
                  </w:r>
                </w:p>
              </w:tc>
            </w:tr>
            <w:tr w14:paraId="38AB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4BD84EB1">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noWrap w:val="0"/>
                  <w:vAlign w:val="center"/>
                </w:tcPr>
                <w:p w14:paraId="4B965654">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排水系统</w:t>
                  </w:r>
                </w:p>
              </w:tc>
              <w:tc>
                <w:tcPr>
                  <w:tcW w:w="5993" w:type="dxa"/>
                  <w:noWrap w:val="0"/>
                  <w:vAlign w:val="center"/>
                </w:tcPr>
                <w:p w14:paraId="67DA0F68">
                  <w:pPr>
                    <w:keepNext w:val="0"/>
                    <w:keepLines w:val="0"/>
                    <w:pageBreakBefore w:val="0"/>
                    <w:widowControl w:val="0"/>
                    <w:kinsoku/>
                    <w:wordWrap/>
                    <w:overflowPunct/>
                    <w:topLinePunct w:val="0"/>
                    <w:autoSpaceDE/>
                    <w:autoSpaceDN/>
                    <w:bidi w:val="0"/>
                    <w:adjustRightInd w:val="0"/>
                    <w:snapToGrid w:val="0"/>
                    <w:textAlignment w:val="baseline"/>
                    <w:rPr>
                      <w:rFonts w:hint="eastAsia" w:ascii="Times New Roman" w:hAnsi="Times New Roman" w:eastAsia="宋体"/>
                      <w:color w:val="auto"/>
                      <w:kern w:val="0"/>
                      <w:sz w:val="21"/>
                      <w:szCs w:val="21"/>
                      <w:highlight w:val="none"/>
                    </w:rPr>
                  </w:pPr>
                  <w:r>
                    <w:rPr>
                      <w:rFonts w:ascii="Times New Roman" w:hAnsi="Times New Roman" w:eastAsia="宋体" w:cs="Times New Roman"/>
                      <w:color w:val="auto"/>
                      <w:kern w:val="0"/>
                      <w:sz w:val="21"/>
                      <w:szCs w:val="21"/>
                      <w:highlight w:val="none"/>
                    </w:rPr>
                    <w:t>项目区排水采用雨污分流的排水体制。</w:t>
                  </w:r>
                  <w:r>
                    <w:rPr>
                      <w:rFonts w:hint="eastAsia" w:ascii="Times New Roman" w:hAnsi="Times New Roman" w:eastAsia="宋体" w:cs="Times New Roman"/>
                      <w:color w:val="auto"/>
                      <w:kern w:val="0"/>
                      <w:sz w:val="21"/>
                      <w:szCs w:val="21"/>
                      <w:highlight w:val="none"/>
                      <w:lang w:val="en-US" w:eastAsia="zh-CN"/>
                    </w:rPr>
                    <w:t>洗车废水沉淀后回用</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生活污水经</w:t>
                  </w:r>
                  <w:r>
                    <w:rPr>
                      <w:rFonts w:hint="eastAsia" w:ascii="Times New Roman" w:hAnsi="Times New Roman" w:eastAsia="宋体" w:cs="Times New Roman"/>
                      <w:color w:val="auto"/>
                      <w:kern w:val="0"/>
                      <w:sz w:val="21"/>
                      <w:szCs w:val="21"/>
                      <w:highlight w:val="none"/>
                      <w:lang w:val="en-US" w:eastAsia="zh-CN"/>
                    </w:rPr>
                    <w:t>隔油池、</w:t>
                  </w:r>
                  <w:r>
                    <w:rPr>
                      <w:rFonts w:hint="default" w:ascii="Times New Roman" w:hAnsi="Times New Roman" w:eastAsia="宋体" w:cs="Times New Roman"/>
                      <w:color w:val="auto"/>
                      <w:kern w:val="0"/>
                      <w:sz w:val="21"/>
                      <w:szCs w:val="21"/>
                      <w:highlight w:val="none"/>
                      <w:lang w:val="en-US" w:eastAsia="zh-CN"/>
                    </w:rPr>
                    <w:t>化粪池</w:t>
                  </w:r>
                  <w:r>
                    <w:rPr>
                      <w:rFonts w:hint="eastAsia" w:ascii="Times New Roman" w:hAnsi="Times New Roman" w:eastAsia="宋体" w:cs="Times New Roman"/>
                      <w:color w:val="auto"/>
                      <w:kern w:val="0"/>
                      <w:sz w:val="21"/>
                      <w:szCs w:val="21"/>
                      <w:highlight w:val="none"/>
                      <w:lang w:val="en-US" w:eastAsia="zh-CN"/>
                    </w:rPr>
                    <w:t>预处理后进入</w:t>
                  </w:r>
                  <w:r>
                    <w:rPr>
                      <w:rFonts w:hint="default" w:ascii="Times New Roman" w:hAnsi="Times New Roman" w:eastAsia="宋体" w:cs="Times New Roman"/>
                      <w:color w:val="auto"/>
                      <w:kern w:val="0"/>
                      <w:sz w:val="21"/>
                      <w:szCs w:val="21"/>
                      <w:highlight w:val="none"/>
                      <w:lang w:val="en-US" w:eastAsia="zh-CN"/>
                    </w:rPr>
                    <w:t>一体化污水处理设备处理，处理</w:t>
                  </w:r>
                  <w:r>
                    <w:rPr>
                      <w:rFonts w:hint="eastAsia" w:ascii="Times New Roman" w:hAnsi="Times New Roman" w:eastAsia="宋体" w:cs="Times New Roman"/>
                      <w:color w:val="auto"/>
                      <w:kern w:val="0"/>
                      <w:sz w:val="21"/>
                      <w:szCs w:val="21"/>
                      <w:highlight w:val="none"/>
                      <w:lang w:val="en-US" w:eastAsia="zh-CN"/>
                    </w:rPr>
                    <w:t>达到</w:t>
                  </w:r>
                  <w:r>
                    <w:rPr>
                      <w:rFonts w:hint="default" w:ascii="Times New Roman" w:hAnsi="Times New Roman" w:eastAsia="宋体" w:cs="Times New Roman"/>
                      <w:color w:val="auto"/>
                      <w:kern w:val="0"/>
                      <w:sz w:val="21"/>
                      <w:szCs w:val="21"/>
                      <w:highlight w:val="none"/>
                      <w:lang w:val="en-US" w:eastAsia="zh-CN"/>
                    </w:rPr>
                    <w:t>《城市污水再生利用城市杂用水水质》（GB/T18920-2020）中的城市绿化标准后，</w:t>
                  </w:r>
                  <w:r>
                    <w:rPr>
                      <w:rFonts w:hint="eastAsia" w:ascii="Times New Roman" w:hAnsi="Times New Roman" w:eastAsia="宋体" w:cs="Times New Roman"/>
                      <w:color w:val="auto"/>
                      <w:kern w:val="0"/>
                      <w:sz w:val="21"/>
                      <w:szCs w:val="21"/>
                      <w:highlight w:val="none"/>
                      <w:lang w:val="en-US" w:eastAsia="zh-CN"/>
                    </w:rPr>
                    <w:t>晴天</w:t>
                  </w:r>
                  <w:r>
                    <w:rPr>
                      <w:rFonts w:hint="default" w:ascii="Times New Roman" w:hAnsi="Times New Roman" w:eastAsia="宋体" w:cs="Times New Roman"/>
                      <w:color w:val="auto"/>
                      <w:kern w:val="0"/>
                      <w:sz w:val="21"/>
                      <w:szCs w:val="21"/>
                      <w:highlight w:val="none"/>
                      <w:lang w:val="en-US" w:eastAsia="zh-CN"/>
                    </w:rPr>
                    <w:t>回用于厂区绿化</w:t>
                  </w:r>
                  <w:r>
                    <w:rPr>
                      <w:rFonts w:hint="eastAsia" w:ascii="Times New Roman" w:hAnsi="Times New Roman" w:eastAsia="宋体" w:cs="Times New Roman"/>
                      <w:color w:val="auto"/>
                      <w:kern w:val="0"/>
                      <w:sz w:val="21"/>
                      <w:szCs w:val="21"/>
                      <w:highlight w:val="none"/>
                      <w:lang w:val="en-US" w:eastAsia="zh-CN"/>
                    </w:rPr>
                    <w:t>，雨天暂存于中水池中，</w:t>
                  </w:r>
                  <w:r>
                    <w:rPr>
                      <w:rFonts w:hint="default" w:ascii="Times New Roman" w:hAnsi="Times New Roman" w:eastAsia="宋体" w:cs="Times New Roman"/>
                      <w:color w:val="auto"/>
                      <w:kern w:val="0"/>
                      <w:sz w:val="21"/>
                      <w:szCs w:val="21"/>
                      <w:highlight w:val="none"/>
                      <w:lang w:val="en-US" w:eastAsia="zh-CN"/>
                    </w:rPr>
                    <w:t>不外排</w:t>
                  </w:r>
                  <w:r>
                    <w:rPr>
                      <w:rFonts w:ascii="Times New Roman" w:hAnsi="Times New Roman" w:eastAsia="宋体"/>
                      <w:color w:val="auto"/>
                      <w:sz w:val="21"/>
                      <w:highlight w:val="none"/>
                    </w:rPr>
                    <w:t>。</w:t>
                  </w:r>
                </w:p>
              </w:tc>
            </w:tr>
            <w:tr w14:paraId="7E48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restart"/>
                  <w:noWrap w:val="0"/>
                  <w:vAlign w:val="center"/>
                </w:tcPr>
                <w:p w14:paraId="12E84CBD">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环保工程</w:t>
                  </w:r>
                </w:p>
              </w:tc>
              <w:tc>
                <w:tcPr>
                  <w:tcW w:w="426" w:type="dxa"/>
                  <w:vMerge w:val="restart"/>
                  <w:noWrap w:val="0"/>
                  <w:vAlign w:val="center"/>
                </w:tcPr>
                <w:p w14:paraId="6356617A">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废水</w:t>
                  </w:r>
                </w:p>
              </w:tc>
              <w:tc>
                <w:tcPr>
                  <w:tcW w:w="1206" w:type="dxa"/>
                  <w:tcBorders>
                    <w:bottom w:val="single" w:color="auto" w:sz="4" w:space="0"/>
                  </w:tcBorders>
                  <w:noWrap w:val="0"/>
                  <w:vAlign w:val="center"/>
                </w:tcPr>
                <w:p w14:paraId="2CCF8DCA">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初期雨水沉淀池</w:t>
                  </w:r>
                </w:p>
              </w:tc>
              <w:tc>
                <w:tcPr>
                  <w:tcW w:w="5993" w:type="dxa"/>
                  <w:tcBorders>
                    <w:bottom w:val="single" w:color="auto" w:sz="4" w:space="0"/>
                  </w:tcBorders>
                  <w:noWrap w:val="0"/>
                  <w:vAlign w:val="center"/>
                </w:tcPr>
                <w:p w14:paraId="5B256526">
                  <w:pPr>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olor w:val="auto"/>
                      <w:sz w:val="21"/>
                      <w:szCs w:val="21"/>
                      <w:highlight w:val="none"/>
                      <w:lang w:val="en-US"/>
                    </w:rPr>
                  </w:pPr>
                  <w:r>
                    <w:rPr>
                      <w:rFonts w:hint="default" w:ascii="Times New Roman" w:hAnsi="Times New Roman" w:eastAsia="宋体" w:cs="Times New Roman"/>
                      <w:color w:val="auto"/>
                      <w:sz w:val="21"/>
                      <w:szCs w:val="21"/>
                      <w:highlight w:val="none"/>
                    </w:rPr>
                    <w:t>项目区采用雨污分流制，</w:t>
                  </w:r>
                  <w:r>
                    <w:rPr>
                      <w:rFonts w:hint="eastAsia" w:ascii="Times New Roman" w:hAnsi="Times New Roman" w:eastAsia="宋体" w:cs="Times New Roman"/>
                      <w:color w:val="auto"/>
                      <w:sz w:val="21"/>
                      <w:szCs w:val="21"/>
                      <w:highlight w:val="none"/>
                      <w:lang w:val="en-US" w:eastAsia="zh-CN"/>
                    </w:rPr>
                    <w:t>雨水经雨水沟收集后排放项目区南侧初期雨水收集池（</w:t>
                  </w:r>
                  <w:r>
                    <w:rPr>
                      <w:rFonts w:hint="eastAsia" w:cs="Times New Roman"/>
                      <w:color w:val="auto"/>
                      <w:sz w:val="21"/>
                      <w:szCs w:val="21"/>
                      <w:highlight w:val="none"/>
                      <w:lang w:val="en-US" w:eastAsia="zh-CN"/>
                    </w:rPr>
                    <w:t>310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olor w:val="auto"/>
                      <w:sz w:val="21"/>
                      <w:szCs w:val="21"/>
                      <w:highlight w:val="none"/>
                      <w:lang w:val="en-US" w:eastAsia="zh-CN"/>
                    </w:rPr>
                    <w:t>共修建3个，</w:t>
                  </w:r>
                  <w:r>
                    <w:rPr>
                      <w:rFonts w:hint="eastAsia" w:ascii="Times New Roman" w:hAnsi="Times New Roman" w:eastAsia="宋体" w:cs="Times New Roman"/>
                      <w:color w:val="auto"/>
                      <w:sz w:val="21"/>
                      <w:szCs w:val="21"/>
                      <w:highlight w:val="none"/>
                      <w:vertAlign w:val="baseline"/>
                      <w:lang w:val="en-US" w:eastAsia="zh-CN"/>
                    </w:rPr>
                    <w:t>1#初期雨水池位于值班室附近，容积45m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，2#初期雨水沉淀池位于地磅房附近，容积75m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olor w:val="auto"/>
                      <w:sz w:val="21"/>
                      <w:szCs w:val="21"/>
                      <w:lang w:val="en-US" w:eastAsia="zh-CN"/>
                    </w:rPr>
                    <w:t>,3#初期雨水池位于2#初期雨水池东侧，容积190m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s="Times New Roman"/>
                      <w:color w:val="auto"/>
                      <w:sz w:val="21"/>
                      <w:szCs w:val="21"/>
                      <w:highlight w:val="none"/>
                      <w:lang w:val="en-US" w:eastAsia="zh-CN"/>
                    </w:rPr>
                    <w:t>），后期雨水随雨水沟流入周边道路雨水沟渠。</w:t>
                  </w:r>
                </w:p>
              </w:tc>
            </w:tr>
            <w:tr w14:paraId="4131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7D26B449">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continue"/>
                  <w:noWrap w:val="0"/>
                  <w:vAlign w:val="center"/>
                </w:tcPr>
                <w:p w14:paraId="23948024">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kern w:val="0"/>
                      <w:sz w:val="21"/>
                      <w:szCs w:val="21"/>
                      <w:highlight w:val="none"/>
                    </w:rPr>
                  </w:pPr>
                </w:p>
              </w:tc>
              <w:tc>
                <w:tcPr>
                  <w:tcW w:w="1206" w:type="dxa"/>
                  <w:tcBorders>
                    <w:bottom w:val="single" w:color="auto" w:sz="4" w:space="0"/>
                  </w:tcBorders>
                  <w:noWrap w:val="0"/>
                  <w:vAlign w:val="center"/>
                </w:tcPr>
                <w:p w14:paraId="679FFE47">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隔油池</w:t>
                  </w:r>
                </w:p>
              </w:tc>
              <w:tc>
                <w:tcPr>
                  <w:tcW w:w="5993" w:type="dxa"/>
                  <w:tcBorders>
                    <w:bottom w:val="single" w:color="auto" w:sz="4" w:space="0"/>
                  </w:tcBorders>
                  <w:noWrap w:val="0"/>
                  <w:vAlign w:val="center"/>
                </w:tcPr>
                <w:p w14:paraId="48EB1F8B">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位于食堂旁，容积0.5m</w:t>
                  </w:r>
                  <w:r>
                    <w:rPr>
                      <w:rFonts w:hint="eastAsia" w:ascii="Times New Roman" w:hAnsi="Times New Roman" w:eastAsia="宋体" w:cs="Times New Roman"/>
                      <w:color w:val="auto"/>
                      <w:sz w:val="21"/>
                      <w:szCs w:val="21"/>
                      <w:highlight w:val="none"/>
                      <w:vertAlign w:val="superscript"/>
                      <w:lang w:val="en-US" w:eastAsia="zh-CN"/>
                    </w:rPr>
                    <w:t>3</w:t>
                  </w:r>
                </w:p>
              </w:tc>
            </w:tr>
            <w:tr w14:paraId="3000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7AC6DF31">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continue"/>
                  <w:noWrap w:val="0"/>
                  <w:vAlign w:val="center"/>
                </w:tcPr>
                <w:p w14:paraId="7370ABDA">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kern w:val="0"/>
                      <w:sz w:val="21"/>
                      <w:szCs w:val="21"/>
                      <w:highlight w:val="none"/>
                    </w:rPr>
                  </w:pPr>
                </w:p>
              </w:tc>
              <w:tc>
                <w:tcPr>
                  <w:tcW w:w="1206" w:type="dxa"/>
                  <w:tcBorders>
                    <w:bottom w:val="single" w:color="auto" w:sz="4" w:space="0"/>
                  </w:tcBorders>
                  <w:noWrap w:val="0"/>
                  <w:vAlign w:val="center"/>
                </w:tcPr>
                <w:p w14:paraId="76BF2CD8">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化粪池</w:t>
                  </w:r>
                </w:p>
              </w:tc>
              <w:tc>
                <w:tcPr>
                  <w:tcW w:w="5993" w:type="dxa"/>
                  <w:tcBorders>
                    <w:bottom w:val="single" w:color="auto" w:sz="4" w:space="0"/>
                  </w:tcBorders>
                  <w:noWrap w:val="0"/>
                  <w:vAlign w:val="center"/>
                </w:tcPr>
                <w:p w14:paraId="5DC19365">
                  <w:pPr>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olor w:val="auto"/>
                      <w:sz w:val="21"/>
                      <w:highlight w:val="none"/>
                      <w:vertAlign w:val="baseline"/>
                      <w:lang w:val="en-US" w:eastAsia="zh-CN"/>
                    </w:rPr>
                  </w:pPr>
                  <w:r>
                    <w:rPr>
                      <w:rFonts w:hint="eastAsia" w:ascii="Times New Roman" w:hAnsi="Times New Roman" w:eastAsia="宋体"/>
                      <w:color w:val="auto"/>
                      <w:sz w:val="21"/>
                      <w:highlight w:val="none"/>
                      <w:lang w:val="en-US" w:eastAsia="zh-CN"/>
                    </w:rPr>
                    <w:t>2座，总容积62.13m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eastAsia="宋体"/>
                      <w:color w:val="auto"/>
                      <w:sz w:val="21"/>
                      <w:highlight w:val="none"/>
                      <w:lang w:val="en-US" w:eastAsia="zh-CN"/>
                    </w:rPr>
                    <w:t>，1#化粪池位于厂区南侧，值班室旁，容积11.73m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eastAsia="宋体"/>
                      <w:color w:val="auto"/>
                      <w:sz w:val="21"/>
                      <w:highlight w:val="none"/>
                      <w:vertAlign w:val="baseline"/>
                      <w:lang w:val="en-US" w:eastAsia="zh-CN"/>
                    </w:rPr>
                    <w:t>；2#化粪池位于宿舍楼旁，收集处理食堂及宿舍楼废水，容积50.4m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eastAsia="宋体"/>
                      <w:color w:val="auto"/>
                      <w:sz w:val="21"/>
                      <w:highlight w:val="none"/>
                      <w:vertAlign w:val="baseline"/>
                      <w:lang w:val="en-US" w:eastAsia="zh-CN"/>
                    </w:rPr>
                    <w:t>。</w:t>
                  </w:r>
                </w:p>
              </w:tc>
            </w:tr>
            <w:tr w14:paraId="2894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08C96165">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continue"/>
                  <w:noWrap w:val="0"/>
                  <w:vAlign w:val="center"/>
                </w:tcPr>
                <w:p w14:paraId="0AC8D50C">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kern w:val="0"/>
                      <w:sz w:val="21"/>
                      <w:szCs w:val="21"/>
                      <w:highlight w:val="none"/>
                    </w:rPr>
                  </w:pPr>
                </w:p>
              </w:tc>
              <w:tc>
                <w:tcPr>
                  <w:tcW w:w="1206" w:type="dxa"/>
                  <w:tcBorders>
                    <w:bottom w:val="single" w:color="auto" w:sz="4" w:space="0"/>
                  </w:tcBorders>
                  <w:noWrap w:val="0"/>
                  <w:vAlign w:val="center"/>
                </w:tcPr>
                <w:p w14:paraId="0E92A975">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污水处理站</w:t>
                  </w:r>
                </w:p>
              </w:tc>
              <w:tc>
                <w:tcPr>
                  <w:tcW w:w="5993" w:type="dxa"/>
                  <w:tcBorders>
                    <w:bottom w:val="single" w:color="auto" w:sz="4" w:space="0"/>
                  </w:tcBorders>
                  <w:noWrap w:val="0"/>
                  <w:vAlign w:val="center"/>
                </w:tcPr>
                <w:p w14:paraId="023DE3B5">
                  <w:pPr>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位于宿舍楼南侧，处理规模3.5m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/d，为一体化设置，</w:t>
                  </w:r>
                  <w:r>
                    <w:rPr>
                      <w:rFonts w:hint="eastAsia" w:ascii="Times New Roman" w:hAnsi="Times New Roman" w:eastAsia="宋体" w:cs="Times New Roman"/>
                      <w:color w:val="auto"/>
                      <w:sz w:val="21"/>
                      <w:szCs w:val="21"/>
                      <w:highlight w:val="none"/>
                      <w:lang w:val="en-US" w:eastAsia="zh-CN"/>
                    </w:rPr>
                    <w:t>处理达标后晴天用于厂区绿化，雨天暂存于中水池（20m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）中。</w:t>
                  </w:r>
                </w:p>
              </w:tc>
            </w:tr>
            <w:tr w14:paraId="180A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2F20AA1C">
                  <w:pPr>
                    <w:keepNext w:val="0"/>
                    <w:keepLines w:val="0"/>
                    <w:pageBreakBefore w:val="0"/>
                    <w:widowControl w:val="0"/>
                    <w:tabs>
                      <w:tab w:val="left" w:pos="5220"/>
                    </w:tabs>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continue"/>
                  <w:noWrap w:val="0"/>
                  <w:vAlign w:val="center"/>
                </w:tcPr>
                <w:p w14:paraId="01623654">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kern w:val="0"/>
                      <w:sz w:val="21"/>
                      <w:szCs w:val="21"/>
                      <w:highlight w:val="none"/>
                    </w:rPr>
                  </w:pPr>
                </w:p>
              </w:tc>
              <w:tc>
                <w:tcPr>
                  <w:tcW w:w="1206" w:type="dxa"/>
                  <w:tcBorders>
                    <w:bottom w:val="single" w:color="auto" w:sz="4" w:space="0"/>
                  </w:tcBorders>
                  <w:noWrap w:val="0"/>
                  <w:vAlign w:val="center"/>
                </w:tcPr>
                <w:p w14:paraId="5DE0A1E1">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车辆轮胎清洗池</w:t>
                  </w:r>
                </w:p>
              </w:tc>
              <w:tc>
                <w:tcPr>
                  <w:tcW w:w="5993" w:type="dxa"/>
                  <w:tcBorders>
                    <w:bottom w:val="single" w:color="auto" w:sz="4" w:space="0"/>
                  </w:tcBorders>
                  <w:noWrap w:val="0"/>
                  <w:vAlign w:val="center"/>
                </w:tcPr>
                <w:p w14:paraId="73E92D02">
                  <w:pPr>
                    <w:keepNext w:val="0"/>
                    <w:keepLines w:val="0"/>
                    <w:pageBreakBefore w:val="0"/>
                    <w:widowControl w:val="0"/>
                    <w:kinsoku/>
                    <w:wordWrap/>
                    <w:overflowPunct/>
                    <w:topLinePunct w:val="0"/>
                    <w:autoSpaceDE/>
                    <w:autoSpaceDN/>
                    <w:bidi w:val="0"/>
                    <w:adjustRightInd w:val="0"/>
                    <w:snapToGrid w:val="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宋体"/>
                      <w:color w:val="auto"/>
                      <w:sz w:val="21"/>
                      <w:szCs w:val="21"/>
                      <w:lang w:val="en-US" w:eastAsia="zh-CN"/>
                    </w:rPr>
                    <w:t>2</w:t>
                  </w:r>
                  <w:r>
                    <w:rPr>
                      <w:rFonts w:hint="eastAsia" w:ascii="Times New Roman" w:hAnsi="Times New Roman" w:eastAsia="宋体" w:cs="宋体"/>
                      <w:color w:val="auto"/>
                      <w:sz w:val="21"/>
                      <w:szCs w:val="21"/>
                    </w:rPr>
                    <w:t>个，</w:t>
                  </w:r>
                  <w:r>
                    <w:rPr>
                      <w:rFonts w:hint="eastAsia" w:ascii="Times New Roman" w:hAnsi="Times New Roman" w:eastAsia="宋体" w:cs="宋体"/>
                      <w:color w:val="auto"/>
                      <w:sz w:val="21"/>
                      <w:szCs w:val="21"/>
                      <w:lang w:val="en-US" w:eastAsia="zh-CN"/>
                    </w:rPr>
                    <w:t>每个</w:t>
                  </w:r>
                  <w:r>
                    <w:rPr>
                      <w:rFonts w:hint="eastAsia" w:ascii="Times New Roman" w:hAnsi="Times New Roman" w:eastAsia="宋体" w:cs="宋体"/>
                      <w:color w:val="auto"/>
                      <w:sz w:val="21"/>
                      <w:szCs w:val="21"/>
                    </w:rPr>
                    <w:t>容积为1</w:t>
                  </w:r>
                  <w:r>
                    <w:rPr>
                      <w:rFonts w:ascii="Times New Roman" w:hAnsi="Times New Roman" w:eastAsia="宋体" w:cs="宋体"/>
                      <w:color w:val="auto"/>
                      <w:sz w:val="21"/>
                      <w:szCs w:val="21"/>
                    </w:rPr>
                    <w:t>0</w:t>
                  </w:r>
                  <w:r>
                    <w:rPr>
                      <w:rFonts w:hint="eastAsia" w:ascii="Times New Roman" w:hAnsi="Times New Roman" w:eastAsia="宋体" w:cs="宋体"/>
                      <w:color w:val="auto"/>
                      <w:sz w:val="21"/>
                      <w:szCs w:val="21"/>
                    </w:rPr>
                    <w:t>m</w:t>
                  </w:r>
                  <w:r>
                    <w:rPr>
                      <w:rFonts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，为三级沉淀池，废水通过沉淀处理后回用于洗车</w:t>
                  </w:r>
                  <w:r>
                    <w:rPr>
                      <w:rFonts w:hint="eastAsia" w:ascii="Times New Roman" w:hAnsi="Times New Roman" w:eastAsia="宋体" w:cs="宋体"/>
                      <w:color w:val="auto"/>
                      <w:sz w:val="21"/>
                      <w:szCs w:val="21"/>
                      <w:lang w:eastAsia="zh-CN"/>
                    </w:rPr>
                    <w:t>。</w:t>
                  </w:r>
                </w:p>
              </w:tc>
            </w:tr>
            <w:tr w14:paraId="1AF9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6D26A442">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restart"/>
                  <w:noWrap w:val="0"/>
                  <w:vAlign w:val="center"/>
                </w:tcPr>
                <w:p w14:paraId="35501C56">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Times New Roman" w:hAnsi="Times New Roman" w:eastAsia="宋体"/>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rPr>
                    <w:t>废气</w:t>
                  </w:r>
                </w:p>
              </w:tc>
              <w:tc>
                <w:tcPr>
                  <w:tcW w:w="1206" w:type="dxa"/>
                  <w:vMerge w:val="restart"/>
                  <w:noWrap w:val="0"/>
                  <w:vAlign w:val="center"/>
                </w:tcPr>
                <w:p w14:paraId="0DF98A71">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有组织－</w:t>
                  </w:r>
                  <w:r>
                    <w:rPr>
                      <w:rFonts w:hint="eastAsia" w:ascii="Times New Roman" w:hAnsi="Times New Roman" w:eastAsia="宋体" w:cs="Times New Roman"/>
                      <w:color w:val="auto"/>
                      <w:sz w:val="21"/>
                      <w:highlight w:val="none"/>
                      <w:lang w:val="en-US" w:eastAsia="zh-CN"/>
                    </w:rPr>
                    <w:t>铁矿石破碎</w:t>
                  </w:r>
                  <w:r>
                    <w:rPr>
                      <w:rFonts w:hint="eastAsia" w:ascii="Times New Roman" w:hAnsi="Times New Roman" w:eastAsia="宋体" w:cs="Times New Roman"/>
                      <w:color w:val="auto"/>
                      <w:sz w:val="21"/>
                      <w:szCs w:val="21"/>
                      <w:highlight w:val="none"/>
                      <w:vertAlign w:val="baseline"/>
                      <w:lang w:val="en-US" w:eastAsia="zh-CN"/>
                    </w:rPr>
                    <w:t>、筛分</w:t>
                  </w:r>
                </w:p>
              </w:tc>
              <w:tc>
                <w:tcPr>
                  <w:tcW w:w="5993" w:type="dxa"/>
                  <w:noWrap w:val="0"/>
                  <w:vAlign w:val="center"/>
                </w:tcPr>
                <w:p w14:paraId="507BE568">
                  <w:pPr>
                    <w:keepNext w:val="0"/>
                    <w:keepLines w:val="0"/>
                    <w:pageBreakBefore w:val="0"/>
                    <w:kinsoku/>
                    <w:wordWrap/>
                    <w:overflowPunct/>
                    <w:topLinePunct w:val="0"/>
                    <w:bidi w:val="0"/>
                    <w:adjustRightInd w:val="0"/>
                    <w:snapToGrid w:val="0"/>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第一生产线</w:t>
                  </w:r>
                </w:p>
                <w:p w14:paraId="30E439F3">
                  <w:pPr>
                    <w:keepNext w:val="0"/>
                    <w:keepLines w:val="0"/>
                    <w:pageBreakBefore w:val="0"/>
                    <w:kinsoku/>
                    <w:wordWrap/>
                    <w:overflowPunct/>
                    <w:topLinePunct w:val="0"/>
                    <w:bidi w:val="0"/>
                    <w:adjustRightInd w:val="0"/>
                    <w:snapToGrid w:val="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生产设备上方设置集气罩，共计8个；</w:t>
                  </w:r>
                </w:p>
                <w:p w14:paraId="3FF50158">
                  <w:pPr>
                    <w:keepNext w:val="0"/>
                    <w:keepLines w:val="0"/>
                    <w:pageBreakBefore w:val="0"/>
                    <w:kinsoku/>
                    <w:wordWrap/>
                    <w:overflowPunct/>
                    <w:topLinePunct w:val="0"/>
                    <w:bidi w:val="0"/>
                    <w:adjustRightInd w:val="0"/>
                    <w:snapToGrid w:val="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48B8566D">
                  <w:pPr>
                    <w:keepNext w:val="0"/>
                    <w:keepLines w:val="0"/>
                    <w:pageBreakBefore w:val="0"/>
                    <w:kinsoku/>
                    <w:wordWrap/>
                    <w:overflowPunct/>
                    <w:topLinePunct w:val="0"/>
                    <w:bidi w:val="0"/>
                    <w:adjustRightInd w:val="0"/>
                    <w:snapToGrid w:val="0"/>
                    <w:jc w:val="left"/>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ascii="Times New Roman" w:hAnsi="Times New Roman" w:eastAsia="宋体"/>
                      <w:color w:val="auto"/>
                      <w:sz w:val="21"/>
                      <w:highlight w:val="none"/>
                      <w:lang w:val="en-US" w:eastAsia="zh-CN"/>
                    </w:rPr>
                    <w:t>770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3D35F91A">
                  <w:pPr>
                    <w:keepNext w:val="0"/>
                    <w:keepLines w:val="0"/>
                    <w:pageBreakBefore w:val="0"/>
                    <w:widowControl w:val="0"/>
                    <w:kinsoku/>
                    <w:wordWrap/>
                    <w:overflowPunct/>
                    <w:topLinePunct w:val="0"/>
                    <w:autoSpaceDE/>
                    <w:autoSpaceDN/>
                    <w:bidi w:val="0"/>
                    <w:adjustRightInd w:val="0"/>
                    <w:snapToGrid w:val="0"/>
                    <w:rPr>
                      <w:rFonts w:hint="eastAsia" w:ascii="Times New Roman" w:hAnsi="Times New Roman" w:eastAsia="宋体"/>
                      <w:color w:val="auto"/>
                      <w:sz w:val="21"/>
                      <w:highlight w:val="none"/>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），H=1</w:t>
                  </w:r>
                  <w:r>
                    <w:rPr>
                      <w:rFonts w:hint="eastAsia" w:ascii="Times New Roman" w:hAnsi="Times New Roman" w:eastAsia="宋体"/>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tc>
            </w:tr>
            <w:tr w14:paraId="5B84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5D18A88F">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continue"/>
                  <w:noWrap w:val="0"/>
                  <w:vAlign w:val="center"/>
                </w:tcPr>
                <w:p w14:paraId="24436082">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Times New Roman" w:hAnsi="Times New Roman" w:eastAsia="宋体"/>
                      <w:color w:val="auto"/>
                      <w:kern w:val="0"/>
                      <w:sz w:val="21"/>
                      <w:szCs w:val="21"/>
                      <w:highlight w:val="none"/>
                      <w:lang w:val="en-US" w:eastAsia="zh-CN"/>
                    </w:rPr>
                  </w:pPr>
                </w:p>
              </w:tc>
              <w:tc>
                <w:tcPr>
                  <w:tcW w:w="1206" w:type="dxa"/>
                  <w:vMerge w:val="continue"/>
                  <w:noWrap w:val="0"/>
                  <w:vAlign w:val="center"/>
                </w:tcPr>
                <w:p w14:paraId="1B046B5D">
                  <w:pPr>
                    <w:keepNext w:val="0"/>
                    <w:keepLines w:val="0"/>
                    <w:pageBreakBefore w:val="0"/>
                    <w:kinsoku/>
                    <w:wordWrap/>
                    <w:overflowPunct/>
                    <w:topLinePunct w:val="0"/>
                    <w:autoSpaceDE w:val="0"/>
                    <w:autoSpaceDN w:val="0"/>
                    <w:bidi w:val="0"/>
                    <w:adjustRightInd w:val="0"/>
                    <w:snapToGrid w:val="0"/>
                    <w:jc w:val="center"/>
                    <w:rPr>
                      <w:rFonts w:hint="eastAsia" w:ascii="Times New Roman" w:hAnsi="Times New Roman" w:eastAsia="宋体"/>
                      <w:color w:val="auto"/>
                      <w:sz w:val="21"/>
                      <w:szCs w:val="21"/>
                      <w:highlight w:val="none"/>
                      <w:lang w:val="en-US" w:eastAsia="zh-CN"/>
                    </w:rPr>
                  </w:pPr>
                </w:p>
              </w:tc>
              <w:tc>
                <w:tcPr>
                  <w:tcW w:w="5993" w:type="dxa"/>
                  <w:noWrap w:val="0"/>
                  <w:vAlign w:val="center"/>
                </w:tcPr>
                <w:p w14:paraId="605369BF">
                  <w:pPr>
                    <w:keepNext w:val="0"/>
                    <w:keepLines w:val="0"/>
                    <w:pageBreakBefore w:val="0"/>
                    <w:kinsoku/>
                    <w:wordWrap/>
                    <w:overflowPunct/>
                    <w:topLinePunct w:val="0"/>
                    <w:bidi w:val="0"/>
                    <w:adjustRightInd w:val="0"/>
                    <w:snapToGrid w:val="0"/>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第二生产线</w:t>
                  </w:r>
                </w:p>
                <w:p w14:paraId="4992766F">
                  <w:pPr>
                    <w:keepNext w:val="0"/>
                    <w:keepLines w:val="0"/>
                    <w:pageBreakBefore w:val="0"/>
                    <w:kinsoku/>
                    <w:wordWrap/>
                    <w:overflowPunct/>
                    <w:topLinePunct w:val="0"/>
                    <w:bidi w:val="0"/>
                    <w:adjustRightInd w:val="0"/>
                    <w:snapToGrid w:val="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生产设备上方设置集气罩，共计8个；</w:t>
                  </w:r>
                </w:p>
                <w:p w14:paraId="24DD52A1">
                  <w:pPr>
                    <w:keepNext w:val="0"/>
                    <w:keepLines w:val="0"/>
                    <w:pageBreakBefore w:val="0"/>
                    <w:kinsoku/>
                    <w:wordWrap/>
                    <w:overflowPunct/>
                    <w:topLinePunct w:val="0"/>
                    <w:bidi w:val="0"/>
                    <w:adjustRightInd w:val="0"/>
                    <w:snapToGrid w:val="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6E34B601">
                  <w:pPr>
                    <w:keepNext w:val="0"/>
                    <w:keepLines w:val="0"/>
                    <w:pageBreakBefore w:val="0"/>
                    <w:kinsoku/>
                    <w:wordWrap/>
                    <w:overflowPunct/>
                    <w:topLinePunct w:val="0"/>
                    <w:bidi w:val="0"/>
                    <w:adjustRightInd w:val="0"/>
                    <w:snapToGrid w:val="0"/>
                    <w:jc w:val="left"/>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ascii="Times New Roman" w:hAnsi="Times New Roman" w:eastAsia="宋体"/>
                      <w:color w:val="auto"/>
                      <w:sz w:val="21"/>
                      <w:highlight w:val="none"/>
                      <w:lang w:val="en-US" w:eastAsia="zh-CN"/>
                    </w:rPr>
                    <w:t>770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01BC23AC">
                  <w:pPr>
                    <w:keepNext w:val="0"/>
                    <w:keepLines w:val="0"/>
                    <w:pageBreakBefore w:val="0"/>
                    <w:widowControl w:val="0"/>
                    <w:kinsoku/>
                    <w:wordWrap/>
                    <w:overflowPunct/>
                    <w:topLinePunct w:val="0"/>
                    <w:autoSpaceDE/>
                    <w:autoSpaceDN/>
                    <w:bidi w:val="0"/>
                    <w:adjustRightInd w:val="0"/>
                    <w:snapToGrid w:val="0"/>
                    <w:rPr>
                      <w:rFonts w:hint="eastAsia" w:ascii="Times New Roman" w:hAnsi="Times New Roman" w:eastAsia="宋体"/>
                      <w:color w:val="auto"/>
                      <w:sz w:val="21"/>
                      <w:highlight w:val="none"/>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），H=1</w:t>
                  </w:r>
                  <w:r>
                    <w:rPr>
                      <w:rFonts w:hint="eastAsia" w:ascii="Times New Roman" w:hAnsi="Times New Roman" w:eastAsia="宋体"/>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tc>
            </w:tr>
            <w:tr w14:paraId="7300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2749784E">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continue"/>
                  <w:noWrap w:val="0"/>
                  <w:vAlign w:val="center"/>
                </w:tcPr>
                <w:p w14:paraId="76760D61">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Times New Roman" w:hAnsi="Times New Roman" w:eastAsia="宋体"/>
                      <w:color w:val="auto"/>
                      <w:kern w:val="0"/>
                      <w:sz w:val="21"/>
                      <w:szCs w:val="21"/>
                      <w:highlight w:val="none"/>
                      <w:lang w:val="en-US" w:eastAsia="zh-CN"/>
                    </w:rPr>
                  </w:pPr>
                </w:p>
              </w:tc>
              <w:tc>
                <w:tcPr>
                  <w:tcW w:w="1206" w:type="dxa"/>
                  <w:vMerge w:val="continue"/>
                  <w:noWrap w:val="0"/>
                  <w:vAlign w:val="center"/>
                </w:tcPr>
                <w:p w14:paraId="3B93A47C">
                  <w:pPr>
                    <w:keepNext w:val="0"/>
                    <w:keepLines w:val="0"/>
                    <w:pageBreakBefore w:val="0"/>
                    <w:kinsoku/>
                    <w:wordWrap/>
                    <w:overflowPunct/>
                    <w:topLinePunct w:val="0"/>
                    <w:autoSpaceDE w:val="0"/>
                    <w:autoSpaceDN w:val="0"/>
                    <w:bidi w:val="0"/>
                    <w:adjustRightInd w:val="0"/>
                    <w:snapToGrid w:val="0"/>
                    <w:jc w:val="center"/>
                    <w:rPr>
                      <w:rFonts w:hint="eastAsia" w:ascii="Times New Roman" w:hAnsi="Times New Roman" w:eastAsia="宋体"/>
                      <w:color w:val="auto"/>
                      <w:sz w:val="21"/>
                      <w:szCs w:val="21"/>
                      <w:highlight w:val="none"/>
                      <w:lang w:val="en-US" w:eastAsia="zh-CN"/>
                    </w:rPr>
                  </w:pPr>
                </w:p>
              </w:tc>
              <w:tc>
                <w:tcPr>
                  <w:tcW w:w="5993" w:type="dxa"/>
                  <w:noWrap w:val="0"/>
                  <w:vAlign w:val="center"/>
                </w:tcPr>
                <w:p w14:paraId="1CAB7574">
                  <w:pPr>
                    <w:keepNext w:val="0"/>
                    <w:keepLines w:val="0"/>
                    <w:pageBreakBefore w:val="0"/>
                    <w:kinsoku/>
                    <w:wordWrap/>
                    <w:overflowPunct/>
                    <w:topLinePunct w:val="0"/>
                    <w:bidi w:val="0"/>
                    <w:adjustRightInd w:val="0"/>
                    <w:snapToGrid w:val="0"/>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第三生产线</w:t>
                  </w:r>
                </w:p>
                <w:p w14:paraId="58A5CC2F">
                  <w:pPr>
                    <w:keepNext w:val="0"/>
                    <w:keepLines w:val="0"/>
                    <w:pageBreakBefore w:val="0"/>
                    <w:kinsoku/>
                    <w:wordWrap/>
                    <w:overflowPunct/>
                    <w:topLinePunct w:val="0"/>
                    <w:bidi w:val="0"/>
                    <w:adjustRightInd w:val="0"/>
                    <w:snapToGrid w:val="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w:t>
                  </w:r>
                  <w:r>
                    <w:rPr>
                      <w:rFonts w:hint="eastAsia"/>
                      <w:color w:val="auto"/>
                      <w:sz w:val="21"/>
                      <w:szCs w:val="21"/>
                      <w:highlight w:val="none"/>
                      <w:lang w:val="en-US" w:eastAsia="zh-CN"/>
                    </w:rPr>
                    <w:t>10</w:t>
                  </w:r>
                  <w:r>
                    <w:rPr>
                      <w:rFonts w:hint="eastAsia" w:ascii="Times New Roman" w:hAnsi="Times New Roman" w:eastAsia="宋体"/>
                      <w:color w:val="auto"/>
                      <w:sz w:val="21"/>
                      <w:szCs w:val="21"/>
                      <w:highlight w:val="none"/>
                      <w:lang w:val="en-US" w:eastAsia="zh-CN"/>
                    </w:rPr>
                    <w:t>个；</w:t>
                  </w:r>
                </w:p>
                <w:p w14:paraId="29766C38">
                  <w:pPr>
                    <w:keepNext w:val="0"/>
                    <w:keepLines w:val="0"/>
                    <w:pageBreakBefore w:val="0"/>
                    <w:kinsoku/>
                    <w:wordWrap/>
                    <w:overflowPunct/>
                    <w:topLinePunct w:val="0"/>
                    <w:bidi w:val="0"/>
                    <w:adjustRightInd w:val="0"/>
                    <w:snapToGrid w:val="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3</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56492374">
                  <w:pPr>
                    <w:keepNext w:val="0"/>
                    <w:keepLines w:val="0"/>
                    <w:pageBreakBefore w:val="0"/>
                    <w:kinsoku/>
                    <w:wordWrap/>
                    <w:overflowPunct/>
                    <w:topLinePunct w:val="0"/>
                    <w:bidi w:val="0"/>
                    <w:adjustRightInd w:val="0"/>
                    <w:snapToGrid w:val="0"/>
                    <w:jc w:val="left"/>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color w:val="auto"/>
                      <w:sz w:val="21"/>
                      <w:highlight w:val="none"/>
                      <w:lang w:val="en-US" w:eastAsia="zh-CN"/>
                    </w:rPr>
                    <w:t>96</w:t>
                  </w:r>
                  <w:r>
                    <w:rPr>
                      <w:rFonts w:hint="eastAsia" w:ascii="Times New Roman" w:hAnsi="Times New Roman" w:eastAsia="宋体"/>
                      <w:color w:val="auto"/>
                      <w:sz w:val="21"/>
                      <w:highlight w:val="none"/>
                      <w:lang w:val="en-US" w:eastAsia="zh-CN"/>
                    </w:rPr>
                    <w:t>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2EEC5C4A">
                  <w:pPr>
                    <w:keepNext w:val="0"/>
                    <w:keepLines w:val="0"/>
                    <w:pageBreakBefore w:val="0"/>
                    <w:widowControl w:val="0"/>
                    <w:kinsoku/>
                    <w:wordWrap/>
                    <w:overflowPunct/>
                    <w:topLinePunct w:val="0"/>
                    <w:autoSpaceDE/>
                    <w:autoSpaceDN/>
                    <w:bidi w:val="0"/>
                    <w:adjustRightInd w:val="0"/>
                    <w:snapToGrid w:val="0"/>
                    <w:rPr>
                      <w:rFonts w:hint="eastAsia" w:ascii="Times New Roman" w:hAnsi="Times New Roman" w:eastAsia="宋体"/>
                      <w:color w:val="auto"/>
                      <w:sz w:val="21"/>
                      <w:highlight w:val="none"/>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3</w:t>
                  </w:r>
                  <w:r>
                    <w:rPr>
                      <w:rFonts w:hint="eastAsia" w:ascii="Times New Roman" w:hAnsi="Times New Roman" w:eastAsia="宋体"/>
                      <w:color w:val="auto"/>
                      <w:sz w:val="21"/>
                      <w:szCs w:val="21"/>
                      <w:highlight w:val="none"/>
                    </w:rPr>
                    <w:t>），H=1</w:t>
                  </w:r>
                  <w:r>
                    <w:rPr>
                      <w:rFonts w:hint="eastAsia" w:ascii="Times New Roman" w:hAnsi="Times New Roman" w:eastAsia="宋体"/>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tc>
            </w:tr>
            <w:tr w14:paraId="51B5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2CB03BF7">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continue"/>
                  <w:noWrap w:val="0"/>
                  <w:vAlign w:val="center"/>
                </w:tcPr>
                <w:p w14:paraId="203D7979">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Times New Roman" w:hAnsi="Times New Roman" w:eastAsia="宋体"/>
                      <w:color w:val="auto"/>
                      <w:kern w:val="0"/>
                      <w:sz w:val="21"/>
                      <w:szCs w:val="21"/>
                      <w:highlight w:val="none"/>
                      <w:lang w:val="en-US" w:eastAsia="zh-CN"/>
                    </w:rPr>
                  </w:pPr>
                </w:p>
              </w:tc>
              <w:tc>
                <w:tcPr>
                  <w:tcW w:w="1206" w:type="dxa"/>
                  <w:noWrap w:val="0"/>
                  <w:vAlign w:val="center"/>
                </w:tcPr>
                <w:p w14:paraId="2E0CAE73">
                  <w:pPr>
                    <w:pStyle w:val="96"/>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无组织－生产线、</w:t>
                  </w:r>
                  <w:r>
                    <w:rPr>
                      <w:rFonts w:hint="default" w:ascii="Times New Roman" w:hAnsi="Times New Roman" w:eastAsia="宋体" w:cs="Times New Roman"/>
                      <w:color w:val="auto"/>
                      <w:kern w:val="0"/>
                      <w:sz w:val="21"/>
                      <w:szCs w:val="21"/>
                      <w:highlight w:val="none"/>
                      <w:lang w:val="en-US" w:eastAsia="zh-CN" w:bidi="ar"/>
                    </w:rPr>
                    <w:t>堆场、装卸扬尘</w:t>
                  </w:r>
                </w:p>
              </w:tc>
              <w:tc>
                <w:tcPr>
                  <w:tcW w:w="5993" w:type="dxa"/>
                  <w:noWrap w:val="0"/>
                  <w:vAlign w:val="center"/>
                </w:tcPr>
                <w:p w14:paraId="58279AB8">
                  <w:pPr>
                    <w:keepNext w:val="0"/>
                    <w:keepLines w:val="0"/>
                    <w:pageBreakBefore w:val="0"/>
                    <w:kinsoku/>
                    <w:wordWrap/>
                    <w:overflowPunct/>
                    <w:topLinePunct w:val="0"/>
                    <w:bidi w:val="0"/>
                    <w:adjustRightInd w:val="0"/>
                    <w:snapToGrid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①生产车间封闭厂房，原料</w:t>
                  </w:r>
                  <w:r>
                    <w:rPr>
                      <w:rFonts w:hint="default" w:ascii="Times New Roman" w:hAnsi="Times New Roman" w:eastAsia="宋体" w:cs="Times New Roman"/>
                      <w:color w:val="auto"/>
                      <w:kern w:val="0"/>
                      <w:sz w:val="21"/>
                      <w:szCs w:val="21"/>
                      <w:highlight w:val="none"/>
                      <w:lang w:val="en-US" w:eastAsia="zh-CN" w:bidi="ar"/>
                    </w:rPr>
                    <w:t>堆场、装卸区设置</w:t>
                  </w:r>
                  <w:r>
                    <w:rPr>
                      <w:rFonts w:hint="eastAsia" w:ascii="Times New Roman" w:hAnsi="Times New Roman" w:eastAsia="宋体" w:cs="Times New Roman"/>
                      <w:color w:val="auto"/>
                      <w:kern w:val="0"/>
                      <w:sz w:val="21"/>
                      <w:szCs w:val="21"/>
                      <w:highlight w:val="none"/>
                      <w:lang w:val="en-US" w:eastAsia="zh-CN" w:bidi="ar"/>
                    </w:rPr>
                    <w:t>三面围挡</w:t>
                  </w:r>
                  <w:r>
                    <w:rPr>
                      <w:rFonts w:hint="eastAsia" w:ascii="Times New Roman" w:hAnsi="Times New Roman" w:eastAsia="宋体" w:cs="Times New Roman"/>
                      <w:color w:val="auto"/>
                      <w:sz w:val="21"/>
                      <w:szCs w:val="21"/>
                      <w:highlight w:val="none"/>
                      <w:vertAlign w:val="baseline"/>
                      <w:lang w:val="en-US" w:eastAsia="zh-CN"/>
                    </w:rPr>
                    <w:t>加顶棚</w:t>
                  </w:r>
                  <w:r>
                    <w:rPr>
                      <w:rFonts w:hint="eastAsia" w:ascii="Times New Roman" w:hAnsi="Times New Roman" w:eastAsia="宋体" w:cs="Times New Roman"/>
                      <w:color w:val="auto"/>
                      <w:kern w:val="0"/>
                      <w:sz w:val="21"/>
                      <w:szCs w:val="21"/>
                      <w:highlight w:val="none"/>
                      <w:lang w:val="en-US" w:eastAsia="zh-CN" w:bidi="ar"/>
                    </w:rPr>
                    <w:t>车间内</w:t>
                  </w:r>
                  <w:r>
                    <w:rPr>
                      <w:rFonts w:hint="default" w:ascii="Times New Roman" w:hAnsi="Times New Roman" w:eastAsia="宋体" w:cs="Times New Roman"/>
                      <w:color w:val="auto"/>
                      <w:kern w:val="0"/>
                      <w:sz w:val="21"/>
                      <w:szCs w:val="21"/>
                      <w:highlight w:val="none"/>
                      <w:lang w:val="en-US" w:eastAsia="zh-CN" w:bidi="ar"/>
                    </w:rPr>
                    <w:t>，车间地面硬化处理</w:t>
                  </w:r>
                  <w:r>
                    <w:rPr>
                      <w:rFonts w:hint="eastAsia" w:ascii="Times New Roman" w:hAnsi="Times New Roman" w:eastAsia="宋体" w:cs="Times New Roman"/>
                      <w:color w:val="auto"/>
                      <w:kern w:val="0"/>
                      <w:sz w:val="21"/>
                      <w:szCs w:val="21"/>
                      <w:highlight w:val="none"/>
                      <w:lang w:val="en-US" w:eastAsia="zh-CN" w:bidi="ar"/>
                    </w:rPr>
                    <w:t>；</w:t>
                  </w:r>
                </w:p>
                <w:p w14:paraId="1108ED09">
                  <w:pPr>
                    <w:pStyle w:val="96"/>
                    <w:keepNext w:val="0"/>
                    <w:keepLines w:val="0"/>
                    <w:pageBreakBefore w:val="0"/>
                    <w:widowControl w:val="0"/>
                    <w:kinsoku/>
                    <w:wordWrap/>
                    <w:overflowPunct/>
                    <w:topLinePunct w:val="0"/>
                    <w:autoSpaceDE/>
                    <w:autoSpaceDN/>
                    <w:bidi w:val="0"/>
                    <w:adjustRightInd w:val="0"/>
                    <w:snapToGrid w:val="0"/>
                    <w:rPr>
                      <w:rFonts w:hint="eastAsia" w:ascii="Times New Roman" w:hAnsi="Times New Roman" w:eastAsia="宋体" w:cs="Times New Roman"/>
                      <w:color w:val="auto"/>
                      <w:kern w:val="0"/>
                      <w:sz w:val="21"/>
                      <w:highlight w:val="none"/>
                      <w:lang w:val="en-US" w:eastAsia="zh-CN"/>
                    </w:rPr>
                  </w:pPr>
                  <w:r>
                    <w:rPr>
                      <w:rFonts w:hint="eastAsia" w:ascii="Times New Roman" w:hAnsi="Times New Roman" w:eastAsia="宋体" w:cs="Times New Roman"/>
                      <w:color w:val="auto"/>
                      <w:kern w:val="0"/>
                      <w:sz w:val="21"/>
                      <w:highlight w:val="none"/>
                      <w:lang w:val="en-US" w:eastAsia="zh-CN"/>
                    </w:rPr>
                    <w:t>②堆料大棚设置洒水喷头50个，配套输水管道，定期洒水降尘；</w:t>
                  </w:r>
                </w:p>
                <w:p w14:paraId="439C32C0">
                  <w:pPr>
                    <w:keepNext w:val="0"/>
                    <w:keepLines w:val="0"/>
                    <w:pageBreakBefore w:val="0"/>
                    <w:kinsoku/>
                    <w:wordWrap/>
                    <w:overflowPunct/>
                    <w:topLinePunct w:val="0"/>
                    <w:bidi w:val="0"/>
                    <w:adjustRightInd w:val="0"/>
                    <w:snapToGrid w:val="0"/>
                    <w:rPr>
                      <w:rFonts w:hint="default"/>
                      <w:color w:val="auto"/>
                      <w:lang w:val="en-US" w:eastAsia="zh-CN"/>
                    </w:rPr>
                  </w:pPr>
                  <w:r>
                    <w:rPr>
                      <w:rFonts w:hint="eastAsia"/>
                      <w:color w:val="auto"/>
                      <w:lang w:val="en-US" w:eastAsia="zh-CN"/>
                    </w:rPr>
                    <w:t>③生产线破碎机、振动筛设置集气罩，滚筒筛封闭设置。</w:t>
                  </w:r>
                </w:p>
              </w:tc>
            </w:tr>
            <w:tr w14:paraId="28A3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397BF571">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continue"/>
                  <w:noWrap w:val="0"/>
                  <w:vAlign w:val="center"/>
                </w:tcPr>
                <w:p w14:paraId="2BD80CB2">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Times New Roman" w:hAnsi="Times New Roman" w:eastAsia="宋体"/>
                      <w:color w:val="auto"/>
                      <w:kern w:val="0"/>
                      <w:sz w:val="21"/>
                      <w:szCs w:val="21"/>
                      <w:highlight w:val="none"/>
                      <w:lang w:val="en-US" w:eastAsia="zh-CN"/>
                    </w:rPr>
                  </w:pPr>
                </w:p>
              </w:tc>
              <w:tc>
                <w:tcPr>
                  <w:tcW w:w="1206" w:type="dxa"/>
                  <w:noWrap w:val="0"/>
                  <w:vAlign w:val="center"/>
                </w:tcPr>
                <w:p w14:paraId="05834394">
                  <w:pPr>
                    <w:pStyle w:val="96"/>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无组织－运输粉尘</w:t>
                  </w:r>
                </w:p>
              </w:tc>
              <w:tc>
                <w:tcPr>
                  <w:tcW w:w="5993" w:type="dxa"/>
                  <w:noWrap w:val="0"/>
                  <w:vAlign w:val="center"/>
                </w:tcPr>
                <w:p w14:paraId="78938784">
                  <w:pPr>
                    <w:keepNext w:val="0"/>
                    <w:keepLines w:val="0"/>
                    <w:pageBreakBefore w:val="0"/>
                    <w:kinsoku/>
                    <w:wordWrap/>
                    <w:overflowPunct/>
                    <w:topLinePunct w:val="0"/>
                    <w:bidi w:val="0"/>
                    <w:adjustRightInd w:val="0"/>
                    <w:snapToGrid w:val="0"/>
                    <w:jc w:val="both"/>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①</w:t>
                  </w:r>
                  <w:r>
                    <w:rPr>
                      <w:rFonts w:hint="default" w:ascii="Times New Roman" w:hAnsi="Times New Roman" w:eastAsia="宋体" w:cs="Times New Roman"/>
                      <w:color w:val="auto"/>
                      <w:kern w:val="0"/>
                      <w:sz w:val="21"/>
                      <w:szCs w:val="21"/>
                      <w:highlight w:val="none"/>
                      <w:lang w:val="en-US" w:eastAsia="zh-CN" w:bidi="ar"/>
                    </w:rPr>
                    <w:t>运输车辆加盖篷布及时清扫、</w:t>
                  </w:r>
                  <w:r>
                    <w:rPr>
                      <w:rFonts w:hint="eastAsia" w:ascii="Times New Roman" w:hAnsi="Times New Roman" w:eastAsia="宋体" w:cs="Times New Roman"/>
                      <w:color w:val="auto"/>
                      <w:kern w:val="0"/>
                      <w:sz w:val="21"/>
                      <w:szCs w:val="21"/>
                      <w:highlight w:val="none"/>
                      <w:lang w:val="en-US" w:eastAsia="zh-CN" w:bidi="ar"/>
                    </w:rPr>
                    <w:t>运输道路</w:t>
                  </w:r>
                  <w:r>
                    <w:rPr>
                      <w:rFonts w:hint="default" w:ascii="Times New Roman" w:hAnsi="Times New Roman" w:eastAsia="宋体" w:cs="Times New Roman"/>
                      <w:color w:val="auto"/>
                      <w:kern w:val="0"/>
                      <w:sz w:val="21"/>
                      <w:szCs w:val="21"/>
                      <w:highlight w:val="none"/>
                      <w:lang w:val="en-US" w:eastAsia="zh-CN" w:bidi="ar"/>
                    </w:rPr>
                    <w:t>定期洒水降尘</w:t>
                  </w:r>
                  <w:r>
                    <w:rPr>
                      <w:rFonts w:hint="eastAsia" w:ascii="Times New Roman" w:hAnsi="Times New Roman" w:eastAsia="宋体" w:cs="Times New Roman"/>
                      <w:color w:val="auto"/>
                      <w:kern w:val="0"/>
                      <w:sz w:val="21"/>
                      <w:szCs w:val="21"/>
                      <w:highlight w:val="none"/>
                      <w:lang w:val="en-US" w:eastAsia="zh-CN" w:bidi="ar"/>
                    </w:rPr>
                    <w:t>；</w:t>
                  </w:r>
                </w:p>
                <w:p w14:paraId="700F7383">
                  <w:pPr>
                    <w:keepNext w:val="0"/>
                    <w:keepLines w:val="0"/>
                    <w:pageBreakBefore w:val="0"/>
                    <w:kinsoku/>
                    <w:wordWrap/>
                    <w:overflowPunct/>
                    <w:topLinePunct w:val="0"/>
                    <w:bidi w:val="0"/>
                    <w:adjustRightInd w:val="0"/>
                    <w:snapToGrid w:val="0"/>
                    <w:jc w:val="both"/>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②运输车辆进入厂区进行轮胎清洗；</w:t>
                  </w:r>
                </w:p>
                <w:p w14:paraId="5B920C59">
                  <w:pPr>
                    <w:pStyle w:val="96"/>
                    <w:keepNext w:val="0"/>
                    <w:keepLines w:val="0"/>
                    <w:pageBreakBefore w:val="0"/>
                    <w:widowControl w:val="0"/>
                    <w:kinsoku/>
                    <w:wordWrap/>
                    <w:overflowPunct/>
                    <w:topLinePunct w:val="0"/>
                    <w:autoSpaceDE/>
                    <w:autoSpaceDN/>
                    <w:bidi w:val="0"/>
                    <w:adjustRightInd w:val="0"/>
                    <w:snapToGrid w:val="0"/>
                    <w:jc w:val="both"/>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③配置洒水车1辆。</w:t>
                  </w:r>
                </w:p>
              </w:tc>
            </w:tr>
            <w:tr w14:paraId="7E5D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4F9DE96B">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restart"/>
                  <w:noWrap w:val="0"/>
                  <w:vAlign w:val="center"/>
                </w:tcPr>
                <w:p w14:paraId="0F8153CE">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固废</w:t>
                  </w:r>
                </w:p>
              </w:tc>
              <w:tc>
                <w:tcPr>
                  <w:tcW w:w="1206" w:type="dxa"/>
                  <w:noWrap w:val="0"/>
                  <w:vAlign w:val="center"/>
                </w:tcPr>
                <w:p w14:paraId="3DC39DC2">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危险废物暂存间</w:t>
                  </w:r>
                </w:p>
              </w:tc>
              <w:tc>
                <w:tcPr>
                  <w:tcW w:w="5993" w:type="dxa"/>
                  <w:noWrap w:val="0"/>
                  <w:vAlign w:val="center"/>
                </w:tcPr>
                <w:p w14:paraId="2F5708C4">
                  <w:pPr>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仓库内设置</w:t>
                  </w:r>
                  <w:r>
                    <w:rPr>
                      <w:rFonts w:hint="default" w:ascii="Times New Roman" w:hAnsi="Times New Roman" w:eastAsia="宋体" w:cs="Times New Roman"/>
                      <w:bCs/>
                      <w:color w:val="auto"/>
                      <w:sz w:val="21"/>
                      <w:szCs w:val="21"/>
                      <w:highlight w:val="none"/>
                      <w:lang w:val="en-US" w:eastAsia="zh-CN"/>
                    </w:rPr>
                    <w:t>1间</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eastAsia="宋体" w:cs="Times New Roman"/>
                      <w:color w:val="auto"/>
                      <w:sz w:val="21"/>
                      <w:szCs w:val="21"/>
                      <w:highlight w:val="none"/>
                    </w:rPr>
                    <w:t>危险废物暂存间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rPr>
                    <w:t>按《危险废物贮存污染控制标准》（GB18597-2023）的相关要求建设，</w:t>
                  </w:r>
                  <w:r>
                    <w:rPr>
                      <w:rFonts w:hint="default" w:ascii="Times New Roman" w:hAnsi="Times New Roman" w:eastAsia="宋体" w:cs="Times New Roman"/>
                      <w:color w:val="auto"/>
                      <w:sz w:val="21"/>
                      <w:szCs w:val="21"/>
                      <w:highlight w:val="none"/>
                      <w:lang w:val="en-US" w:eastAsia="zh-CN"/>
                    </w:rPr>
                    <w:t>具体为：</w:t>
                  </w:r>
                  <w:r>
                    <w:rPr>
                      <w:rFonts w:hint="default" w:ascii="Times New Roman" w:hAnsi="Times New Roman" w:eastAsia="宋体" w:cs="Times New Roman"/>
                      <w:color w:val="auto"/>
                      <w:kern w:val="0"/>
                      <w:sz w:val="21"/>
                      <w:szCs w:val="21"/>
                      <w:highlight w:val="none"/>
                      <w:lang w:bidi="ar"/>
                    </w:rPr>
                    <w:t>基础必须防渗，防渗层为至少1m厚粘土层（渗透系数≤10</w:t>
                  </w:r>
                  <w:r>
                    <w:rPr>
                      <w:rFonts w:hint="default" w:ascii="Times New Roman" w:hAnsi="Times New Roman" w:eastAsia="宋体" w:cs="Times New Roman"/>
                      <w:color w:val="auto"/>
                      <w:kern w:val="0"/>
                      <w:sz w:val="21"/>
                      <w:szCs w:val="21"/>
                      <w:highlight w:val="none"/>
                      <w:vertAlign w:val="superscript"/>
                      <w:lang w:bidi="ar"/>
                    </w:rPr>
                    <w:t>-7</w:t>
                  </w:r>
                  <w:r>
                    <w:rPr>
                      <w:rFonts w:hint="default" w:ascii="Times New Roman" w:hAnsi="Times New Roman" w:eastAsia="宋体" w:cs="Times New Roman"/>
                      <w:color w:val="auto"/>
                      <w:kern w:val="0"/>
                      <w:sz w:val="21"/>
                      <w:szCs w:val="21"/>
                      <w:highlight w:val="none"/>
                      <w:lang w:bidi="ar"/>
                    </w:rPr>
                    <w:t>cm/s），或2mm厚高密度聚乙烯，或至少2mm厚的</w:t>
                  </w:r>
                  <w:r>
                    <w:rPr>
                      <w:rFonts w:hint="eastAsia" w:ascii="Times New Roman" w:hAnsi="Times New Roman" w:eastAsia="宋体" w:cs="Times New Roman"/>
                      <w:color w:val="auto"/>
                      <w:kern w:val="0"/>
                      <w:sz w:val="21"/>
                      <w:szCs w:val="21"/>
                      <w:highlight w:val="none"/>
                      <w:lang w:eastAsia="zh-CN" w:bidi="ar"/>
                    </w:rPr>
                    <w:t>其他人工</w:t>
                  </w:r>
                  <w:r>
                    <w:rPr>
                      <w:rFonts w:hint="default" w:ascii="Times New Roman" w:hAnsi="Times New Roman" w:eastAsia="宋体" w:cs="Times New Roman"/>
                      <w:color w:val="auto"/>
                      <w:kern w:val="0"/>
                      <w:sz w:val="21"/>
                      <w:szCs w:val="21"/>
                      <w:highlight w:val="none"/>
                      <w:lang w:bidi="ar"/>
                    </w:rPr>
                    <w:t>材料，渗透系数≤10</w:t>
                  </w:r>
                  <w:r>
                    <w:rPr>
                      <w:rFonts w:hint="eastAsia" w:ascii="Times New Roman" w:hAnsi="Times New Roman" w:eastAsia="宋体" w:cs="Times New Roman"/>
                      <w:color w:val="auto"/>
                      <w:kern w:val="0"/>
                      <w:sz w:val="21"/>
                      <w:szCs w:val="21"/>
                      <w:highlight w:val="none"/>
                      <w:vertAlign w:val="superscript"/>
                      <w:lang w:val="en-US" w:eastAsia="zh-CN" w:bidi="ar"/>
                    </w:rPr>
                    <w:t>-</w:t>
                  </w:r>
                  <w:r>
                    <w:rPr>
                      <w:rFonts w:hint="default" w:ascii="Times New Roman" w:hAnsi="Times New Roman" w:eastAsia="宋体" w:cs="Times New Roman"/>
                      <w:color w:val="auto"/>
                      <w:kern w:val="0"/>
                      <w:sz w:val="21"/>
                      <w:szCs w:val="21"/>
                      <w:highlight w:val="none"/>
                      <w:vertAlign w:val="superscript"/>
                      <w:lang w:bidi="ar"/>
                    </w:rPr>
                    <w:t>10</w:t>
                  </w:r>
                  <w:r>
                    <w:rPr>
                      <w:rFonts w:hint="default" w:ascii="Times New Roman" w:hAnsi="Times New Roman" w:eastAsia="宋体" w:cs="Times New Roman"/>
                      <w:color w:val="auto"/>
                      <w:kern w:val="0"/>
                      <w:sz w:val="21"/>
                      <w:szCs w:val="21"/>
                      <w:highlight w:val="none"/>
                      <w:lang w:bidi="ar"/>
                    </w:rPr>
                    <w:t>cm/</w:t>
                  </w:r>
                  <w:r>
                    <w:rPr>
                      <w:rFonts w:hint="default" w:ascii="Times New Roman" w:hAnsi="Times New Roman" w:eastAsia="宋体" w:cs="Times New Roman"/>
                      <w:bCs/>
                      <w:color w:val="auto"/>
                      <w:sz w:val="21"/>
                      <w:szCs w:val="21"/>
                      <w:highlight w:val="none"/>
                      <w:lang w:val="en-US" w:eastAsia="zh-CN"/>
                    </w:rPr>
                    <w:t>s，</w:t>
                  </w:r>
                  <w:r>
                    <w:rPr>
                      <w:rFonts w:hint="eastAsia" w:ascii="Times New Roman" w:hAnsi="Times New Roman" w:eastAsia="宋体" w:cs="Times New Roman"/>
                      <w:color w:val="auto"/>
                      <w:kern w:val="0"/>
                      <w:sz w:val="21"/>
                      <w:szCs w:val="21"/>
                      <w:highlight w:val="none"/>
                      <w:lang w:val="en-US" w:eastAsia="zh-CN" w:bidi="ar"/>
                    </w:rPr>
                    <w:t>贮存设施应根据危险废物的形态、物理化学性质、包装形式和污染物迁移途径，采取必要的防风、防晒、防雨、防漏、防渗、防腐以及其他环境污染防治措施，不应露天堆放危险废物</w:t>
                  </w:r>
                  <w:r>
                    <w:rPr>
                      <w:rFonts w:hint="eastAsia" w:ascii="Times New Roman" w:hAnsi="Times New Roman" w:eastAsia="宋体" w:cs="Times New Roman"/>
                      <w:color w:val="auto"/>
                      <w:kern w:val="0"/>
                      <w:sz w:val="21"/>
                      <w:szCs w:val="21"/>
                      <w:highlight w:val="none"/>
                      <w:lang w:eastAsia="zh-CN" w:bidi="ar"/>
                    </w:rPr>
                    <w:t>；</w:t>
                  </w:r>
                  <w:r>
                    <w:rPr>
                      <w:rFonts w:hint="eastAsia" w:ascii="Times New Roman" w:hAnsi="Times New Roman" w:eastAsia="宋体" w:cs="Times New Roman"/>
                      <w:color w:val="auto"/>
                      <w:kern w:val="0"/>
                      <w:sz w:val="21"/>
                      <w:szCs w:val="21"/>
                      <w:highlight w:val="none"/>
                      <w:lang w:val="en-US" w:eastAsia="zh-CN" w:bidi="ar"/>
                    </w:rPr>
                    <w:t>贮存点应采取防风、防雨、防晒和防止危险废物流失、扬散等措施。</w:t>
                  </w:r>
                </w:p>
              </w:tc>
            </w:tr>
            <w:tr w14:paraId="3C41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0976D886">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426" w:type="dxa"/>
                  <w:vMerge w:val="continue"/>
                  <w:noWrap w:val="0"/>
                  <w:vAlign w:val="center"/>
                </w:tcPr>
                <w:p w14:paraId="4C9A0A84">
                  <w:pPr>
                    <w:keepNext w:val="0"/>
                    <w:keepLines w:val="0"/>
                    <w:pageBreakBefore w:val="0"/>
                    <w:widowControl w:val="0"/>
                    <w:kinsoku/>
                    <w:wordWrap/>
                    <w:overflowPunct/>
                    <w:topLinePunct w:val="0"/>
                    <w:autoSpaceDE/>
                    <w:autoSpaceDN/>
                    <w:bidi w:val="0"/>
                    <w:adjustRightInd w:val="0"/>
                    <w:snapToGrid w:val="0"/>
                    <w:jc w:val="center"/>
                    <w:textAlignment w:val="baseline"/>
                    <w:rPr>
                      <w:rFonts w:ascii="Times New Roman" w:hAnsi="Times New Roman" w:eastAsia="宋体"/>
                      <w:color w:val="auto"/>
                      <w:kern w:val="0"/>
                      <w:sz w:val="21"/>
                      <w:szCs w:val="21"/>
                      <w:highlight w:val="none"/>
                    </w:rPr>
                  </w:pPr>
                </w:p>
              </w:tc>
              <w:tc>
                <w:tcPr>
                  <w:tcW w:w="1206" w:type="dxa"/>
                  <w:noWrap w:val="0"/>
                  <w:vAlign w:val="center"/>
                </w:tcPr>
                <w:p w14:paraId="67FCE67A">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生活垃圾</w:t>
                  </w:r>
                </w:p>
              </w:tc>
              <w:tc>
                <w:tcPr>
                  <w:tcW w:w="5993" w:type="dxa"/>
                  <w:noWrap w:val="0"/>
                  <w:vAlign w:val="center"/>
                </w:tcPr>
                <w:p w14:paraId="04C15283">
                  <w:pPr>
                    <w:keepNext w:val="0"/>
                    <w:keepLines w:val="0"/>
                    <w:pageBreakBefore w:val="0"/>
                    <w:widowControl w:val="0"/>
                    <w:kinsoku/>
                    <w:wordWrap/>
                    <w:overflowPunct/>
                    <w:topLinePunct w:val="0"/>
                    <w:autoSpaceDE/>
                    <w:autoSpaceDN/>
                    <w:bidi w:val="0"/>
                    <w:adjustRightInd w:val="0"/>
                    <w:snapToGrid w:val="0"/>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生活垃圾收集桶</w:t>
                  </w:r>
                  <w:r>
                    <w:rPr>
                      <w:rFonts w:hint="default" w:ascii="Times New Roman" w:hAnsi="Times New Roman" w:eastAsia="宋体" w:cs="Times New Roman"/>
                      <w:color w:val="auto"/>
                      <w:sz w:val="21"/>
                      <w:szCs w:val="21"/>
                      <w:highlight w:val="none"/>
                      <w:lang w:val="en-US" w:eastAsia="zh-CN"/>
                    </w:rPr>
                    <w:t>若干，分散设置于生产车间和办公</w:t>
                  </w:r>
                  <w:r>
                    <w:rPr>
                      <w:rFonts w:hint="eastAsia" w:ascii="Times New Roman" w:hAnsi="Times New Roman" w:eastAsia="宋体" w:cs="Times New Roman"/>
                      <w:color w:val="auto"/>
                      <w:sz w:val="21"/>
                      <w:szCs w:val="21"/>
                      <w:highlight w:val="none"/>
                      <w:lang w:val="en-US" w:eastAsia="zh-CN"/>
                    </w:rPr>
                    <w:t>区</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生活垃圾统一收集后，</w:t>
                  </w:r>
                  <w:r>
                    <w:rPr>
                      <w:rFonts w:hint="eastAsia" w:ascii="Times New Roman" w:hAnsi="Times New Roman" w:eastAsia="宋体" w:cs="Times New Roman"/>
                      <w:color w:val="auto"/>
                      <w:sz w:val="21"/>
                      <w:szCs w:val="21"/>
                      <w:highlight w:val="none"/>
                      <w:lang w:val="en-US" w:eastAsia="zh-CN"/>
                    </w:rPr>
                    <w:t>暂时转入</w:t>
                  </w:r>
                  <w:r>
                    <w:rPr>
                      <w:rFonts w:hint="eastAsia" w:ascii="Times New Roman" w:hAnsi="Times New Roman" w:eastAsia="宋体" w:cs="Times New Roman"/>
                      <w:color w:val="auto"/>
                      <w:sz w:val="21"/>
                      <w:highlight w:val="none"/>
                      <w:lang w:val="en-US" w:eastAsia="zh-CN"/>
                    </w:rPr>
                    <w:t>1个封闭式室外垃圾收集桶（120L）2个，用于收集生活垃圾，定期</w:t>
                  </w:r>
                  <w:r>
                    <w:rPr>
                      <w:rFonts w:hint="default" w:ascii="Times New Roman" w:hAnsi="Times New Roman" w:eastAsia="宋体" w:cs="Times New Roman"/>
                      <w:color w:val="auto"/>
                      <w:sz w:val="21"/>
                      <w:szCs w:val="21"/>
                      <w:highlight w:val="none"/>
                      <w:lang w:val="en-US" w:eastAsia="zh-CN"/>
                    </w:rPr>
                    <w:t>委托环卫部门清运处理</w:t>
                  </w:r>
                  <w:r>
                    <w:rPr>
                      <w:rFonts w:hint="default" w:ascii="Times New Roman" w:hAnsi="Times New Roman" w:eastAsia="宋体" w:cs="Times New Roman"/>
                      <w:color w:val="auto"/>
                      <w:sz w:val="21"/>
                      <w:szCs w:val="21"/>
                      <w:highlight w:val="none"/>
                    </w:rPr>
                    <w:t>。</w:t>
                  </w:r>
                </w:p>
              </w:tc>
            </w:tr>
            <w:tr w14:paraId="05BF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69C800B2">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noWrap w:val="0"/>
                  <w:vAlign w:val="center"/>
                </w:tcPr>
                <w:p w14:paraId="3D0198AE">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kern w:val="0"/>
                      <w:sz w:val="21"/>
                      <w:szCs w:val="21"/>
                      <w:highlight w:val="none"/>
                    </w:rPr>
                    <w:t>噪声</w:t>
                  </w:r>
                </w:p>
              </w:tc>
              <w:tc>
                <w:tcPr>
                  <w:tcW w:w="5993" w:type="dxa"/>
                  <w:noWrap w:val="0"/>
                  <w:vAlign w:val="center"/>
                </w:tcPr>
                <w:p w14:paraId="26586E02">
                  <w:pPr>
                    <w:keepNext w:val="0"/>
                    <w:keepLines w:val="0"/>
                    <w:pageBreakBefore w:val="0"/>
                    <w:widowControl w:val="0"/>
                    <w:kinsoku/>
                    <w:wordWrap/>
                    <w:overflowPunct/>
                    <w:topLinePunct w:val="0"/>
                    <w:autoSpaceDE/>
                    <w:autoSpaceDN/>
                    <w:bidi w:val="0"/>
                    <w:adjustRightInd w:val="0"/>
                    <w:snapToGrid w:val="0"/>
                    <w:rPr>
                      <w:rFonts w:hint="eastAsia"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lang w:val="en-US" w:eastAsia="zh-CN"/>
                    </w:rPr>
                    <w:t>采用厂房</w:t>
                  </w:r>
                  <w:r>
                    <w:rPr>
                      <w:rFonts w:hint="default" w:ascii="Times New Roman" w:hAnsi="Times New Roman" w:eastAsia="宋体" w:cs="Times New Roman"/>
                      <w:color w:val="auto"/>
                      <w:sz w:val="21"/>
                      <w:szCs w:val="21"/>
                      <w:highlight w:val="none"/>
                    </w:rPr>
                    <w:t>隔声、</w:t>
                  </w:r>
                  <w:r>
                    <w:rPr>
                      <w:rFonts w:hint="default" w:ascii="Times New Roman" w:hAnsi="Times New Roman" w:eastAsia="宋体" w:cs="Times New Roman"/>
                      <w:color w:val="auto"/>
                      <w:sz w:val="21"/>
                      <w:szCs w:val="21"/>
                      <w:highlight w:val="none"/>
                      <w:lang w:val="en-US" w:eastAsia="zh-CN"/>
                    </w:rPr>
                    <w:t>安装</w:t>
                  </w:r>
                  <w:r>
                    <w:rPr>
                      <w:rFonts w:hint="default" w:ascii="Times New Roman" w:hAnsi="Times New Roman" w:eastAsia="宋体" w:cs="Times New Roman"/>
                      <w:color w:val="auto"/>
                      <w:sz w:val="21"/>
                      <w:szCs w:val="21"/>
                      <w:highlight w:val="none"/>
                    </w:rPr>
                    <w:t>减震</w:t>
                  </w:r>
                  <w:r>
                    <w:rPr>
                      <w:rFonts w:hint="default" w:ascii="Times New Roman" w:hAnsi="Times New Roman" w:eastAsia="宋体" w:cs="Times New Roman"/>
                      <w:color w:val="auto"/>
                      <w:sz w:val="21"/>
                      <w:szCs w:val="21"/>
                      <w:highlight w:val="none"/>
                      <w:lang w:val="en-US" w:eastAsia="zh-CN"/>
                    </w:rPr>
                    <w:t>垫</w:t>
                  </w:r>
                  <w:r>
                    <w:rPr>
                      <w:rFonts w:hint="default" w:ascii="Times New Roman" w:hAnsi="Times New Roman" w:eastAsia="宋体" w:cs="Times New Roman"/>
                      <w:color w:val="auto"/>
                      <w:sz w:val="21"/>
                      <w:szCs w:val="21"/>
                      <w:highlight w:val="none"/>
                    </w:rPr>
                    <w:t>等措施。</w:t>
                  </w:r>
                </w:p>
              </w:tc>
            </w:tr>
            <w:tr w14:paraId="598A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54B222E6">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bookmarkStart w:id="8" w:name="_Toc137737894"/>
                </w:p>
              </w:tc>
              <w:tc>
                <w:tcPr>
                  <w:tcW w:w="1632" w:type="dxa"/>
                  <w:gridSpan w:val="2"/>
                  <w:noWrap w:val="0"/>
                  <w:vAlign w:val="center"/>
                </w:tcPr>
                <w:p w14:paraId="4DCCE96B">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rPr>
                    <w:t>其他</w:t>
                  </w:r>
                </w:p>
              </w:tc>
              <w:tc>
                <w:tcPr>
                  <w:tcW w:w="5993" w:type="dxa"/>
                  <w:noWrap w:val="0"/>
                  <w:vAlign w:val="center"/>
                </w:tcPr>
                <w:p w14:paraId="104A971A">
                  <w:pPr>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项目区绿化面积2500m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w:t>
                  </w:r>
                </w:p>
              </w:tc>
            </w:tr>
            <w:tr w14:paraId="6F92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76C775E9">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noWrap w:val="0"/>
                  <w:vAlign w:val="center"/>
                </w:tcPr>
                <w:p w14:paraId="2F6A024B">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kern w:val="0"/>
                      <w:sz w:val="21"/>
                      <w:szCs w:val="21"/>
                      <w:highlight w:val="none"/>
                      <w:lang w:val="en-US" w:eastAsia="zh-CN"/>
                    </w:rPr>
                  </w:pPr>
                  <w:r>
                    <w:rPr>
                      <w:rFonts w:hint="eastAsia" w:ascii="Times New Roman" w:hAnsi="Times New Roman" w:eastAsia="宋体"/>
                      <w:color w:val="auto"/>
                      <w:sz w:val="21"/>
                      <w:szCs w:val="21"/>
                      <w:highlight w:val="none"/>
                      <w:lang w:val="en-US" w:eastAsia="zh-CN"/>
                    </w:rPr>
                    <w:t>地下水和土壤防治措施</w:t>
                  </w:r>
                </w:p>
              </w:tc>
              <w:tc>
                <w:tcPr>
                  <w:tcW w:w="5993" w:type="dxa"/>
                  <w:noWrap w:val="0"/>
                  <w:vAlign w:val="center"/>
                </w:tcPr>
                <w:p w14:paraId="3F7B23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危废暂存间</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柴油储罐区</w:t>
                  </w:r>
                  <w:r>
                    <w:rPr>
                      <w:rFonts w:hint="eastAsia" w:ascii="Times New Roman" w:hAnsi="Times New Roman" w:eastAsia="宋体" w:cs="Times New Roman"/>
                      <w:color w:val="auto"/>
                      <w:sz w:val="21"/>
                      <w:szCs w:val="21"/>
                      <w:highlight w:val="none"/>
                      <w:lang w:eastAsia="zh-CN"/>
                    </w:rPr>
                    <w:t>作为</w:t>
                  </w:r>
                  <w:r>
                    <w:rPr>
                      <w:rFonts w:hint="default" w:ascii="Times New Roman" w:hAnsi="Times New Roman" w:eastAsia="宋体" w:cs="Times New Roman"/>
                      <w:color w:val="auto"/>
                      <w:sz w:val="21"/>
                      <w:szCs w:val="21"/>
                      <w:highlight w:val="none"/>
                    </w:rPr>
                    <w:t>重点防渗</w:t>
                  </w:r>
                  <w:r>
                    <w:rPr>
                      <w:rFonts w:hint="eastAsia" w:ascii="Times New Roman" w:hAnsi="Times New Roman" w:eastAsia="宋体" w:cs="Times New Roman"/>
                      <w:color w:val="auto"/>
                      <w:sz w:val="21"/>
                      <w:szCs w:val="21"/>
                      <w:highlight w:val="none"/>
                      <w:lang w:eastAsia="zh-CN"/>
                    </w:rPr>
                    <w:t>区，</w:t>
                  </w:r>
                  <w:r>
                    <w:rPr>
                      <w:rFonts w:hint="default" w:ascii="Times New Roman" w:hAnsi="Times New Roman" w:eastAsia="宋体" w:cs="Times New Roman"/>
                      <w:b w:val="0"/>
                      <w:bCs w:val="0"/>
                      <w:color w:val="auto"/>
                      <w:sz w:val="21"/>
                      <w:szCs w:val="21"/>
                      <w:highlight w:val="none"/>
                      <w:lang w:val="en-US" w:eastAsia="zh-CN"/>
                    </w:rPr>
                    <w:t>防渗层为至少1m厚黏土层</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渗透系数不大于10</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en-US" w:eastAsia="zh-CN"/>
                    </w:rPr>
                    <w:t>cm/s</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，或至少2mm厚高密度聚乙烯膜等人工防渗材料</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渗透系数不大于10</w:t>
                  </w:r>
                  <w:r>
                    <w:rPr>
                      <w:rFonts w:hint="eastAsia" w:ascii="Times New Roman" w:hAnsi="Times New Roman" w:eastAsia="宋体" w:cs="Times New Roman"/>
                      <w:b w:val="0"/>
                      <w:bCs w:val="0"/>
                      <w:color w:val="auto"/>
                      <w:sz w:val="21"/>
                      <w:szCs w:val="21"/>
                      <w:highlight w:val="none"/>
                      <w:vertAlign w:val="superscript"/>
                      <w:lang w:val="en-US" w:eastAsia="zh-CN"/>
                    </w:rPr>
                    <w:t>-10</w:t>
                  </w:r>
                  <w:r>
                    <w:rPr>
                      <w:rFonts w:hint="default" w:ascii="Times New Roman" w:hAnsi="Times New Roman" w:eastAsia="宋体" w:cs="Times New Roman"/>
                      <w:b w:val="0"/>
                      <w:bCs w:val="0"/>
                      <w:color w:val="auto"/>
                      <w:sz w:val="21"/>
                      <w:szCs w:val="21"/>
                      <w:highlight w:val="none"/>
                      <w:lang w:val="en-US" w:eastAsia="zh-CN"/>
                    </w:rPr>
                    <w:t>cm/s</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color w:val="auto"/>
                      <w:sz w:val="21"/>
                      <w:szCs w:val="21"/>
                      <w:highlight w:val="none"/>
                    </w:rPr>
                    <w:t>危废暂存间</w:t>
                  </w:r>
                  <w:r>
                    <w:rPr>
                      <w:rFonts w:hint="eastAsia" w:ascii="Times New Roman" w:hAnsi="Times New Roman" w:eastAsia="宋体" w:cs="Times New Roman"/>
                      <w:b w:val="0"/>
                      <w:bCs w:val="0"/>
                      <w:color w:val="auto"/>
                      <w:sz w:val="21"/>
                      <w:szCs w:val="21"/>
                      <w:highlight w:val="none"/>
                      <w:lang w:val="en-US" w:eastAsia="zh-CN"/>
                    </w:rPr>
                    <w:t>参照执行《危险废物贮存污染控制标准》（</w:t>
                  </w:r>
                  <w:r>
                    <w:rPr>
                      <w:rFonts w:hint="default" w:ascii="Times New Roman" w:hAnsi="Times New Roman" w:eastAsia="宋体" w:cs="Times New Roman"/>
                      <w:b w:val="0"/>
                      <w:bCs w:val="0"/>
                      <w:color w:val="auto"/>
                      <w:sz w:val="21"/>
                      <w:szCs w:val="21"/>
                      <w:highlight w:val="none"/>
                      <w:lang w:val="en-US" w:eastAsia="zh-CN"/>
                    </w:rPr>
                    <w:t>GB18597-20</w:t>
                  </w:r>
                  <w:r>
                    <w:rPr>
                      <w:rFonts w:hint="eastAsia" w:ascii="Times New Roman" w:hAnsi="Times New Roman" w:eastAsia="宋体" w:cs="Times New Roman"/>
                      <w:b w:val="0"/>
                      <w:bCs w:val="0"/>
                      <w:color w:val="auto"/>
                      <w:sz w:val="21"/>
                      <w:szCs w:val="21"/>
                      <w:highlight w:val="none"/>
                      <w:lang w:val="en-US" w:eastAsia="zh-CN"/>
                    </w:rPr>
                    <w:t>23）相关要求；</w:t>
                  </w:r>
                  <w:r>
                    <w:rPr>
                      <w:rFonts w:hint="eastAsia" w:ascii="Times New Roman" w:hAnsi="Times New Roman"/>
                      <w:color w:val="auto"/>
                      <w:sz w:val="21"/>
                      <w:szCs w:val="21"/>
                      <w:highlight w:val="none"/>
                      <w:lang w:val="en-US" w:eastAsia="zh-CN"/>
                    </w:rPr>
                    <w:t>隔油池、化粪池、初期雨水收集池、污水处理站</w:t>
                  </w:r>
                  <w:r>
                    <w:rPr>
                      <w:rFonts w:hint="eastAsia"/>
                      <w:color w:val="auto"/>
                      <w:sz w:val="21"/>
                      <w:szCs w:val="21"/>
                      <w:highlight w:val="none"/>
                      <w:lang w:val="en-US" w:eastAsia="zh-CN"/>
                    </w:rPr>
                    <w:t>、洗车沉淀池、生产区为一般防渗区，</w:t>
                  </w:r>
                  <w:r>
                    <w:rPr>
                      <w:rFonts w:ascii="Times New Roman" w:hAnsi="Times New Roman"/>
                      <w:color w:val="auto"/>
                      <w:sz w:val="21"/>
                      <w:szCs w:val="21"/>
                      <w:highlight w:val="none"/>
                    </w:rPr>
                    <w:t>等效黏土防渗层厚度Mb≥1.5m，渗透系数K≤1.0×10</w:t>
                  </w:r>
                  <w:r>
                    <w:rPr>
                      <w:rFonts w:ascii="Times New Roman" w:hAnsi="Times New Roman"/>
                      <w:color w:val="auto"/>
                      <w:sz w:val="21"/>
                      <w:szCs w:val="21"/>
                      <w:highlight w:val="none"/>
                      <w:vertAlign w:val="superscript"/>
                    </w:rPr>
                    <w:t>-7</w:t>
                  </w:r>
                  <w:r>
                    <w:rPr>
                      <w:rFonts w:ascii="Times New Roman" w:hAnsi="Times New Roman"/>
                      <w:color w:val="auto"/>
                      <w:sz w:val="21"/>
                      <w:szCs w:val="21"/>
                      <w:highlight w:val="none"/>
                    </w:rPr>
                    <w:t>cm/s</w:t>
                  </w:r>
                  <w:r>
                    <w:rPr>
                      <w:rFonts w:hint="eastAsia"/>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其他区域为简单防渗区，水泥地面硬化。</w:t>
                  </w:r>
                </w:p>
              </w:tc>
            </w:tr>
            <w:tr w14:paraId="3A5E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6D49D69D">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vMerge w:val="restart"/>
                  <w:noWrap w:val="0"/>
                  <w:vAlign w:val="center"/>
                </w:tcPr>
                <w:p w14:paraId="29D5C038">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风险设施工程</w:t>
                  </w:r>
                </w:p>
              </w:tc>
              <w:tc>
                <w:tcPr>
                  <w:tcW w:w="5993" w:type="dxa"/>
                  <w:noWrap w:val="0"/>
                  <w:vAlign w:val="center"/>
                </w:tcPr>
                <w:p w14:paraId="395D311F">
                  <w:pPr>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柴油储罐，</w:t>
                  </w:r>
                  <w:r>
                    <w:rPr>
                      <w:rFonts w:hint="default" w:ascii="Times New Roman" w:hAnsi="Times New Roman" w:eastAsia="宋体" w:cs="Times New Roman"/>
                      <w:bCs/>
                      <w:color w:val="auto"/>
                      <w:kern w:val="0"/>
                      <w:sz w:val="21"/>
                      <w:szCs w:val="21"/>
                      <w:highlight w:val="none"/>
                    </w:rPr>
                    <w:t>柴油</w:t>
                  </w:r>
                  <w:r>
                    <w:rPr>
                      <w:rFonts w:hint="eastAsia" w:ascii="Times New Roman" w:hAnsi="Times New Roman" w:eastAsia="宋体" w:cs="Times New Roman"/>
                      <w:bCs/>
                      <w:color w:val="auto"/>
                      <w:kern w:val="0"/>
                      <w:sz w:val="21"/>
                      <w:szCs w:val="21"/>
                      <w:highlight w:val="none"/>
                      <w:lang w:val="en-US" w:eastAsia="zh-CN"/>
                    </w:rPr>
                    <w:t>储</w:t>
                  </w:r>
                  <w:r>
                    <w:rPr>
                      <w:rFonts w:hint="default" w:ascii="Times New Roman" w:hAnsi="Times New Roman" w:eastAsia="宋体" w:cs="Times New Roman"/>
                      <w:bCs/>
                      <w:color w:val="auto"/>
                      <w:kern w:val="0"/>
                      <w:sz w:val="21"/>
                      <w:szCs w:val="21"/>
                      <w:highlight w:val="none"/>
                    </w:rPr>
                    <w:t>罐放置</w:t>
                  </w:r>
                  <w:r>
                    <w:rPr>
                      <w:rFonts w:hint="default" w:ascii="Times New Roman" w:hAnsi="Times New Roman" w:eastAsia="宋体" w:cs="Times New Roman"/>
                      <w:bCs/>
                      <w:color w:val="auto"/>
                      <w:kern w:val="0"/>
                      <w:sz w:val="21"/>
                      <w:szCs w:val="21"/>
                      <w:highlight w:val="none"/>
                      <w:lang w:val="en-US" w:eastAsia="zh-CN"/>
                    </w:rPr>
                    <w:t>在</w:t>
                  </w:r>
                  <w:r>
                    <w:rPr>
                      <w:rFonts w:hint="default" w:ascii="Times New Roman" w:hAnsi="Times New Roman" w:eastAsia="宋体" w:cs="Times New Roman"/>
                      <w:bCs/>
                      <w:color w:val="auto"/>
                      <w:kern w:val="0"/>
                      <w:sz w:val="21"/>
                      <w:szCs w:val="21"/>
                      <w:highlight w:val="none"/>
                    </w:rPr>
                    <w:t>围堰</w:t>
                  </w:r>
                  <w:r>
                    <w:rPr>
                      <w:rFonts w:hint="default" w:ascii="Times New Roman" w:hAnsi="Times New Roman" w:eastAsia="宋体" w:cs="Times New Roman"/>
                      <w:bCs/>
                      <w:color w:val="auto"/>
                      <w:kern w:val="0"/>
                      <w:sz w:val="21"/>
                      <w:szCs w:val="21"/>
                      <w:highlight w:val="none"/>
                      <w:lang w:val="en-US" w:eastAsia="zh-CN"/>
                    </w:rPr>
                    <w:t>内</w:t>
                  </w:r>
                  <w:r>
                    <w:rPr>
                      <w:rFonts w:hint="default" w:ascii="Times New Roman" w:hAnsi="Times New Roman" w:eastAsia="宋体" w:cs="Times New Roman"/>
                      <w:bCs/>
                      <w:color w:val="auto"/>
                      <w:kern w:val="0"/>
                      <w:sz w:val="21"/>
                      <w:szCs w:val="21"/>
                      <w:highlight w:val="none"/>
                    </w:rPr>
                    <w:t>，储罐区</w:t>
                  </w:r>
                  <w:r>
                    <w:rPr>
                      <w:rFonts w:hint="eastAsia" w:ascii="Times New Roman" w:hAnsi="Times New Roman" w:eastAsia="宋体" w:cs="Times New Roman"/>
                      <w:bCs/>
                      <w:color w:val="auto"/>
                      <w:kern w:val="0"/>
                      <w:sz w:val="21"/>
                      <w:szCs w:val="21"/>
                      <w:highlight w:val="none"/>
                      <w:lang w:eastAsia="zh-CN"/>
                    </w:rPr>
                    <w:t>周边</w:t>
                  </w:r>
                  <w:r>
                    <w:rPr>
                      <w:rFonts w:hint="default" w:ascii="Times New Roman" w:hAnsi="Times New Roman" w:eastAsia="宋体" w:cs="Times New Roman"/>
                      <w:bCs/>
                      <w:color w:val="auto"/>
                      <w:kern w:val="0"/>
                      <w:sz w:val="21"/>
                      <w:szCs w:val="21"/>
                      <w:highlight w:val="none"/>
                    </w:rPr>
                    <w:t>设置堵截泄漏的围堰，围堰高</w:t>
                  </w:r>
                  <w:r>
                    <w:rPr>
                      <w:rFonts w:hint="eastAsia" w:ascii="Times New Roman" w:hAnsi="Times New Roman" w:eastAsia="宋体" w:cs="Times New Roman"/>
                      <w:bCs/>
                      <w:color w:val="auto"/>
                      <w:kern w:val="0"/>
                      <w:sz w:val="21"/>
                      <w:szCs w:val="21"/>
                      <w:highlight w:val="none"/>
                      <w:lang w:val="en-US" w:eastAsia="zh-CN"/>
                    </w:rPr>
                    <w:t>0.5</w:t>
                  </w:r>
                  <w:r>
                    <w:rPr>
                      <w:rFonts w:hint="default" w:ascii="Times New Roman" w:hAnsi="Times New Roman" w:eastAsia="宋体" w:cs="Times New Roman"/>
                      <w:bCs/>
                      <w:color w:val="auto"/>
                      <w:kern w:val="0"/>
                      <w:sz w:val="21"/>
                      <w:szCs w:val="21"/>
                      <w:highlight w:val="none"/>
                    </w:rPr>
                    <w:t>m，围堰总容积满足总储量的1/5要求</w:t>
                  </w:r>
                  <w:r>
                    <w:rPr>
                      <w:rFonts w:hint="eastAsia" w:ascii="Times New Roman" w:hAnsi="Times New Roman" w:eastAsia="宋体" w:cs="Times New Roman"/>
                      <w:bCs/>
                      <w:color w:val="auto"/>
                      <w:kern w:val="0"/>
                      <w:sz w:val="21"/>
                      <w:szCs w:val="21"/>
                      <w:highlight w:val="none"/>
                      <w:lang w:eastAsia="zh-CN"/>
                    </w:rPr>
                    <w:t>，</w:t>
                  </w:r>
                  <w:r>
                    <w:rPr>
                      <w:rFonts w:hint="default" w:ascii="Times New Roman" w:hAnsi="Times New Roman" w:eastAsia="宋体" w:cs="Times New Roman"/>
                      <w:bCs/>
                      <w:color w:val="auto"/>
                      <w:kern w:val="0"/>
                      <w:sz w:val="21"/>
                      <w:szCs w:val="21"/>
                      <w:highlight w:val="none"/>
                      <w:lang w:val="en-US" w:eastAsia="zh-CN"/>
                    </w:rPr>
                    <w:t>围堰池体采用钢筋混凝土浇筑，</w:t>
                  </w:r>
                  <w:r>
                    <w:rPr>
                      <w:rFonts w:hint="default" w:ascii="Times New Roman" w:hAnsi="Times New Roman" w:eastAsia="宋体" w:cs="Times New Roman"/>
                      <w:bCs/>
                      <w:color w:val="auto"/>
                      <w:kern w:val="0"/>
                      <w:sz w:val="21"/>
                      <w:szCs w:val="21"/>
                      <w:highlight w:val="none"/>
                      <w:lang w:eastAsia="zh-CN"/>
                    </w:rPr>
                    <w:t>池底和内壁采用环氧树脂或</w:t>
                  </w:r>
                  <w:r>
                    <w:rPr>
                      <w:rFonts w:hint="eastAsia" w:ascii="Times New Roman" w:hAnsi="Times New Roman" w:eastAsia="宋体" w:cs="Times New Roman"/>
                      <w:bCs/>
                      <w:color w:val="auto"/>
                      <w:kern w:val="0"/>
                      <w:sz w:val="21"/>
                      <w:szCs w:val="21"/>
                      <w:highlight w:val="none"/>
                      <w:lang w:eastAsia="zh-CN"/>
                    </w:rPr>
                    <w:t>其他</w:t>
                  </w:r>
                  <w:r>
                    <w:rPr>
                      <w:rFonts w:hint="default" w:ascii="Times New Roman" w:hAnsi="Times New Roman" w:eastAsia="宋体" w:cs="Times New Roman"/>
                      <w:bCs/>
                      <w:color w:val="auto"/>
                      <w:kern w:val="0"/>
                      <w:sz w:val="21"/>
                      <w:szCs w:val="21"/>
                      <w:highlight w:val="none"/>
                      <w:lang w:eastAsia="zh-CN"/>
                    </w:rPr>
                    <w:t>防渗材料进行防渗处理</w:t>
                  </w:r>
                  <w:r>
                    <w:rPr>
                      <w:rFonts w:hint="default" w:ascii="Times New Roman" w:hAnsi="Times New Roman" w:eastAsia="宋体" w:cs="Times New Roman"/>
                      <w:bCs/>
                      <w:color w:val="auto"/>
                      <w:kern w:val="0"/>
                      <w:sz w:val="21"/>
                      <w:szCs w:val="21"/>
                      <w:highlight w:val="none"/>
                    </w:rPr>
                    <w:t>（渗透系数≤10</w:t>
                  </w:r>
                  <w:r>
                    <w:rPr>
                      <w:rFonts w:hint="default" w:ascii="Times New Roman" w:hAnsi="Times New Roman" w:eastAsia="宋体" w:cs="Times New Roman"/>
                      <w:bCs/>
                      <w:color w:val="auto"/>
                      <w:kern w:val="0"/>
                      <w:sz w:val="21"/>
                      <w:szCs w:val="21"/>
                      <w:highlight w:val="none"/>
                      <w:vertAlign w:val="superscript"/>
                      <w:lang w:val="en-US" w:eastAsia="zh-CN"/>
                    </w:rPr>
                    <w:t>-10</w:t>
                  </w:r>
                  <w:r>
                    <w:rPr>
                      <w:rFonts w:hint="default" w:ascii="Times New Roman" w:hAnsi="Times New Roman" w:eastAsia="宋体" w:cs="Times New Roman"/>
                      <w:bCs/>
                      <w:color w:val="auto"/>
                      <w:kern w:val="0"/>
                      <w:sz w:val="21"/>
                      <w:szCs w:val="21"/>
                      <w:highlight w:val="none"/>
                    </w:rPr>
                    <w:t>cm/s），定期对围堰进行检查，发现破裂处立即维护</w:t>
                  </w:r>
                  <w:r>
                    <w:rPr>
                      <w:rFonts w:hint="eastAsia" w:ascii="Times New Roman" w:hAnsi="Times New Roman" w:eastAsia="宋体" w:cs="Times New Roman"/>
                      <w:bCs/>
                      <w:color w:val="auto"/>
                      <w:kern w:val="0"/>
                      <w:sz w:val="21"/>
                      <w:szCs w:val="21"/>
                      <w:highlight w:val="none"/>
                      <w:lang w:eastAsia="zh-CN"/>
                    </w:rPr>
                    <w:t>。</w:t>
                  </w:r>
                </w:p>
              </w:tc>
            </w:tr>
            <w:tr w14:paraId="3215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8" w:type="dxa"/>
                  <w:vMerge w:val="continue"/>
                  <w:noWrap w:val="0"/>
                  <w:vAlign w:val="center"/>
                </w:tcPr>
                <w:p w14:paraId="1C18BE8B">
                  <w:pPr>
                    <w:keepNext w:val="0"/>
                    <w:keepLines w:val="0"/>
                    <w:pageBreakBefore w:val="0"/>
                    <w:widowControl w:val="0"/>
                    <w:kinsoku/>
                    <w:wordWrap/>
                    <w:overflowPunct/>
                    <w:topLinePunct w:val="0"/>
                    <w:autoSpaceDE/>
                    <w:autoSpaceDN/>
                    <w:bidi w:val="0"/>
                    <w:adjustRightInd w:val="0"/>
                    <w:snapToGrid w:val="0"/>
                    <w:jc w:val="center"/>
                    <w:rPr>
                      <w:rFonts w:ascii="Times New Roman" w:hAnsi="Times New Roman" w:eastAsia="宋体"/>
                      <w:color w:val="auto"/>
                      <w:sz w:val="21"/>
                      <w:szCs w:val="21"/>
                      <w:highlight w:val="none"/>
                    </w:rPr>
                  </w:pPr>
                </w:p>
              </w:tc>
              <w:tc>
                <w:tcPr>
                  <w:tcW w:w="1632" w:type="dxa"/>
                  <w:gridSpan w:val="2"/>
                  <w:vMerge w:val="continue"/>
                  <w:noWrap w:val="0"/>
                  <w:vAlign w:val="center"/>
                </w:tcPr>
                <w:p w14:paraId="5847F41F">
                  <w:pPr>
                    <w:keepNext w:val="0"/>
                    <w:keepLines w:val="0"/>
                    <w:pageBreakBefore w:val="0"/>
                    <w:widowControl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5993" w:type="dxa"/>
                  <w:noWrap w:val="0"/>
                  <w:vAlign w:val="center"/>
                </w:tcPr>
                <w:p w14:paraId="0EFD7C55">
                  <w:pPr>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污水处理站配套事故池1座，容积3m</w:t>
                  </w:r>
                  <w:r>
                    <w:rPr>
                      <w:rFonts w:hint="eastAsia" w:ascii="Times New Roman" w:hAnsi="Times New Roman" w:eastAsia="宋体" w:cs="Times New Roman"/>
                      <w:color w:val="auto"/>
                      <w:sz w:val="21"/>
                      <w:szCs w:val="21"/>
                      <w:highlight w:val="none"/>
                      <w:vertAlign w:val="superscript"/>
                      <w:lang w:val="en-US" w:eastAsia="zh-CN"/>
                    </w:rPr>
                    <w:t>3</w:t>
                  </w:r>
                </w:p>
              </w:tc>
            </w:tr>
          </w:tbl>
          <w:p w14:paraId="1A443D73">
            <w:pPr>
              <w:adjustRightInd w:val="0"/>
              <w:snapToGrid w:val="0"/>
              <w:spacing w:before="158" w:beforeLines="50" w:line="360" w:lineRule="auto"/>
              <w:rPr>
                <w:rFonts w:ascii="Times New Roman" w:hAnsi="Times New Roman"/>
                <w:b/>
                <w:color w:val="auto"/>
                <w:sz w:val="24"/>
                <w:highlight w:val="none"/>
              </w:rPr>
            </w:pPr>
            <w:r>
              <w:rPr>
                <w:rFonts w:hint="eastAsia" w:ascii="Times New Roman" w:hAnsi="Times New Roman"/>
                <w:b/>
                <w:color w:val="auto"/>
                <w:sz w:val="24"/>
                <w:highlight w:val="none"/>
                <w:lang w:val="en-US" w:eastAsia="zh-CN"/>
              </w:rPr>
              <w:t>四</w:t>
            </w:r>
            <w:r>
              <w:rPr>
                <w:rFonts w:ascii="Times New Roman" w:hAnsi="Times New Roman"/>
                <w:b/>
                <w:color w:val="auto"/>
                <w:sz w:val="24"/>
                <w:highlight w:val="none"/>
              </w:rPr>
              <w:t>、产品方案</w:t>
            </w:r>
            <w:bookmarkEnd w:id="8"/>
          </w:p>
          <w:p w14:paraId="61CB9930">
            <w:pPr>
              <w:adjustRightInd w:val="0"/>
              <w:snapToGrid w:val="0"/>
              <w:spacing w:line="360" w:lineRule="auto"/>
              <w:ind w:firstLine="480" w:firstLineChars="200"/>
              <w:rPr>
                <w:rFonts w:ascii="Times New Roman" w:hAnsi="Times New Roman"/>
                <w:bCs/>
                <w:color w:val="auto"/>
                <w:sz w:val="24"/>
                <w:szCs w:val="20"/>
                <w:highlight w:val="none"/>
              </w:rPr>
            </w:pPr>
            <w:r>
              <w:rPr>
                <w:rFonts w:hint="eastAsia" w:ascii="Times New Roman" w:hAnsi="Times New Roman"/>
                <w:bCs/>
                <w:color w:val="auto"/>
                <w:sz w:val="24"/>
                <w:szCs w:val="20"/>
                <w:highlight w:val="none"/>
              </w:rPr>
              <w:t>产品方案如下表：</w:t>
            </w:r>
          </w:p>
          <w:p w14:paraId="2414FB0F">
            <w:pPr>
              <w:pStyle w:val="66"/>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表2.1.</w:t>
            </w:r>
            <w:r>
              <w:rPr>
                <w:rFonts w:hint="eastAsia" w:ascii="Times New Roman" w:hAnsi="Times New Roman" w:eastAsia="宋体" w:cs="宋体"/>
                <w:color w:val="auto"/>
                <w:highlight w:val="none"/>
                <w:lang w:val="en-US" w:eastAsia="zh-CN"/>
              </w:rPr>
              <w:t>4</w:t>
            </w:r>
            <w:r>
              <w:rPr>
                <w:rFonts w:hint="eastAsia" w:ascii="Times New Roman" w:hAnsi="Times New Roman" w:eastAsia="宋体" w:cs="宋体"/>
                <w:color w:val="auto"/>
                <w:highlight w:val="none"/>
              </w:rPr>
              <w:t>-1项目产品方案一览表</w:t>
            </w:r>
          </w:p>
          <w:tbl>
            <w:tblPr>
              <w:tblStyle w:val="35"/>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167"/>
              <w:gridCol w:w="2175"/>
              <w:gridCol w:w="2038"/>
              <w:gridCol w:w="2032"/>
            </w:tblGrid>
            <w:tr w14:paraId="6BE1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2" w:type="dxa"/>
                  <w:shd w:val="clear" w:color="auto" w:fill="D9D9D9"/>
                  <w:noWrap w:val="0"/>
                  <w:vAlign w:val="center"/>
                </w:tcPr>
                <w:p w14:paraId="37DE0A12">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snapToGrid w:val="0"/>
                      <w:color w:val="auto"/>
                      <w:kern w:val="0"/>
                      <w:szCs w:val="21"/>
                      <w:highlight w:val="none"/>
                      <w:lang w:val="zh-CN"/>
                    </w:rPr>
                  </w:pPr>
                  <w:r>
                    <w:rPr>
                      <w:rFonts w:hint="eastAsia" w:ascii="Times New Roman" w:hAnsi="Times New Roman"/>
                      <w:color w:val="auto"/>
                      <w:highlight w:val="none"/>
                    </w:rPr>
                    <w:t>序号</w:t>
                  </w:r>
                </w:p>
              </w:tc>
              <w:tc>
                <w:tcPr>
                  <w:tcW w:w="1167" w:type="dxa"/>
                  <w:shd w:val="clear" w:color="auto" w:fill="D9D9D9"/>
                  <w:noWrap w:val="0"/>
                  <w:vAlign w:val="center"/>
                </w:tcPr>
                <w:p w14:paraId="21E0BDBB">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highlight w:val="none"/>
                      <w:lang w:val="en-US" w:eastAsia="zh-CN"/>
                    </w:rPr>
                  </w:pPr>
                  <w:r>
                    <w:rPr>
                      <w:rFonts w:hint="eastAsia" w:ascii="Times New Roman" w:hAnsi="Times New Roman"/>
                      <w:snapToGrid w:val="0"/>
                      <w:color w:val="auto"/>
                      <w:kern w:val="0"/>
                      <w:szCs w:val="21"/>
                      <w:highlight w:val="none"/>
                      <w:lang w:val="en-US" w:eastAsia="zh-CN"/>
                    </w:rPr>
                    <w:t>产品名称</w:t>
                  </w:r>
                </w:p>
              </w:tc>
              <w:tc>
                <w:tcPr>
                  <w:tcW w:w="2175" w:type="dxa"/>
                  <w:shd w:val="clear" w:color="auto" w:fill="D9D9D9"/>
                  <w:noWrap w:val="0"/>
                  <w:vAlign w:val="center"/>
                </w:tcPr>
                <w:p w14:paraId="03A532A9">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snapToGrid w:val="0"/>
                      <w:color w:val="auto"/>
                      <w:kern w:val="0"/>
                      <w:sz w:val="21"/>
                      <w:szCs w:val="21"/>
                      <w:highlight w:val="none"/>
                      <w:lang w:val="zh-CN" w:eastAsia="zh-CN" w:bidi="ar-SA"/>
                    </w:rPr>
                  </w:pPr>
                  <w:r>
                    <w:rPr>
                      <w:rFonts w:hint="eastAsia" w:ascii="Times New Roman" w:hAnsi="Times New Roman"/>
                      <w:color w:val="auto"/>
                      <w:highlight w:val="none"/>
                      <w:lang w:val="en-US" w:eastAsia="zh-CN"/>
                    </w:rPr>
                    <w:t>产量</w:t>
                  </w:r>
                </w:p>
              </w:tc>
              <w:tc>
                <w:tcPr>
                  <w:tcW w:w="2038" w:type="dxa"/>
                  <w:shd w:val="clear" w:color="auto" w:fill="D9D9D9"/>
                  <w:noWrap w:val="0"/>
                  <w:vAlign w:val="center"/>
                </w:tcPr>
                <w:p w14:paraId="16CC7EAE">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olor w:val="auto"/>
                      <w:highlight w:val="none"/>
                      <w:lang w:val="en-US" w:eastAsia="zh-CN"/>
                    </w:rPr>
                    <w:t>规格</w:t>
                  </w:r>
                </w:p>
              </w:tc>
              <w:tc>
                <w:tcPr>
                  <w:tcW w:w="2032" w:type="dxa"/>
                  <w:shd w:val="clear" w:color="auto" w:fill="D9D9D9"/>
                  <w:noWrap w:val="0"/>
                  <w:vAlign w:val="center"/>
                </w:tcPr>
                <w:p w14:paraId="2C3C7DF5">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snapToGrid w:val="0"/>
                      <w:color w:val="auto"/>
                      <w:kern w:val="0"/>
                      <w:sz w:val="21"/>
                      <w:szCs w:val="21"/>
                      <w:highlight w:val="none"/>
                      <w:lang w:val="zh-CN" w:eastAsia="zh-CN" w:bidi="ar-SA"/>
                    </w:rPr>
                  </w:pPr>
                  <w:r>
                    <w:rPr>
                      <w:rFonts w:hint="eastAsia" w:ascii="Times New Roman" w:hAnsi="Times New Roman"/>
                      <w:color w:val="auto"/>
                      <w:highlight w:val="none"/>
                      <w:lang w:val="en-US" w:eastAsia="zh-CN"/>
                    </w:rPr>
                    <w:t>备注</w:t>
                  </w:r>
                </w:p>
              </w:tc>
            </w:tr>
            <w:tr w14:paraId="2E95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2" w:type="dxa"/>
                  <w:noWrap w:val="0"/>
                  <w:vAlign w:val="center"/>
                </w:tcPr>
                <w:p w14:paraId="4C308C9C">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w:t>
                  </w:r>
                </w:p>
              </w:tc>
              <w:tc>
                <w:tcPr>
                  <w:tcW w:w="1167" w:type="dxa"/>
                  <w:noWrap w:val="0"/>
                  <w:vAlign w:val="center"/>
                </w:tcPr>
                <w:p w14:paraId="5151D088">
                  <w:pPr>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highlight w:val="none"/>
                      <w:lang w:val="en-US" w:eastAsia="zh-CN"/>
                    </w:rPr>
                  </w:pPr>
                  <w:r>
                    <w:rPr>
                      <w:rFonts w:hint="eastAsia" w:ascii="Times New Roman" w:hAnsi="Times New Roman"/>
                      <w:snapToGrid w:val="0"/>
                      <w:color w:val="auto"/>
                      <w:kern w:val="0"/>
                      <w:szCs w:val="21"/>
                      <w:highlight w:val="none"/>
                      <w:lang w:val="en-US" w:eastAsia="zh-CN"/>
                    </w:rPr>
                    <w:t>铁矿石粉</w:t>
                  </w:r>
                </w:p>
              </w:tc>
              <w:tc>
                <w:tcPr>
                  <w:tcW w:w="2175" w:type="dxa"/>
                  <w:noWrap w:val="0"/>
                  <w:vAlign w:val="center"/>
                </w:tcPr>
                <w:p w14:paraId="0D1F5613">
                  <w:pPr>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highlight w:val="none"/>
                      <w:lang w:val="en-US" w:eastAsia="zh-CN"/>
                    </w:rPr>
                  </w:pPr>
                  <w:r>
                    <w:rPr>
                      <w:rFonts w:hint="eastAsia" w:ascii="Times New Roman" w:hAnsi="Times New Roman"/>
                      <w:snapToGrid w:val="0"/>
                      <w:color w:val="auto"/>
                      <w:kern w:val="0"/>
                      <w:szCs w:val="21"/>
                      <w:highlight w:val="none"/>
                      <w:lang w:val="en-US" w:eastAsia="zh-CN"/>
                    </w:rPr>
                    <w:t>120万吨</w:t>
                  </w:r>
                </w:p>
              </w:tc>
              <w:tc>
                <w:tcPr>
                  <w:tcW w:w="2038" w:type="dxa"/>
                  <w:noWrap w:val="0"/>
                  <w:vAlign w:val="center"/>
                </w:tcPr>
                <w:p w14:paraId="09FE1067">
                  <w:pPr>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highlight w:val="none"/>
                      <w:lang w:val="en-US" w:eastAsia="zh-CN"/>
                    </w:rPr>
                  </w:pPr>
                  <w:r>
                    <w:rPr>
                      <w:rFonts w:hint="eastAsia" w:ascii="Times New Roman" w:hAnsi="Times New Roman"/>
                      <w:snapToGrid w:val="0"/>
                      <w:color w:val="auto"/>
                      <w:kern w:val="0"/>
                      <w:szCs w:val="21"/>
                      <w:highlight w:val="none"/>
                      <w:lang w:val="en-US" w:eastAsia="zh-CN"/>
                    </w:rPr>
                    <w:t>0～</w:t>
                  </w:r>
                  <w:r>
                    <w:rPr>
                      <w:rFonts w:hint="eastAsia"/>
                      <w:snapToGrid w:val="0"/>
                      <w:color w:val="auto"/>
                      <w:kern w:val="0"/>
                      <w:szCs w:val="21"/>
                      <w:highlight w:val="none"/>
                      <w:lang w:val="en-US" w:eastAsia="zh-CN"/>
                    </w:rPr>
                    <w:t>8</w:t>
                  </w:r>
                  <w:r>
                    <w:rPr>
                      <w:rFonts w:hint="eastAsia" w:ascii="Times New Roman" w:hAnsi="Times New Roman"/>
                      <w:snapToGrid w:val="0"/>
                      <w:color w:val="auto"/>
                      <w:kern w:val="0"/>
                      <w:szCs w:val="21"/>
                      <w:highlight w:val="none"/>
                      <w:lang w:val="en-US" w:eastAsia="zh-CN"/>
                    </w:rPr>
                    <w:t>mm</w:t>
                  </w:r>
                </w:p>
              </w:tc>
              <w:tc>
                <w:tcPr>
                  <w:tcW w:w="2032" w:type="dxa"/>
                  <w:noWrap w:val="0"/>
                  <w:vAlign w:val="center"/>
                </w:tcPr>
                <w:p w14:paraId="780765C8">
                  <w:pPr>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highlight w:val="none"/>
                      <w:lang w:val="en-US" w:eastAsia="zh-CN"/>
                    </w:rPr>
                  </w:pPr>
                  <w:r>
                    <w:rPr>
                      <w:rFonts w:hint="eastAsia" w:ascii="Times New Roman" w:hAnsi="Times New Roman" w:eastAsia="宋体" w:cs="Times New Roman"/>
                      <w:color w:val="auto"/>
                      <w:szCs w:val="21"/>
                      <w:highlight w:val="none"/>
                      <w:lang w:val="en-US" w:eastAsia="zh-CN"/>
                    </w:rPr>
                    <w:t>加工处理后</w:t>
                  </w:r>
                  <w:r>
                    <w:rPr>
                      <w:rFonts w:hint="default" w:ascii="Times New Roman" w:hAnsi="Times New Roman" w:eastAsia="宋体" w:cs="Times New Roman"/>
                      <w:color w:val="auto"/>
                      <w:szCs w:val="21"/>
                      <w:highlight w:val="none"/>
                      <w:lang w:val="en-US" w:eastAsia="zh-CN"/>
                    </w:rPr>
                    <w:t>外售</w:t>
                  </w:r>
                </w:p>
              </w:tc>
            </w:tr>
            <w:tr w14:paraId="3386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94" w:type="dxa"/>
                  <w:gridSpan w:val="5"/>
                  <w:noWrap w:val="0"/>
                  <w:vAlign w:val="center"/>
                </w:tcPr>
                <w:p w14:paraId="2E5C6BED">
                  <w:pPr>
                    <w:tabs>
                      <w:tab w:val="left" w:pos="-2400"/>
                      <w:tab w:val="left" w:pos="1320"/>
                      <w:tab w:val="left" w:pos="3878"/>
                      <w:tab w:val="left" w:pos="6080"/>
                      <w:tab w:val="left" w:pos="6580"/>
                      <w:tab w:val="left" w:pos="8137"/>
                    </w:tabs>
                    <w:adjustRightInd w:val="0"/>
                    <w:snapToGrid w:val="0"/>
                    <w:jc w:val="both"/>
                    <w:textAlignment w:val="center"/>
                    <w:rPr>
                      <w:rFonts w:hint="default" w:ascii="Times New Roman" w:hAnsi="Times New Roman" w:eastAsia="宋体" w:cs="Times New Roman"/>
                      <w:color w:val="auto"/>
                      <w:szCs w:val="21"/>
                      <w:highlight w:val="none"/>
                      <w:lang w:val="en-US" w:eastAsia="zh-CN"/>
                    </w:rPr>
                  </w:pPr>
                  <w:bookmarkStart w:id="9" w:name="_Toc137737896"/>
                  <w:r>
                    <w:rPr>
                      <w:rFonts w:hint="eastAsia" w:cs="Times New Roman"/>
                      <w:color w:val="auto"/>
                      <w:szCs w:val="21"/>
                      <w:highlight w:val="none"/>
                      <w:lang w:val="en-US" w:eastAsia="zh-CN"/>
                    </w:rPr>
                    <w:t>原料破碎加工后，由不同品位的原料进行配比，最终产品含铁量为55%、58%和60%这三种，粒径≤8mm。</w:t>
                  </w:r>
                </w:p>
              </w:tc>
            </w:tr>
          </w:tbl>
          <w:p w14:paraId="336D6048">
            <w:pPr>
              <w:adjustRightInd w:val="0"/>
              <w:snapToGrid w:val="0"/>
              <w:spacing w:before="158" w:beforeLines="50" w:line="360" w:lineRule="auto"/>
              <w:outlineLvl w:val="1"/>
              <w:rPr>
                <w:rFonts w:ascii="Times New Roman" w:hAnsi="Times New Roman"/>
                <w:b/>
                <w:color w:val="auto"/>
                <w:sz w:val="24"/>
                <w:highlight w:val="none"/>
              </w:rPr>
            </w:pPr>
            <w:r>
              <w:rPr>
                <w:rFonts w:hint="eastAsia" w:ascii="Times New Roman" w:hAnsi="Times New Roman"/>
                <w:b/>
                <w:color w:val="auto"/>
                <w:sz w:val="24"/>
                <w:highlight w:val="none"/>
                <w:lang w:val="en-US" w:eastAsia="zh-CN"/>
              </w:rPr>
              <w:t>五</w:t>
            </w:r>
            <w:r>
              <w:rPr>
                <w:rFonts w:ascii="Times New Roman" w:hAnsi="Times New Roman"/>
                <w:b/>
                <w:color w:val="auto"/>
                <w:sz w:val="24"/>
                <w:highlight w:val="none"/>
              </w:rPr>
              <w:t>、原辅材料</w:t>
            </w:r>
            <w:bookmarkEnd w:id="9"/>
          </w:p>
          <w:p w14:paraId="71066BB3">
            <w:pPr>
              <w:adjustRightInd w:val="0"/>
              <w:snapToGrid w:val="0"/>
              <w:spacing w:line="360" w:lineRule="auto"/>
              <w:ind w:firstLine="482" w:firstLineChars="200"/>
              <w:rPr>
                <w:rFonts w:hint="eastAsia" w:ascii="Times New Roman" w:hAnsi="Times New Roman" w:eastAsia="宋体" w:cs="Times New Roman"/>
                <w:b/>
                <w:bCs w:val="0"/>
                <w:color w:val="auto"/>
                <w:sz w:val="24"/>
                <w:szCs w:val="20"/>
                <w:highlight w:val="none"/>
                <w:lang w:eastAsia="zh-CN"/>
              </w:rPr>
            </w:pPr>
            <w:r>
              <w:rPr>
                <w:rFonts w:hint="eastAsia" w:ascii="Times New Roman" w:hAnsi="Times New Roman" w:eastAsia="宋体" w:cs="Times New Roman"/>
                <w:b/>
                <w:bCs w:val="0"/>
                <w:color w:val="auto"/>
                <w:sz w:val="24"/>
                <w:szCs w:val="20"/>
                <w:highlight w:val="none"/>
                <w:lang w:eastAsia="zh-CN"/>
              </w:rPr>
              <w:t>（</w:t>
            </w:r>
            <w:r>
              <w:rPr>
                <w:rFonts w:hint="eastAsia" w:ascii="Times New Roman" w:hAnsi="Times New Roman" w:eastAsia="宋体" w:cs="Times New Roman"/>
                <w:b/>
                <w:bCs w:val="0"/>
                <w:color w:val="auto"/>
                <w:sz w:val="24"/>
                <w:szCs w:val="20"/>
                <w:highlight w:val="none"/>
                <w:lang w:val="en-US" w:eastAsia="zh-CN"/>
              </w:rPr>
              <w:t>1</w:t>
            </w:r>
            <w:r>
              <w:rPr>
                <w:rFonts w:hint="eastAsia" w:ascii="Times New Roman" w:hAnsi="Times New Roman" w:eastAsia="宋体" w:cs="Times New Roman"/>
                <w:b/>
                <w:bCs w:val="0"/>
                <w:color w:val="auto"/>
                <w:sz w:val="24"/>
                <w:szCs w:val="20"/>
                <w:highlight w:val="none"/>
                <w:lang w:eastAsia="zh-CN"/>
              </w:rPr>
              <w:t>）项目原辅料及能源情况见下表所示</w:t>
            </w:r>
          </w:p>
          <w:p w14:paraId="344D84B4">
            <w:pPr>
              <w:pStyle w:val="66"/>
              <w:rPr>
                <w:rFonts w:hint="default" w:ascii="Times New Roman" w:hAnsi="Times New Roman" w:eastAsia="宋体" w:cs="宋体"/>
                <w:color w:val="auto"/>
                <w:highlight w:val="none"/>
              </w:rPr>
            </w:pPr>
            <w:r>
              <w:rPr>
                <w:rFonts w:hint="default"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2.1.5-1</w:t>
            </w:r>
            <w:r>
              <w:rPr>
                <w:rFonts w:hint="default" w:ascii="Times New Roman" w:hAnsi="Times New Roman" w:eastAsia="宋体" w:cs="宋体"/>
                <w:color w:val="auto"/>
                <w:highlight w:val="none"/>
              </w:rPr>
              <w:t xml:space="preserve"> 主要原辅材料一览表</w:t>
            </w:r>
          </w:p>
          <w:tbl>
            <w:tblPr>
              <w:tblStyle w:val="35"/>
              <w:tblW w:w="49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1012"/>
              <w:gridCol w:w="853"/>
              <w:gridCol w:w="1180"/>
              <w:gridCol w:w="671"/>
              <w:gridCol w:w="1063"/>
              <w:gridCol w:w="1183"/>
              <w:gridCol w:w="1651"/>
            </w:tblGrid>
            <w:tr w14:paraId="6558C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blHeader/>
                <w:jc w:val="center"/>
              </w:trPr>
              <w:tc>
                <w:tcPr>
                  <w:tcW w:w="56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0"/>
                  <w:vAlign w:val="center"/>
                </w:tcPr>
                <w:p w14:paraId="2C61458B">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w:t>
                  </w:r>
                </w:p>
              </w:tc>
              <w:tc>
                <w:tcPr>
                  <w:tcW w:w="1012"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0"/>
                  <w:vAlign w:val="center"/>
                </w:tcPr>
                <w:p w14:paraId="2C3D5505">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物料名称</w:t>
                  </w:r>
                </w:p>
              </w:tc>
              <w:tc>
                <w:tcPr>
                  <w:tcW w:w="853"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0"/>
                  <w:vAlign w:val="center"/>
                </w:tcPr>
                <w:p w14:paraId="6187CE47">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
                      <w:sz w:val="21"/>
                      <w:szCs w:val="21"/>
                      <w:highlight w:val="none"/>
                    </w:rPr>
                    <w:t>单位</w:t>
                  </w:r>
                </w:p>
              </w:tc>
              <w:tc>
                <w:tcPr>
                  <w:tcW w:w="118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0"/>
                  <w:vAlign w:val="center"/>
                </w:tcPr>
                <w:p w14:paraId="16787B57">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消耗量（t/a)</w:t>
                  </w:r>
                </w:p>
              </w:tc>
              <w:tc>
                <w:tcPr>
                  <w:tcW w:w="671"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0"/>
                  <w:vAlign w:val="center"/>
                </w:tcPr>
                <w:p w14:paraId="167B8AAE">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形态</w:t>
                  </w:r>
                </w:p>
              </w:tc>
              <w:tc>
                <w:tcPr>
                  <w:tcW w:w="1063"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0"/>
                  <w:vAlign w:val="center"/>
                </w:tcPr>
                <w:p w14:paraId="1A8E89BD">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最大储存量</w:t>
                  </w: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t</w:t>
                  </w:r>
                  <w:r>
                    <w:rPr>
                      <w:rFonts w:hint="eastAsia" w:ascii="Times New Roman" w:hAnsi="Times New Roman" w:eastAsia="宋体" w:cs="Times New Roman"/>
                      <w:b w:val="0"/>
                      <w:bCs w:val="0"/>
                      <w:color w:val="auto"/>
                      <w:sz w:val="21"/>
                      <w:szCs w:val="21"/>
                      <w:highlight w:val="none"/>
                      <w:lang w:eastAsia="zh-CN"/>
                    </w:rPr>
                    <w:t>）</w:t>
                  </w:r>
                </w:p>
              </w:tc>
              <w:tc>
                <w:tcPr>
                  <w:tcW w:w="1183"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0"/>
                  <w:vAlign w:val="center"/>
                </w:tcPr>
                <w:p w14:paraId="26B141AA">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储存形式</w:t>
                  </w:r>
                </w:p>
              </w:tc>
              <w:tc>
                <w:tcPr>
                  <w:tcW w:w="1651"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0"/>
                  <w:vAlign w:val="center"/>
                </w:tcPr>
                <w:p w14:paraId="01F2501F">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备注</w:t>
                  </w:r>
                </w:p>
              </w:tc>
            </w:tr>
            <w:tr w14:paraId="0DE9E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64" w:type="dxa"/>
                  <w:vMerge w:val="restart"/>
                  <w:tcBorders>
                    <w:left w:val="single" w:color="000000" w:sz="4" w:space="0"/>
                    <w:right w:val="single" w:color="000000" w:sz="4" w:space="0"/>
                  </w:tcBorders>
                  <w:noWrap w:val="0"/>
                  <w:vAlign w:val="center"/>
                </w:tcPr>
                <w:p w14:paraId="571F6181">
                  <w:pPr>
                    <w:pStyle w:val="23"/>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原辅材料</w:t>
                  </w:r>
                </w:p>
              </w:tc>
              <w:tc>
                <w:tcPr>
                  <w:tcW w:w="1012" w:type="dxa"/>
                  <w:tcBorders>
                    <w:top w:val="single" w:color="000000" w:sz="4" w:space="0"/>
                    <w:left w:val="single" w:color="000000" w:sz="4" w:space="0"/>
                    <w:bottom w:val="single" w:color="000000" w:sz="4" w:space="0"/>
                    <w:right w:val="single" w:color="000000" w:sz="4" w:space="0"/>
                  </w:tcBorders>
                  <w:noWrap w:val="0"/>
                  <w:vAlign w:val="center"/>
                </w:tcPr>
                <w:p w14:paraId="0AB3CB4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铁矿石</w:t>
                  </w:r>
                  <w:r>
                    <w:rPr>
                      <w:rFonts w:hint="eastAsia" w:cs="Times New Roman"/>
                      <w:color w:val="auto"/>
                      <w:sz w:val="21"/>
                      <w:szCs w:val="21"/>
                      <w:highlight w:val="none"/>
                      <w:lang w:val="en-US" w:eastAsia="zh-CN"/>
                    </w:rPr>
                    <w:t>*</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54274203">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4A80F5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120万</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6068ED6C">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3D31946A">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32000</w:t>
                  </w:r>
                </w:p>
              </w:tc>
              <w:tc>
                <w:tcPr>
                  <w:tcW w:w="1183" w:type="dxa"/>
                  <w:tcBorders>
                    <w:top w:val="single" w:color="000000" w:sz="4" w:space="0"/>
                    <w:left w:val="single" w:color="000000" w:sz="4" w:space="0"/>
                    <w:right w:val="single" w:color="000000" w:sz="4" w:space="0"/>
                  </w:tcBorders>
                  <w:noWrap w:val="0"/>
                  <w:vAlign w:val="center"/>
                </w:tcPr>
                <w:p w14:paraId="08FA9D4B">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pacing w:val="-1"/>
                      <w:sz w:val="21"/>
                      <w:szCs w:val="21"/>
                      <w:highlight w:val="none"/>
                      <w:lang w:val="en-US" w:eastAsia="zh-CN"/>
                    </w:rPr>
                  </w:pPr>
                  <w:r>
                    <w:rPr>
                      <w:rFonts w:hint="eastAsia" w:ascii="Times New Roman" w:hAnsi="Times New Roman" w:eastAsia="宋体" w:cs="Times New Roman"/>
                      <w:color w:val="auto"/>
                      <w:spacing w:val="-1"/>
                      <w:sz w:val="21"/>
                      <w:szCs w:val="21"/>
                      <w:highlight w:val="none"/>
                      <w:lang w:val="en-US" w:eastAsia="zh-CN"/>
                    </w:rPr>
                    <w:t>原料堆场</w:t>
                  </w:r>
                </w:p>
              </w:tc>
              <w:tc>
                <w:tcPr>
                  <w:tcW w:w="1651" w:type="dxa"/>
                  <w:tcBorders>
                    <w:top w:val="single" w:color="000000" w:sz="4" w:space="0"/>
                    <w:left w:val="single" w:color="000000" w:sz="4" w:space="0"/>
                    <w:right w:val="single" w:color="000000" w:sz="4" w:space="0"/>
                  </w:tcBorders>
                  <w:noWrap w:val="0"/>
                  <w:vAlign w:val="center"/>
                </w:tcPr>
                <w:p w14:paraId="21701A06">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pacing w:val="-1"/>
                      <w:sz w:val="21"/>
                      <w:szCs w:val="21"/>
                      <w:highlight w:val="none"/>
                      <w:lang w:val="en-US" w:eastAsia="zh-CN"/>
                    </w:rPr>
                  </w:pPr>
                  <w:r>
                    <w:rPr>
                      <w:rFonts w:hint="eastAsia" w:ascii="Times New Roman" w:hAnsi="Times New Roman" w:eastAsia="宋体" w:cs="Times New Roman"/>
                      <w:color w:val="auto"/>
                      <w:spacing w:val="-1"/>
                      <w:sz w:val="21"/>
                      <w:szCs w:val="21"/>
                      <w:highlight w:val="none"/>
                      <w:lang w:val="en-US" w:eastAsia="zh-CN"/>
                    </w:rPr>
                    <w:t>铁矿石来源于合法矿场及渠道，成品外售玉昆、仙福等钢铁厂作原料</w:t>
                  </w:r>
                </w:p>
              </w:tc>
            </w:tr>
            <w:tr w14:paraId="1581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64" w:type="dxa"/>
                  <w:vMerge w:val="continue"/>
                  <w:tcBorders>
                    <w:left w:val="single" w:color="000000" w:sz="4" w:space="0"/>
                    <w:right w:val="single" w:color="000000" w:sz="4" w:space="0"/>
                  </w:tcBorders>
                  <w:noWrap w:val="0"/>
                  <w:vAlign w:val="center"/>
                </w:tcPr>
                <w:p w14:paraId="7FB605F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rPr>
                  </w:pPr>
                </w:p>
              </w:tc>
              <w:tc>
                <w:tcPr>
                  <w:tcW w:w="1012" w:type="dxa"/>
                  <w:tcBorders>
                    <w:top w:val="single" w:color="000000" w:sz="4" w:space="0"/>
                    <w:left w:val="single" w:color="000000" w:sz="4" w:space="0"/>
                    <w:bottom w:val="single" w:color="000000" w:sz="4" w:space="0"/>
                    <w:right w:val="single" w:color="000000" w:sz="4" w:space="0"/>
                  </w:tcBorders>
                  <w:noWrap w:val="0"/>
                  <w:vAlign w:val="center"/>
                </w:tcPr>
                <w:p w14:paraId="0DD0393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润滑油</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64D1B83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63516D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6677B7B9">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z w:val="21"/>
                      <w:szCs w:val="21"/>
                      <w:highlight w:val="none"/>
                    </w:rPr>
                    <w:t>液</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7F33D90D">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0.1</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CE75C9A">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桶装</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695C558D">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用于机械润滑</w:t>
                  </w:r>
                </w:p>
              </w:tc>
            </w:tr>
            <w:tr w14:paraId="466AA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64" w:type="dxa"/>
                  <w:vMerge w:val="continue"/>
                  <w:tcBorders>
                    <w:left w:val="single" w:color="000000" w:sz="4" w:space="0"/>
                    <w:right w:val="single" w:color="000000" w:sz="4" w:space="0"/>
                  </w:tcBorders>
                  <w:noWrap w:val="0"/>
                  <w:vAlign w:val="center"/>
                </w:tcPr>
                <w:p w14:paraId="0018D82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rPr>
                  </w:pPr>
                </w:p>
              </w:tc>
              <w:tc>
                <w:tcPr>
                  <w:tcW w:w="1012" w:type="dxa"/>
                  <w:tcBorders>
                    <w:top w:val="single" w:color="000000" w:sz="4" w:space="0"/>
                    <w:left w:val="single" w:color="000000" w:sz="4" w:space="0"/>
                    <w:bottom w:val="single" w:color="000000" w:sz="4" w:space="0"/>
                    <w:right w:val="single" w:color="000000" w:sz="4" w:space="0"/>
                  </w:tcBorders>
                  <w:noWrap w:val="0"/>
                  <w:vAlign w:val="center"/>
                </w:tcPr>
                <w:p w14:paraId="5216003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柴油</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7358C4A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1"/>
                      <w:sz w:val="21"/>
                      <w:szCs w:val="21"/>
                      <w:highlight w:val="none"/>
                    </w:rPr>
                  </w:pPr>
                  <w:r>
                    <w:rPr>
                      <w:rFonts w:hint="eastAsia" w:ascii="Times New Roman" w:hAnsi="Times New Roman" w:eastAsia="宋体" w:cs="Times New Roman"/>
                      <w:color w:val="auto"/>
                      <w:spacing w:val="-1"/>
                      <w:sz w:val="21"/>
                      <w:szCs w:val="21"/>
                      <w:highlight w:val="none"/>
                      <w:lang w:val="en-US" w:eastAsia="zh-CN"/>
                    </w:rPr>
                    <w:t>t</w:t>
                  </w:r>
                  <w:r>
                    <w:rPr>
                      <w:rFonts w:hint="eastAsia" w:ascii="Times New Roman" w:hAnsi="Times New Roman" w:eastAsia="宋体" w:cs="Times New Roman"/>
                      <w:color w:val="auto"/>
                      <w:spacing w:val="-1"/>
                      <w:sz w:val="21"/>
                      <w:szCs w:val="21"/>
                      <w:highlight w:val="none"/>
                      <w:vertAlign w:val="baseline"/>
                      <w:lang w:val="en-US" w:eastAsia="zh-CN"/>
                    </w:rPr>
                    <w: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2DBA1C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2ECDD367">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液</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3D64FC75">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pacing w:val="-1"/>
                      <w:sz w:val="21"/>
                      <w:szCs w:val="21"/>
                      <w:highlight w:val="none"/>
                      <w:lang w:val="en-US" w:eastAsia="zh-CN"/>
                    </w:rPr>
                  </w:pPr>
                  <w:r>
                    <w:rPr>
                      <w:rFonts w:hint="eastAsia" w:ascii="Times New Roman" w:hAnsi="Times New Roman" w:eastAsia="宋体" w:cs="Times New Roman"/>
                      <w:color w:val="auto"/>
                      <w:spacing w:val="-1"/>
                      <w:sz w:val="21"/>
                      <w:szCs w:val="21"/>
                      <w:highlight w:val="none"/>
                      <w:lang w:val="en-US" w:eastAsia="zh-CN"/>
                    </w:rPr>
                    <w:t>40</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63B4D3A6">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pacing w:val="-1"/>
                      <w:sz w:val="21"/>
                      <w:szCs w:val="21"/>
                      <w:highlight w:val="none"/>
                    </w:rPr>
                  </w:pPr>
                  <w:r>
                    <w:rPr>
                      <w:rFonts w:hint="eastAsia" w:ascii="Times New Roman" w:hAnsi="Times New Roman" w:eastAsia="宋体" w:cs="Times New Roman"/>
                      <w:color w:val="auto"/>
                      <w:spacing w:val="-1"/>
                      <w:sz w:val="21"/>
                      <w:szCs w:val="21"/>
                      <w:highlight w:val="none"/>
                      <w:lang w:val="en-US" w:eastAsia="zh-CN"/>
                    </w:rPr>
                    <w:t>柴油储罐</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69C554E6">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pacing w:val="-1"/>
                      <w:sz w:val="21"/>
                      <w:szCs w:val="21"/>
                      <w:highlight w:val="none"/>
                    </w:rPr>
                  </w:pPr>
                  <w:r>
                    <w:rPr>
                      <w:rFonts w:hint="eastAsia" w:ascii="Times New Roman" w:hAnsi="Times New Roman" w:eastAsia="宋体" w:cs="Times New Roman"/>
                      <w:color w:val="auto"/>
                      <w:spacing w:val="-1"/>
                      <w:sz w:val="21"/>
                      <w:szCs w:val="21"/>
                      <w:highlight w:val="none"/>
                      <w:lang w:val="en-US" w:eastAsia="zh-CN"/>
                    </w:rPr>
                    <w:t>用于装载机加油</w:t>
                  </w:r>
                </w:p>
              </w:tc>
            </w:tr>
            <w:tr w14:paraId="6EA7A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64" w:type="dxa"/>
                  <w:vMerge w:val="restart"/>
                  <w:tcBorders>
                    <w:top w:val="single" w:color="000000" w:sz="4" w:space="0"/>
                    <w:left w:val="single" w:color="000000" w:sz="4" w:space="0"/>
                    <w:right w:val="single" w:color="000000" w:sz="4" w:space="0"/>
                  </w:tcBorders>
                  <w:noWrap w:val="0"/>
                  <w:vAlign w:val="center"/>
                </w:tcPr>
                <w:p w14:paraId="37A8D6A5">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能源</w:t>
                  </w:r>
                </w:p>
              </w:tc>
              <w:tc>
                <w:tcPr>
                  <w:tcW w:w="1012" w:type="dxa"/>
                  <w:tcBorders>
                    <w:top w:val="single" w:color="000000" w:sz="4" w:space="0"/>
                    <w:left w:val="single" w:color="000000" w:sz="4" w:space="0"/>
                    <w:bottom w:val="single" w:color="000000" w:sz="4" w:space="0"/>
                    <w:right w:val="single" w:color="000000" w:sz="4" w:space="0"/>
                  </w:tcBorders>
                  <w:noWrap w:val="0"/>
                  <w:vAlign w:val="center"/>
                </w:tcPr>
                <w:p w14:paraId="0469779D">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新鲜水</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7EB3563A">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6F0101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44954</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0D08292F">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682D38AD">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E558358">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工业园区</w:t>
                  </w:r>
                  <w:r>
                    <w:rPr>
                      <w:rFonts w:hint="default" w:ascii="Times New Roman" w:hAnsi="Times New Roman" w:eastAsia="宋体" w:cs="Times New Roman"/>
                      <w:color w:val="auto"/>
                      <w:sz w:val="21"/>
                      <w:szCs w:val="21"/>
                      <w:highlight w:val="none"/>
                    </w:rPr>
                    <w:t>供水管网</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1EA98602">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02FD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64" w:type="dxa"/>
                  <w:vMerge w:val="continue"/>
                  <w:tcBorders>
                    <w:left w:val="single" w:color="000000" w:sz="4" w:space="0"/>
                    <w:right w:val="single" w:color="000000" w:sz="4" w:space="0"/>
                  </w:tcBorders>
                  <w:noWrap w:val="0"/>
                  <w:vAlign w:val="center"/>
                </w:tcPr>
                <w:p w14:paraId="4923BD1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rPr>
                  </w:pPr>
                </w:p>
              </w:tc>
              <w:tc>
                <w:tcPr>
                  <w:tcW w:w="1012" w:type="dxa"/>
                  <w:tcBorders>
                    <w:top w:val="single" w:color="000000" w:sz="4" w:space="0"/>
                    <w:left w:val="single" w:color="000000" w:sz="4" w:space="0"/>
                    <w:bottom w:val="single" w:color="000000" w:sz="4" w:space="0"/>
                    <w:right w:val="single" w:color="000000" w:sz="4" w:space="0"/>
                  </w:tcBorders>
                  <w:noWrap w:val="0"/>
                  <w:vAlign w:val="center"/>
                </w:tcPr>
                <w:p w14:paraId="694766C5">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14:paraId="78ABE0D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eastAsia" w:ascii="Times New Roman" w:hAnsi="Times New Roman" w:cs="Times New Roman"/>
                      <w:color w:val="auto"/>
                      <w:sz w:val="21"/>
                      <w:szCs w:val="21"/>
                      <w:highlight w:val="none"/>
                      <w:vertAlign w:val="baseline"/>
                      <w:lang w:eastAsia="zh-CN"/>
                    </w:rPr>
                    <w:t>kW</w:t>
                  </w:r>
                  <w:r>
                    <w:rPr>
                      <w:rFonts w:hint="default" w:ascii="Times New Roman" w:hAnsi="Times New Roman" w:eastAsia="宋体" w:cs="Times New Roman"/>
                      <w:color w:val="auto"/>
                      <w:sz w:val="21"/>
                      <w:szCs w:val="21"/>
                      <w:highlight w:val="none"/>
                    </w:rPr>
                    <w:t>.h</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7615DD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800</w:t>
                  </w:r>
                </w:p>
              </w:tc>
              <w:tc>
                <w:tcPr>
                  <w:tcW w:w="671" w:type="dxa"/>
                  <w:tcBorders>
                    <w:top w:val="single" w:color="000000" w:sz="4" w:space="0"/>
                    <w:left w:val="single" w:color="000000" w:sz="4" w:space="0"/>
                    <w:bottom w:val="single" w:color="000000" w:sz="4" w:space="0"/>
                    <w:right w:val="single" w:color="000000" w:sz="4" w:space="0"/>
                  </w:tcBorders>
                  <w:noWrap w:val="0"/>
                  <w:vAlign w:val="center"/>
                </w:tcPr>
                <w:p w14:paraId="02FA6808">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585B2C21">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CACE1F5">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园区变电站</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45214E09">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B178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177" w:type="dxa"/>
                  <w:gridSpan w:val="8"/>
                  <w:tcBorders>
                    <w:left w:val="single" w:color="000000" w:sz="4" w:space="0"/>
                    <w:right w:val="single" w:color="000000" w:sz="4" w:space="0"/>
                  </w:tcBorders>
                  <w:noWrap w:val="0"/>
                  <w:vAlign w:val="center"/>
                </w:tcPr>
                <w:p w14:paraId="4C2B227F">
                  <w:pPr>
                    <w:pStyle w:val="30"/>
                    <w:keepNext w:val="0"/>
                    <w:keepLines w:val="0"/>
                    <w:pageBreakBefore w:val="0"/>
                    <w:kinsoku/>
                    <w:wordWrap/>
                    <w:overflowPunct/>
                    <w:topLinePunct w:val="0"/>
                    <w:autoSpaceDE/>
                    <w:autoSpaceDN/>
                    <w:bidi w:val="0"/>
                    <w:adjustRightInd w:val="0"/>
                    <w:snapToGrid w:val="0"/>
                    <w:spacing w:before="0" w:beforeAutospacing="0" w:after="0" w:afterAutospacing="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w:t>
                  </w:r>
                  <w:r>
                    <w:rPr>
                      <w:rFonts w:hint="eastAsia" w:ascii="Times New Roman" w:hAnsi="Times New Roman" w:cs="Times New Roman"/>
                      <w:color w:val="auto"/>
                      <w:sz w:val="21"/>
                      <w:szCs w:val="21"/>
                      <w:highlight w:val="none"/>
                      <w:lang w:val="en-US" w:eastAsia="zh-CN"/>
                    </w:rPr>
                    <w:t>1、项目外购的铁矿石含铁量在45%～68%之间，粒径为5～50mm，原矿含水率约8%～20%；</w:t>
                  </w:r>
                </w:p>
                <w:p w14:paraId="63E1A3F2">
                  <w:pPr>
                    <w:pStyle w:val="30"/>
                    <w:keepNext w:val="0"/>
                    <w:keepLines w:val="0"/>
                    <w:pageBreakBefore w:val="0"/>
                    <w:kinsoku/>
                    <w:wordWrap/>
                    <w:overflowPunct/>
                    <w:topLinePunct w:val="0"/>
                    <w:autoSpaceDE/>
                    <w:autoSpaceDN/>
                    <w:bidi w:val="0"/>
                    <w:adjustRightInd w:val="0"/>
                    <w:snapToGrid w:val="0"/>
                    <w:spacing w:before="0" w:beforeAutospacing="0" w:after="0" w:afterAutospacing="0"/>
                    <w:ind w:firstLine="420" w:firstLineChars="200"/>
                    <w:jc w:val="both"/>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1个柴油储罐总容积51.8m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，1m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柴油折算成850kg柴油，柴油储罐安全余量10%，总储量约为40t。</w:t>
                  </w:r>
                </w:p>
              </w:tc>
            </w:tr>
          </w:tbl>
          <w:p w14:paraId="79E0709F">
            <w:pPr>
              <w:keepNext w:val="0"/>
              <w:keepLines w:val="0"/>
              <w:pageBreakBefore w:val="0"/>
              <w:widowControl w:val="0"/>
              <w:numPr>
                <w:ilvl w:val="0"/>
                <w:numId w:val="0"/>
              </w:numPr>
              <w:kinsoku/>
              <w:wordWrap/>
              <w:overflowPunct/>
              <w:topLinePunct w:val="0"/>
              <w:autoSpaceDE/>
              <w:autoSpaceDN/>
              <w:bidi w:val="0"/>
              <w:adjustRightInd w:val="0"/>
              <w:snapToGrid w:val="0"/>
              <w:spacing w:before="160" w:beforeLines="50" w:line="360" w:lineRule="auto"/>
              <w:ind w:firstLine="480" w:firstLineChars="20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建设方</w:t>
            </w:r>
            <w:r>
              <w:rPr>
                <w:rFonts w:hint="default" w:ascii="Times New Roman" w:hAnsi="Times New Roman" w:eastAsia="宋体" w:cs="Times New Roman"/>
                <w:color w:val="auto"/>
                <w:sz w:val="24"/>
                <w:szCs w:val="24"/>
                <w:highlight w:val="none"/>
              </w:rPr>
              <w:t>提供资料</w:t>
            </w:r>
            <w:r>
              <w:rPr>
                <w:rFonts w:hint="eastAsia" w:ascii="Times New Roman" w:hAnsi="Times New Roman" w:eastAsia="宋体" w:cs="Times New Roman"/>
                <w:color w:val="auto"/>
                <w:sz w:val="24"/>
                <w:szCs w:val="24"/>
                <w:highlight w:val="none"/>
                <w:lang w:val="en-US" w:eastAsia="zh-CN"/>
              </w:rPr>
              <w:t>铁矿石来源于合法矿场及渠道，含铁量在</w:t>
            </w:r>
            <w:r>
              <w:rPr>
                <w:rFonts w:hint="eastAsia" w:cs="Times New Roman"/>
                <w:color w:val="auto"/>
                <w:sz w:val="24"/>
                <w:szCs w:val="24"/>
                <w:highlight w:val="none"/>
                <w:lang w:val="en-US" w:eastAsia="zh-CN"/>
              </w:rPr>
              <w:t>50</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68</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，最优质的原料含铁量为68%</w:t>
            </w:r>
            <w:r>
              <w:rPr>
                <w:rFonts w:hint="eastAsia" w:ascii="Times New Roman" w:hAnsi="Times New Roman" w:eastAsia="宋体" w:cs="Times New Roman"/>
                <w:color w:val="auto"/>
                <w:sz w:val="24"/>
                <w:szCs w:val="24"/>
                <w:highlight w:val="none"/>
                <w:lang w:val="en-US" w:eastAsia="zh-CN"/>
              </w:rPr>
              <w:t>，根据钢铁厂需求，产品含铁量在5</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60</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根据项目单位供货意向合同，原料成分如下表所示：</w:t>
            </w:r>
          </w:p>
          <w:p w14:paraId="3E560F2C">
            <w:pPr>
              <w:pStyle w:val="66"/>
              <w:rPr>
                <w:rFonts w:hint="default" w:ascii="Times New Roman" w:hAnsi="Times New Roman" w:eastAsia="宋体" w:cs="宋体"/>
                <w:color w:val="auto"/>
                <w:highlight w:val="none"/>
              </w:rPr>
            </w:pPr>
          </w:p>
          <w:p w14:paraId="21ADC668">
            <w:pPr>
              <w:pStyle w:val="66"/>
              <w:rPr>
                <w:rFonts w:hint="default" w:ascii="Times New Roman" w:hAnsi="Times New Roman" w:eastAsia="宋体" w:cs="宋体"/>
                <w:color w:val="auto"/>
                <w:highlight w:val="none"/>
              </w:rPr>
            </w:pPr>
          </w:p>
          <w:p w14:paraId="6FF39284">
            <w:pPr>
              <w:pStyle w:val="66"/>
              <w:rPr>
                <w:rFonts w:hint="default" w:ascii="Times New Roman" w:hAnsi="Times New Roman" w:eastAsia="宋体" w:cs="宋体"/>
                <w:color w:val="auto"/>
                <w:highlight w:val="none"/>
              </w:rPr>
            </w:pPr>
          </w:p>
          <w:p w14:paraId="2391B310">
            <w:pPr>
              <w:pStyle w:val="66"/>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2.1.5-2</w:t>
            </w:r>
            <w:r>
              <w:rPr>
                <w:rFonts w:hint="default"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lang w:val="en-US" w:eastAsia="zh-CN"/>
              </w:rPr>
              <w:t>原料铁矿成分</w:t>
            </w:r>
            <w:r>
              <w:rPr>
                <w:rFonts w:hint="default" w:ascii="Times New Roman" w:hAnsi="Times New Roman" w:eastAsia="宋体" w:cs="宋体"/>
                <w:color w:val="auto"/>
                <w:highlight w:val="none"/>
              </w:rPr>
              <w:t>一览表</w:t>
            </w:r>
          </w:p>
          <w:tbl>
            <w:tblPr>
              <w:tblStyle w:val="36"/>
              <w:tblW w:w="8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641"/>
              <w:gridCol w:w="668"/>
              <w:gridCol w:w="668"/>
              <w:gridCol w:w="763"/>
              <w:gridCol w:w="723"/>
              <w:gridCol w:w="723"/>
              <w:gridCol w:w="723"/>
              <w:gridCol w:w="668"/>
              <w:gridCol w:w="764"/>
              <w:gridCol w:w="749"/>
              <w:gridCol w:w="680"/>
            </w:tblGrid>
            <w:tr w14:paraId="01E3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14:paraId="4E1089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TFe</w:t>
                  </w:r>
                </w:p>
              </w:tc>
              <w:tc>
                <w:tcPr>
                  <w:tcW w:w="641" w:type="dxa"/>
                  <w:vAlign w:val="center"/>
                </w:tcPr>
                <w:p w14:paraId="6DEA11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SiO</w:t>
                  </w:r>
                  <w:r>
                    <w:rPr>
                      <w:rFonts w:hint="eastAsia" w:cs="Times New Roman"/>
                      <w:b w:val="0"/>
                      <w:bCs w:val="0"/>
                      <w:color w:val="auto"/>
                      <w:kern w:val="2"/>
                      <w:sz w:val="18"/>
                      <w:szCs w:val="18"/>
                      <w:highlight w:val="none"/>
                      <w:vertAlign w:val="subscript"/>
                      <w:lang w:val="en-US" w:eastAsia="zh-CN" w:bidi="ar-SA"/>
                    </w:rPr>
                    <w:t>2</w:t>
                  </w:r>
                </w:p>
              </w:tc>
              <w:tc>
                <w:tcPr>
                  <w:tcW w:w="668" w:type="dxa"/>
                  <w:vAlign w:val="center"/>
                </w:tcPr>
                <w:p w14:paraId="7A32C9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Al</w:t>
                  </w:r>
                  <w:r>
                    <w:rPr>
                      <w:rFonts w:hint="eastAsia" w:cs="Times New Roman"/>
                      <w:b w:val="0"/>
                      <w:bCs w:val="0"/>
                      <w:color w:val="auto"/>
                      <w:kern w:val="2"/>
                      <w:sz w:val="18"/>
                      <w:szCs w:val="18"/>
                      <w:highlight w:val="none"/>
                      <w:vertAlign w:val="subscript"/>
                      <w:lang w:val="en-US" w:eastAsia="zh-CN" w:bidi="ar-SA"/>
                    </w:rPr>
                    <w:t>2</w:t>
                  </w:r>
                  <w:r>
                    <w:rPr>
                      <w:rFonts w:hint="eastAsia" w:cs="Times New Roman"/>
                      <w:b w:val="0"/>
                      <w:bCs w:val="0"/>
                      <w:color w:val="auto"/>
                      <w:kern w:val="2"/>
                      <w:sz w:val="18"/>
                      <w:szCs w:val="18"/>
                      <w:highlight w:val="none"/>
                      <w:vertAlign w:val="baseline"/>
                      <w:lang w:val="en-US" w:eastAsia="zh-CN" w:bidi="ar-SA"/>
                    </w:rPr>
                    <w:t>O</w:t>
                  </w:r>
                  <w:r>
                    <w:rPr>
                      <w:rFonts w:hint="eastAsia" w:cs="Times New Roman"/>
                      <w:b w:val="0"/>
                      <w:bCs w:val="0"/>
                      <w:color w:val="auto"/>
                      <w:kern w:val="2"/>
                      <w:sz w:val="18"/>
                      <w:szCs w:val="18"/>
                      <w:highlight w:val="none"/>
                      <w:vertAlign w:val="subscript"/>
                      <w:lang w:val="en-US" w:eastAsia="zh-CN" w:bidi="ar-SA"/>
                    </w:rPr>
                    <w:t>3</w:t>
                  </w:r>
                </w:p>
              </w:tc>
              <w:tc>
                <w:tcPr>
                  <w:tcW w:w="668" w:type="dxa"/>
                  <w:vAlign w:val="center"/>
                </w:tcPr>
                <w:p w14:paraId="074E10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S</w:t>
                  </w:r>
                </w:p>
              </w:tc>
              <w:tc>
                <w:tcPr>
                  <w:tcW w:w="763" w:type="dxa"/>
                  <w:vAlign w:val="center"/>
                </w:tcPr>
                <w:p w14:paraId="56C9E5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P</w:t>
                  </w:r>
                </w:p>
              </w:tc>
              <w:tc>
                <w:tcPr>
                  <w:tcW w:w="723" w:type="dxa"/>
                  <w:vAlign w:val="center"/>
                </w:tcPr>
                <w:p w14:paraId="2BB7E8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Pb</w:t>
                  </w:r>
                </w:p>
              </w:tc>
              <w:tc>
                <w:tcPr>
                  <w:tcW w:w="723" w:type="dxa"/>
                  <w:vAlign w:val="center"/>
                </w:tcPr>
                <w:p w14:paraId="3A62E0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As</w:t>
                  </w:r>
                </w:p>
              </w:tc>
              <w:tc>
                <w:tcPr>
                  <w:tcW w:w="723" w:type="dxa"/>
                  <w:vAlign w:val="center"/>
                </w:tcPr>
                <w:p w14:paraId="3C4B63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Zn</w:t>
                  </w:r>
                </w:p>
              </w:tc>
              <w:tc>
                <w:tcPr>
                  <w:tcW w:w="668" w:type="dxa"/>
                  <w:vAlign w:val="center"/>
                </w:tcPr>
                <w:p w14:paraId="40BBC6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TiO</w:t>
                  </w:r>
                  <w:r>
                    <w:rPr>
                      <w:rFonts w:hint="eastAsia" w:cs="Times New Roman"/>
                      <w:b w:val="0"/>
                      <w:bCs w:val="0"/>
                      <w:color w:val="auto"/>
                      <w:kern w:val="2"/>
                      <w:sz w:val="18"/>
                      <w:szCs w:val="18"/>
                      <w:highlight w:val="none"/>
                      <w:vertAlign w:val="subscript"/>
                      <w:lang w:val="en-US" w:eastAsia="zh-CN" w:bidi="ar-SA"/>
                    </w:rPr>
                    <w:t>2</w:t>
                  </w:r>
                </w:p>
              </w:tc>
              <w:tc>
                <w:tcPr>
                  <w:tcW w:w="764" w:type="dxa"/>
                  <w:vAlign w:val="center"/>
                </w:tcPr>
                <w:p w14:paraId="2B710D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subscript"/>
                      <w:lang w:val="en-US" w:eastAsia="zh-CN" w:bidi="ar-SA"/>
                    </w:rPr>
                  </w:pPr>
                  <w:r>
                    <w:rPr>
                      <w:rFonts w:hint="eastAsia" w:cs="Times New Roman"/>
                      <w:b w:val="0"/>
                      <w:bCs w:val="0"/>
                      <w:color w:val="auto"/>
                      <w:kern w:val="2"/>
                      <w:sz w:val="18"/>
                      <w:szCs w:val="18"/>
                      <w:highlight w:val="none"/>
                      <w:vertAlign w:val="baseline"/>
                      <w:lang w:val="en-US" w:eastAsia="zh-CN" w:bidi="ar-SA"/>
                    </w:rPr>
                    <w:t>Cu</w:t>
                  </w:r>
                </w:p>
              </w:tc>
              <w:tc>
                <w:tcPr>
                  <w:tcW w:w="749" w:type="dxa"/>
                  <w:vAlign w:val="center"/>
                </w:tcPr>
                <w:p w14:paraId="3F2CB3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Sn</w:t>
                  </w:r>
                </w:p>
              </w:tc>
              <w:tc>
                <w:tcPr>
                  <w:tcW w:w="680" w:type="dxa"/>
                  <w:vAlign w:val="center"/>
                </w:tcPr>
                <w:p w14:paraId="37C755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K</w:t>
                  </w:r>
                  <w:r>
                    <w:rPr>
                      <w:rFonts w:hint="eastAsia" w:cs="Times New Roman"/>
                      <w:b w:val="0"/>
                      <w:bCs w:val="0"/>
                      <w:color w:val="auto"/>
                      <w:kern w:val="2"/>
                      <w:sz w:val="18"/>
                      <w:szCs w:val="18"/>
                      <w:highlight w:val="none"/>
                      <w:vertAlign w:val="subscript"/>
                      <w:lang w:val="en-US" w:eastAsia="zh-CN" w:bidi="ar-SA"/>
                    </w:rPr>
                    <w:t>2</w:t>
                  </w:r>
                  <w:r>
                    <w:rPr>
                      <w:rFonts w:hint="eastAsia" w:cs="Times New Roman"/>
                      <w:b w:val="0"/>
                      <w:bCs w:val="0"/>
                      <w:color w:val="auto"/>
                      <w:kern w:val="2"/>
                      <w:sz w:val="18"/>
                      <w:szCs w:val="18"/>
                      <w:highlight w:val="none"/>
                      <w:vertAlign w:val="baseline"/>
                      <w:lang w:val="en-US" w:eastAsia="zh-CN" w:bidi="ar-SA"/>
                    </w:rPr>
                    <w:t>O+Na</w:t>
                  </w:r>
                  <w:r>
                    <w:rPr>
                      <w:rFonts w:hint="eastAsia" w:cs="Times New Roman"/>
                      <w:b w:val="0"/>
                      <w:bCs w:val="0"/>
                      <w:color w:val="auto"/>
                      <w:kern w:val="2"/>
                      <w:sz w:val="18"/>
                      <w:szCs w:val="18"/>
                      <w:highlight w:val="none"/>
                      <w:vertAlign w:val="subscript"/>
                      <w:lang w:val="en-US" w:eastAsia="zh-CN" w:bidi="ar-SA"/>
                    </w:rPr>
                    <w:t>2</w:t>
                  </w:r>
                  <w:r>
                    <w:rPr>
                      <w:rFonts w:hint="eastAsia" w:cs="Times New Roman"/>
                      <w:b w:val="0"/>
                      <w:bCs w:val="0"/>
                      <w:color w:val="auto"/>
                      <w:kern w:val="2"/>
                      <w:sz w:val="18"/>
                      <w:szCs w:val="18"/>
                      <w:highlight w:val="none"/>
                      <w:vertAlign w:val="baseline"/>
                      <w:lang w:val="en-US" w:eastAsia="zh-CN" w:bidi="ar-SA"/>
                    </w:rPr>
                    <w:t>O</w:t>
                  </w:r>
                </w:p>
              </w:tc>
            </w:tr>
            <w:tr w14:paraId="4A3E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14:paraId="71DE6D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50</w:t>
                  </w:r>
                  <w:r>
                    <w:rPr>
                      <w:rFonts w:hint="default" w:ascii="Times New Roman" w:hAnsi="Times New Roman" w:eastAsia="宋体" w:cs="Times New Roman"/>
                      <w:b w:val="0"/>
                      <w:bCs w:val="0"/>
                      <w:color w:val="auto"/>
                      <w:kern w:val="2"/>
                      <w:sz w:val="18"/>
                      <w:szCs w:val="18"/>
                      <w:highlight w:val="none"/>
                      <w:vertAlign w:val="baseline"/>
                      <w:lang w:val="en-US" w:eastAsia="zh-CN" w:bidi="ar-SA"/>
                    </w:rPr>
                    <w:t>%～68%</w:t>
                  </w:r>
                </w:p>
              </w:tc>
              <w:tc>
                <w:tcPr>
                  <w:tcW w:w="641" w:type="dxa"/>
                  <w:vAlign w:val="center"/>
                </w:tcPr>
                <w:p w14:paraId="51448E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≤5.0</w:t>
                  </w:r>
                </w:p>
              </w:tc>
              <w:tc>
                <w:tcPr>
                  <w:tcW w:w="668" w:type="dxa"/>
                  <w:vAlign w:val="center"/>
                </w:tcPr>
                <w:p w14:paraId="046DDE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≤2.5</w:t>
                  </w:r>
                </w:p>
              </w:tc>
              <w:tc>
                <w:tcPr>
                  <w:tcW w:w="668" w:type="dxa"/>
                  <w:vAlign w:val="center"/>
                </w:tcPr>
                <w:p w14:paraId="18A6CA4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≤0.5</w:t>
                  </w:r>
                </w:p>
              </w:tc>
              <w:tc>
                <w:tcPr>
                  <w:tcW w:w="763" w:type="dxa"/>
                  <w:vAlign w:val="center"/>
                </w:tcPr>
                <w:p w14:paraId="2CB61F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≤0.05</w:t>
                  </w:r>
                </w:p>
              </w:tc>
              <w:tc>
                <w:tcPr>
                  <w:tcW w:w="723" w:type="dxa"/>
                  <w:vAlign w:val="center"/>
                </w:tcPr>
                <w:p w14:paraId="13FCE2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≤0.04</w:t>
                  </w:r>
                </w:p>
              </w:tc>
              <w:tc>
                <w:tcPr>
                  <w:tcW w:w="723" w:type="dxa"/>
                  <w:vAlign w:val="center"/>
                </w:tcPr>
                <w:p w14:paraId="7C3DA6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≤0.04</w:t>
                  </w:r>
                </w:p>
              </w:tc>
              <w:tc>
                <w:tcPr>
                  <w:tcW w:w="723" w:type="dxa"/>
                  <w:vAlign w:val="center"/>
                </w:tcPr>
                <w:p w14:paraId="37DF91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≤0.04</w:t>
                  </w:r>
                </w:p>
              </w:tc>
              <w:tc>
                <w:tcPr>
                  <w:tcW w:w="668" w:type="dxa"/>
                  <w:vAlign w:val="center"/>
                </w:tcPr>
                <w:p w14:paraId="147EFB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≤1.0</w:t>
                  </w:r>
                </w:p>
              </w:tc>
              <w:tc>
                <w:tcPr>
                  <w:tcW w:w="764" w:type="dxa"/>
                  <w:vAlign w:val="center"/>
                </w:tcPr>
                <w:p w14:paraId="58C3A6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≤0.25</w:t>
                  </w:r>
                </w:p>
              </w:tc>
              <w:tc>
                <w:tcPr>
                  <w:tcW w:w="749" w:type="dxa"/>
                  <w:vAlign w:val="center"/>
                </w:tcPr>
                <w:p w14:paraId="34920B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≤0.03</w:t>
                  </w:r>
                </w:p>
              </w:tc>
              <w:tc>
                <w:tcPr>
                  <w:tcW w:w="680" w:type="dxa"/>
                  <w:vAlign w:val="center"/>
                </w:tcPr>
                <w:p w14:paraId="6A9154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≤0.2</w:t>
                  </w:r>
                </w:p>
              </w:tc>
            </w:tr>
          </w:tbl>
          <w:p w14:paraId="42B083DC">
            <w:pPr>
              <w:keepNext w:val="0"/>
              <w:keepLines w:val="0"/>
              <w:pageBreakBefore w:val="0"/>
              <w:widowControl w:val="0"/>
              <w:numPr>
                <w:ilvl w:val="0"/>
                <w:numId w:val="0"/>
              </w:numPr>
              <w:kinsoku/>
              <w:wordWrap/>
              <w:overflowPunct/>
              <w:topLinePunct w:val="0"/>
              <w:autoSpaceDE/>
              <w:autoSpaceDN/>
              <w:bidi w:val="0"/>
              <w:adjustRightInd w:val="0"/>
              <w:snapToGrid w:val="0"/>
              <w:spacing w:before="160" w:beforeLines="50" w:line="360" w:lineRule="auto"/>
              <w:ind w:firstLine="422"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2"/>
                <w:sz w:val="21"/>
                <w:szCs w:val="21"/>
                <w:highlight w:val="none"/>
                <w:lang w:val="en-US" w:eastAsia="zh-CN" w:bidi="ar-SA"/>
              </w:rPr>
              <w:t>（2）</w:t>
            </w:r>
            <w:r>
              <w:rPr>
                <w:rFonts w:hint="default" w:ascii="Times New Roman" w:hAnsi="Times New Roman" w:eastAsia="宋体" w:cs="Times New Roman"/>
                <w:b/>
                <w:bCs/>
                <w:color w:val="auto"/>
                <w:sz w:val="24"/>
                <w:highlight w:val="none"/>
                <w:lang w:val="en-US" w:eastAsia="zh-CN"/>
              </w:rPr>
              <w:t>原辅材料理化性质见下表：</w:t>
            </w:r>
          </w:p>
          <w:p w14:paraId="02FF99B7">
            <w:pPr>
              <w:adjustRightInd w:val="0"/>
              <w:snapToGrid w:val="0"/>
              <w:spacing w:line="360" w:lineRule="auto"/>
              <w:ind w:firstLine="480" w:firstLineChars="200"/>
              <w:rPr>
                <w:rFonts w:hint="default" w:ascii="Times New Roman" w:hAnsi="Times New Roman" w:eastAsia="宋体" w:cs="Times New Roman"/>
                <w:bCs/>
                <w:color w:val="auto"/>
                <w:sz w:val="24"/>
                <w:szCs w:val="20"/>
                <w:highlight w:val="none"/>
                <w:lang w:val="en-US"/>
              </w:rPr>
            </w:pPr>
            <w:r>
              <w:rPr>
                <w:rFonts w:hint="eastAsia" w:ascii="Times New Roman" w:hAnsi="Times New Roman" w:eastAsia="宋体" w:cs="Times New Roman"/>
                <w:color w:val="auto"/>
                <w:sz w:val="24"/>
                <w:szCs w:val="24"/>
                <w:highlight w:val="none"/>
                <w:lang w:val="en-US" w:eastAsia="zh-CN"/>
              </w:rPr>
              <w:t>其他原辅材料理化性质如下表所示：</w:t>
            </w:r>
          </w:p>
          <w:p w14:paraId="4BC9BCA2">
            <w:pPr>
              <w:pStyle w:val="66"/>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2.1.5-3</w:t>
            </w:r>
            <w:r>
              <w:rPr>
                <w:rFonts w:hint="default" w:ascii="Times New Roman" w:hAnsi="Times New Roman" w:eastAsia="宋体" w:cs="宋体"/>
                <w:color w:val="auto"/>
                <w:highlight w:val="none"/>
                <w:lang w:val="en-US" w:eastAsia="zh-CN"/>
              </w:rPr>
              <w:t xml:space="preserve">  </w:t>
            </w:r>
            <w:r>
              <w:rPr>
                <w:rFonts w:hint="default" w:ascii="Times New Roman" w:hAnsi="Times New Roman" w:eastAsia="宋体" w:cs="宋体"/>
                <w:color w:val="auto"/>
                <w:highlight w:val="none"/>
              </w:rPr>
              <w:t>原辅材料的理化性质一览表</w:t>
            </w:r>
          </w:p>
          <w:tbl>
            <w:tblPr>
              <w:tblStyle w:val="3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02"/>
              <w:gridCol w:w="6477"/>
            </w:tblGrid>
            <w:tr w14:paraId="1B7C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680" w:type="dxa"/>
                  <w:shd w:val="clear" w:color="auto" w:fill="D7D7D7" w:themeFill="background1" w:themeFillShade="D8"/>
                  <w:noWrap w:val="0"/>
                  <w:vAlign w:val="center"/>
                </w:tcPr>
                <w:p w14:paraId="76F55B34">
                  <w:pPr>
                    <w:pStyle w:val="8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序号</w:t>
                  </w:r>
                </w:p>
              </w:tc>
              <w:tc>
                <w:tcPr>
                  <w:tcW w:w="1202" w:type="dxa"/>
                  <w:shd w:val="clear" w:color="auto" w:fill="D7D7D7" w:themeFill="background1" w:themeFillShade="D8"/>
                  <w:noWrap w:val="0"/>
                  <w:vAlign w:val="center"/>
                </w:tcPr>
                <w:p w14:paraId="73267C3C">
                  <w:pPr>
                    <w:pStyle w:val="8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名称</w:t>
                  </w:r>
                </w:p>
              </w:tc>
              <w:tc>
                <w:tcPr>
                  <w:tcW w:w="6477" w:type="dxa"/>
                  <w:shd w:val="clear" w:color="auto" w:fill="D7D7D7" w:themeFill="background1" w:themeFillShade="D8"/>
                  <w:noWrap w:val="0"/>
                  <w:vAlign w:val="center"/>
                </w:tcPr>
                <w:p w14:paraId="1ADDFD42">
                  <w:pPr>
                    <w:pStyle w:val="8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理化性质</w:t>
                  </w:r>
                </w:p>
              </w:tc>
            </w:tr>
            <w:tr w14:paraId="177E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80" w:type="dxa"/>
                  <w:noWrap w:val="0"/>
                  <w:vAlign w:val="center"/>
                </w:tcPr>
                <w:p w14:paraId="301518B2">
                  <w:pPr>
                    <w:pStyle w:val="8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202" w:type="dxa"/>
                  <w:noWrap w:val="0"/>
                  <w:vAlign w:val="center"/>
                </w:tcPr>
                <w:p w14:paraId="5531958A">
                  <w:pPr>
                    <w:pStyle w:val="8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润滑油</w:t>
                  </w:r>
                </w:p>
              </w:tc>
              <w:tc>
                <w:tcPr>
                  <w:tcW w:w="6477" w:type="dxa"/>
                  <w:noWrap w:val="0"/>
                  <w:vAlign w:val="center"/>
                </w:tcPr>
                <w:p w14:paraId="39B17AC1">
                  <w:pPr>
                    <w:pStyle w:val="10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通常为淡黄色、褐色</w:t>
                  </w:r>
                  <w:r>
                    <w:rPr>
                      <w:rFonts w:hint="eastAsia" w:ascii="Times New Roman" w:hAnsi="Times New Roman" w:cs="Times New Roman"/>
                      <w:bCs/>
                      <w:color w:val="auto"/>
                      <w:sz w:val="21"/>
                      <w:szCs w:val="21"/>
                      <w:highlight w:val="none"/>
                      <w:lang w:val="en-US" w:eastAsia="zh-CN"/>
                    </w:rPr>
                    <w:t>黏稠</w:t>
                  </w:r>
                  <w:r>
                    <w:rPr>
                      <w:rFonts w:hint="default" w:ascii="Times New Roman" w:hAnsi="Times New Roman" w:eastAsia="宋体" w:cs="Times New Roman"/>
                      <w:bCs/>
                      <w:color w:val="auto"/>
                      <w:sz w:val="21"/>
                      <w:szCs w:val="21"/>
                      <w:highlight w:val="none"/>
                      <w:lang w:val="en-US" w:eastAsia="zh-CN"/>
                    </w:rPr>
                    <w:t>液体，通常较稳定，遇明火、高热或与氧化剂接触，有引起燃烧爆炸的危险；若遇高热，容器内压增大，有开裂和爆炸的危险，具有刺激性。润滑油</w:t>
                  </w:r>
                  <w:r>
                    <w:rPr>
                      <w:rFonts w:hint="eastAsia" w:ascii="Times New Roman" w:hAnsi="Times New Roman" w:cs="Times New Roman"/>
                      <w:bCs/>
                      <w:color w:val="auto"/>
                      <w:sz w:val="21"/>
                      <w:szCs w:val="21"/>
                      <w:highlight w:val="none"/>
                      <w:lang w:val="en-US" w:eastAsia="zh-CN"/>
                    </w:rPr>
                    <w:t>适用</w:t>
                  </w:r>
                  <w:r>
                    <w:rPr>
                      <w:rFonts w:hint="default" w:ascii="Times New Roman" w:hAnsi="Times New Roman" w:eastAsia="宋体" w:cs="Times New Roman"/>
                      <w:bCs/>
                      <w:color w:val="auto"/>
                      <w:sz w:val="21"/>
                      <w:szCs w:val="21"/>
                      <w:highlight w:val="none"/>
                      <w:lang w:val="en-US" w:eastAsia="zh-CN"/>
                    </w:rPr>
                    <w:t>在各种类型汽车、机械设备上以减少摩擦，保护机械及加工件的液体或半</w:t>
                  </w:r>
                  <w:r>
                    <w:rPr>
                      <w:rFonts w:hint="default" w:ascii="Times New Roman" w:hAnsi="Times New Roman" w:eastAsia="宋体" w:cs="Times New Roman"/>
                      <w:bCs/>
                      <w:color w:val="auto"/>
                      <w:sz w:val="21"/>
                      <w:szCs w:val="21"/>
                      <w:highlight w:val="none"/>
                      <w:lang w:val="en-US" w:eastAsia="zh-CN"/>
                    </w:rPr>
                    <w:fldChar w:fldCharType="begin"/>
                  </w:r>
                  <w:r>
                    <w:rPr>
                      <w:rFonts w:hint="default" w:ascii="Times New Roman" w:hAnsi="Times New Roman" w:eastAsia="宋体" w:cs="Times New Roman"/>
                      <w:bCs/>
                      <w:color w:val="auto"/>
                      <w:sz w:val="21"/>
                      <w:szCs w:val="21"/>
                      <w:highlight w:val="none"/>
                      <w:lang w:val="en-US" w:eastAsia="zh-CN"/>
                    </w:rPr>
                    <w:instrText xml:space="preserve"> HYPERLINK "https://baike.baidu.com/item/%E5%9B%BA%E4%BD%93%E6%B6%A6%E6%BB%91%E5%89%82/3395034?fromModule=lemma_inlink" \t "https://baike.baidu.com/item/%E6%B6%A6%E6%BB%91%E6%B2%B9/_blank" </w:instrText>
                  </w:r>
                  <w:r>
                    <w:rPr>
                      <w:rFonts w:hint="default" w:ascii="Times New Roman" w:hAnsi="Times New Roman" w:eastAsia="宋体" w:cs="Times New Roman"/>
                      <w:bCs/>
                      <w:color w:val="auto"/>
                      <w:sz w:val="21"/>
                      <w:szCs w:val="21"/>
                      <w:highlight w:val="none"/>
                      <w:lang w:val="en-US" w:eastAsia="zh-CN"/>
                    </w:rPr>
                    <w:fldChar w:fldCharType="separate"/>
                  </w:r>
                  <w:r>
                    <w:rPr>
                      <w:rFonts w:hint="default" w:ascii="Times New Roman" w:hAnsi="Times New Roman" w:eastAsia="宋体" w:cs="Times New Roman"/>
                      <w:bCs/>
                      <w:color w:val="auto"/>
                      <w:sz w:val="21"/>
                      <w:szCs w:val="21"/>
                      <w:highlight w:val="none"/>
                      <w:lang w:val="en-US" w:eastAsia="zh-CN"/>
                    </w:rPr>
                    <w:t>固体润滑剂</w:t>
                  </w:r>
                  <w:r>
                    <w:rPr>
                      <w:rFonts w:hint="default" w:ascii="Times New Roman" w:hAnsi="Times New Roman" w:eastAsia="宋体" w:cs="Times New Roman"/>
                      <w:bCs/>
                      <w:color w:val="auto"/>
                      <w:sz w:val="21"/>
                      <w:szCs w:val="21"/>
                      <w:highlight w:val="none"/>
                      <w:lang w:val="en-US" w:eastAsia="zh-CN"/>
                    </w:rPr>
                    <w:fldChar w:fldCharType="end"/>
                  </w:r>
                  <w:r>
                    <w:rPr>
                      <w:rFonts w:hint="default" w:ascii="Times New Roman" w:hAnsi="Times New Roman" w:eastAsia="宋体" w:cs="Times New Roman"/>
                      <w:bCs/>
                      <w:color w:val="auto"/>
                      <w:sz w:val="21"/>
                      <w:szCs w:val="21"/>
                      <w:highlight w:val="none"/>
                      <w:lang w:val="en-US" w:eastAsia="zh-CN"/>
                    </w:rPr>
                    <w:t>，主要</w:t>
                  </w:r>
                  <w:r>
                    <w:rPr>
                      <w:rFonts w:hint="eastAsia" w:cs="Times New Roman"/>
                      <w:bCs/>
                      <w:color w:val="auto"/>
                      <w:sz w:val="21"/>
                      <w:szCs w:val="21"/>
                      <w:highlight w:val="none"/>
                      <w:lang w:val="en-US" w:eastAsia="zh-CN"/>
                    </w:rPr>
                    <w:t>起到</w:t>
                  </w:r>
                  <w:r>
                    <w:rPr>
                      <w:rFonts w:hint="default" w:ascii="Times New Roman" w:hAnsi="Times New Roman" w:eastAsia="宋体" w:cs="Times New Roman"/>
                      <w:bCs/>
                      <w:color w:val="auto"/>
                      <w:sz w:val="21"/>
                      <w:szCs w:val="21"/>
                      <w:highlight w:val="none"/>
                      <w:lang w:val="en-US" w:eastAsia="zh-CN"/>
                    </w:rPr>
                    <w:t>润滑、辅助冷却、</w:t>
                  </w:r>
                  <w:r>
                    <w:rPr>
                      <w:rFonts w:hint="default" w:ascii="Times New Roman" w:hAnsi="Times New Roman" w:eastAsia="宋体" w:cs="Times New Roman"/>
                      <w:bCs/>
                      <w:color w:val="auto"/>
                      <w:sz w:val="21"/>
                      <w:szCs w:val="21"/>
                      <w:highlight w:val="none"/>
                      <w:lang w:val="en-US" w:eastAsia="zh-CN"/>
                    </w:rPr>
                    <w:fldChar w:fldCharType="begin"/>
                  </w:r>
                  <w:r>
                    <w:rPr>
                      <w:rFonts w:hint="default" w:ascii="Times New Roman" w:hAnsi="Times New Roman" w:eastAsia="宋体" w:cs="Times New Roman"/>
                      <w:bCs/>
                      <w:color w:val="auto"/>
                      <w:sz w:val="21"/>
                      <w:szCs w:val="21"/>
                      <w:highlight w:val="none"/>
                      <w:lang w:val="en-US" w:eastAsia="zh-CN"/>
                    </w:rPr>
                    <w:instrText xml:space="preserve"> HYPERLINK "https://baike.baidu.com/item/%E9%98%B2%E9%94%88/4591680?fromModule=lemma_inlink" \t "https://baike.baidu.com/item/%E6%B6%A6%E6%BB%91%E6%B2%B9/_blank" </w:instrText>
                  </w:r>
                  <w:r>
                    <w:rPr>
                      <w:rFonts w:hint="default" w:ascii="Times New Roman" w:hAnsi="Times New Roman" w:eastAsia="宋体" w:cs="Times New Roman"/>
                      <w:bCs/>
                      <w:color w:val="auto"/>
                      <w:sz w:val="21"/>
                      <w:szCs w:val="21"/>
                      <w:highlight w:val="none"/>
                      <w:lang w:val="en-US" w:eastAsia="zh-CN"/>
                    </w:rPr>
                    <w:fldChar w:fldCharType="separate"/>
                  </w:r>
                  <w:r>
                    <w:rPr>
                      <w:rFonts w:hint="default" w:ascii="Times New Roman" w:hAnsi="Times New Roman" w:eastAsia="宋体" w:cs="Times New Roman"/>
                      <w:bCs/>
                      <w:color w:val="auto"/>
                      <w:sz w:val="21"/>
                      <w:szCs w:val="21"/>
                      <w:highlight w:val="none"/>
                      <w:lang w:val="en-US" w:eastAsia="zh-CN"/>
                    </w:rPr>
                    <w:t>防锈</w:t>
                  </w:r>
                  <w:r>
                    <w:rPr>
                      <w:rFonts w:hint="default" w:ascii="Times New Roman" w:hAnsi="Times New Roman" w:eastAsia="宋体" w:cs="Times New Roman"/>
                      <w:bCs/>
                      <w:color w:val="auto"/>
                      <w:sz w:val="21"/>
                      <w:szCs w:val="21"/>
                      <w:highlight w:val="none"/>
                      <w:lang w:val="en-US" w:eastAsia="zh-CN"/>
                    </w:rPr>
                    <w:fldChar w:fldCharType="end"/>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fldChar w:fldCharType="begin"/>
                  </w:r>
                  <w:r>
                    <w:rPr>
                      <w:rFonts w:hint="default" w:ascii="Times New Roman" w:hAnsi="Times New Roman" w:eastAsia="宋体" w:cs="Times New Roman"/>
                      <w:bCs/>
                      <w:color w:val="auto"/>
                      <w:sz w:val="21"/>
                      <w:szCs w:val="21"/>
                      <w:highlight w:val="none"/>
                      <w:lang w:val="en-US" w:eastAsia="zh-CN"/>
                    </w:rPr>
                    <w:instrText xml:space="preserve"> HYPERLINK "https://baike.baidu.com/item/%E6%B8%85%E6%B4%81/20384805?fromModule=lemma_inlink" \t "https://baike.baidu.com/item/%E6%B6%A6%E6%BB%91%E6%B2%B9/_blank" </w:instrText>
                  </w:r>
                  <w:r>
                    <w:rPr>
                      <w:rFonts w:hint="default" w:ascii="Times New Roman" w:hAnsi="Times New Roman" w:eastAsia="宋体" w:cs="Times New Roman"/>
                      <w:bCs/>
                      <w:color w:val="auto"/>
                      <w:sz w:val="21"/>
                      <w:szCs w:val="21"/>
                      <w:highlight w:val="none"/>
                      <w:lang w:val="en-US" w:eastAsia="zh-CN"/>
                    </w:rPr>
                    <w:fldChar w:fldCharType="separate"/>
                  </w:r>
                  <w:r>
                    <w:rPr>
                      <w:rFonts w:hint="default" w:ascii="Times New Roman" w:hAnsi="Times New Roman" w:eastAsia="宋体" w:cs="Times New Roman"/>
                      <w:bCs/>
                      <w:color w:val="auto"/>
                      <w:sz w:val="21"/>
                      <w:szCs w:val="21"/>
                      <w:highlight w:val="none"/>
                      <w:lang w:val="en-US" w:eastAsia="zh-CN"/>
                    </w:rPr>
                    <w:t>清洁</w:t>
                  </w:r>
                  <w:r>
                    <w:rPr>
                      <w:rFonts w:hint="default" w:ascii="Times New Roman" w:hAnsi="Times New Roman" w:eastAsia="宋体" w:cs="Times New Roman"/>
                      <w:bCs/>
                      <w:color w:val="auto"/>
                      <w:sz w:val="21"/>
                      <w:szCs w:val="21"/>
                      <w:highlight w:val="none"/>
                      <w:lang w:val="en-US" w:eastAsia="zh-CN"/>
                    </w:rPr>
                    <w:fldChar w:fldCharType="end"/>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fldChar w:fldCharType="begin"/>
                  </w:r>
                  <w:r>
                    <w:rPr>
                      <w:rFonts w:hint="default" w:ascii="Times New Roman" w:hAnsi="Times New Roman" w:eastAsia="宋体" w:cs="Times New Roman"/>
                      <w:bCs/>
                      <w:color w:val="auto"/>
                      <w:sz w:val="21"/>
                      <w:szCs w:val="21"/>
                      <w:highlight w:val="none"/>
                      <w:lang w:val="en-US" w:eastAsia="zh-CN"/>
                    </w:rPr>
                    <w:instrText xml:space="preserve"> HYPERLINK "https://baike.baidu.com/item/%E5%AF%86%E5%B0%81/7558996?fromModule=lemma_inlink" \t "https://baike.baidu.com/item/%E6%B6%A6%E6%BB%91%E6%B2%B9/_blank" </w:instrText>
                  </w:r>
                  <w:r>
                    <w:rPr>
                      <w:rFonts w:hint="default" w:ascii="Times New Roman" w:hAnsi="Times New Roman" w:eastAsia="宋体" w:cs="Times New Roman"/>
                      <w:bCs/>
                      <w:color w:val="auto"/>
                      <w:sz w:val="21"/>
                      <w:szCs w:val="21"/>
                      <w:highlight w:val="none"/>
                      <w:lang w:val="en-US" w:eastAsia="zh-CN"/>
                    </w:rPr>
                    <w:fldChar w:fldCharType="separate"/>
                  </w:r>
                  <w:r>
                    <w:rPr>
                      <w:rFonts w:hint="default" w:ascii="Times New Roman" w:hAnsi="Times New Roman" w:eastAsia="宋体" w:cs="Times New Roman"/>
                      <w:bCs/>
                      <w:color w:val="auto"/>
                      <w:sz w:val="21"/>
                      <w:szCs w:val="21"/>
                      <w:highlight w:val="none"/>
                      <w:lang w:val="en-US" w:eastAsia="zh-CN"/>
                    </w:rPr>
                    <w:t>密封</w:t>
                  </w:r>
                  <w:r>
                    <w:rPr>
                      <w:rFonts w:hint="default" w:ascii="Times New Roman" w:hAnsi="Times New Roman" w:eastAsia="宋体" w:cs="Times New Roman"/>
                      <w:bCs/>
                      <w:color w:val="auto"/>
                      <w:sz w:val="21"/>
                      <w:szCs w:val="21"/>
                      <w:highlight w:val="none"/>
                      <w:lang w:val="en-US" w:eastAsia="zh-CN"/>
                    </w:rPr>
                    <w:fldChar w:fldCharType="end"/>
                  </w:r>
                  <w:r>
                    <w:rPr>
                      <w:rFonts w:hint="default" w:ascii="Times New Roman" w:hAnsi="Times New Roman" w:eastAsia="宋体" w:cs="Times New Roman"/>
                      <w:bCs/>
                      <w:color w:val="auto"/>
                      <w:sz w:val="21"/>
                      <w:szCs w:val="21"/>
                      <w:highlight w:val="none"/>
                      <w:lang w:val="en-US" w:eastAsia="zh-CN"/>
                    </w:rPr>
                    <w:t>和缓冲等作用。</w:t>
                  </w:r>
                </w:p>
              </w:tc>
            </w:tr>
            <w:tr w14:paraId="50CE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80" w:type="dxa"/>
                  <w:noWrap w:val="0"/>
                  <w:vAlign w:val="center"/>
                </w:tcPr>
                <w:p w14:paraId="69043902">
                  <w:pPr>
                    <w:pStyle w:val="8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1202" w:type="dxa"/>
                  <w:noWrap w:val="0"/>
                  <w:vAlign w:val="center"/>
                </w:tcPr>
                <w:p w14:paraId="3EB4DA02">
                  <w:pPr>
                    <w:pStyle w:val="8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柴油</w:t>
                  </w:r>
                </w:p>
              </w:tc>
              <w:tc>
                <w:tcPr>
                  <w:tcW w:w="6477" w:type="dxa"/>
                  <w:noWrap w:val="0"/>
                  <w:vAlign w:val="center"/>
                </w:tcPr>
                <w:p w14:paraId="29C70F39">
                  <w:pPr>
                    <w:pStyle w:val="10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通常为无色或淡黄色易挥发液体，具有特殊臭味</w:t>
                  </w:r>
                  <w:r>
                    <w:rPr>
                      <w:rFonts w:hint="eastAsia" w:ascii="Times New Roman" w:hAnsi="Times New Roman" w:eastAsia="宋体" w:cs="Times New Roman"/>
                      <w:bCs/>
                      <w:color w:val="auto"/>
                      <w:sz w:val="21"/>
                      <w:szCs w:val="21"/>
                      <w:highlight w:val="none"/>
                      <w:lang w:val="en-US" w:eastAsia="zh-CN"/>
                    </w:rPr>
                    <w:t>，不溶于水、易溶于苯、二硫化碳、醇、易溶于脂肪，易燃，</w:t>
                  </w:r>
                  <w:r>
                    <w:rPr>
                      <w:rFonts w:hint="eastAsia" w:ascii="Times New Roman" w:hAnsi="Times New Roman" w:cs="Times New Roman"/>
                      <w:bCs/>
                      <w:color w:val="auto"/>
                      <w:sz w:val="21"/>
                      <w:szCs w:val="21"/>
                      <w:highlight w:val="none"/>
                      <w:lang w:val="en-US" w:eastAsia="zh-CN"/>
                    </w:rPr>
                    <w:t>具有</w:t>
                  </w:r>
                  <w:r>
                    <w:rPr>
                      <w:rFonts w:hint="eastAsia" w:ascii="Times New Roman" w:hAnsi="Times New Roman" w:eastAsia="宋体" w:cs="Times New Roman"/>
                      <w:bCs/>
                      <w:color w:val="auto"/>
                      <w:sz w:val="21"/>
                      <w:szCs w:val="21"/>
                      <w:highlight w:val="none"/>
                      <w:lang w:val="en-US" w:eastAsia="zh-CN"/>
                    </w:rPr>
                    <w:t>窒息性，其</w:t>
                  </w:r>
                  <w:r>
                    <w:rPr>
                      <w:rFonts w:hint="eastAsia" w:ascii="Times New Roman" w:hAnsi="Times New Roman" w:cs="Times New Roman"/>
                      <w:bCs/>
                      <w:color w:val="auto"/>
                      <w:sz w:val="21"/>
                      <w:szCs w:val="21"/>
                      <w:highlight w:val="none"/>
                      <w:lang w:val="en-US" w:eastAsia="zh-CN"/>
                    </w:rPr>
                    <w:t>蒸气</w:t>
                  </w:r>
                  <w:r>
                    <w:rPr>
                      <w:rFonts w:hint="eastAsia" w:ascii="Times New Roman" w:hAnsi="Times New Roman" w:eastAsia="宋体" w:cs="Times New Roman"/>
                      <w:bCs/>
                      <w:color w:val="auto"/>
                      <w:sz w:val="21"/>
                      <w:szCs w:val="21"/>
                      <w:highlight w:val="none"/>
                      <w:lang w:val="en-US" w:eastAsia="zh-CN"/>
                    </w:rPr>
                    <w:t>与空气可形成爆炸混合物，遇明火、高热能引起燃烧爆炸、与氧化剂可发生反应。流速过快，容易产生和积聚静电。</w:t>
                  </w:r>
                  <w:r>
                    <w:rPr>
                      <w:rFonts w:ascii="Times New Roman" w:hAnsi="Times New Roman" w:eastAsia="Helvetica" w:cs="Helvetica"/>
                      <w:i w:val="0"/>
                      <w:iCs w:val="0"/>
                      <w:caps w:val="0"/>
                      <w:color w:val="auto"/>
                      <w:spacing w:val="0"/>
                      <w:sz w:val="21"/>
                      <w:szCs w:val="21"/>
                      <w:highlight w:val="none"/>
                      <w:shd w:val="clear" w:color="auto" w:fill="FFFFFF"/>
                    </w:rPr>
                    <w:t>柴油最重要用途是用于车辆、船舶的柴油发动机。与汽油机相比，柴油机热效率高，燃油消耗率低。柴油具有低能耗，所以一些小型汽车甚至高性能汽车也改用柴油。</w:t>
                  </w:r>
                </w:p>
              </w:tc>
            </w:tr>
          </w:tbl>
          <w:p w14:paraId="6EA5A664">
            <w:pPr>
              <w:keepNext w:val="0"/>
              <w:keepLines w:val="0"/>
              <w:pageBreakBefore w:val="0"/>
              <w:widowControl w:val="0"/>
              <w:kinsoku/>
              <w:wordWrap/>
              <w:overflowPunct/>
              <w:topLinePunct w:val="0"/>
              <w:autoSpaceDE/>
              <w:autoSpaceDN/>
              <w:bidi w:val="0"/>
              <w:adjustRightInd w:val="0"/>
              <w:snapToGrid w:val="0"/>
              <w:spacing w:before="160" w:beforeLines="50" w:line="360" w:lineRule="auto"/>
              <w:textAlignment w:val="auto"/>
              <w:rPr>
                <w:rFonts w:hint="eastAsia" w:ascii="Times New Roman" w:hAnsi="Times New Roman" w:eastAsia="宋体" w:cs="Times New Roman"/>
                <w:b/>
                <w:bCs w:val="0"/>
                <w:color w:val="auto"/>
                <w:sz w:val="24"/>
                <w:szCs w:val="20"/>
                <w:highlight w:val="none"/>
                <w:lang w:eastAsia="zh-CN"/>
              </w:rPr>
            </w:pPr>
            <w:r>
              <w:rPr>
                <w:rFonts w:hint="eastAsia" w:ascii="Times New Roman" w:hAnsi="Times New Roman" w:cs="Times New Roman"/>
                <w:b/>
                <w:bCs w:val="0"/>
                <w:color w:val="auto"/>
                <w:sz w:val="24"/>
                <w:szCs w:val="20"/>
                <w:highlight w:val="none"/>
                <w:lang w:val="en-US" w:eastAsia="zh-CN"/>
              </w:rPr>
              <w:t>六、</w:t>
            </w:r>
            <w:r>
              <w:rPr>
                <w:rFonts w:hint="eastAsia" w:ascii="Times New Roman" w:hAnsi="Times New Roman" w:eastAsia="宋体" w:cs="Times New Roman"/>
                <w:b/>
                <w:bCs w:val="0"/>
                <w:color w:val="auto"/>
                <w:sz w:val="24"/>
                <w:szCs w:val="20"/>
                <w:highlight w:val="none"/>
                <w:lang w:eastAsia="zh-CN"/>
              </w:rPr>
              <w:t>物料平衡</w:t>
            </w:r>
          </w:p>
          <w:p w14:paraId="7C7EE0A4">
            <w:pPr>
              <w:adjustRightInd w:val="0"/>
              <w:snapToGrid w:val="0"/>
              <w:spacing w:line="360" w:lineRule="auto"/>
              <w:ind w:firstLine="480" w:firstLineChars="200"/>
              <w:rPr>
                <w:rFonts w:hint="eastAsia" w:ascii="Times New Roman" w:hAnsi="Times New Roman" w:eastAsia="宋体" w:cs="Times New Roman"/>
                <w:b w:val="0"/>
                <w:bCs/>
                <w:color w:val="auto"/>
                <w:sz w:val="24"/>
                <w:szCs w:val="20"/>
                <w:highlight w:val="none"/>
                <w:lang w:eastAsia="zh-CN"/>
              </w:rPr>
            </w:pPr>
            <w:r>
              <w:rPr>
                <w:rFonts w:hint="eastAsia" w:ascii="Times New Roman" w:hAnsi="Times New Roman" w:eastAsia="宋体" w:cs="Times New Roman"/>
                <w:b w:val="0"/>
                <w:bCs/>
                <w:color w:val="auto"/>
                <w:sz w:val="24"/>
                <w:szCs w:val="20"/>
                <w:highlight w:val="none"/>
                <w:lang w:eastAsia="zh-CN"/>
              </w:rPr>
              <w:t>项目生产物料平衡如下表所示：</w:t>
            </w:r>
          </w:p>
          <w:p w14:paraId="6A80DFA8">
            <w:pPr>
              <w:pStyle w:val="66"/>
              <w:rPr>
                <w:rFonts w:hint="default" w:ascii="Times New Roman" w:hAnsi="Times New Roman" w:eastAsia="宋体" w:cs="宋体"/>
                <w:color w:val="auto"/>
                <w:highlight w:val="none"/>
              </w:rPr>
            </w:pPr>
            <w:r>
              <w:rPr>
                <w:rFonts w:hint="default" w:ascii="Times New Roman" w:hAnsi="Times New Roman" w:eastAsia="宋体" w:cs="宋体"/>
                <w:color w:val="auto"/>
                <w:highlight w:val="none"/>
              </w:rPr>
              <w:t>表2.1.</w:t>
            </w:r>
            <w:r>
              <w:rPr>
                <w:rFonts w:hint="eastAsia" w:ascii="Times New Roman" w:hAnsi="Times New Roman" w:eastAsia="宋体" w:cs="宋体"/>
                <w:color w:val="auto"/>
                <w:highlight w:val="none"/>
                <w:lang w:val="en-US" w:eastAsia="zh-CN"/>
              </w:rPr>
              <w:t>6</w:t>
            </w:r>
            <w:r>
              <w:rPr>
                <w:rFonts w:hint="default"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1</w:t>
            </w:r>
            <w:r>
              <w:rPr>
                <w:rFonts w:hint="default" w:ascii="Times New Roman" w:hAnsi="Times New Roman" w:eastAsia="宋体" w:cs="宋体"/>
                <w:color w:val="auto"/>
                <w:highlight w:val="none"/>
              </w:rPr>
              <w:t xml:space="preserve"> 物料平衡表</w:t>
            </w:r>
          </w:p>
          <w:tbl>
            <w:tblPr>
              <w:tblStyle w:val="36"/>
              <w:tblW w:w="8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543"/>
              <w:gridCol w:w="882"/>
              <w:gridCol w:w="1525"/>
              <w:gridCol w:w="1620"/>
              <w:gridCol w:w="1274"/>
            </w:tblGrid>
            <w:tr w14:paraId="3629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pct"/>
                  <w:gridSpan w:val="3"/>
                  <w:shd w:val="clear" w:color="auto" w:fill="D7D7D7" w:themeFill="background1" w:themeFillShade="D8"/>
                  <w:vAlign w:val="center"/>
                </w:tcPr>
                <w:p w14:paraId="4C8FA3B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投入</w:t>
                  </w:r>
                </w:p>
              </w:tc>
              <w:tc>
                <w:tcPr>
                  <w:tcW w:w="2667" w:type="pct"/>
                  <w:gridSpan w:val="3"/>
                  <w:shd w:val="clear" w:color="auto" w:fill="D7D7D7" w:themeFill="background1" w:themeFillShade="D8"/>
                  <w:vAlign w:val="center"/>
                </w:tcPr>
                <w:p w14:paraId="3D15256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产出</w:t>
                  </w:r>
                </w:p>
              </w:tc>
            </w:tr>
            <w:tr w14:paraId="219E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pct"/>
                  <w:shd w:val="clear" w:color="auto" w:fill="D7D7D7" w:themeFill="background1" w:themeFillShade="D8"/>
                  <w:vAlign w:val="center"/>
                </w:tcPr>
                <w:p w14:paraId="1A3B67F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原料名称</w:t>
                  </w:r>
                </w:p>
              </w:tc>
              <w:tc>
                <w:tcPr>
                  <w:tcW w:w="931" w:type="pct"/>
                  <w:shd w:val="clear" w:color="auto" w:fill="D7D7D7" w:themeFill="background1" w:themeFillShade="D8"/>
                  <w:vAlign w:val="center"/>
                </w:tcPr>
                <w:p w14:paraId="0F1AA85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使用量（t/a）</w:t>
                  </w:r>
                </w:p>
              </w:tc>
              <w:tc>
                <w:tcPr>
                  <w:tcW w:w="532" w:type="pct"/>
                  <w:shd w:val="clear" w:color="auto" w:fill="D7D7D7" w:themeFill="background1" w:themeFillShade="D8"/>
                  <w:vAlign w:val="center"/>
                </w:tcPr>
                <w:p w14:paraId="553AAD1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占比</w:t>
                  </w:r>
                </w:p>
              </w:tc>
              <w:tc>
                <w:tcPr>
                  <w:tcW w:w="920" w:type="pct"/>
                  <w:shd w:val="clear" w:color="auto" w:fill="D7D7D7" w:themeFill="background1" w:themeFillShade="D8"/>
                  <w:vAlign w:val="center"/>
                </w:tcPr>
                <w:p w14:paraId="24DD1C1E">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名称</w:t>
                  </w:r>
                </w:p>
              </w:tc>
              <w:tc>
                <w:tcPr>
                  <w:tcW w:w="977" w:type="pct"/>
                  <w:shd w:val="clear" w:color="auto" w:fill="D7D7D7" w:themeFill="background1" w:themeFillShade="D8"/>
                  <w:vAlign w:val="center"/>
                </w:tcPr>
                <w:p w14:paraId="2FA675A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产出量（t/a）</w:t>
                  </w:r>
                </w:p>
              </w:tc>
              <w:tc>
                <w:tcPr>
                  <w:tcW w:w="769" w:type="pct"/>
                  <w:shd w:val="clear" w:color="auto" w:fill="D7D7D7" w:themeFill="background1" w:themeFillShade="D8"/>
                  <w:vAlign w:val="center"/>
                </w:tcPr>
                <w:p w14:paraId="6E81159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占比</w:t>
                  </w:r>
                </w:p>
              </w:tc>
            </w:tr>
            <w:tr w14:paraId="6B80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pct"/>
                  <w:vAlign w:val="center"/>
                </w:tcPr>
                <w:p w14:paraId="4096315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铁矿石</w:t>
                  </w:r>
                </w:p>
              </w:tc>
              <w:tc>
                <w:tcPr>
                  <w:tcW w:w="931" w:type="pct"/>
                  <w:vAlign w:val="center"/>
                </w:tcPr>
                <w:p w14:paraId="4EB97CD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12000</w:t>
                  </w:r>
                  <w:r>
                    <w:rPr>
                      <w:rFonts w:hint="eastAsia" w:cs="Times New Roman"/>
                      <w:color w:val="auto"/>
                      <w:highlight w:val="none"/>
                      <w:lang w:val="en-US" w:eastAsia="zh-CN"/>
                    </w:rPr>
                    <w:t>46.9821</w:t>
                  </w:r>
                </w:p>
              </w:tc>
              <w:tc>
                <w:tcPr>
                  <w:tcW w:w="532" w:type="pct"/>
                  <w:vAlign w:val="center"/>
                </w:tcPr>
                <w:p w14:paraId="4F0F8EA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100%</w:t>
                  </w:r>
                </w:p>
              </w:tc>
              <w:tc>
                <w:tcPr>
                  <w:tcW w:w="920" w:type="pct"/>
                  <w:vAlign w:val="center"/>
                </w:tcPr>
                <w:p w14:paraId="04D8C3F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铁矿石产品</w:t>
                  </w:r>
                </w:p>
              </w:tc>
              <w:tc>
                <w:tcPr>
                  <w:tcW w:w="977" w:type="pct"/>
                  <w:vAlign w:val="center"/>
                </w:tcPr>
                <w:p w14:paraId="30F7B99C">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120000</w:t>
                  </w:r>
                </w:p>
              </w:tc>
              <w:tc>
                <w:tcPr>
                  <w:tcW w:w="769" w:type="pct"/>
                  <w:vAlign w:val="center"/>
                </w:tcPr>
                <w:p w14:paraId="23E8718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99.9</w:t>
                  </w:r>
                  <w:r>
                    <w:rPr>
                      <w:rFonts w:hint="eastAsia" w:cs="Times New Roman"/>
                      <w:color w:val="auto"/>
                      <w:highlight w:val="none"/>
                      <w:lang w:val="en-US" w:eastAsia="zh-CN"/>
                    </w:rPr>
                    <w:t>6</w:t>
                  </w:r>
                  <w:r>
                    <w:rPr>
                      <w:rFonts w:hint="eastAsia" w:ascii="Times New Roman" w:hAnsi="Times New Roman" w:cs="Times New Roman"/>
                      <w:color w:val="auto"/>
                      <w:highlight w:val="none"/>
                      <w:lang w:val="en-US" w:eastAsia="zh-CN"/>
                    </w:rPr>
                    <w:t>%</w:t>
                  </w:r>
                </w:p>
              </w:tc>
            </w:tr>
            <w:tr w14:paraId="512E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pct"/>
                  <w:vAlign w:val="center"/>
                </w:tcPr>
                <w:p w14:paraId="5111B8A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p>
              </w:tc>
              <w:tc>
                <w:tcPr>
                  <w:tcW w:w="931" w:type="pct"/>
                  <w:vAlign w:val="center"/>
                </w:tcPr>
                <w:p w14:paraId="010BC6C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p>
              </w:tc>
              <w:tc>
                <w:tcPr>
                  <w:tcW w:w="532" w:type="pct"/>
                  <w:vAlign w:val="center"/>
                </w:tcPr>
                <w:p w14:paraId="7C8A049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p>
              </w:tc>
              <w:tc>
                <w:tcPr>
                  <w:tcW w:w="920" w:type="pct"/>
                  <w:vAlign w:val="center"/>
                </w:tcPr>
                <w:p w14:paraId="4710A26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排放粉尘</w:t>
                  </w:r>
                </w:p>
              </w:tc>
              <w:tc>
                <w:tcPr>
                  <w:tcW w:w="977" w:type="pct"/>
                  <w:vAlign w:val="center"/>
                </w:tcPr>
                <w:p w14:paraId="6E25758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46.9821</w:t>
                  </w:r>
                </w:p>
              </w:tc>
              <w:tc>
                <w:tcPr>
                  <w:tcW w:w="769" w:type="pct"/>
                  <w:vAlign w:val="center"/>
                </w:tcPr>
                <w:p w14:paraId="795741B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w:t>
                  </w:r>
                  <w:r>
                    <w:rPr>
                      <w:rFonts w:hint="eastAsia" w:cs="Times New Roman"/>
                      <w:color w:val="auto"/>
                      <w:highlight w:val="none"/>
                      <w:lang w:val="en-US" w:eastAsia="zh-CN"/>
                    </w:rPr>
                    <w:t>4</w:t>
                  </w:r>
                  <w:r>
                    <w:rPr>
                      <w:rFonts w:hint="eastAsia" w:ascii="Times New Roman" w:hAnsi="Times New Roman" w:cs="Times New Roman"/>
                      <w:color w:val="auto"/>
                      <w:highlight w:val="none"/>
                      <w:lang w:val="en-US" w:eastAsia="zh-CN"/>
                    </w:rPr>
                    <w:t>%</w:t>
                  </w:r>
                </w:p>
              </w:tc>
            </w:tr>
            <w:tr w14:paraId="1447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pct"/>
                  <w:vAlign w:val="center"/>
                </w:tcPr>
                <w:p w14:paraId="23B82A09">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合计</w:t>
                  </w:r>
                </w:p>
              </w:tc>
              <w:tc>
                <w:tcPr>
                  <w:tcW w:w="931" w:type="pct"/>
                  <w:vAlign w:val="center"/>
                </w:tcPr>
                <w:p w14:paraId="1CD276E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12000</w:t>
                  </w:r>
                  <w:r>
                    <w:rPr>
                      <w:rFonts w:hint="eastAsia" w:cs="Times New Roman"/>
                      <w:color w:val="auto"/>
                      <w:highlight w:val="none"/>
                      <w:lang w:val="en-US" w:eastAsia="zh-CN"/>
                    </w:rPr>
                    <w:t>46.9821</w:t>
                  </w:r>
                </w:p>
              </w:tc>
              <w:tc>
                <w:tcPr>
                  <w:tcW w:w="532" w:type="pct"/>
                  <w:vAlign w:val="center"/>
                </w:tcPr>
                <w:p w14:paraId="41B4FE03">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100%</w:t>
                  </w:r>
                </w:p>
              </w:tc>
              <w:tc>
                <w:tcPr>
                  <w:tcW w:w="920" w:type="pct"/>
                  <w:vAlign w:val="center"/>
                </w:tcPr>
                <w:p w14:paraId="7B86DCFC">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合计</w:t>
                  </w:r>
                </w:p>
              </w:tc>
              <w:tc>
                <w:tcPr>
                  <w:tcW w:w="977" w:type="pct"/>
                  <w:vAlign w:val="center"/>
                </w:tcPr>
                <w:p w14:paraId="694FEED5">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12000</w:t>
                  </w:r>
                  <w:r>
                    <w:rPr>
                      <w:rFonts w:hint="eastAsia" w:cs="Times New Roman"/>
                      <w:color w:val="auto"/>
                      <w:highlight w:val="none"/>
                      <w:lang w:val="en-US" w:eastAsia="zh-CN"/>
                    </w:rPr>
                    <w:t>46.9821</w:t>
                  </w:r>
                </w:p>
              </w:tc>
              <w:tc>
                <w:tcPr>
                  <w:tcW w:w="769" w:type="pct"/>
                  <w:vAlign w:val="center"/>
                </w:tcPr>
                <w:p w14:paraId="65EC1AB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100%</w:t>
                  </w:r>
                </w:p>
              </w:tc>
            </w:tr>
          </w:tbl>
          <w:p w14:paraId="76627296">
            <w:pPr>
              <w:keepNext w:val="0"/>
              <w:keepLines w:val="0"/>
              <w:pageBreakBefore w:val="0"/>
              <w:widowControl w:val="0"/>
              <w:kinsoku/>
              <w:wordWrap/>
              <w:overflowPunct/>
              <w:topLinePunct w:val="0"/>
              <w:autoSpaceDE/>
              <w:autoSpaceDN/>
              <w:bidi w:val="0"/>
              <w:adjustRightInd w:val="0"/>
              <w:snapToGrid w:val="0"/>
              <w:spacing w:before="160" w:beforeLines="50" w:line="360" w:lineRule="auto"/>
              <w:textAlignment w:val="auto"/>
              <w:outlineLvl w:val="1"/>
              <w:rPr>
                <w:rFonts w:ascii="Times New Roman" w:hAnsi="Times New Roman"/>
                <w:b/>
                <w:color w:val="auto"/>
                <w:sz w:val="24"/>
                <w:highlight w:val="none"/>
              </w:rPr>
            </w:pPr>
            <w:bookmarkStart w:id="10" w:name="_Toc137737897"/>
            <w:r>
              <w:rPr>
                <w:rFonts w:hint="eastAsia" w:ascii="Times New Roman" w:hAnsi="Times New Roman"/>
                <w:b/>
                <w:color w:val="auto"/>
                <w:sz w:val="24"/>
                <w:highlight w:val="none"/>
                <w:lang w:val="en-US" w:eastAsia="zh-CN"/>
              </w:rPr>
              <w:t>七</w:t>
            </w:r>
            <w:r>
              <w:rPr>
                <w:rFonts w:ascii="Times New Roman" w:hAnsi="Times New Roman"/>
                <w:b/>
                <w:color w:val="auto"/>
                <w:sz w:val="24"/>
                <w:highlight w:val="none"/>
              </w:rPr>
              <w:t>、主要生产设备</w:t>
            </w:r>
            <w:bookmarkEnd w:id="10"/>
          </w:p>
          <w:p w14:paraId="49C3B2AA">
            <w:pPr>
              <w:adjustRightInd w:val="0"/>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本项目的生产设备具体见下表所示。</w:t>
            </w:r>
          </w:p>
          <w:p w14:paraId="20B52A4F">
            <w:pPr>
              <w:pStyle w:val="66"/>
              <w:spacing w:line="240" w:lineRule="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表2.1.</w:t>
            </w:r>
            <w:r>
              <w:rPr>
                <w:rFonts w:hint="eastAsia" w:ascii="Times New Roman" w:hAnsi="Times New Roman" w:eastAsia="宋体" w:cs="宋体"/>
                <w:color w:val="auto"/>
                <w:highlight w:val="none"/>
                <w:lang w:val="en-US" w:eastAsia="zh-CN"/>
              </w:rPr>
              <w:t>7</w:t>
            </w:r>
            <w:r>
              <w:rPr>
                <w:rFonts w:hint="eastAsia" w:ascii="Times New Roman" w:hAnsi="Times New Roman" w:eastAsia="宋体" w:cs="宋体"/>
                <w:color w:val="auto"/>
                <w:highlight w:val="none"/>
              </w:rPr>
              <w:t>-1主要生产设备一览表</w:t>
            </w:r>
          </w:p>
          <w:tbl>
            <w:tblPr>
              <w:tblStyle w:val="35"/>
              <w:tblW w:w="46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2610"/>
              <w:gridCol w:w="2655"/>
              <w:gridCol w:w="1330"/>
            </w:tblGrid>
            <w:tr w14:paraId="3CC0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shd w:val="clear" w:color="auto" w:fill="D7D7D7" w:themeFill="background1" w:themeFillShade="D8"/>
                  <w:noWrap w:val="0"/>
                  <w:vAlign w:val="center"/>
                </w:tcPr>
                <w:p w14:paraId="2ED6D9B7">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工段</w:t>
                  </w:r>
                </w:p>
              </w:tc>
              <w:tc>
                <w:tcPr>
                  <w:tcW w:w="1685" w:type="pct"/>
                  <w:shd w:val="clear" w:color="auto" w:fill="D7D7D7" w:themeFill="background1" w:themeFillShade="D8"/>
                  <w:noWrap w:val="0"/>
                  <w:vAlign w:val="center"/>
                </w:tcPr>
                <w:p w14:paraId="5635D9F7">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rPr>
                  </w:pPr>
                  <w:r>
                    <w:rPr>
                      <w:rFonts w:hint="eastAsia" w:ascii="Times New Roman" w:hAnsi="Times New Roman" w:eastAsia="宋体" w:cs="Times New Roman"/>
                      <w:b w:val="0"/>
                      <w:bCs w:val="0"/>
                      <w:color w:val="auto"/>
                      <w:sz w:val="21"/>
                      <w:highlight w:val="none"/>
                      <w:lang w:val="en-US" w:eastAsia="zh-CN"/>
                    </w:rPr>
                    <w:t>设备</w:t>
                  </w:r>
                  <w:r>
                    <w:rPr>
                      <w:rFonts w:hint="default" w:ascii="Times New Roman" w:hAnsi="Times New Roman" w:eastAsia="宋体" w:cs="Times New Roman"/>
                      <w:b w:val="0"/>
                      <w:bCs w:val="0"/>
                      <w:color w:val="auto"/>
                      <w:sz w:val="21"/>
                      <w:highlight w:val="none"/>
                    </w:rPr>
                    <w:t>名称</w:t>
                  </w:r>
                </w:p>
              </w:tc>
              <w:tc>
                <w:tcPr>
                  <w:tcW w:w="1714" w:type="pct"/>
                  <w:shd w:val="clear" w:color="auto" w:fill="D7D7D7" w:themeFill="background1" w:themeFillShade="D8"/>
                  <w:noWrap w:val="0"/>
                  <w:vAlign w:val="center"/>
                </w:tcPr>
                <w:p w14:paraId="66F7E7E1">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eastAsia="宋体" w:cs="Times New Roman"/>
                      <w:b w:val="0"/>
                      <w:bCs w:val="0"/>
                      <w:color w:val="auto"/>
                      <w:sz w:val="21"/>
                      <w:highlight w:val="none"/>
                      <w:lang w:val="en-US" w:eastAsia="zh-CN"/>
                    </w:rPr>
                    <w:t>型号</w:t>
                  </w:r>
                </w:p>
              </w:tc>
              <w:tc>
                <w:tcPr>
                  <w:tcW w:w="858" w:type="pct"/>
                  <w:shd w:val="clear" w:color="auto" w:fill="D7D7D7" w:themeFill="background1" w:themeFillShade="D8"/>
                  <w:noWrap w:val="0"/>
                  <w:vAlign w:val="center"/>
                </w:tcPr>
                <w:p w14:paraId="0EF41B6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eastAsia="zh-CN"/>
                    </w:rPr>
                  </w:pPr>
                  <w:r>
                    <w:rPr>
                      <w:rFonts w:hint="default" w:ascii="Times New Roman" w:hAnsi="Times New Roman" w:eastAsia="宋体" w:cs="Times New Roman"/>
                      <w:b w:val="0"/>
                      <w:bCs w:val="0"/>
                      <w:color w:val="auto"/>
                      <w:sz w:val="21"/>
                      <w:highlight w:val="none"/>
                      <w:lang w:eastAsia="zh-CN"/>
                    </w:rPr>
                    <w:t>数量</w:t>
                  </w:r>
                </w:p>
              </w:tc>
            </w:tr>
            <w:tr w14:paraId="1895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restart"/>
                  <w:noWrap w:val="0"/>
                  <w:vAlign w:val="center"/>
                </w:tcPr>
                <w:p w14:paraId="54410FDF">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第一生产线</w:t>
                  </w:r>
                </w:p>
              </w:tc>
              <w:tc>
                <w:tcPr>
                  <w:tcW w:w="1685" w:type="pct"/>
                  <w:noWrap w:val="0"/>
                  <w:vAlign w:val="center"/>
                </w:tcPr>
                <w:p w14:paraId="43B5E1FA">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WL1060×4000给料机</w:t>
                  </w:r>
                </w:p>
              </w:tc>
              <w:tc>
                <w:tcPr>
                  <w:tcW w:w="1714" w:type="pct"/>
                  <w:noWrap w:val="0"/>
                  <w:vAlign w:val="center"/>
                </w:tcPr>
                <w:p w14:paraId="1E67268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1060×4000</w:t>
                  </w:r>
                </w:p>
              </w:tc>
              <w:tc>
                <w:tcPr>
                  <w:tcW w:w="858" w:type="pct"/>
                  <w:noWrap w:val="0"/>
                  <w:vAlign w:val="center"/>
                </w:tcPr>
                <w:p w14:paraId="0754547F">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43E5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5197AA35">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kern w:val="2"/>
                      <w:sz w:val="21"/>
                      <w:szCs w:val="24"/>
                      <w:highlight w:val="none"/>
                      <w:lang w:val="en-US" w:eastAsia="zh-CN" w:bidi="ar-SA"/>
                    </w:rPr>
                  </w:pPr>
                </w:p>
              </w:tc>
              <w:tc>
                <w:tcPr>
                  <w:tcW w:w="1685" w:type="pct"/>
                  <w:noWrap w:val="0"/>
                  <w:vAlign w:val="center"/>
                </w:tcPr>
                <w:p w14:paraId="533DE9C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cs="Times New Roman"/>
                      <w:b w:val="0"/>
                      <w:bCs w:val="0"/>
                      <w:color w:val="auto"/>
                      <w:sz w:val="21"/>
                      <w:highlight w:val="none"/>
                      <w:lang w:val="en-US" w:eastAsia="zh-CN"/>
                    </w:rPr>
                    <w:t>颚</w:t>
                  </w:r>
                  <w:r>
                    <w:rPr>
                      <w:rFonts w:hint="eastAsia" w:ascii="Times New Roman" w:hAnsi="Times New Roman" w:eastAsia="宋体" w:cs="Times New Roman"/>
                      <w:b w:val="0"/>
                      <w:bCs w:val="0"/>
                      <w:color w:val="auto"/>
                      <w:sz w:val="21"/>
                      <w:highlight w:val="none"/>
                      <w:lang w:val="en-US" w:eastAsia="zh-CN"/>
                    </w:rPr>
                    <w:t>式破碎机</w:t>
                  </w:r>
                </w:p>
              </w:tc>
              <w:tc>
                <w:tcPr>
                  <w:tcW w:w="1714" w:type="pct"/>
                  <w:noWrap w:val="0"/>
                  <w:vAlign w:val="center"/>
                </w:tcPr>
                <w:p w14:paraId="0404C21D">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500×750</w:t>
                  </w:r>
                </w:p>
              </w:tc>
              <w:tc>
                <w:tcPr>
                  <w:tcW w:w="858" w:type="pct"/>
                  <w:noWrap w:val="0"/>
                  <w:vAlign w:val="center"/>
                </w:tcPr>
                <w:p w14:paraId="5984CAEE">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0343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33B7D693">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eastAsia="zh-CN"/>
                    </w:rPr>
                  </w:pPr>
                </w:p>
              </w:tc>
              <w:tc>
                <w:tcPr>
                  <w:tcW w:w="1685" w:type="pct"/>
                  <w:noWrap w:val="0"/>
                  <w:vAlign w:val="center"/>
                </w:tcPr>
                <w:p w14:paraId="05314CF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cs="Times New Roman"/>
                      <w:b w:val="0"/>
                      <w:bCs w:val="0"/>
                      <w:color w:val="auto"/>
                      <w:sz w:val="21"/>
                      <w:highlight w:val="none"/>
                      <w:lang w:val="en-US" w:eastAsia="zh-CN"/>
                    </w:rPr>
                    <w:t>颚</w:t>
                  </w:r>
                  <w:r>
                    <w:rPr>
                      <w:rFonts w:hint="eastAsia" w:ascii="Times New Roman" w:hAnsi="Times New Roman" w:eastAsia="宋体" w:cs="Times New Roman"/>
                      <w:b w:val="0"/>
                      <w:bCs w:val="0"/>
                      <w:color w:val="auto"/>
                      <w:sz w:val="21"/>
                      <w:highlight w:val="none"/>
                      <w:lang w:val="en-US" w:eastAsia="zh-CN"/>
                    </w:rPr>
                    <w:t>式破碎机</w:t>
                  </w:r>
                </w:p>
              </w:tc>
              <w:tc>
                <w:tcPr>
                  <w:tcW w:w="1714" w:type="pct"/>
                  <w:noWrap w:val="0"/>
                  <w:vAlign w:val="center"/>
                </w:tcPr>
                <w:p w14:paraId="047BDC2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250×1000</w:t>
                  </w:r>
                </w:p>
              </w:tc>
              <w:tc>
                <w:tcPr>
                  <w:tcW w:w="858" w:type="pct"/>
                  <w:noWrap w:val="0"/>
                  <w:vAlign w:val="center"/>
                </w:tcPr>
                <w:p w14:paraId="63E4B64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2台</w:t>
                  </w:r>
                </w:p>
              </w:tc>
            </w:tr>
            <w:tr w14:paraId="4360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6A86E97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eastAsia="zh-CN"/>
                    </w:rPr>
                  </w:pPr>
                </w:p>
              </w:tc>
              <w:tc>
                <w:tcPr>
                  <w:tcW w:w="1685" w:type="pct"/>
                  <w:noWrap w:val="0"/>
                  <w:vAlign w:val="center"/>
                </w:tcPr>
                <w:p w14:paraId="5B459E1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PF1210反击破碎机</w:t>
                  </w:r>
                </w:p>
              </w:tc>
              <w:tc>
                <w:tcPr>
                  <w:tcW w:w="1714" w:type="pct"/>
                  <w:noWrap w:val="0"/>
                  <w:vAlign w:val="center"/>
                </w:tcPr>
                <w:p w14:paraId="1493057C">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1080×425</w:t>
                  </w:r>
                </w:p>
              </w:tc>
              <w:tc>
                <w:tcPr>
                  <w:tcW w:w="858" w:type="pct"/>
                  <w:noWrap w:val="0"/>
                  <w:vAlign w:val="center"/>
                </w:tcPr>
                <w:p w14:paraId="733B895A">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2</w:t>
                  </w:r>
                  <w:r>
                    <w:rPr>
                      <w:rFonts w:hint="eastAsia" w:ascii="Times New Roman" w:hAnsi="Times New Roman" w:eastAsia="宋体" w:cs="Times New Roman"/>
                      <w:b w:val="0"/>
                      <w:bCs w:val="0"/>
                      <w:color w:val="auto"/>
                      <w:sz w:val="21"/>
                      <w:highlight w:val="none"/>
                      <w:lang w:val="en-US" w:eastAsia="zh-CN"/>
                    </w:rPr>
                    <w:t>台</w:t>
                  </w:r>
                </w:p>
              </w:tc>
            </w:tr>
            <w:tr w14:paraId="42D3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19B6A92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eastAsia="zh-CN"/>
                    </w:rPr>
                  </w:pPr>
                </w:p>
              </w:tc>
              <w:tc>
                <w:tcPr>
                  <w:tcW w:w="1685" w:type="pct"/>
                  <w:noWrap w:val="0"/>
                  <w:vAlign w:val="center"/>
                </w:tcPr>
                <w:p w14:paraId="2D807E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宋体"/>
                      <w:i w:val="0"/>
                      <w:iCs w:val="0"/>
                      <w:color w:val="auto"/>
                      <w:kern w:val="0"/>
                      <w:sz w:val="21"/>
                      <w:szCs w:val="28"/>
                      <w:highlight w:val="none"/>
                      <w:u w:val="none"/>
                      <w:lang w:val="en-US" w:eastAsia="zh-CN" w:bidi="ar"/>
                    </w:rPr>
                    <w:t>分筛机</w:t>
                  </w:r>
                </w:p>
              </w:tc>
              <w:tc>
                <w:tcPr>
                  <w:tcW w:w="1714" w:type="pct"/>
                  <w:noWrap w:val="0"/>
                  <w:vAlign w:val="center"/>
                </w:tcPr>
                <w:p w14:paraId="034623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宋体"/>
                      <w:i w:val="0"/>
                      <w:iCs w:val="0"/>
                      <w:color w:val="auto"/>
                      <w:kern w:val="0"/>
                      <w:sz w:val="21"/>
                      <w:szCs w:val="32"/>
                      <w:highlight w:val="none"/>
                      <w:u w:val="none"/>
                      <w:lang w:val="en-US" w:eastAsia="zh-CN" w:bidi="ar"/>
                    </w:rPr>
                    <w:t>YK-2460</w:t>
                  </w:r>
                </w:p>
              </w:tc>
              <w:tc>
                <w:tcPr>
                  <w:tcW w:w="858" w:type="pct"/>
                  <w:noWrap w:val="0"/>
                  <w:vAlign w:val="center"/>
                </w:tcPr>
                <w:p w14:paraId="5128EC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s="Times New Roman"/>
                      <w:b w:val="0"/>
                      <w:bCs w:val="0"/>
                      <w:color w:val="auto"/>
                      <w:sz w:val="21"/>
                      <w:highlight w:val="none"/>
                      <w:lang w:val="en-US" w:eastAsia="zh-CN"/>
                    </w:rPr>
                  </w:pPr>
                  <w:r>
                    <w:rPr>
                      <w:rFonts w:hint="eastAsia" w:ascii="Times New Roman" w:hAnsi="Times New Roman" w:eastAsia="宋体" w:cs="宋体"/>
                      <w:i w:val="0"/>
                      <w:iCs w:val="0"/>
                      <w:color w:val="auto"/>
                      <w:kern w:val="0"/>
                      <w:sz w:val="21"/>
                      <w:szCs w:val="28"/>
                      <w:highlight w:val="none"/>
                      <w:u w:val="none"/>
                      <w:lang w:val="en-US" w:eastAsia="zh-CN" w:bidi="ar"/>
                    </w:rPr>
                    <w:t>1</w:t>
                  </w:r>
                  <w:r>
                    <w:rPr>
                      <w:rFonts w:hint="eastAsia" w:ascii="Times New Roman" w:hAnsi="Times New Roman" w:eastAsia="宋体" w:cs="Times New Roman"/>
                      <w:b w:val="0"/>
                      <w:bCs w:val="0"/>
                      <w:color w:val="auto"/>
                      <w:sz w:val="21"/>
                      <w:highlight w:val="none"/>
                      <w:lang w:val="en-US" w:eastAsia="zh-CN"/>
                    </w:rPr>
                    <w:t>台</w:t>
                  </w:r>
                </w:p>
              </w:tc>
            </w:tr>
            <w:tr w14:paraId="5F8E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36EAA477">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5EB27FD4">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圆筒筛</w:t>
                  </w:r>
                </w:p>
              </w:tc>
              <w:tc>
                <w:tcPr>
                  <w:tcW w:w="1714" w:type="pct"/>
                  <w:noWrap w:val="0"/>
                  <w:vAlign w:val="center"/>
                </w:tcPr>
                <w:p w14:paraId="0CFA3B54">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Ø1200</w:t>
                  </w:r>
                </w:p>
              </w:tc>
              <w:tc>
                <w:tcPr>
                  <w:tcW w:w="858" w:type="pct"/>
                  <w:noWrap w:val="0"/>
                  <w:vAlign w:val="center"/>
                </w:tcPr>
                <w:p w14:paraId="68546B84">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3763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27910FA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15E6DC7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槽式给料机</w:t>
                  </w:r>
                </w:p>
              </w:tc>
              <w:tc>
                <w:tcPr>
                  <w:tcW w:w="1714" w:type="pct"/>
                  <w:noWrap w:val="0"/>
                  <w:vAlign w:val="center"/>
                </w:tcPr>
                <w:p w14:paraId="6B5EE96F">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800×800</w:t>
                  </w:r>
                </w:p>
              </w:tc>
              <w:tc>
                <w:tcPr>
                  <w:tcW w:w="858" w:type="pct"/>
                  <w:noWrap w:val="0"/>
                  <w:vAlign w:val="center"/>
                </w:tcPr>
                <w:p w14:paraId="29F9B509">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5129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28791FB3">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595F77B2">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带式输送机</w:t>
                  </w:r>
                </w:p>
              </w:tc>
              <w:tc>
                <w:tcPr>
                  <w:tcW w:w="1714" w:type="pct"/>
                  <w:noWrap w:val="0"/>
                  <w:vAlign w:val="center"/>
                </w:tcPr>
                <w:p w14:paraId="13B778CA">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800×14500</w:t>
                  </w:r>
                </w:p>
              </w:tc>
              <w:tc>
                <w:tcPr>
                  <w:tcW w:w="858" w:type="pct"/>
                  <w:noWrap w:val="0"/>
                  <w:vAlign w:val="center"/>
                </w:tcPr>
                <w:p w14:paraId="4E094DE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2台</w:t>
                  </w:r>
                </w:p>
              </w:tc>
            </w:tr>
            <w:tr w14:paraId="4B99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2FB43D2B">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0FEC0CBB">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封闭式运输皮带</w:t>
                  </w:r>
                </w:p>
              </w:tc>
              <w:tc>
                <w:tcPr>
                  <w:tcW w:w="1714" w:type="pct"/>
                  <w:noWrap w:val="0"/>
                  <w:vAlign w:val="center"/>
                </w:tcPr>
                <w:p w14:paraId="5293257F">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w:t>
                  </w:r>
                </w:p>
              </w:tc>
              <w:tc>
                <w:tcPr>
                  <w:tcW w:w="858" w:type="pct"/>
                  <w:noWrap w:val="0"/>
                  <w:vAlign w:val="center"/>
                </w:tcPr>
                <w:p w14:paraId="6A6F19F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20m</w:t>
                  </w:r>
                </w:p>
              </w:tc>
            </w:tr>
            <w:tr w14:paraId="54FC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2F5AFD21">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2F5662F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给料机</w:t>
                  </w:r>
                </w:p>
              </w:tc>
              <w:tc>
                <w:tcPr>
                  <w:tcW w:w="1714" w:type="pct"/>
                  <w:noWrap w:val="0"/>
                  <w:vAlign w:val="center"/>
                </w:tcPr>
                <w:p w14:paraId="33293666">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ZWS-1149</w:t>
                  </w:r>
                </w:p>
              </w:tc>
              <w:tc>
                <w:tcPr>
                  <w:tcW w:w="858" w:type="pct"/>
                  <w:noWrap w:val="0"/>
                  <w:vAlign w:val="center"/>
                </w:tcPr>
                <w:p w14:paraId="62B6566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0E5D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restart"/>
                  <w:noWrap w:val="0"/>
                  <w:vAlign w:val="center"/>
                </w:tcPr>
                <w:p w14:paraId="42124AEF">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第二生产线</w:t>
                  </w:r>
                </w:p>
              </w:tc>
              <w:tc>
                <w:tcPr>
                  <w:tcW w:w="1685" w:type="pct"/>
                  <w:noWrap w:val="0"/>
                  <w:vAlign w:val="center"/>
                </w:tcPr>
                <w:p w14:paraId="48C87791">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WL1060×4000给料机</w:t>
                  </w:r>
                </w:p>
              </w:tc>
              <w:tc>
                <w:tcPr>
                  <w:tcW w:w="1714" w:type="pct"/>
                  <w:noWrap w:val="0"/>
                  <w:vAlign w:val="center"/>
                </w:tcPr>
                <w:p w14:paraId="1A5D065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1060×4000</w:t>
                  </w:r>
                </w:p>
              </w:tc>
              <w:tc>
                <w:tcPr>
                  <w:tcW w:w="858" w:type="pct"/>
                  <w:noWrap w:val="0"/>
                  <w:vAlign w:val="center"/>
                </w:tcPr>
                <w:p w14:paraId="60C27221">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0B5E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5EB37DAC">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31476554">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cs="Times New Roman"/>
                      <w:b w:val="0"/>
                      <w:bCs w:val="0"/>
                      <w:color w:val="auto"/>
                      <w:sz w:val="21"/>
                      <w:highlight w:val="none"/>
                      <w:lang w:val="en-US" w:eastAsia="zh-CN"/>
                    </w:rPr>
                    <w:t>颚</w:t>
                  </w:r>
                  <w:r>
                    <w:rPr>
                      <w:rFonts w:hint="eastAsia" w:ascii="Times New Roman" w:hAnsi="Times New Roman" w:eastAsia="宋体" w:cs="Times New Roman"/>
                      <w:b w:val="0"/>
                      <w:bCs w:val="0"/>
                      <w:color w:val="auto"/>
                      <w:sz w:val="21"/>
                      <w:highlight w:val="none"/>
                      <w:lang w:val="en-US" w:eastAsia="zh-CN"/>
                    </w:rPr>
                    <w:t>式破碎机</w:t>
                  </w:r>
                </w:p>
              </w:tc>
              <w:tc>
                <w:tcPr>
                  <w:tcW w:w="1714" w:type="pct"/>
                  <w:noWrap w:val="0"/>
                  <w:vAlign w:val="center"/>
                </w:tcPr>
                <w:p w14:paraId="3B212E1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500×750</w:t>
                  </w:r>
                </w:p>
              </w:tc>
              <w:tc>
                <w:tcPr>
                  <w:tcW w:w="858" w:type="pct"/>
                  <w:noWrap w:val="0"/>
                  <w:vAlign w:val="center"/>
                </w:tcPr>
                <w:p w14:paraId="13CC3171">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685C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6A7894D3">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68153A4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cs="Times New Roman"/>
                      <w:b w:val="0"/>
                      <w:bCs w:val="0"/>
                      <w:color w:val="auto"/>
                      <w:sz w:val="21"/>
                      <w:highlight w:val="none"/>
                      <w:lang w:val="en-US" w:eastAsia="zh-CN"/>
                    </w:rPr>
                    <w:t>颚</w:t>
                  </w:r>
                  <w:r>
                    <w:rPr>
                      <w:rFonts w:hint="eastAsia" w:ascii="Times New Roman" w:hAnsi="Times New Roman" w:eastAsia="宋体" w:cs="Times New Roman"/>
                      <w:b w:val="0"/>
                      <w:bCs w:val="0"/>
                      <w:color w:val="auto"/>
                      <w:sz w:val="21"/>
                      <w:highlight w:val="none"/>
                      <w:lang w:val="en-US" w:eastAsia="zh-CN"/>
                    </w:rPr>
                    <w:t>式破碎机</w:t>
                  </w:r>
                </w:p>
              </w:tc>
              <w:tc>
                <w:tcPr>
                  <w:tcW w:w="1714" w:type="pct"/>
                  <w:noWrap w:val="0"/>
                  <w:vAlign w:val="center"/>
                </w:tcPr>
                <w:p w14:paraId="3E0E23F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250×1000</w:t>
                  </w:r>
                </w:p>
              </w:tc>
              <w:tc>
                <w:tcPr>
                  <w:tcW w:w="858" w:type="pct"/>
                  <w:noWrap w:val="0"/>
                  <w:vAlign w:val="center"/>
                </w:tcPr>
                <w:p w14:paraId="75D92041">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2台</w:t>
                  </w:r>
                </w:p>
              </w:tc>
            </w:tr>
            <w:tr w14:paraId="2757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22ECAB56">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76B975B8">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PF1210反击破碎机</w:t>
                  </w:r>
                </w:p>
              </w:tc>
              <w:tc>
                <w:tcPr>
                  <w:tcW w:w="1714" w:type="pct"/>
                  <w:noWrap w:val="0"/>
                  <w:vAlign w:val="center"/>
                </w:tcPr>
                <w:p w14:paraId="3E98B0E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1080×425</w:t>
                  </w:r>
                </w:p>
              </w:tc>
              <w:tc>
                <w:tcPr>
                  <w:tcW w:w="858" w:type="pct"/>
                  <w:noWrap w:val="0"/>
                  <w:vAlign w:val="center"/>
                </w:tcPr>
                <w:p w14:paraId="7D8443AC">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2</w:t>
                  </w:r>
                  <w:r>
                    <w:rPr>
                      <w:rFonts w:hint="eastAsia" w:ascii="Times New Roman" w:hAnsi="Times New Roman" w:eastAsia="宋体" w:cs="Times New Roman"/>
                      <w:b w:val="0"/>
                      <w:bCs w:val="0"/>
                      <w:color w:val="auto"/>
                      <w:sz w:val="21"/>
                      <w:highlight w:val="none"/>
                      <w:lang w:val="en-US" w:eastAsia="zh-CN"/>
                    </w:rPr>
                    <w:t>台</w:t>
                  </w:r>
                </w:p>
              </w:tc>
            </w:tr>
            <w:tr w14:paraId="66E2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76EA5B21">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01084F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宋体"/>
                      <w:i w:val="0"/>
                      <w:iCs w:val="0"/>
                      <w:color w:val="auto"/>
                      <w:kern w:val="0"/>
                      <w:sz w:val="21"/>
                      <w:szCs w:val="28"/>
                      <w:highlight w:val="none"/>
                      <w:u w:val="none"/>
                      <w:lang w:val="en-US" w:eastAsia="zh-CN" w:bidi="ar"/>
                    </w:rPr>
                    <w:t>分筛机</w:t>
                  </w:r>
                </w:p>
              </w:tc>
              <w:tc>
                <w:tcPr>
                  <w:tcW w:w="1714" w:type="pct"/>
                  <w:noWrap w:val="0"/>
                  <w:vAlign w:val="center"/>
                </w:tcPr>
                <w:p w14:paraId="5F3304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宋体"/>
                      <w:i w:val="0"/>
                      <w:iCs w:val="0"/>
                      <w:color w:val="auto"/>
                      <w:kern w:val="0"/>
                      <w:sz w:val="21"/>
                      <w:szCs w:val="32"/>
                      <w:highlight w:val="none"/>
                      <w:u w:val="none"/>
                      <w:lang w:val="en-US" w:eastAsia="zh-CN" w:bidi="ar"/>
                    </w:rPr>
                    <w:t>YK-2460</w:t>
                  </w:r>
                </w:p>
              </w:tc>
              <w:tc>
                <w:tcPr>
                  <w:tcW w:w="858" w:type="pct"/>
                  <w:noWrap w:val="0"/>
                  <w:vAlign w:val="center"/>
                </w:tcPr>
                <w:p w14:paraId="71014F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宋体"/>
                      <w:i w:val="0"/>
                      <w:iCs w:val="0"/>
                      <w:color w:val="auto"/>
                      <w:kern w:val="0"/>
                      <w:sz w:val="21"/>
                      <w:szCs w:val="28"/>
                      <w:highlight w:val="none"/>
                      <w:u w:val="none"/>
                      <w:lang w:val="en-US" w:eastAsia="zh-CN" w:bidi="ar"/>
                    </w:rPr>
                    <w:t>1</w:t>
                  </w:r>
                  <w:r>
                    <w:rPr>
                      <w:rFonts w:hint="eastAsia" w:ascii="Times New Roman" w:hAnsi="Times New Roman" w:eastAsia="宋体" w:cs="Times New Roman"/>
                      <w:b w:val="0"/>
                      <w:bCs w:val="0"/>
                      <w:color w:val="auto"/>
                      <w:sz w:val="21"/>
                      <w:highlight w:val="none"/>
                      <w:lang w:val="en-US" w:eastAsia="zh-CN"/>
                    </w:rPr>
                    <w:t>台</w:t>
                  </w:r>
                </w:p>
              </w:tc>
            </w:tr>
            <w:tr w14:paraId="18E5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0D03BA1E">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7D21CE8A">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圆筒筛</w:t>
                  </w:r>
                </w:p>
              </w:tc>
              <w:tc>
                <w:tcPr>
                  <w:tcW w:w="1714" w:type="pct"/>
                  <w:noWrap w:val="0"/>
                  <w:vAlign w:val="center"/>
                </w:tcPr>
                <w:p w14:paraId="479D0EB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Ø1200</w:t>
                  </w:r>
                </w:p>
              </w:tc>
              <w:tc>
                <w:tcPr>
                  <w:tcW w:w="858" w:type="pct"/>
                  <w:noWrap w:val="0"/>
                  <w:vAlign w:val="center"/>
                </w:tcPr>
                <w:p w14:paraId="1C33E297">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2D3F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3A03B14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7797A503">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槽式给料机</w:t>
                  </w:r>
                </w:p>
              </w:tc>
              <w:tc>
                <w:tcPr>
                  <w:tcW w:w="1714" w:type="pct"/>
                  <w:noWrap w:val="0"/>
                  <w:vAlign w:val="center"/>
                </w:tcPr>
                <w:p w14:paraId="401BD9D1">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800×800</w:t>
                  </w:r>
                </w:p>
              </w:tc>
              <w:tc>
                <w:tcPr>
                  <w:tcW w:w="858" w:type="pct"/>
                  <w:noWrap w:val="0"/>
                  <w:vAlign w:val="center"/>
                </w:tcPr>
                <w:p w14:paraId="025E7E68">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0C71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2272B52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10238DDA">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带式输送机</w:t>
                  </w:r>
                </w:p>
              </w:tc>
              <w:tc>
                <w:tcPr>
                  <w:tcW w:w="1714" w:type="pct"/>
                  <w:noWrap w:val="0"/>
                  <w:vAlign w:val="center"/>
                </w:tcPr>
                <w:p w14:paraId="546BA16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800×14500</w:t>
                  </w:r>
                </w:p>
              </w:tc>
              <w:tc>
                <w:tcPr>
                  <w:tcW w:w="858" w:type="pct"/>
                  <w:noWrap w:val="0"/>
                  <w:vAlign w:val="center"/>
                </w:tcPr>
                <w:p w14:paraId="5D3CD31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2台</w:t>
                  </w:r>
                </w:p>
              </w:tc>
            </w:tr>
            <w:tr w14:paraId="715E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05D778D8">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512F6221">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封闭式运输皮带</w:t>
                  </w:r>
                </w:p>
              </w:tc>
              <w:tc>
                <w:tcPr>
                  <w:tcW w:w="1714" w:type="pct"/>
                  <w:noWrap w:val="0"/>
                  <w:vAlign w:val="center"/>
                </w:tcPr>
                <w:p w14:paraId="7762DF98">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w:t>
                  </w:r>
                </w:p>
              </w:tc>
              <w:tc>
                <w:tcPr>
                  <w:tcW w:w="858" w:type="pct"/>
                  <w:noWrap w:val="0"/>
                  <w:vAlign w:val="center"/>
                </w:tcPr>
                <w:p w14:paraId="4D49ECEC">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20m</w:t>
                  </w:r>
                </w:p>
              </w:tc>
            </w:tr>
            <w:tr w14:paraId="6119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042F9AFF">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0CE4D22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给料机</w:t>
                  </w:r>
                </w:p>
              </w:tc>
              <w:tc>
                <w:tcPr>
                  <w:tcW w:w="1714" w:type="pct"/>
                  <w:noWrap w:val="0"/>
                  <w:vAlign w:val="center"/>
                </w:tcPr>
                <w:p w14:paraId="362DE38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ZWS-1149</w:t>
                  </w:r>
                </w:p>
              </w:tc>
              <w:tc>
                <w:tcPr>
                  <w:tcW w:w="858" w:type="pct"/>
                  <w:noWrap w:val="0"/>
                  <w:vAlign w:val="center"/>
                </w:tcPr>
                <w:p w14:paraId="4231AE57">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099A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restart"/>
                  <w:noWrap w:val="0"/>
                  <w:vAlign w:val="center"/>
                </w:tcPr>
                <w:p w14:paraId="0E086AB5">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第三生产线</w:t>
                  </w:r>
                </w:p>
              </w:tc>
              <w:tc>
                <w:tcPr>
                  <w:tcW w:w="1685" w:type="pct"/>
                  <w:noWrap w:val="0"/>
                  <w:vAlign w:val="center"/>
                </w:tcPr>
                <w:p w14:paraId="5CBD4861">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WL1060×4000给料机</w:t>
                  </w:r>
                </w:p>
              </w:tc>
              <w:tc>
                <w:tcPr>
                  <w:tcW w:w="1714" w:type="pct"/>
                  <w:noWrap w:val="0"/>
                  <w:vAlign w:val="center"/>
                </w:tcPr>
                <w:p w14:paraId="7E2DBC7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1060×4000</w:t>
                  </w:r>
                </w:p>
              </w:tc>
              <w:tc>
                <w:tcPr>
                  <w:tcW w:w="858" w:type="pct"/>
                  <w:noWrap w:val="0"/>
                  <w:vAlign w:val="center"/>
                </w:tcPr>
                <w:p w14:paraId="350678FE">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2E57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18E6F153">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3865FC19">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cs="Times New Roman"/>
                      <w:b w:val="0"/>
                      <w:bCs w:val="0"/>
                      <w:color w:val="auto"/>
                      <w:sz w:val="21"/>
                      <w:highlight w:val="none"/>
                      <w:lang w:val="en-US" w:eastAsia="zh-CN"/>
                    </w:rPr>
                    <w:t>颚</w:t>
                  </w:r>
                  <w:r>
                    <w:rPr>
                      <w:rFonts w:hint="eastAsia" w:ascii="Times New Roman" w:hAnsi="Times New Roman" w:eastAsia="宋体" w:cs="Times New Roman"/>
                      <w:b w:val="0"/>
                      <w:bCs w:val="0"/>
                      <w:color w:val="auto"/>
                      <w:sz w:val="21"/>
                      <w:highlight w:val="none"/>
                      <w:lang w:val="en-US" w:eastAsia="zh-CN"/>
                    </w:rPr>
                    <w:t>式破碎机</w:t>
                  </w:r>
                </w:p>
              </w:tc>
              <w:tc>
                <w:tcPr>
                  <w:tcW w:w="1714" w:type="pct"/>
                  <w:noWrap w:val="0"/>
                  <w:vAlign w:val="center"/>
                </w:tcPr>
                <w:p w14:paraId="25F91322">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500×750</w:t>
                  </w:r>
                </w:p>
              </w:tc>
              <w:tc>
                <w:tcPr>
                  <w:tcW w:w="858" w:type="pct"/>
                  <w:noWrap w:val="0"/>
                  <w:vAlign w:val="center"/>
                </w:tcPr>
                <w:p w14:paraId="43C78516">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18C8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6076B6C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673D2ED4">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cs="Times New Roman"/>
                      <w:b w:val="0"/>
                      <w:bCs w:val="0"/>
                      <w:color w:val="auto"/>
                      <w:sz w:val="21"/>
                      <w:highlight w:val="none"/>
                      <w:lang w:val="en-US" w:eastAsia="zh-CN"/>
                    </w:rPr>
                    <w:t>颚</w:t>
                  </w:r>
                  <w:r>
                    <w:rPr>
                      <w:rFonts w:hint="eastAsia" w:ascii="Times New Roman" w:hAnsi="Times New Roman" w:eastAsia="宋体" w:cs="Times New Roman"/>
                      <w:b w:val="0"/>
                      <w:bCs w:val="0"/>
                      <w:color w:val="auto"/>
                      <w:sz w:val="21"/>
                      <w:highlight w:val="none"/>
                      <w:lang w:val="en-US" w:eastAsia="zh-CN"/>
                    </w:rPr>
                    <w:t>式破碎机</w:t>
                  </w:r>
                </w:p>
              </w:tc>
              <w:tc>
                <w:tcPr>
                  <w:tcW w:w="1714" w:type="pct"/>
                  <w:noWrap w:val="0"/>
                  <w:vAlign w:val="center"/>
                </w:tcPr>
                <w:p w14:paraId="5FAFC768">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250×1000</w:t>
                  </w:r>
                </w:p>
              </w:tc>
              <w:tc>
                <w:tcPr>
                  <w:tcW w:w="858" w:type="pct"/>
                  <w:noWrap w:val="0"/>
                  <w:vAlign w:val="center"/>
                </w:tcPr>
                <w:p w14:paraId="2D5FC736">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2台</w:t>
                  </w:r>
                </w:p>
              </w:tc>
            </w:tr>
            <w:tr w14:paraId="13F8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38F40F2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2BF7A52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PF1210反击破碎机</w:t>
                  </w:r>
                </w:p>
              </w:tc>
              <w:tc>
                <w:tcPr>
                  <w:tcW w:w="1714" w:type="pct"/>
                  <w:noWrap w:val="0"/>
                  <w:vAlign w:val="center"/>
                </w:tcPr>
                <w:p w14:paraId="66DFAF8F">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1080×425</w:t>
                  </w:r>
                </w:p>
              </w:tc>
              <w:tc>
                <w:tcPr>
                  <w:tcW w:w="858" w:type="pct"/>
                  <w:noWrap w:val="0"/>
                  <w:vAlign w:val="center"/>
                </w:tcPr>
                <w:p w14:paraId="444E00DA">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2</w:t>
                  </w:r>
                  <w:r>
                    <w:rPr>
                      <w:rFonts w:hint="eastAsia" w:ascii="Times New Roman" w:hAnsi="Times New Roman" w:eastAsia="宋体" w:cs="Times New Roman"/>
                      <w:b w:val="0"/>
                      <w:bCs w:val="0"/>
                      <w:color w:val="auto"/>
                      <w:sz w:val="21"/>
                      <w:highlight w:val="none"/>
                      <w:lang w:val="en-US" w:eastAsia="zh-CN"/>
                    </w:rPr>
                    <w:t>台</w:t>
                  </w:r>
                </w:p>
              </w:tc>
            </w:tr>
            <w:tr w14:paraId="1E50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636EADF9">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6CC82A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宋体"/>
                      <w:i w:val="0"/>
                      <w:iCs w:val="0"/>
                      <w:color w:val="auto"/>
                      <w:kern w:val="0"/>
                      <w:sz w:val="21"/>
                      <w:szCs w:val="28"/>
                      <w:highlight w:val="none"/>
                      <w:u w:val="none"/>
                      <w:lang w:val="en-US" w:eastAsia="zh-CN" w:bidi="ar"/>
                    </w:rPr>
                    <w:t>分筛机</w:t>
                  </w:r>
                </w:p>
              </w:tc>
              <w:tc>
                <w:tcPr>
                  <w:tcW w:w="1714" w:type="pct"/>
                  <w:noWrap w:val="0"/>
                  <w:vAlign w:val="center"/>
                </w:tcPr>
                <w:p w14:paraId="60ADEF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宋体"/>
                      <w:i w:val="0"/>
                      <w:iCs w:val="0"/>
                      <w:color w:val="auto"/>
                      <w:kern w:val="0"/>
                      <w:sz w:val="21"/>
                      <w:szCs w:val="32"/>
                      <w:highlight w:val="none"/>
                      <w:u w:val="none"/>
                      <w:lang w:val="en-US" w:eastAsia="zh-CN" w:bidi="ar"/>
                    </w:rPr>
                    <w:t>YK-2460</w:t>
                  </w:r>
                </w:p>
              </w:tc>
              <w:tc>
                <w:tcPr>
                  <w:tcW w:w="858" w:type="pct"/>
                  <w:noWrap w:val="0"/>
                  <w:vAlign w:val="center"/>
                </w:tcPr>
                <w:p w14:paraId="1B1800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宋体"/>
                      <w:i w:val="0"/>
                      <w:iCs w:val="0"/>
                      <w:color w:val="auto"/>
                      <w:kern w:val="0"/>
                      <w:sz w:val="21"/>
                      <w:szCs w:val="28"/>
                      <w:highlight w:val="none"/>
                      <w:u w:val="none"/>
                      <w:lang w:val="en-US" w:eastAsia="zh-CN" w:bidi="ar"/>
                    </w:rPr>
                    <w:t>1</w:t>
                  </w:r>
                  <w:r>
                    <w:rPr>
                      <w:rFonts w:hint="eastAsia" w:ascii="Times New Roman" w:hAnsi="Times New Roman" w:eastAsia="宋体" w:cs="Times New Roman"/>
                      <w:b w:val="0"/>
                      <w:bCs w:val="0"/>
                      <w:color w:val="auto"/>
                      <w:sz w:val="21"/>
                      <w:highlight w:val="none"/>
                      <w:lang w:val="en-US" w:eastAsia="zh-CN"/>
                    </w:rPr>
                    <w:t>台</w:t>
                  </w:r>
                </w:p>
              </w:tc>
            </w:tr>
            <w:tr w14:paraId="5459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51712EA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1EEC326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圆筒筛</w:t>
                  </w:r>
                </w:p>
              </w:tc>
              <w:tc>
                <w:tcPr>
                  <w:tcW w:w="1714" w:type="pct"/>
                  <w:noWrap w:val="0"/>
                  <w:vAlign w:val="center"/>
                </w:tcPr>
                <w:p w14:paraId="3C554A8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Ø1200</w:t>
                  </w:r>
                </w:p>
              </w:tc>
              <w:tc>
                <w:tcPr>
                  <w:tcW w:w="858" w:type="pct"/>
                  <w:noWrap w:val="0"/>
                  <w:vAlign w:val="center"/>
                </w:tcPr>
                <w:p w14:paraId="6A02417A">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7595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6AF4EBD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01023522">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槽式给料机</w:t>
                  </w:r>
                </w:p>
              </w:tc>
              <w:tc>
                <w:tcPr>
                  <w:tcW w:w="1714" w:type="pct"/>
                  <w:noWrap w:val="0"/>
                  <w:vAlign w:val="center"/>
                </w:tcPr>
                <w:p w14:paraId="04BDCC1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800×800</w:t>
                  </w:r>
                </w:p>
              </w:tc>
              <w:tc>
                <w:tcPr>
                  <w:tcW w:w="858" w:type="pct"/>
                  <w:noWrap w:val="0"/>
                  <w:vAlign w:val="center"/>
                </w:tcPr>
                <w:p w14:paraId="61B31F39">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4FA2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20E65316">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42400C2A">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带式输送机</w:t>
                  </w:r>
                </w:p>
              </w:tc>
              <w:tc>
                <w:tcPr>
                  <w:tcW w:w="1714" w:type="pct"/>
                  <w:noWrap w:val="0"/>
                  <w:vAlign w:val="center"/>
                </w:tcPr>
                <w:p w14:paraId="6D30D1DA">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800×14500</w:t>
                  </w:r>
                </w:p>
              </w:tc>
              <w:tc>
                <w:tcPr>
                  <w:tcW w:w="858" w:type="pct"/>
                  <w:noWrap w:val="0"/>
                  <w:vAlign w:val="center"/>
                </w:tcPr>
                <w:p w14:paraId="3BD3BA3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2台</w:t>
                  </w:r>
                </w:p>
              </w:tc>
            </w:tr>
            <w:tr w14:paraId="21D4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5BACACE7">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577B345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封闭式运输皮带</w:t>
                  </w:r>
                </w:p>
              </w:tc>
              <w:tc>
                <w:tcPr>
                  <w:tcW w:w="1714" w:type="pct"/>
                  <w:noWrap w:val="0"/>
                  <w:vAlign w:val="center"/>
                </w:tcPr>
                <w:p w14:paraId="52A1F7F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w:t>
                  </w:r>
                </w:p>
              </w:tc>
              <w:tc>
                <w:tcPr>
                  <w:tcW w:w="858" w:type="pct"/>
                  <w:noWrap w:val="0"/>
                  <w:vAlign w:val="center"/>
                </w:tcPr>
                <w:p w14:paraId="01C78CD2">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20m</w:t>
                  </w:r>
                </w:p>
              </w:tc>
            </w:tr>
            <w:tr w14:paraId="0ABC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1542584B">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729835D8">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给料机</w:t>
                  </w:r>
                </w:p>
              </w:tc>
              <w:tc>
                <w:tcPr>
                  <w:tcW w:w="1714" w:type="pct"/>
                  <w:noWrap w:val="0"/>
                  <w:vAlign w:val="center"/>
                </w:tcPr>
                <w:p w14:paraId="78A51AC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ZWS-1149</w:t>
                  </w:r>
                </w:p>
              </w:tc>
              <w:tc>
                <w:tcPr>
                  <w:tcW w:w="858" w:type="pct"/>
                  <w:noWrap w:val="0"/>
                  <w:vAlign w:val="center"/>
                </w:tcPr>
                <w:p w14:paraId="631D209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365C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1" w:type="pct"/>
                  <w:vMerge w:val="continue"/>
                  <w:noWrap w:val="0"/>
                  <w:vAlign w:val="center"/>
                </w:tcPr>
                <w:p w14:paraId="285D6392">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61DFEA94">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节能球磨机</w:t>
                  </w:r>
                </w:p>
              </w:tc>
              <w:tc>
                <w:tcPr>
                  <w:tcW w:w="1714" w:type="pct"/>
                  <w:noWrap w:val="0"/>
                  <w:vAlign w:val="center"/>
                </w:tcPr>
                <w:p w14:paraId="1216EA6E">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2100×4200</w:t>
                  </w:r>
                </w:p>
              </w:tc>
              <w:tc>
                <w:tcPr>
                  <w:tcW w:w="858" w:type="pct"/>
                  <w:noWrap w:val="0"/>
                  <w:vAlign w:val="center"/>
                </w:tcPr>
                <w:p w14:paraId="57CF6B0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1台</w:t>
                  </w:r>
                </w:p>
              </w:tc>
            </w:tr>
            <w:tr w14:paraId="389B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0515EA67">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1A46D8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28"/>
                      <w:highlight w:val="none"/>
                      <w:u w:val="none"/>
                      <w:lang w:val="en-US" w:eastAsia="zh-CN" w:bidi="ar"/>
                    </w:rPr>
                  </w:pPr>
                  <w:r>
                    <w:rPr>
                      <w:rFonts w:hint="eastAsia" w:ascii="Times New Roman" w:hAnsi="Times New Roman" w:eastAsia="宋体" w:cs="宋体"/>
                      <w:i w:val="0"/>
                      <w:iCs w:val="0"/>
                      <w:color w:val="auto"/>
                      <w:kern w:val="0"/>
                      <w:sz w:val="21"/>
                      <w:szCs w:val="28"/>
                      <w:highlight w:val="none"/>
                      <w:u w:val="none"/>
                      <w:lang w:val="en-US" w:eastAsia="zh-CN" w:bidi="ar"/>
                    </w:rPr>
                    <w:t>装载机</w:t>
                  </w:r>
                </w:p>
              </w:tc>
              <w:tc>
                <w:tcPr>
                  <w:tcW w:w="1714" w:type="pct"/>
                  <w:noWrap w:val="0"/>
                  <w:vAlign w:val="center"/>
                </w:tcPr>
                <w:p w14:paraId="1B5C3A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32"/>
                      <w:highlight w:val="none"/>
                      <w:u w:val="none"/>
                      <w:lang w:val="en-US" w:eastAsia="zh-CN" w:bidi="ar"/>
                    </w:rPr>
                  </w:pPr>
                  <w:r>
                    <w:rPr>
                      <w:rFonts w:hint="eastAsia" w:ascii="Times New Roman" w:hAnsi="Times New Roman" w:eastAsia="宋体" w:cs="宋体"/>
                      <w:i w:val="0"/>
                      <w:iCs w:val="0"/>
                      <w:color w:val="auto"/>
                      <w:kern w:val="0"/>
                      <w:sz w:val="21"/>
                      <w:szCs w:val="32"/>
                      <w:highlight w:val="none"/>
                      <w:u w:val="none"/>
                      <w:lang w:val="en-US" w:eastAsia="zh-CN" w:bidi="ar"/>
                    </w:rPr>
                    <w:t>LG956G</w:t>
                  </w:r>
                </w:p>
              </w:tc>
              <w:tc>
                <w:tcPr>
                  <w:tcW w:w="858" w:type="pct"/>
                  <w:noWrap w:val="0"/>
                  <w:vAlign w:val="center"/>
                </w:tcPr>
                <w:p w14:paraId="3502EC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28"/>
                      <w:highlight w:val="none"/>
                      <w:u w:val="none"/>
                      <w:lang w:val="en-US" w:eastAsia="zh-CN" w:bidi="ar"/>
                    </w:rPr>
                  </w:pPr>
                  <w:r>
                    <w:rPr>
                      <w:rFonts w:hint="eastAsia" w:ascii="Times New Roman" w:hAnsi="Times New Roman" w:eastAsia="宋体" w:cs="宋体"/>
                      <w:i w:val="0"/>
                      <w:iCs w:val="0"/>
                      <w:color w:val="auto"/>
                      <w:kern w:val="0"/>
                      <w:sz w:val="21"/>
                      <w:szCs w:val="28"/>
                      <w:highlight w:val="none"/>
                      <w:u w:val="none"/>
                      <w:lang w:val="en-US" w:eastAsia="zh-CN" w:bidi="ar"/>
                    </w:rPr>
                    <w:t>1</w:t>
                  </w:r>
                  <w:r>
                    <w:rPr>
                      <w:rFonts w:hint="eastAsia" w:ascii="Times New Roman" w:hAnsi="Times New Roman" w:eastAsia="宋体" w:cs="Times New Roman"/>
                      <w:b w:val="0"/>
                      <w:bCs w:val="0"/>
                      <w:color w:val="auto"/>
                      <w:sz w:val="21"/>
                      <w:highlight w:val="none"/>
                      <w:lang w:val="en-US" w:eastAsia="zh-CN"/>
                    </w:rPr>
                    <w:t>台</w:t>
                  </w:r>
                </w:p>
              </w:tc>
            </w:tr>
            <w:tr w14:paraId="0825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574AB69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2E3AA6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28"/>
                      <w:highlight w:val="none"/>
                      <w:u w:val="none"/>
                      <w:lang w:val="en-US" w:eastAsia="zh-CN" w:bidi="ar"/>
                    </w:rPr>
                  </w:pPr>
                  <w:r>
                    <w:rPr>
                      <w:rFonts w:hint="eastAsia" w:ascii="Times New Roman" w:hAnsi="Times New Roman" w:eastAsia="宋体" w:cs="宋体"/>
                      <w:i w:val="0"/>
                      <w:iCs w:val="0"/>
                      <w:color w:val="auto"/>
                      <w:kern w:val="0"/>
                      <w:sz w:val="21"/>
                      <w:szCs w:val="28"/>
                      <w:highlight w:val="none"/>
                      <w:u w:val="none"/>
                      <w:lang w:val="en-US" w:eastAsia="zh-CN" w:bidi="ar"/>
                    </w:rPr>
                    <w:t>装载机</w:t>
                  </w:r>
                </w:p>
              </w:tc>
              <w:tc>
                <w:tcPr>
                  <w:tcW w:w="1714" w:type="pct"/>
                  <w:noWrap w:val="0"/>
                  <w:vAlign w:val="center"/>
                </w:tcPr>
                <w:p w14:paraId="159823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32"/>
                      <w:highlight w:val="none"/>
                      <w:u w:val="none"/>
                      <w:lang w:val="en-US" w:eastAsia="zh-CN" w:bidi="ar"/>
                    </w:rPr>
                  </w:pPr>
                  <w:r>
                    <w:rPr>
                      <w:rFonts w:hint="eastAsia" w:ascii="Times New Roman" w:hAnsi="Times New Roman" w:eastAsia="宋体" w:cs="宋体"/>
                      <w:i w:val="0"/>
                      <w:iCs w:val="0"/>
                      <w:color w:val="auto"/>
                      <w:kern w:val="0"/>
                      <w:sz w:val="21"/>
                      <w:szCs w:val="32"/>
                      <w:highlight w:val="none"/>
                      <w:u w:val="none"/>
                      <w:lang w:val="en-US" w:eastAsia="zh-CN" w:bidi="ar"/>
                    </w:rPr>
                    <w:t>LG855N</w:t>
                  </w:r>
                </w:p>
              </w:tc>
              <w:tc>
                <w:tcPr>
                  <w:tcW w:w="858" w:type="pct"/>
                  <w:noWrap w:val="0"/>
                  <w:vAlign w:val="center"/>
                </w:tcPr>
                <w:p w14:paraId="5453FF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28"/>
                      <w:highlight w:val="none"/>
                      <w:u w:val="none"/>
                      <w:lang w:val="en-US" w:eastAsia="zh-CN" w:bidi="ar"/>
                    </w:rPr>
                  </w:pPr>
                  <w:r>
                    <w:rPr>
                      <w:rFonts w:hint="eastAsia" w:ascii="Times New Roman" w:hAnsi="Times New Roman" w:eastAsia="宋体" w:cs="宋体"/>
                      <w:i w:val="0"/>
                      <w:iCs w:val="0"/>
                      <w:color w:val="auto"/>
                      <w:kern w:val="0"/>
                      <w:sz w:val="21"/>
                      <w:szCs w:val="28"/>
                      <w:highlight w:val="none"/>
                      <w:u w:val="none"/>
                      <w:lang w:val="en-US" w:eastAsia="zh-CN" w:bidi="ar"/>
                    </w:rPr>
                    <w:t>2</w:t>
                  </w:r>
                  <w:r>
                    <w:rPr>
                      <w:rFonts w:hint="eastAsia" w:ascii="Times New Roman" w:hAnsi="Times New Roman" w:eastAsia="宋体" w:cs="Times New Roman"/>
                      <w:b w:val="0"/>
                      <w:bCs w:val="0"/>
                      <w:color w:val="auto"/>
                      <w:sz w:val="21"/>
                      <w:highlight w:val="none"/>
                      <w:lang w:val="en-US" w:eastAsia="zh-CN"/>
                    </w:rPr>
                    <w:t>台</w:t>
                  </w:r>
                </w:p>
              </w:tc>
            </w:tr>
            <w:tr w14:paraId="1C9E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7DB9382A">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0C6A8C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28"/>
                      <w:highlight w:val="none"/>
                      <w:u w:val="none"/>
                      <w:lang w:val="en-US" w:eastAsia="zh-CN" w:bidi="ar"/>
                    </w:rPr>
                  </w:pPr>
                  <w:r>
                    <w:rPr>
                      <w:rFonts w:hint="eastAsia" w:ascii="Times New Roman" w:hAnsi="Times New Roman" w:eastAsia="宋体" w:cs="宋体"/>
                      <w:i w:val="0"/>
                      <w:iCs w:val="0"/>
                      <w:color w:val="auto"/>
                      <w:kern w:val="0"/>
                      <w:sz w:val="21"/>
                      <w:szCs w:val="28"/>
                      <w:highlight w:val="none"/>
                      <w:u w:val="none"/>
                      <w:lang w:val="en-US" w:eastAsia="zh-CN" w:bidi="ar"/>
                    </w:rPr>
                    <w:t>装载机</w:t>
                  </w:r>
                </w:p>
              </w:tc>
              <w:tc>
                <w:tcPr>
                  <w:tcW w:w="1714" w:type="pct"/>
                  <w:noWrap w:val="0"/>
                  <w:vAlign w:val="center"/>
                </w:tcPr>
                <w:p w14:paraId="311770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32"/>
                      <w:highlight w:val="none"/>
                      <w:u w:val="none"/>
                      <w:lang w:val="en-US" w:eastAsia="zh-CN" w:bidi="ar"/>
                    </w:rPr>
                  </w:pPr>
                  <w:r>
                    <w:rPr>
                      <w:rFonts w:hint="eastAsia" w:ascii="Times New Roman" w:hAnsi="Times New Roman" w:eastAsia="宋体" w:cs="宋体"/>
                      <w:i w:val="0"/>
                      <w:iCs w:val="0"/>
                      <w:color w:val="auto"/>
                      <w:kern w:val="0"/>
                      <w:sz w:val="21"/>
                      <w:szCs w:val="32"/>
                      <w:highlight w:val="none"/>
                      <w:u w:val="none"/>
                      <w:lang w:val="en-US" w:eastAsia="zh-CN" w:bidi="ar"/>
                    </w:rPr>
                    <w:t>LG866N</w:t>
                  </w:r>
                </w:p>
              </w:tc>
              <w:tc>
                <w:tcPr>
                  <w:tcW w:w="858" w:type="pct"/>
                  <w:noWrap w:val="0"/>
                  <w:vAlign w:val="center"/>
                </w:tcPr>
                <w:p w14:paraId="3A9688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28"/>
                      <w:highlight w:val="none"/>
                      <w:u w:val="none"/>
                      <w:lang w:val="en-US" w:eastAsia="zh-CN" w:bidi="ar"/>
                    </w:rPr>
                  </w:pPr>
                  <w:r>
                    <w:rPr>
                      <w:rFonts w:hint="eastAsia" w:ascii="Times New Roman" w:hAnsi="Times New Roman" w:eastAsia="宋体" w:cs="宋体"/>
                      <w:i w:val="0"/>
                      <w:iCs w:val="0"/>
                      <w:color w:val="auto"/>
                      <w:kern w:val="0"/>
                      <w:sz w:val="21"/>
                      <w:szCs w:val="28"/>
                      <w:highlight w:val="none"/>
                      <w:u w:val="none"/>
                      <w:lang w:val="en-US" w:eastAsia="zh-CN" w:bidi="ar"/>
                    </w:rPr>
                    <w:t>1</w:t>
                  </w:r>
                  <w:r>
                    <w:rPr>
                      <w:rFonts w:hint="eastAsia" w:ascii="Times New Roman" w:hAnsi="Times New Roman" w:eastAsia="宋体" w:cs="Times New Roman"/>
                      <w:b w:val="0"/>
                      <w:bCs w:val="0"/>
                      <w:color w:val="auto"/>
                      <w:sz w:val="21"/>
                      <w:highlight w:val="none"/>
                      <w:lang w:val="en-US" w:eastAsia="zh-CN"/>
                    </w:rPr>
                    <w:t>台</w:t>
                  </w:r>
                </w:p>
              </w:tc>
            </w:tr>
            <w:tr w14:paraId="4344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66A2C02F">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407918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28"/>
                      <w:highlight w:val="none"/>
                      <w:u w:val="none"/>
                      <w:lang w:val="en-US" w:eastAsia="zh-CN" w:bidi="ar"/>
                    </w:rPr>
                  </w:pPr>
                  <w:r>
                    <w:rPr>
                      <w:rFonts w:hint="eastAsia" w:ascii="Times New Roman" w:hAnsi="Times New Roman" w:eastAsia="宋体" w:cs="宋体"/>
                      <w:i w:val="0"/>
                      <w:iCs w:val="0"/>
                      <w:color w:val="auto"/>
                      <w:kern w:val="0"/>
                      <w:sz w:val="21"/>
                      <w:szCs w:val="28"/>
                      <w:highlight w:val="none"/>
                      <w:u w:val="none"/>
                      <w:lang w:val="en-US" w:eastAsia="zh-CN" w:bidi="ar"/>
                    </w:rPr>
                    <w:t>装载机</w:t>
                  </w:r>
                </w:p>
              </w:tc>
              <w:tc>
                <w:tcPr>
                  <w:tcW w:w="1714" w:type="pct"/>
                  <w:noWrap w:val="0"/>
                  <w:vAlign w:val="center"/>
                </w:tcPr>
                <w:p w14:paraId="5F3920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32"/>
                      <w:highlight w:val="none"/>
                      <w:u w:val="none"/>
                      <w:lang w:val="en-US" w:eastAsia="zh-CN" w:bidi="ar"/>
                    </w:rPr>
                  </w:pPr>
                  <w:r>
                    <w:rPr>
                      <w:rFonts w:hint="eastAsia" w:ascii="Times New Roman" w:hAnsi="Times New Roman" w:eastAsia="宋体" w:cs="宋体"/>
                      <w:i w:val="0"/>
                      <w:iCs w:val="0"/>
                      <w:color w:val="auto"/>
                      <w:kern w:val="0"/>
                      <w:sz w:val="21"/>
                      <w:szCs w:val="32"/>
                      <w:highlight w:val="none"/>
                      <w:u w:val="none"/>
                      <w:lang w:val="en-US" w:eastAsia="zh-CN" w:bidi="ar"/>
                    </w:rPr>
                    <w:t>LG855HC</w:t>
                  </w:r>
                </w:p>
              </w:tc>
              <w:tc>
                <w:tcPr>
                  <w:tcW w:w="858" w:type="pct"/>
                  <w:noWrap w:val="0"/>
                  <w:vAlign w:val="center"/>
                </w:tcPr>
                <w:p w14:paraId="04C448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宋体"/>
                      <w:i w:val="0"/>
                      <w:iCs w:val="0"/>
                      <w:color w:val="auto"/>
                      <w:kern w:val="0"/>
                      <w:sz w:val="21"/>
                      <w:szCs w:val="28"/>
                      <w:highlight w:val="none"/>
                      <w:u w:val="none"/>
                      <w:lang w:val="en-US" w:eastAsia="zh-CN" w:bidi="ar"/>
                    </w:rPr>
                  </w:pPr>
                  <w:r>
                    <w:rPr>
                      <w:rFonts w:hint="eastAsia" w:ascii="Times New Roman" w:hAnsi="Times New Roman" w:eastAsia="宋体" w:cs="宋体"/>
                      <w:i w:val="0"/>
                      <w:iCs w:val="0"/>
                      <w:color w:val="auto"/>
                      <w:kern w:val="0"/>
                      <w:sz w:val="21"/>
                      <w:szCs w:val="28"/>
                      <w:highlight w:val="none"/>
                      <w:u w:val="none"/>
                      <w:lang w:val="en-US" w:eastAsia="zh-CN" w:bidi="ar"/>
                    </w:rPr>
                    <w:t>2</w:t>
                  </w:r>
                  <w:r>
                    <w:rPr>
                      <w:rFonts w:hint="eastAsia" w:ascii="Times New Roman" w:hAnsi="Times New Roman" w:eastAsia="宋体" w:cs="Times New Roman"/>
                      <w:b w:val="0"/>
                      <w:bCs w:val="0"/>
                      <w:color w:val="auto"/>
                      <w:sz w:val="21"/>
                      <w:highlight w:val="none"/>
                      <w:lang w:val="en-US" w:eastAsia="zh-CN"/>
                    </w:rPr>
                    <w:t>台</w:t>
                  </w:r>
                </w:p>
              </w:tc>
            </w:tr>
            <w:tr w14:paraId="3EA6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restart"/>
                  <w:noWrap w:val="0"/>
                  <w:vAlign w:val="center"/>
                </w:tcPr>
                <w:p w14:paraId="337E6F20">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环保设施</w:t>
                  </w:r>
                </w:p>
              </w:tc>
              <w:tc>
                <w:tcPr>
                  <w:tcW w:w="1685" w:type="pct"/>
                  <w:noWrap w:val="0"/>
                  <w:vAlign w:val="center"/>
                </w:tcPr>
                <w:p w14:paraId="33985155">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集气罩</w:t>
                  </w:r>
                </w:p>
              </w:tc>
              <w:tc>
                <w:tcPr>
                  <w:tcW w:w="1714" w:type="pct"/>
                  <w:noWrap w:val="0"/>
                  <w:vAlign w:val="center"/>
                </w:tcPr>
                <w:p w14:paraId="65B5AD2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w:t>
                  </w:r>
                </w:p>
              </w:tc>
              <w:tc>
                <w:tcPr>
                  <w:tcW w:w="858" w:type="pct"/>
                  <w:noWrap w:val="0"/>
                  <w:vAlign w:val="center"/>
                </w:tcPr>
                <w:p w14:paraId="48800F9A">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cs="Times New Roman"/>
                      <w:b w:val="0"/>
                      <w:bCs w:val="0"/>
                      <w:color w:val="auto"/>
                      <w:sz w:val="21"/>
                      <w:highlight w:val="none"/>
                      <w:lang w:val="en-US" w:eastAsia="zh-CN"/>
                    </w:rPr>
                    <w:t>26</w:t>
                  </w:r>
                  <w:r>
                    <w:rPr>
                      <w:rFonts w:hint="eastAsia" w:ascii="Times New Roman" w:hAnsi="Times New Roman" w:eastAsia="宋体" w:cs="Times New Roman"/>
                      <w:b w:val="0"/>
                      <w:bCs w:val="0"/>
                      <w:color w:val="auto"/>
                      <w:sz w:val="21"/>
                      <w:highlight w:val="none"/>
                      <w:lang w:val="en-US" w:eastAsia="zh-CN"/>
                    </w:rPr>
                    <w:t>套</w:t>
                  </w:r>
                </w:p>
              </w:tc>
            </w:tr>
            <w:tr w14:paraId="4026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45975CFD">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7C48FED6">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布袋除尘器</w:t>
                  </w:r>
                </w:p>
              </w:tc>
              <w:tc>
                <w:tcPr>
                  <w:tcW w:w="1714" w:type="pct"/>
                  <w:noWrap w:val="0"/>
                  <w:vAlign w:val="center"/>
                </w:tcPr>
                <w:p w14:paraId="2801B864">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w:t>
                  </w:r>
                </w:p>
              </w:tc>
              <w:tc>
                <w:tcPr>
                  <w:tcW w:w="858" w:type="pct"/>
                  <w:noWrap w:val="0"/>
                  <w:vAlign w:val="center"/>
                </w:tcPr>
                <w:p w14:paraId="2A9B8256">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3套</w:t>
                  </w:r>
                </w:p>
              </w:tc>
            </w:tr>
            <w:tr w14:paraId="1CA8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46090317">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2EE9F7B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排气筒</w:t>
                  </w:r>
                </w:p>
              </w:tc>
              <w:tc>
                <w:tcPr>
                  <w:tcW w:w="1714" w:type="pct"/>
                  <w:noWrap w:val="0"/>
                  <w:vAlign w:val="center"/>
                </w:tcPr>
                <w:p w14:paraId="1BF3C37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H=1</w:t>
                  </w:r>
                  <w:r>
                    <w:rPr>
                      <w:rFonts w:hint="eastAsia" w:cs="Times New Roman"/>
                      <w:b w:val="0"/>
                      <w:bCs w:val="0"/>
                      <w:color w:val="auto"/>
                      <w:sz w:val="21"/>
                      <w:highlight w:val="none"/>
                      <w:lang w:val="en-US" w:eastAsia="zh-CN"/>
                    </w:rPr>
                    <w:t>6</w:t>
                  </w:r>
                  <w:r>
                    <w:rPr>
                      <w:rFonts w:hint="eastAsia" w:ascii="Times New Roman" w:hAnsi="Times New Roman" w:eastAsia="宋体" w:cs="Times New Roman"/>
                      <w:b w:val="0"/>
                      <w:bCs w:val="0"/>
                      <w:color w:val="auto"/>
                      <w:sz w:val="21"/>
                      <w:highlight w:val="none"/>
                      <w:lang w:val="en-US" w:eastAsia="zh-CN"/>
                    </w:rPr>
                    <w:t>m</w:t>
                  </w:r>
                </w:p>
              </w:tc>
              <w:tc>
                <w:tcPr>
                  <w:tcW w:w="858" w:type="pct"/>
                  <w:noWrap w:val="0"/>
                  <w:vAlign w:val="center"/>
                </w:tcPr>
                <w:p w14:paraId="5446917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3根</w:t>
                  </w:r>
                </w:p>
              </w:tc>
            </w:tr>
            <w:tr w14:paraId="33EF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21EA58F8">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29948C85">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喷淋管道</w:t>
                  </w:r>
                </w:p>
              </w:tc>
              <w:tc>
                <w:tcPr>
                  <w:tcW w:w="1714" w:type="pct"/>
                  <w:noWrap w:val="0"/>
                  <w:vAlign w:val="center"/>
                </w:tcPr>
                <w:p w14:paraId="23A47081">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w:t>
                  </w:r>
                </w:p>
              </w:tc>
              <w:tc>
                <w:tcPr>
                  <w:tcW w:w="858" w:type="pct"/>
                  <w:noWrap w:val="0"/>
                  <w:vAlign w:val="center"/>
                </w:tcPr>
                <w:p w14:paraId="1BAFEF10">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1套</w:t>
                  </w:r>
                </w:p>
              </w:tc>
            </w:tr>
            <w:tr w14:paraId="0E17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7170A31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15F23736">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化粪池</w:t>
                  </w:r>
                </w:p>
              </w:tc>
              <w:tc>
                <w:tcPr>
                  <w:tcW w:w="1714" w:type="pct"/>
                  <w:noWrap w:val="0"/>
                  <w:vAlign w:val="center"/>
                </w:tcPr>
                <w:p w14:paraId="1097FA40">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color w:val="auto"/>
                      <w:sz w:val="21"/>
                      <w:highlight w:val="none"/>
                      <w:lang w:val="en-US" w:eastAsia="zh-CN"/>
                    </w:rPr>
                    <w:t>11.73</w:t>
                  </w:r>
                  <w:r>
                    <w:rPr>
                      <w:rFonts w:hint="eastAsia" w:ascii="Times New Roman" w:hAnsi="Times New Roman" w:eastAsia="宋体"/>
                      <w:color w:val="auto"/>
                      <w:sz w:val="21"/>
                      <w:highlight w:val="none"/>
                      <w:lang w:val="en-US" w:eastAsia="zh-CN"/>
                    </w:rPr>
                    <w:t>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color w:val="auto"/>
                      <w:sz w:val="21"/>
                      <w:highlight w:val="none"/>
                      <w:vertAlign w:val="baseline"/>
                      <w:lang w:val="en-US" w:eastAsia="zh-CN"/>
                    </w:rPr>
                    <w:t>1个，</w:t>
                  </w:r>
                  <w:r>
                    <w:rPr>
                      <w:rFonts w:hint="eastAsia" w:ascii="Times New Roman" w:hAnsi="Times New Roman"/>
                      <w:color w:val="auto"/>
                      <w:sz w:val="21"/>
                      <w:highlight w:val="none"/>
                      <w:lang w:val="en-US" w:eastAsia="zh-CN"/>
                    </w:rPr>
                    <w:t>11.73</w:t>
                  </w:r>
                  <w:r>
                    <w:rPr>
                      <w:rFonts w:hint="eastAsia" w:ascii="Times New Roman" w:hAnsi="Times New Roman" w:eastAsia="宋体"/>
                      <w:color w:val="auto"/>
                      <w:sz w:val="21"/>
                      <w:highlight w:val="none"/>
                      <w:lang w:val="en-US" w:eastAsia="zh-CN"/>
                    </w:rPr>
                    <w:t>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color w:val="auto"/>
                      <w:sz w:val="21"/>
                      <w:highlight w:val="none"/>
                      <w:vertAlign w:val="baseline"/>
                      <w:lang w:val="en-US" w:eastAsia="zh-CN"/>
                    </w:rPr>
                    <w:t>1个</w:t>
                  </w:r>
                </w:p>
              </w:tc>
              <w:tc>
                <w:tcPr>
                  <w:tcW w:w="858" w:type="pct"/>
                  <w:noWrap w:val="0"/>
                  <w:vAlign w:val="center"/>
                </w:tcPr>
                <w:p w14:paraId="48EA77F3">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cs="Times New Roman"/>
                      <w:b w:val="0"/>
                      <w:bCs w:val="0"/>
                      <w:color w:val="auto"/>
                      <w:sz w:val="21"/>
                      <w:highlight w:val="none"/>
                      <w:lang w:val="en-US" w:eastAsia="zh-CN"/>
                    </w:rPr>
                    <w:t>2</w:t>
                  </w:r>
                  <w:r>
                    <w:rPr>
                      <w:rFonts w:hint="eastAsia" w:ascii="Times New Roman" w:hAnsi="Times New Roman" w:eastAsia="宋体" w:cs="Times New Roman"/>
                      <w:b w:val="0"/>
                      <w:bCs w:val="0"/>
                      <w:color w:val="auto"/>
                      <w:sz w:val="21"/>
                      <w:highlight w:val="none"/>
                      <w:lang w:val="en-US" w:eastAsia="zh-CN"/>
                    </w:rPr>
                    <w:t>座</w:t>
                  </w:r>
                </w:p>
              </w:tc>
            </w:tr>
            <w:tr w14:paraId="6759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3A3A388B">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03E7539F">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隔油池</w:t>
                  </w:r>
                </w:p>
              </w:tc>
              <w:tc>
                <w:tcPr>
                  <w:tcW w:w="1714" w:type="pct"/>
                  <w:noWrap w:val="0"/>
                  <w:vAlign w:val="center"/>
                </w:tcPr>
                <w:p w14:paraId="0881DD9F">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cs="Times New Roman"/>
                      <w:b w:val="0"/>
                      <w:bCs w:val="0"/>
                      <w:color w:val="auto"/>
                      <w:sz w:val="21"/>
                      <w:highlight w:val="none"/>
                      <w:lang w:val="en-US" w:eastAsia="zh-CN"/>
                    </w:rPr>
                    <w:t>0.5</w:t>
                  </w:r>
                  <w:r>
                    <w:rPr>
                      <w:rFonts w:hint="default" w:ascii="Times New Roman" w:hAnsi="Times New Roman" w:eastAsia="宋体" w:cs="Times New Roman"/>
                      <w:b w:val="0"/>
                      <w:bCs w:val="0"/>
                      <w:color w:val="auto"/>
                      <w:sz w:val="21"/>
                      <w:highlight w:val="none"/>
                      <w:lang w:val="en-US" w:eastAsia="zh-CN"/>
                    </w:rPr>
                    <w:t>m</w:t>
                  </w:r>
                  <w:r>
                    <w:rPr>
                      <w:rFonts w:hint="default" w:ascii="Times New Roman" w:hAnsi="Times New Roman" w:eastAsia="宋体" w:cs="Times New Roman"/>
                      <w:b w:val="0"/>
                      <w:bCs w:val="0"/>
                      <w:color w:val="auto"/>
                      <w:sz w:val="21"/>
                      <w:highlight w:val="none"/>
                      <w:vertAlign w:val="superscript"/>
                      <w:lang w:val="en-US" w:eastAsia="zh-CN"/>
                    </w:rPr>
                    <w:t>3</w:t>
                  </w:r>
                </w:p>
              </w:tc>
              <w:tc>
                <w:tcPr>
                  <w:tcW w:w="858" w:type="pct"/>
                  <w:noWrap w:val="0"/>
                  <w:vAlign w:val="center"/>
                </w:tcPr>
                <w:p w14:paraId="3F390D11">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1座</w:t>
                  </w:r>
                </w:p>
              </w:tc>
            </w:tr>
            <w:tr w14:paraId="3078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0E74BFF8">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28D128FC">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中水池</w:t>
                  </w:r>
                </w:p>
              </w:tc>
              <w:tc>
                <w:tcPr>
                  <w:tcW w:w="1714" w:type="pct"/>
                  <w:noWrap w:val="0"/>
                  <w:vAlign w:val="center"/>
                </w:tcPr>
                <w:p w14:paraId="27676604">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25</w:t>
                  </w:r>
                  <w:r>
                    <w:rPr>
                      <w:rFonts w:hint="default" w:ascii="Times New Roman" w:hAnsi="Times New Roman" w:eastAsia="宋体" w:cs="Times New Roman"/>
                      <w:b w:val="0"/>
                      <w:bCs w:val="0"/>
                      <w:color w:val="auto"/>
                      <w:sz w:val="21"/>
                      <w:highlight w:val="none"/>
                      <w:lang w:val="en-US" w:eastAsia="zh-CN"/>
                    </w:rPr>
                    <w:t>m</w:t>
                  </w:r>
                  <w:r>
                    <w:rPr>
                      <w:rFonts w:hint="default" w:ascii="Times New Roman" w:hAnsi="Times New Roman" w:eastAsia="宋体" w:cs="Times New Roman"/>
                      <w:b w:val="0"/>
                      <w:bCs w:val="0"/>
                      <w:color w:val="auto"/>
                      <w:sz w:val="21"/>
                      <w:highlight w:val="none"/>
                      <w:vertAlign w:val="superscript"/>
                      <w:lang w:val="en-US" w:eastAsia="zh-CN"/>
                    </w:rPr>
                    <w:t>3</w:t>
                  </w:r>
                </w:p>
              </w:tc>
              <w:tc>
                <w:tcPr>
                  <w:tcW w:w="858" w:type="pct"/>
                  <w:noWrap w:val="0"/>
                  <w:vAlign w:val="center"/>
                </w:tcPr>
                <w:p w14:paraId="1AFD1879">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1座</w:t>
                  </w:r>
                </w:p>
              </w:tc>
            </w:tr>
            <w:tr w14:paraId="37F9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pct"/>
                  <w:vMerge w:val="continue"/>
                  <w:noWrap w:val="0"/>
                  <w:vAlign w:val="center"/>
                </w:tcPr>
                <w:p w14:paraId="4E7C97E0">
                  <w:pPr>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b w:val="0"/>
                      <w:bCs w:val="0"/>
                      <w:color w:val="auto"/>
                      <w:sz w:val="21"/>
                      <w:highlight w:val="none"/>
                      <w:lang w:val="en-US" w:eastAsia="zh-CN"/>
                    </w:rPr>
                  </w:pPr>
                </w:p>
              </w:tc>
              <w:tc>
                <w:tcPr>
                  <w:tcW w:w="1685" w:type="pct"/>
                  <w:noWrap w:val="0"/>
                  <w:vAlign w:val="center"/>
                </w:tcPr>
                <w:p w14:paraId="17433C44">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一体化污水处理设施</w:t>
                  </w:r>
                </w:p>
              </w:tc>
              <w:tc>
                <w:tcPr>
                  <w:tcW w:w="1714" w:type="pct"/>
                  <w:noWrap w:val="0"/>
                  <w:vAlign w:val="center"/>
                </w:tcPr>
                <w:p w14:paraId="2C25EF74">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vertAlign w:val="baseline"/>
                      <w:lang w:val="en-US" w:eastAsia="zh-CN"/>
                    </w:rPr>
                  </w:pPr>
                  <w:r>
                    <w:rPr>
                      <w:rFonts w:hint="eastAsia" w:ascii="Times New Roman" w:hAnsi="Times New Roman" w:cs="Times New Roman"/>
                      <w:b w:val="0"/>
                      <w:bCs w:val="0"/>
                      <w:color w:val="auto"/>
                      <w:sz w:val="21"/>
                      <w:highlight w:val="none"/>
                      <w:lang w:val="en-US" w:eastAsia="zh-CN"/>
                    </w:rPr>
                    <w:t>3.5</w:t>
                  </w:r>
                  <w:r>
                    <w:rPr>
                      <w:rFonts w:hint="default" w:ascii="Times New Roman" w:hAnsi="Times New Roman" w:eastAsia="宋体" w:cs="Times New Roman"/>
                      <w:b w:val="0"/>
                      <w:bCs w:val="0"/>
                      <w:color w:val="auto"/>
                      <w:sz w:val="21"/>
                      <w:highlight w:val="none"/>
                      <w:lang w:val="en-US" w:eastAsia="zh-CN"/>
                    </w:rPr>
                    <w:t>m</w:t>
                  </w:r>
                  <w:r>
                    <w:rPr>
                      <w:rFonts w:hint="default" w:ascii="Times New Roman" w:hAnsi="Times New Roman" w:eastAsia="宋体" w:cs="Times New Roman"/>
                      <w:b w:val="0"/>
                      <w:bCs w:val="0"/>
                      <w:color w:val="auto"/>
                      <w:sz w:val="21"/>
                      <w:highlight w:val="none"/>
                      <w:vertAlign w:val="superscript"/>
                      <w:lang w:val="en-US" w:eastAsia="zh-CN"/>
                    </w:rPr>
                    <w:t>3</w:t>
                  </w:r>
                  <w:r>
                    <w:rPr>
                      <w:rFonts w:hint="default" w:ascii="Times New Roman" w:hAnsi="Times New Roman" w:eastAsia="宋体" w:cs="Times New Roman"/>
                      <w:b w:val="0"/>
                      <w:bCs w:val="0"/>
                      <w:color w:val="auto"/>
                      <w:sz w:val="21"/>
                      <w:highlight w:val="none"/>
                      <w:vertAlign w:val="baseline"/>
                      <w:lang w:val="en-US" w:eastAsia="zh-CN"/>
                    </w:rPr>
                    <w:t>/d</w:t>
                  </w:r>
                </w:p>
              </w:tc>
              <w:tc>
                <w:tcPr>
                  <w:tcW w:w="858" w:type="pct"/>
                  <w:noWrap w:val="0"/>
                  <w:vAlign w:val="center"/>
                </w:tcPr>
                <w:p w14:paraId="4146F3BF">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z w:val="21"/>
                      <w:highlight w:val="none"/>
                      <w:lang w:val="en-US" w:eastAsia="zh-CN"/>
                    </w:rPr>
                  </w:pPr>
                  <w:r>
                    <w:rPr>
                      <w:rFonts w:hint="eastAsia" w:ascii="Times New Roman" w:hAnsi="Times New Roman" w:eastAsia="宋体" w:cs="Times New Roman"/>
                      <w:b w:val="0"/>
                      <w:bCs w:val="0"/>
                      <w:color w:val="auto"/>
                      <w:sz w:val="21"/>
                      <w:highlight w:val="none"/>
                      <w:lang w:val="en-US" w:eastAsia="zh-CN"/>
                    </w:rPr>
                    <w:t>1套</w:t>
                  </w:r>
                </w:p>
              </w:tc>
            </w:tr>
          </w:tbl>
          <w:p w14:paraId="7811A788">
            <w:pPr>
              <w:adjustRightInd w:val="0"/>
              <w:snapToGrid w:val="0"/>
              <w:spacing w:before="158" w:beforeLines="50" w:line="360" w:lineRule="auto"/>
              <w:outlineLvl w:val="1"/>
              <w:rPr>
                <w:rFonts w:hint="default" w:ascii="Times New Roman" w:hAnsi="Times New Roman" w:eastAsia="宋体"/>
                <w:b/>
                <w:color w:val="auto"/>
                <w:sz w:val="24"/>
                <w:highlight w:val="none"/>
                <w:lang w:val="en-US" w:eastAsia="zh-CN"/>
              </w:rPr>
            </w:pPr>
            <w:bookmarkStart w:id="11" w:name="_Toc137737899"/>
            <w:r>
              <w:rPr>
                <w:rFonts w:hint="eastAsia" w:ascii="Times New Roman" w:hAnsi="Times New Roman"/>
                <w:b/>
                <w:color w:val="auto"/>
                <w:sz w:val="24"/>
                <w:highlight w:val="none"/>
                <w:lang w:val="en-US" w:eastAsia="zh-CN"/>
              </w:rPr>
              <w:t>八</w:t>
            </w:r>
            <w:r>
              <w:rPr>
                <w:rFonts w:ascii="Times New Roman" w:hAnsi="Times New Roman"/>
                <w:b/>
                <w:color w:val="auto"/>
                <w:sz w:val="24"/>
                <w:highlight w:val="none"/>
              </w:rPr>
              <w:t>、</w:t>
            </w:r>
            <w:bookmarkEnd w:id="11"/>
            <w:r>
              <w:rPr>
                <w:rFonts w:hint="eastAsia" w:ascii="Times New Roman" w:hAnsi="Times New Roman"/>
                <w:b/>
                <w:color w:val="auto"/>
                <w:sz w:val="24"/>
                <w:highlight w:val="none"/>
                <w:lang w:val="en-US" w:eastAsia="zh-CN"/>
              </w:rPr>
              <w:t>用排水核算</w:t>
            </w:r>
          </w:p>
          <w:p w14:paraId="1E6CD7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（1）项目用水情况</w:t>
            </w:r>
          </w:p>
          <w:p w14:paraId="78C1526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lang w:val="en-US" w:eastAsia="zh-CN"/>
              </w:rPr>
              <w:t>1</w:t>
            </w:r>
            <w:r>
              <w:rPr>
                <w:rFonts w:hint="default" w:ascii="Times New Roman" w:hAnsi="Times New Roman" w:eastAsia="宋体" w:cs="Times New Roman"/>
                <w:b/>
                <w:bCs w:val="0"/>
                <w:color w:val="auto"/>
                <w:sz w:val="24"/>
                <w:highlight w:val="none"/>
                <w:lang w:eastAsia="zh-CN"/>
              </w:rPr>
              <w:t>）</w:t>
            </w:r>
            <w:r>
              <w:rPr>
                <w:rFonts w:hint="eastAsia" w:ascii="Times New Roman" w:hAnsi="Times New Roman" w:eastAsia="宋体" w:cs="Times New Roman"/>
                <w:b/>
                <w:bCs w:val="0"/>
                <w:color w:val="auto"/>
                <w:sz w:val="24"/>
                <w:highlight w:val="none"/>
                <w:lang w:val="en-US" w:eastAsia="zh-CN"/>
              </w:rPr>
              <w:t>降尘</w:t>
            </w:r>
            <w:r>
              <w:rPr>
                <w:rFonts w:hint="default" w:ascii="Times New Roman" w:hAnsi="Times New Roman" w:eastAsia="宋体" w:cs="Times New Roman"/>
                <w:b/>
                <w:bCs w:val="0"/>
                <w:color w:val="auto"/>
                <w:sz w:val="24"/>
                <w:highlight w:val="none"/>
              </w:rPr>
              <w:t>用水</w:t>
            </w:r>
          </w:p>
          <w:p w14:paraId="155349A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 1 \* GB3 \* MERGEFORMAT </w:instrText>
            </w:r>
            <w:r>
              <w:rPr>
                <w:rFonts w:hint="eastAsia" w:ascii="Times New Roman" w:hAnsi="Times New Roman" w:eastAsia="宋体" w:cs="Times New Roman"/>
                <w:color w:val="auto"/>
                <w:sz w:val="24"/>
                <w:szCs w:val="24"/>
                <w:highlight w:val="none"/>
                <w:lang w:val="en-US" w:eastAsia="zh-CN"/>
              </w:rPr>
              <w:fldChar w:fldCharType="separate"/>
            </w:r>
            <w:r>
              <w:rPr>
                <w:rFonts w:ascii="Times New Roman" w:hAnsi="Times New Roman" w:eastAsia="宋体"/>
                <w:color w:val="auto"/>
                <w:sz w:val="24"/>
                <w:szCs w:val="24"/>
                <w:highlight w:val="none"/>
              </w:rPr>
              <w:t>①</w:t>
            </w:r>
            <w:r>
              <w:rPr>
                <w:rFonts w:hint="eastAsia"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厂区道路抑尘用水</w:t>
            </w:r>
          </w:p>
          <w:p w14:paraId="3DBAC1B3">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项目进场</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道路面积约为</w:t>
            </w:r>
            <w:r>
              <w:rPr>
                <w:rFonts w:hint="eastAsia" w:ascii="Times New Roman" w:hAnsi="Times New Roman" w:eastAsia="宋体" w:cs="Times New Roman"/>
                <w:color w:val="auto"/>
                <w:sz w:val="24"/>
                <w:szCs w:val="24"/>
                <w:highlight w:val="none"/>
                <w:lang w:val="en-US" w:eastAsia="zh-CN"/>
              </w:rPr>
              <w:t>10000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，用水量按1L/m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·次</w:t>
            </w:r>
            <w:r>
              <w:rPr>
                <w:rFonts w:hint="eastAsia" w:ascii="Times New Roman" w:hAnsi="Times New Roman" w:cs="Times New Roman"/>
                <w:color w:val="auto"/>
                <w:sz w:val="24"/>
                <w:szCs w:val="24"/>
                <w:highlight w:val="none"/>
                <w:lang w:val="en-US" w:eastAsia="zh-CN"/>
              </w:rPr>
              <w:t>计算</w:t>
            </w:r>
            <w:r>
              <w:rPr>
                <w:rFonts w:hint="default" w:ascii="Times New Roman" w:hAnsi="Times New Roman" w:eastAsia="宋体" w:cs="Times New Roman"/>
                <w:color w:val="auto"/>
                <w:sz w:val="24"/>
                <w:szCs w:val="24"/>
                <w:highlight w:val="none"/>
                <w:lang w:val="en-US" w:eastAsia="zh-CN"/>
              </w:rPr>
              <w:t>，每天洒水</w:t>
            </w:r>
            <w:r>
              <w:rPr>
                <w:rFonts w:hint="eastAsia" w:ascii="Times New Roman" w:hAnsi="Times New Roman" w:eastAsia="宋体" w:cs="Times New Roman"/>
                <w:color w:val="auto"/>
                <w:sz w:val="24"/>
                <w:szCs w:val="24"/>
                <w:highlight w:val="none"/>
                <w:lang w:val="en-US" w:eastAsia="zh-CN"/>
              </w:rPr>
              <w:t>两</w:t>
            </w:r>
            <w:r>
              <w:rPr>
                <w:rFonts w:hint="default" w:ascii="Times New Roman" w:hAnsi="Times New Roman" w:eastAsia="宋体" w:cs="Times New Roman"/>
                <w:color w:val="auto"/>
                <w:sz w:val="24"/>
                <w:szCs w:val="24"/>
                <w:highlight w:val="none"/>
                <w:lang w:val="en-US" w:eastAsia="zh-CN"/>
              </w:rPr>
              <w:t>次，本项目</w:t>
            </w:r>
            <w:r>
              <w:rPr>
                <w:rFonts w:hint="eastAsia" w:ascii="Times New Roman" w:hAnsi="Times New Roman" w:eastAsia="宋体" w:cs="Times New Roman"/>
                <w:color w:val="auto"/>
                <w:sz w:val="24"/>
                <w:szCs w:val="24"/>
                <w:highlight w:val="none"/>
                <w:lang w:val="en-US" w:eastAsia="zh-CN"/>
              </w:rPr>
              <w:t>非雨天</w:t>
            </w:r>
            <w:r>
              <w:rPr>
                <w:rFonts w:hint="default" w:ascii="Times New Roman" w:hAnsi="Times New Roman" w:eastAsia="宋体" w:cs="Times New Roman"/>
                <w:color w:val="auto"/>
                <w:sz w:val="24"/>
                <w:szCs w:val="24"/>
                <w:highlight w:val="none"/>
                <w:lang w:val="en-US" w:eastAsia="zh-CN"/>
              </w:rPr>
              <w:t>对道路进行洒水，需洒水天数按</w:t>
            </w:r>
            <w:r>
              <w:rPr>
                <w:rFonts w:hint="eastAsia"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lang w:val="en-US" w:eastAsia="zh-CN"/>
              </w:rPr>
              <w:t>d计算，则年用水量为</w:t>
            </w:r>
            <w:r>
              <w:rPr>
                <w:rFonts w:hint="eastAsia" w:ascii="Times New Roman" w:hAnsi="Times New Roman" w:eastAsia="宋体" w:cs="Times New Roman"/>
                <w:color w:val="auto"/>
                <w:sz w:val="24"/>
                <w:szCs w:val="24"/>
                <w:highlight w:val="none"/>
                <w:lang w:val="en-US" w:eastAsia="zh-CN"/>
              </w:rPr>
              <w:t>2000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/a，则用水量为</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/d。该用水全部通过蒸发损耗，无废水排放。</w:t>
            </w:r>
          </w:p>
          <w:p w14:paraId="0729578D">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ascii="Times New Roman" w:hAnsi="Times New Roman" w:eastAsia="宋体"/>
                <w:color w:val="auto"/>
                <w:sz w:val="24"/>
                <w:highlight w:val="none"/>
              </w:rPr>
            </w:pPr>
            <w:r>
              <w:rPr>
                <w:rFonts w:hint="eastAsia" w:ascii="Times New Roman" w:hAnsi="Times New Roman" w:eastAsia="宋体" w:cs="Times New Roman"/>
                <w:color w:val="auto"/>
                <w:sz w:val="24"/>
                <w:szCs w:val="24"/>
                <w:highlight w:val="none"/>
                <w:lang w:val="en-US" w:eastAsia="zh-CN"/>
              </w:rPr>
              <w:t>②</w:t>
            </w:r>
            <w:r>
              <w:rPr>
                <w:rFonts w:hint="eastAsia" w:ascii="Times New Roman" w:hAnsi="Times New Roman" w:eastAsia="宋体"/>
                <w:color w:val="auto"/>
                <w:sz w:val="24"/>
                <w:highlight w:val="none"/>
                <w:lang w:val="en-US" w:eastAsia="zh-CN"/>
              </w:rPr>
              <w:t>堆料</w:t>
            </w:r>
            <w:r>
              <w:rPr>
                <w:rFonts w:hint="eastAsia" w:ascii="Times New Roman" w:hAnsi="Times New Roman" w:eastAsia="宋体"/>
                <w:color w:val="auto"/>
                <w:sz w:val="24"/>
                <w:highlight w:val="none"/>
              </w:rPr>
              <w:t>大棚喷雾降尘用水</w:t>
            </w:r>
          </w:p>
          <w:p w14:paraId="1752B4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olor w:val="auto"/>
                <w:sz w:val="24"/>
                <w:szCs w:val="24"/>
                <w:highlight w:val="none"/>
                <w:lang w:val="en-US" w:eastAsia="zh-CN"/>
              </w:rPr>
            </w:pPr>
            <w:r>
              <w:rPr>
                <w:rFonts w:hint="eastAsia" w:ascii="Times New Roman" w:hAnsi="Times New Roman" w:eastAsia="宋体"/>
                <w:color w:val="auto"/>
                <w:sz w:val="24"/>
                <w:highlight w:val="none"/>
              </w:rPr>
              <w:t>项目</w:t>
            </w:r>
            <w:r>
              <w:rPr>
                <w:rFonts w:hint="eastAsia" w:ascii="Times New Roman" w:hAnsi="Times New Roman" w:eastAsia="宋体"/>
                <w:color w:val="auto"/>
                <w:sz w:val="24"/>
                <w:highlight w:val="none"/>
                <w:lang w:val="en-US" w:eastAsia="zh-CN"/>
              </w:rPr>
              <w:t>堆料</w:t>
            </w:r>
            <w:r>
              <w:rPr>
                <w:rFonts w:hint="eastAsia" w:ascii="Times New Roman" w:hAnsi="Times New Roman" w:eastAsia="宋体"/>
                <w:color w:val="auto"/>
                <w:sz w:val="24"/>
                <w:highlight w:val="none"/>
              </w:rPr>
              <w:t>大棚占地面积为</w:t>
            </w:r>
            <w:r>
              <w:rPr>
                <w:rFonts w:hint="eastAsia" w:ascii="Times New Roman" w:hAnsi="Times New Roman" w:eastAsia="宋体"/>
                <w:color w:val="auto"/>
                <w:sz w:val="24"/>
                <w:highlight w:val="none"/>
                <w:lang w:val="en-US" w:eastAsia="zh-CN"/>
              </w:rPr>
              <w:t>35000</w:t>
            </w:r>
            <w:r>
              <w:rPr>
                <w:rFonts w:hint="eastAsia" w:ascii="Times New Roman" w:hAnsi="Times New Roman" w:eastAsia="宋体"/>
                <w:color w:val="auto"/>
                <w:sz w:val="24"/>
                <w:highlight w:val="none"/>
              </w:rPr>
              <w:t>m</w:t>
            </w:r>
            <w:r>
              <w:rPr>
                <w:rFonts w:hint="eastAsia" w:ascii="Times New Roman" w:hAnsi="Times New Roman" w:eastAsia="宋体"/>
                <w:color w:val="auto"/>
                <w:sz w:val="24"/>
                <w:highlight w:val="none"/>
                <w:vertAlign w:val="superscript"/>
              </w:rPr>
              <w:t>2</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根据项目设计参数，堆料</w:t>
            </w:r>
            <w:r>
              <w:rPr>
                <w:rFonts w:hint="eastAsia" w:ascii="Times New Roman" w:hAnsi="Times New Roman" w:eastAsia="宋体"/>
                <w:color w:val="auto"/>
                <w:sz w:val="24"/>
                <w:highlight w:val="none"/>
              </w:rPr>
              <w:t>大棚棚顶共设置约</w:t>
            </w:r>
            <w:r>
              <w:rPr>
                <w:rFonts w:hint="eastAsia" w:ascii="Times New Roman" w:hAnsi="Times New Roman" w:eastAsia="宋体"/>
                <w:color w:val="auto"/>
                <w:sz w:val="24"/>
                <w:highlight w:val="none"/>
                <w:lang w:val="en-US" w:eastAsia="zh-CN"/>
              </w:rPr>
              <w:t>50</w:t>
            </w:r>
            <w:r>
              <w:rPr>
                <w:rFonts w:hint="eastAsia" w:ascii="Times New Roman" w:hAnsi="Times New Roman" w:eastAsia="宋体"/>
                <w:color w:val="auto"/>
                <w:sz w:val="24"/>
                <w:highlight w:val="none"/>
              </w:rPr>
              <w:t>个喷头，</w:t>
            </w:r>
            <w:r>
              <w:rPr>
                <w:rFonts w:hint="eastAsia"/>
                <w:color w:val="auto"/>
                <w:sz w:val="24"/>
                <w:highlight w:val="none"/>
                <w:lang w:val="en-US" w:eastAsia="zh-CN"/>
              </w:rPr>
              <w:t>每</w:t>
            </w:r>
            <w:r>
              <w:rPr>
                <w:rFonts w:hint="eastAsia" w:ascii="Times New Roman" w:hAnsi="Times New Roman" w:eastAsia="宋体"/>
                <w:color w:val="auto"/>
                <w:sz w:val="24"/>
                <w:highlight w:val="none"/>
                <w:lang w:val="en-US" w:eastAsia="zh-CN"/>
              </w:rPr>
              <w:t>天喷淋8次，每次持续10min，共计80min</w:t>
            </w:r>
            <w:r>
              <w:rPr>
                <w:rFonts w:hint="eastAsia" w:ascii="Times New Roman" w:hAnsi="Times New Roman" w:eastAsia="宋体"/>
                <w:color w:val="auto"/>
                <w:sz w:val="24"/>
                <w:highlight w:val="none"/>
              </w:rPr>
              <w:t>。根据目前市面上喷雾喷头（喷嘴）参数：水流量为</w:t>
            </w:r>
            <w:r>
              <w:rPr>
                <w:rFonts w:hint="eastAsia" w:ascii="Times New Roman" w:hAnsi="Times New Roman" w:eastAsia="宋体"/>
                <w:color w:val="auto"/>
                <w:sz w:val="24"/>
                <w:highlight w:val="none"/>
                <w:lang w:val="en-US" w:eastAsia="zh-CN"/>
              </w:rPr>
              <w:t>33.33L</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val="en-US" w:eastAsia="zh-CN"/>
              </w:rPr>
              <w:t>min</w:t>
            </w:r>
            <w:r>
              <w:rPr>
                <w:rFonts w:hint="eastAsia" w:ascii="Times New Roman" w:hAnsi="Times New Roman" w:eastAsia="宋体"/>
                <w:color w:val="auto"/>
                <w:sz w:val="24"/>
                <w:highlight w:val="none"/>
              </w:rPr>
              <w:t>，则项目堆棚喷雾降尘用水量为</w:t>
            </w:r>
            <w:r>
              <w:rPr>
                <w:rFonts w:hint="eastAsia" w:ascii="Times New Roman" w:hAnsi="Times New Roman" w:eastAsia="宋体"/>
                <w:color w:val="auto"/>
                <w:sz w:val="24"/>
                <w:highlight w:val="none"/>
                <w:lang w:val="en-US" w:eastAsia="zh-CN"/>
              </w:rPr>
              <w:t>133.32</w:t>
            </w:r>
            <w:r>
              <w:rPr>
                <w:rFonts w:hint="eastAsia" w:ascii="Times New Roman" w:hAnsi="Times New Roman" w:eastAsia="宋体"/>
                <w:color w:val="auto"/>
                <w:sz w:val="24"/>
                <w:highlight w:val="none"/>
              </w:rPr>
              <w:t>m</w:t>
            </w:r>
            <w:r>
              <w:rPr>
                <w:rFonts w:hint="eastAsia" w:ascii="Times New Roman" w:hAnsi="Times New Roman" w:eastAsia="宋体"/>
                <w:color w:val="auto"/>
                <w:sz w:val="24"/>
                <w:highlight w:val="none"/>
                <w:vertAlign w:val="superscript"/>
              </w:rPr>
              <w:t>3</w:t>
            </w:r>
            <w:r>
              <w:rPr>
                <w:rFonts w:hint="eastAsia" w:ascii="Times New Roman" w:hAnsi="Times New Roman" w:eastAsia="宋体"/>
                <w:color w:val="auto"/>
                <w:sz w:val="24"/>
                <w:highlight w:val="none"/>
              </w:rPr>
              <w:t>/d、</w:t>
            </w:r>
            <w:r>
              <w:rPr>
                <w:rFonts w:hint="eastAsia"/>
                <w:color w:val="auto"/>
                <w:sz w:val="24"/>
                <w:highlight w:val="none"/>
                <w:lang w:val="en-US" w:eastAsia="zh-CN"/>
              </w:rPr>
              <w:t>39996</w:t>
            </w:r>
            <w:r>
              <w:rPr>
                <w:rFonts w:hint="eastAsia" w:ascii="Times New Roman" w:hAnsi="Times New Roman" w:eastAsia="宋体"/>
                <w:color w:val="auto"/>
                <w:sz w:val="24"/>
                <w:highlight w:val="none"/>
              </w:rPr>
              <w:t>m</w:t>
            </w:r>
            <w:r>
              <w:rPr>
                <w:rFonts w:hint="eastAsia" w:ascii="Times New Roman" w:hAnsi="Times New Roman" w:eastAsia="宋体"/>
                <w:color w:val="auto"/>
                <w:sz w:val="24"/>
                <w:highlight w:val="none"/>
                <w:vertAlign w:val="superscript"/>
              </w:rPr>
              <w:t>3</w:t>
            </w:r>
            <w:r>
              <w:rPr>
                <w:rFonts w:hint="eastAsia" w:ascii="Times New Roman" w:hAnsi="Times New Roman" w:eastAsia="宋体"/>
                <w:color w:val="auto"/>
                <w:sz w:val="24"/>
                <w:highlight w:val="none"/>
              </w:rPr>
              <w:t>/a。</w:t>
            </w:r>
            <w:r>
              <w:rPr>
                <w:rFonts w:hint="eastAsia" w:ascii="Times New Roman" w:hAnsi="Times New Roman" w:cs="Times New Roman"/>
                <w:color w:val="auto"/>
                <w:sz w:val="24"/>
                <w:highlight w:val="none"/>
                <w:lang w:val="en-US" w:eastAsia="zh-CN"/>
              </w:rPr>
              <w:t>全部</w:t>
            </w:r>
            <w:r>
              <w:rPr>
                <w:rFonts w:hint="eastAsia" w:ascii="Times New Roman" w:hAnsi="Times New Roman" w:cs="Times New Roman"/>
                <w:color w:val="auto"/>
                <w:sz w:val="24"/>
                <w:szCs w:val="24"/>
                <w:highlight w:val="none"/>
                <w:lang w:val="en-US" w:eastAsia="zh-CN"/>
              </w:rPr>
              <w:t>蒸发消耗。</w:t>
            </w:r>
          </w:p>
          <w:p w14:paraId="000352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③车辆轮胎清洗废水</w:t>
            </w:r>
          </w:p>
          <w:p w14:paraId="698A63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olor w:val="auto"/>
                <w:sz w:val="24"/>
                <w:szCs w:val="24"/>
                <w:highlight w:val="none"/>
                <w:lang w:val="en-US" w:eastAsia="zh-CN"/>
              </w:rPr>
            </w:pPr>
            <w:r>
              <w:rPr>
                <w:color w:val="auto"/>
                <w:sz w:val="24"/>
              </w:rPr>
              <w:t>本项目</w:t>
            </w:r>
            <w:r>
              <w:rPr>
                <w:rFonts w:hint="eastAsia"/>
                <w:color w:val="auto"/>
                <w:sz w:val="24"/>
                <w:lang w:val="en-US" w:eastAsia="zh-CN"/>
              </w:rPr>
              <w:t>原料及</w:t>
            </w:r>
            <w:r>
              <w:rPr>
                <w:color w:val="auto"/>
                <w:sz w:val="24"/>
              </w:rPr>
              <w:t>产品</w:t>
            </w:r>
            <w:r>
              <w:rPr>
                <w:rFonts w:hint="eastAsia"/>
                <w:color w:val="auto"/>
                <w:sz w:val="24"/>
                <w:lang w:val="en-US" w:eastAsia="zh-CN"/>
              </w:rPr>
              <w:t>进</w:t>
            </w:r>
            <w:r>
              <w:rPr>
                <w:color w:val="auto"/>
                <w:sz w:val="24"/>
              </w:rPr>
              <w:t>出厂前对运输车辆轮胎</w:t>
            </w:r>
            <w:r>
              <w:rPr>
                <w:rFonts w:hint="eastAsia"/>
                <w:color w:val="auto"/>
                <w:sz w:val="24"/>
              </w:rPr>
              <w:t>清洗</w:t>
            </w:r>
            <w:r>
              <w:rPr>
                <w:color w:val="auto"/>
                <w:sz w:val="24"/>
              </w:rPr>
              <w:t>，</w:t>
            </w:r>
            <w:r>
              <w:rPr>
                <w:rFonts w:hint="eastAsia"/>
                <w:color w:val="auto"/>
                <w:sz w:val="24"/>
              </w:rPr>
              <w:t>车辆出厂</w:t>
            </w:r>
            <w:r>
              <w:rPr>
                <w:color w:val="auto"/>
                <w:sz w:val="24"/>
              </w:rPr>
              <w:t>冲洗用水量约为0.2m</w:t>
            </w:r>
            <w:r>
              <w:rPr>
                <w:color w:val="auto"/>
                <w:sz w:val="24"/>
                <w:vertAlign w:val="superscript"/>
              </w:rPr>
              <w:t>3</w:t>
            </w:r>
            <w:r>
              <w:rPr>
                <w:color w:val="auto"/>
                <w:sz w:val="24"/>
              </w:rPr>
              <w:t>/辆，本项目主要对运输污泥及产品车辆进行轮胎冲洗，运输车辆单次运输量一般为</w:t>
            </w:r>
            <w:r>
              <w:rPr>
                <w:rFonts w:hint="eastAsia"/>
                <w:color w:val="auto"/>
                <w:sz w:val="24"/>
                <w:lang w:val="en-US" w:eastAsia="zh-CN"/>
              </w:rPr>
              <w:t>35</w:t>
            </w:r>
            <w:r>
              <w:rPr>
                <w:color w:val="auto"/>
                <w:sz w:val="24"/>
              </w:rPr>
              <w:t>t，本项目原料及产品量为</w:t>
            </w:r>
            <w:r>
              <w:rPr>
                <w:rFonts w:hint="eastAsia"/>
                <w:color w:val="auto"/>
                <w:sz w:val="24"/>
                <w:lang w:val="en-US" w:eastAsia="zh-CN"/>
              </w:rPr>
              <w:t>240</w:t>
            </w:r>
            <w:r>
              <w:rPr>
                <w:color w:val="auto"/>
                <w:sz w:val="24"/>
              </w:rPr>
              <w:t>万t/a，平均为</w:t>
            </w:r>
            <w:r>
              <w:rPr>
                <w:rFonts w:hint="eastAsia"/>
                <w:color w:val="auto"/>
                <w:sz w:val="24"/>
                <w:lang w:val="en-US" w:eastAsia="zh-CN"/>
              </w:rPr>
              <w:t>229</w:t>
            </w:r>
            <w:r>
              <w:rPr>
                <w:color w:val="auto"/>
                <w:sz w:val="24"/>
              </w:rPr>
              <w:t>辆/d，因此，本项目车辆轮胎冲洗用水量为</w:t>
            </w:r>
            <w:r>
              <w:rPr>
                <w:rFonts w:hint="eastAsia"/>
                <w:color w:val="auto"/>
                <w:sz w:val="24"/>
                <w:lang w:val="en-US" w:eastAsia="zh-CN"/>
              </w:rPr>
              <w:t>45.8</w:t>
            </w:r>
            <w:r>
              <w:rPr>
                <w:color w:val="auto"/>
                <w:sz w:val="24"/>
              </w:rPr>
              <w:t>m</w:t>
            </w:r>
            <w:r>
              <w:rPr>
                <w:color w:val="auto"/>
                <w:sz w:val="24"/>
                <w:vertAlign w:val="superscript"/>
              </w:rPr>
              <w:t>3</w:t>
            </w:r>
            <w:r>
              <w:rPr>
                <w:color w:val="auto"/>
                <w:sz w:val="24"/>
              </w:rPr>
              <w:t>/d，废水量按用水量80%计，则本项目车辆轮胎清洗废水产生量为</w:t>
            </w:r>
            <w:r>
              <w:rPr>
                <w:rFonts w:hint="eastAsia"/>
                <w:color w:val="auto"/>
                <w:sz w:val="24"/>
                <w:lang w:val="en-US" w:eastAsia="zh-CN"/>
              </w:rPr>
              <w:t>36.64</w:t>
            </w:r>
            <w:r>
              <w:rPr>
                <w:color w:val="auto"/>
                <w:sz w:val="24"/>
              </w:rPr>
              <w:t>m</w:t>
            </w:r>
            <w:r>
              <w:rPr>
                <w:color w:val="auto"/>
                <w:sz w:val="24"/>
                <w:vertAlign w:val="superscript"/>
              </w:rPr>
              <w:t>3</w:t>
            </w:r>
            <w:r>
              <w:rPr>
                <w:color w:val="auto"/>
                <w:sz w:val="24"/>
              </w:rPr>
              <w:t>/d，主要成分为SS，经车辆轮胎清洗废水三级沉淀池三级沉淀后循环使用不外排。因此，仅需定期对清洗池循环用水进行损耗补充，补充用水量为</w:t>
            </w:r>
            <w:r>
              <w:rPr>
                <w:rFonts w:hint="eastAsia"/>
                <w:color w:val="auto"/>
                <w:sz w:val="24"/>
                <w:lang w:val="en-US" w:eastAsia="zh-CN"/>
              </w:rPr>
              <w:t>9.16</w:t>
            </w:r>
            <w:r>
              <w:rPr>
                <w:color w:val="auto"/>
                <w:sz w:val="24"/>
              </w:rPr>
              <w:t>m</w:t>
            </w:r>
            <w:r>
              <w:rPr>
                <w:color w:val="auto"/>
                <w:sz w:val="24"/>
                <w:vertAlign w:val="superscript"/>
              </w:rPr>
              <w:t>3</w:t>
            </w:r>
            <w:r>
              <w:rPr>
                <w:color w:val="auto"/>
                <w:sz w:val="24"/>
              </w:rPr>
              <w:t>/d</w:t>
            </w:r>
            <w:r>
              <w:rPr>
                <w:rFonts w:hint="eastAsia" w:ascii="Times New Roman" w:hAnsi="Times New Roman" w:cs="Times New Roman"/>
                <w:color w:val="auto"/>
                <w:sz w:val="24"/>
                <w:szCs w:val="24"/>
                <w:highlight w:val="none"/>
                <w:lang w:val="en-US" w:eastAsia="zh-CN"/>
              </w:rPr>
              <w:t>。</w:t>
            </w:r>
          </w:p>
          <w:p w14:paraId="2EB83614">
            <w:pPr>
              <w:pStyle w:val="10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2）生活用水</w:t>
            </w:r>
          </w:p>
          <w:p w14:paraId="56ECD245">
            <w:pPr>
              <w:pStyle w:val="10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项目区职工</w:t>
            </w:r>
            <w:r>
              <w:rPr>
                <w:rFonts w:hint="eastAsia" w:ascii="Times New Roman" w:hAnsi="Times New Roman" w:eastAsia="宋体" w:cs="Times New Roman"/>
                <w:color w:val="auto"/>
                <w:kern w:val="0"/>
                <w:sz w:val="24"/>
                <w:szCs w:val="24"/>
                <w:highlight w:val="none"/>
                <w:lang w:val="en-US" w:eastAsia="zh-CN"/>
              </w:rPr>
              <w:t>35</w:t>
            </w:r>
            <w:r>
              <w:rPr>
                <w:rFonts w:hint="default" w:ascii="Times New Roman" w:hAnsi="Times New Roman" w:eastAsia="宋体" w:cs="Times New Roman"/>
                <w:color w:val="auto"/>
                <w:kern w:val="0"/>
                <w:sz w:val="24"/>
                <w:szCs w:val="24"/>
                <w:highlight w:val="none"/>
                <w:lang w:val="en-US" w:eastAsia="zh-CN"/>
              </w:rPr>
              <w:t>人，</w:t>
            </w:r>
            <w:r>
              <w:rPr>
                <w:rFonts w:hint="eastAsia" w:ascii="Times New Roman" w:hAnsi="Times New Roman" w:eastAsia="宋体" w:cs="Times New Roman"/>
                <w:color w:val="auto"/>
                <w:kern w:val="0"/>
                <w:sz w:val="24"/>
                <w:szCs w:val="24"/>
                <w:highlight w:val="none"/>
                <w:lang w:val="en-US" w:eastAsia="zh-CN"/>
              </w:rPr>
              <w:t>职工在厂区食宿，</w:t>
            </w:r>
            <w:r>
              <w:rPr>
                <w:rFonts w:hint="default" w:ascii="Times New Roman" w:hAnsi="Times New Roman" w:eastAsia="宋体" w:cs="Times New Roman"/>
                <w:bCs/>
                <w:color w:val="auto"/>
                <w:sz w:val="24"/>
                <w:highlight w:val="none"/>
                <w:lang w:val="en-US" w:eastAsia="zh-CN"/>
              </w:rPr>
              <w:t>根据</w:t>
            </w:r>
            <w:r>
              <w:rPr>
                <w:rFonts w:hint="default" w:ascii="Times New Roman" w:hAnsi="Times New Roman" w:eastAsia="宋体" w:cs="Times New Roman"/>
                <w:b w:val="0"/>
                <w:bCs w:val="0"/>
                <w:color w:val="auto"/>
                <w:sz w:val="24"/>
                <w:szCs w:val="24"/>
                <w:highlight w:val="none"/>
                <w:lang w:val="en-US" w:eastAsia="zh-CN"/>
              </w:rPr>
              <w:t>《云南省用水定额标准》（DB53/T168-2019），</w:t>
            </w:r>
            <w:r>
              <w:rPr>
                <w:rFonts w:hint="default" w:ascii="Times New Roman" w:hAnsi="Times New Roman" w:eastAsia="宋体" w:cs="Times New Roman"/>
                <w:bCs/>
                <w:color w:val="auto"/>
                <w:sz w:val="24"/>
                <w:highlight w:val="none"/>
              </w:rPr>
              <w:t>职工生活用水量按每人</w:t>
            </w:r>
            <w:r>
              <w:rPr>
                <w:rFonts w:hint="eastAsia" w:ascii="Times New Roman" w:hAnsi="Times New Roman" w:eastAsia="宋体" w:cs="Times New Roman"/>
                <w:bCs/>
                <w:color w:val="auto"/>
                <w:sz w:val="24"/>
                <w:highlight w:val="none"/>
                <w:lang w:val="en-US" w:eastAsia="zh-CN"/>
              </w:rPr>
              <w:t>100</w:t>
            </w:r>
            <w:r>
              <w:rPr>
                <w:rFonts w:hint="default" w:ascii="Times New Roman" w:hAnsi="Times New Roman" w:eastAsia="宋体" w:cs="Times New Roman"/>
                <w:bCs/>
                <w:color w:val="auto"/>
                <w:sz w:val="24"/>
                <w:highlight w:val="none"/>
              </w:rPr>
              <w:t>L/d计算</w:t>
            </w:r>
            <w:r>
              <w:rPr>
                <w:rFonts w:hint="default" w:ascii="Times New Roman" w:hAnsi="Times New Roman" w:eastAsia="宋体" w:cs="Times New Roman"/>
                <w:color w:val="auto"/>
                <w:sz w:val="24"/>
                <w:szCs w:val="24"/>
                <w:highlight w:val="none"/>
                <w:lang w:val="en-US" w:eastAsia="zh-CN"/>
              </w:rPr>
              <w:t>，则用水量为</w:t>
            </w:r>
            <w:r>
              <w:rPr>
                <w:rFonts w:hint="eastAsia" w:ascii="Times New Roman" w:hAnsi="Times New Roman"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1050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/a，产排污系数按0.8计，则废水产生量为</w:t>
            </w:r>
            <w:r>
              <w:rPr>
                <w:rFonts w:hint="eastAsia"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840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食堂废水经隔油池处理后与其他生活污水进入</w:t>
            </w:r>
            <w:r>
              <w:rPr>
                <w:rFonts w:hint="default" w:ascii="Times New Roman" w:hAnsi="Times New Roman" w:eastAsia="宋体" w:cs="Times New Roman"/>
                <w:color w:val="auto"/>
                <w:sz w:val="24"/>
                <w:szCs w:val="24"/>
                <w:highlight w:val="none"/>
                <w:lang w:val="en-US" w:eastAsia="zh-CN"/>
              </w:rPr>
              <w:t>化粪池</w:t>
            </w:r>
            <w:r>
              <w:rPr>
                <w:rFonts w:hint="eastAsia" w:ascii="Times New Roman" w:hAnsi="Times New Roman" w:eastAsia="宋体" w:cs="Times New Roman"/>
                <w:color w:val="auto"/>
                <w:sz w:val="24"/>
                <w:szCs w:val="24"/>
                <w:highlight w:val="none"/>
                <w:lang w:val="en-US" w:eastAsia="zh-CN"/>
              </w:rPr>
              <w:t>预处理，然后进入</w:t>
            </w:r>
            <w:r>
              <w:rPr>
                <w:rFonts w:hint="default" w:ascii="Times New Roman" w:hAnsi="Times New Roman" w:eastAsia="宋体" w:cs="Times New Roman"/>
                <w:color w:val="auto"/>
                <w:sz w:val="24"/>
                <w:szCs w:val="24"/>
                <w:highlight w:val="none"/>
                <w:lang w:val="en-US" w:eastAsia="zh-CN"/>
              </w:rPr>
              <w:t>一体化污水处理设备处理，处理达</w:t>
            </w:r>
            <w:r>
              <w:rPr>
                <w:rFonts w:hint="eastAsia" w:ascii="Times New Roman" w:hAnsi="Times New Roman" w:eastAsia="宋体" w:cs="Times New Roman"/>
                <w:color w:val="auto"/>
                <w:sz w:val="24"/>
                <w:szCs w:val="24"/>
                <w:highlight w:val="none"/>
                <w:lang w:val="en-US" w:eastAsia="zh-CN"/>
              </w:rPr>
              <w:t>到</w:t>
            </w:r>
            <w:r>
              <w:rPr>
                <w:rFonts w:hint="default" w:ascii="Times New Roman" w:hAnsi="Times New Roman" w:eastAsia="宋体" w:cs="Times New Roman"/>
                <w:color w:val="auto"/>
                <w:sz w:val="24"/>
                <w:szCs w:val="24"/>
                <w:highlight w:val="none"/>
                <w:lang w:val="en-US" w:eastAsia="zh-CN"/>
              </w:rPr>
              <w:t>《城市污水再生利用城市杂用水水质》（GB/T18920-2020）中的城市绿化标准后，回用于厂区绿化。</w:t>
            </w:r>
          </w:p>
          <w:p w14:paraId="4723329A">
            <w:pPr>
              <w:pStyle w:val="70"/>
              <w:numPr>
                <w:ilvl w:val="0"/>
                <w:numId w:val="0"/>
              </w:numPr>
              <w:ind w:firstLine="482" w:firstLineChars="200"/>
              <w:rPr>
                <w:rFonts w:hint="default" w:ascii="Times New Roman" w:hAnsi="Times New Roman" w:eastAsia="宋体" w:cs="Times New Roman"/>
                <w:b/>
                <w:bCs/>
                <w:color w:val="auto"/>
                <w:sz w:val="24"/>
                <w:szCs w:val="21"/>
                <w:highlight w:val="none"/>
                <w:lang w:val="en-US" w:eastAsia="zh-CN"/>
              </w:rPr>
            </w:pPr>
            <w:r>
              <w:rPr>
                <w:rFonts w:hint="eastAsia" w:ascii="Times New Roman" w:hAnsi="Times New Roman" w:eastAsia="宋体" w:cs="Times New Roman"/>
                <w:b/>
                <w:bCs/>
                <w:color w:val="auto"/>
                <w:kern w:val="2"/>
                <w:sz w:val="24"/>
                <w:szCs w:val="21"/>
                <w:highlight w:val="none"/>
                <w:lang w:val="en-US" w:eastAsia="zh-CN" w:bidi="ar-SA"/>
              </w:rPr>
              <w:t>3）</w:t>
            </w:r>
            <w:r>
              <w:rPr>
                <w:rFonts w:hint="eastAsia" w:ascii="Times New Roman" w:hAnsi="Times New Roman" w:eastAsia="宋体" w:cs="宋体"/>
                <w:b/>
                <w:bCs/>
                <w:color w:val="auto"/>
                <w:sz w:val="24"/>
                <w:highlight w:val="none"/>
                <w:lang w:val="en-US" w:eastAsia="zh-CN"/>
              </w:rPr>
              <w:t>绿化用水</w:t>
            </w:r>
          </w:p>
          <w:p w14:paraId="773B35C3">
            <w:pPr>
              <w:pStyle w:val="70"/>
              <w:numPr>
                <w:ilvl w:val="0"/>
                <w:numId w:val="0"/>
              </w:numPr>
              <w:ind w:firstLine="480" w:firstLineChars="200"/>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Cs/>
                <w:color w:val="auto"/>
                <w:kern w:val="0"/>
                <w:sz w:val="24"/>
                <w:highlight w:val="none"/>
                <w:lang w:val="en-US" w:eastAsia="zh-CN"/>
              </w:rPr>
              <w:t>厂区四周设置绿化带</w:t>
            </w:r>
            <w:r>
              <w:rPr>
                <w:rFonts w:hint="eastAsia" w:ascii="Times New Roman" w:hAnsi="Times New Roman" w:eastAsia="宋体" w:cs="Times New Roman"/>
                <w:bCs/>
                <w:color w:val="auto"/>
                <w:kern w:val="0"/>
                <w:sz w:val="24"/>
                <w:highlight w:val="none"/>
                <w:lang w:val="en-US" w:eastAsia="zh-CN"/>
              </w:rPr>
              <w:t>2500</w:t>
            </w:r>
            <w:r>
              <w:rPr>
                <w:rFonts w:hint="default" w:ascii="Times New Roman" w:hAnsi="Times New Roman" w:eastAsia="宋体" w:cs="Times New Roman"/>
                <w:bCs/>
                <w:color w:val="auto"/>
                <w:kern w:val="0"/>
                <w:sz w:val="24"/>
                <w:highlight w:val="none"/>
              </w:rPr>
              <w:t>m</w:t>
            </w:r>
            <w:r>
              <w:rPr>
                <w:rFonts w:hint="default" w:ascii="Times New Roman" w:hAnsi="Times New Roman" w:eastAsia="宋体" w:cs="Times New Roman"/>
                <w:bCs/>
                <w:color w:val="auto"/>
                <w:kern w:val="0"/>
                <w:sz w:val="24"/>
                <w:highlight w:val="none"/>
                <w:vertAlign w:val="superscript"/>
              </w:rPr>
              <w:t>2</w:t>
            </w:r>
            <w:r>
              <w:rPr>
                <w:rFonts w:hint="default" w:ascii="Times New Roman" w:hAnsi="Times New Roman" w:eastAsia="宋体" w:cs="Times New Roman"/>
                <w:bCs/>
                <w:color w:val="auto"/>
                <w:kern w:val="0"/>
                <w:sz w:val="24"/>
                <w:highlight w:val="none"/>
                <w:vertAlign w:val="baseline"/>
                <w:lang w:eastAsia="zh-CN"/>
              </w:rPr>
              <w:t>，</w:t>
            </w:r>
            <w:r>
              <w:rPr>
                <w:rFonts w:hint="default" w:ascii="Times New Roman" w:hAnsi="Times New Roman" w:eastAsia="宋体" w:cs="Times New Roman"/>
                <w:bCs/>
                <w:color w:val="auto"/>
                <w:kern w:val="0"/>
                <w:sz w:val="24"/>
                <w:highlight w:val="none"/>
              </w:rPr>
              <w:t>根据</w:t>
            </w:r>
            <w:r>
              <w:rPr>
                <w:rFonts w:hint="default" w:ascii="Times New Roman" w:hAnsi="Times New Roman" w:eastAsia="宋体" w:cs="Times New Roman"/>
                <w:color w:val="auto"/>
                <w:kern w:val="0"/>
                <w:sz w:val="24"/>
                <w:highlight w:val="none"/>
              </w:rPr>
              <w:t>《云南省地方标准用水定额》（DB53/T168-2019）绿化用水量按照3L/（m</w:t>
            </w:r>
            <w:r>
              <w:rPr>
                <w:rFonts w:hint="default" w:ascii="Times New Roman" w:hAnsi="Times New Roman" w:eastAsia="宋体" w:cs="Times New Roman"/>
                <w:color w:val="auto"/>
                <w:kern w:val="0"/>
                <w:sz w:val="24"/>
                <w:highlight w:val="none"/>
                <w:vertAlign w:val="superscript"/>
              </w:rPr>
              <w:t>2</w:t>
            </w:r>
            <w:r>
              <w:rPr>
                <w:rFonts w:hint="default" w:ascii="Times New Roman" w:hAnsi="Times New Roman" w:eastAsia="宋体" w:cs="Times New Roman"/>
                <w:color w:val="auto"/>
                <w:kern w:val="0"/>
                <w:sz w:val="24"/>
                <w:highlight w:val="none"/>
              </w:rPr>
              <w:t>·次）。非雨天项目内绿化用水量为</w:t>
            </w:r>
            <w:r>
              <w:rPr>
                <w:rFonts w:hint="eastAsia" w:ascii="Times New Roman" w:hAnsi="Times New Roman" w:eastAsia="宋体" w:cs="Times New Roman"/>
                <w:color w:val="auto"/>
                <w:kern w:val="0"/>
                <w:sz w:val="24"/>
                <w:highlight w:val="none"/>
                <w:lang w:val="en-US" w:eastAsia="zh-CN"/>
              </w:rPr>
              <w:t>7.5</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w:t>
            </w:r>
            <w:r>
              <w:rPr>
                <w:rFonts w:hint="eastAsia" w:ascii="Times New Roman" w:hAnsi="Times New Roman" w:eastAsia="宋体" w:cs="Times New Roman"/>
                <w:color w:val="auto"/>
                <w:kern w:val="0"/>
                <w:sz w:val="24"/>
                <w:highlight w:val="none"/>
                <w:lang w:val="en-US" w:eastAsia="zh-CN"/>
              </w:rPr>
              <w:t>红塔区</w:t>
            </w:r>
            <w:r>
              <w:rPr>
                <w:rFonts w:hint="default" w:ascii="Times New Roman" w:hAnsi="Times New Roman" w:eastAsia="宋体" w:cs="Times New Roman"/>
                <w:color w:val="auto"/>
                <w:kern w:val="0"/>
                <w:sz w:val="24"/>
                <w:highlight w:val="none"/>
                <w:lang w:val="en-US" w:eastAsia="zh-CN"/>
              </w:rPr>
              <w:t>非</w:t>
            </w:r>
            <w:r>
              <w:rPr>
                <w:rFonts w:hint="default" w:ascii="Times New Roman" w:hAnsi="Times New Roman" w:eastAsia="宋体" w:cs="Times New Roman"/>
                <w:color w:val="auto"/>
                <w:kern w:val="0"/>
                <w:sz w:val="24"/>
                <w:highlight w:val="none"/>
                <w:lang w:eastAsia="zh-CN"/>
              </w:rPr>
              <w:t>雨天按</w:t>
            </w:r>
            <w:r>
              <w:rPr>
                <w:rFonts w:hint="default" w:ascii="Times New Roman" w:hAnsi="Times New Roman" w:eastAsia="宋体" w:cs="Times New Roman"/>
                <w:color w:val="auto"/>
                <w:kern w:val="0"/>
                <w:sz w:val="24"/>
                <w:highlight w:val="none"/>
                <w:lang w:val="en-US" w:eastAsia="zh-CN"/>
              </w:rPr>
              <w:t>200天计，则项目绿化用水量为</w:t>
            </w:r>
            <w:r>
              <w:rPr>
                <w:rFonts w:hint="eastAsia" w:ascii="Times New Roman" w:hAnsi="Times New Roman" w:eastAsia="宋体" w:cs="Times New Roman"/>
                <w:color w:val="auto"/>
                <w:kern w:val="0"/>
                <w:sz w:val="24"/>
                <w:highlight w:val="none"/>
                <w:lang w:val="en-US" w:eastAsia="zh-CN"/>
              </w:rPr>
              <w:t>1500</w:t>
            </w:r>
            <w:r>
              <w:rPr>
                <w:rFonts w:hint="default" w:ascii="Times New Roman" w:hAnsi="Times New Roman" w:eastAsia="宋体"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/a。</w:t>
            </w:r>
            <w:r>
              <w:rPr>
                <w:rFonts w:hint="default" w:ascii="Times New Roman" w:hAnsi="Times New Roman" w:eastAsia="宋体" w:cs="Times New Roman"/>
                <w:color w:val="auto"/>
                <w:kern w:val="0"/>
                <w:sz w:val="24"/>
                <w:highlight w:val="none"/>
              </w:rPr>
              <w:t>雨天不涉及绿化用水。</w:t>
            </w:r>
          </w:p>
          <w:p w14:paraId="2DCE1164">
            <w:pPr>
              <w:pStyle w:val="70"/>
              <w:ind w:firstLine="480"/>
              <w:rPr>
                <w:rFonts w:hint="default" w:ascii="Times New Roman" w:hAnsi="Times New Roman" w:cs="宋体"/>
                <w:b/>
                <w:bCs/>
                <w:color w:val="auto"/>
                <w:highlight w:val="none"/>
                <w:lang w:val="en-US" w:eastAsia="zh-CN"/>
              </w:rPr>
            </w:pPr>
            <w:r>
              <w:rPr>
                <w:rFonts w:hint="eastAsia" w:ascii="Times New Roman" w:hAnsi="Times New Roman" w:cs="宋体"/>
                <w:b/>
                <w:bCs/>
                <w:color w:val="auto"/>
                <w:highlight w:val="none"/>
                <w:lang w:val="en-US" w:eastAsia="zh-CN"/>
              </w:rPr>
              <w:t>4）初期雨水</w:t>
            </w:r>
          </w:p>
          <w:p w14:paraId="14665E84">
            <w:pPr>
              <w:pStyle w:val="70"/>
              <w:ind w:firstLine="480"/>
              <w:rPr>
                <w:rFonts w:ascii="Times New Roman" w:hAnsi="Times New Roman" w:eastAsia="宋体"/>
                <w:color w:val="auto"/>
                <w:sz w:val="24"/>
                <w:highlight w:val="none"/>
              </w:rPr>
            </w:pPr>
            <w:r>
              <w:rPr>
                <w:rFonts w:hint="eastAsia" w:ascii="Times New Roman" w:hAnsi="Times New Roman" w:eastAsia="宋体"/>
                <w:color w:val="auto"/>
                <w:sz w:val="24"/>
                <w:highlight w:val="none"/>
              </w:rPr>
              <w:t>项目厂区周边雨水通过截水沟外排，在降雨初期</w:t>
            </w:r>
            <w:r>
              <w:rPr>
                <w:rFonts w:hint="eastAsia" w:ascii="Times New Roman" w:hAnsi="Times New Roman" w:eastAsia="宋体"/>
                <w:color w:val="auto"/>
                <w:sz w:val="24"/>
                <w:highlight w:val="none"/>
                <w:lang w:val="en-US" w:eastAsia="zh-CN"/>
              </w:rPr>
              <w:t>堆场区、</w:t>
            </w:r>
            <w:r>
              <w:rPr>
                <w:rFonts w:hint="eastAsia" w:ascii="Times New Roman" w:hAnsi="Times New Roman" w:eastAsia="宋体"/>
                <w:color w:val="auto"/>
                <w:sz w:val="24"/>
                <w:highlight w:val="none"/>
              </w:rPr>
              <w:t>运输道路区地面冲刷会带走物料粉尘，初期雨水不得直接进入地表水体。本次环评提出对初期雨水进行收集，初期雨水地表径流中含有的主要成分为SS，经初期雨水收集池沉淀处理后部分回用于洒水降尘，回用不完的雨水外排。初期雨水收集沉淀池容积按照该地区暴雨公式计算。雨水汇水量计算公式：</w:t>
            </w:r>
          </w:p>
          <w:p w14:paraId="51BB1155">
            <w:pPr>
              <w:adjustRightInd w:val="0"/>
              <w:snapToGrid w:val="0"/>
              <w:spacing w:line="360" w:lineRule="auto"/>
              <w:jc w:val="center"/>
              <w:rPr>
                <w:rFonts w:ascii="Times New Roman" w:hAnsi="Times New Roman" w:eastAsia="宋体"/>
                <w:color w:val="auto"/>
                <w:sz w:val="24"/>
                <w:szCs w:val="28"/>
                <w:highlight w:val="none"/>
              </w:rPr>
            </w:pPr>
            <m:oMathPara>
              <m:oMath>
                <m:r>
                  <m:rPr/>
                  <w:rPr>
                    <w:rFonts w:ascii="Times New Roman" w:hAnsi="Times New Roman" w:eastAsia="宋体"/>
                    <w:color w:val="auto"/>
                    <w:sz w:val="24"/>
                    <w:szCs w:val="28"/>
                    <w:highlight w:val="none"/>
                  </w:rPr>
                  <m:t>Q=</m:t>
                </m:r>
                <m:r>
                  <m:rPr/>
                  <w:rPr>
                    <w:rFonts w:hint="eastAsia" w:ascii="Times New Roman" w:hAnsi="Times New Roman" w:eastAsia="宋体"/>
                    <w:color w:val="auto"/>
                    <w:sz w:val="24"/>
                    <w:szCs w:val="28"/>
                    <w:highlight w:val="none"/>
                  </w:rPr>
                  <m:t>Ψ</m:t>
                </m:r>
                <m:r>
                  <m:rPr/>
                  <w:rPr>
                    <w:rFonts w:ascii="Times New Roman" w:hAnsi="Times New Roman" w:eastAsia="宋体"/>
                    <w:color w:val="auto"/>
                    <w:sz w:val="24"/>
                    <w:szCs w:val="28"/>
                    <w:highlight w:val="none"/>
                  </w:rPr>
                  <m:t>×</m:t>
                </m:r>
                <m:r>
                  <m:rPr/>
                  <w:rPr>
                    <w:rFonts w:hint="eastAsia" w:ascii="Times New Roman" w:hAnsi="Times New Roman" w:eastAsia="宋体"/>
                    <w:color w:val="auto"/>
                    <w:sz w:val="24"/>
                    <w:szCs w:val="28"/>
                    <w:highlight w:val="none"/>
                  </w:rPr>
                  <m:t>q</m:t>
                </m:r>
                <m:r>
                  <m:rPr/>
                  <w:rPr>
                    <w:rFonts w:ascii="Times New Roman" w:hAnsi="Times New Roman" w:eastAsia="宋体"/>
                    <w:color w:val="auto"/>
                    <w:sz w:val="24"/>
                    <w:szCs w:val="28"/>
                    <w:highlight w:val="none"/>
                  </w:rPr>
                  <m:t>×F</m:t>
                </m:r>
              </m:oMath>
            </m:oMathPara>
          </w:p>
          <w:p w14:paraId="0F6FDB76">
            <w:pPr>
              <w:pStyle w:val="70"/>
              <w:ind w:firstLine="480"/>
              <w:rPr>
                <w:rFonts w:ascii="Times New Roman" w:hAnsi="Times New Roman" w:eastAsia="宋体"/>
                <w:color w:val="auto"/>
                <w:sz w:val="24"/>
                <w:highlight w:val="none"/>
              </w:rPr>
            </w:pPr>
            <w:r>
              <w:rPr>
                <w:rFonts w:ascii="Times New Roman" w:hAnsi="Times New Roman" w:eastAsia="宋体"/>
                <w:color w:val="auto"/>
                <w:sz w:val="24"/>
                <w:highlight w:val="none"/>
              </w:rPr>
              <w:t>式中：Q—雨水流量，L/s；</w:t>
            </w:r>
          </w:p>
          <w:p w14:paraId="66D823F2">
            <w:pPr>
              <w:pStyle w:val="70"/>
              <w:ind w:firstLine="480"/>
              <w:rPr>
                <w:rFonts w:ascii="Times New Roman" w:hAnsi="Times New Roman" w:eastAsia="宋体"/>
                <w:color w:val="auto"/>
                <w:sz w:val="24"/>
                <w:highlight w:val="none"/>
              </w:rPr>
            </w:pPr>
            <w:r>
              <w:rPr>
                <w:rFonts w:ascii="Times New Roman" w:hAnsi="Times New Roman" w:eastAsia="宋体"/>
                <w:color w:val="auto"/>
                <w:sz w:val="24"/>
                <w:highlight w:val="none"/>
              </w:rPr>
              <w:t>Ψ—径流系数，0.15</w:t>
            </w:r>
            <w:r>
              <w:rPr>
                <w:rFonts w:hint="eastAsia" w:ascii="Times New Roman" w:hAnsi="Times New Roman" w:eastAsia="宋体"/>
                <w:color w:val="auto"/>
                <w:sz w:val="24"/>
                <w:highlight w:val="none"/>
              </w:rPr>
              <w:t>～</w:t>
            </w:r>
            <w:r>
              <w:rPr>
                <w:rFonts w:ascii="Times New Roman" w:hAnsi="Times New Roman" w:eastAsia="宋体"/>
                <w:color w:val="auto"/>
                <w:sz w:val="24"/>
                <w:highlight w:val="none"/>
              </w:rPr>
              <w:t>0.9，</w:t>
            </w:r>
            <w:r>
              <w:rPr>
                <w:rFonts w:hint="eastAsia" w:ascii="Times New Roman" w:hAnsi="Times New Roman" w:eastAsia="宋体"/>
                <w:color w:val="auto"/>
                <w:sz w:val="24"/>
                <w:highlight w:val="none"/>
              </w:rPr>
              <w:t>项目</w:t>
            </w:r>
            <w:r>
              <w:rPr>
                <w:rFonts w:hint="eastAsia" w:ascii="Times New Roman" w:hAnsi="Times New Roman" w:eastAsia="宋体"/>
                <w:color w:val="auto"/>
                <w:sz w:val="24"/>
                <w:highlight w:val="none"/>
                <w:lang w:val="en-US" w:eastAsia="zh-CN"/>
              </w:rPr>
              <w:t>区为铺装地面</w:t>
            </w:r>
            <w:r>
              <w:rPr>
                <w:rFonts w:hint="eastAsia" w:ascii="Times New Roman" w:hAnsi="Times New Roman" w:eastAsia="宋体"/>
                <w:color w:val="auto"/>
                <w:sz w:val="24"/>
                <w:highlight w:val="none"/>
              </w:rPr>
              <w:t>，根据《建筑给排水设计规范》（G</w:t>
            </w:r>
            <w:r>
              <w:rPr>
                <w:rFonts w:ascii="Times New Roman" w:hAnsi="Times New Roman" w:eastAsia="宋体"/>
                <w:color w:val="auto"/>
                <w:sz w:val="24"/>
                <w:highlight w:val="none"/>
              </w:rPr>
              <w:t>B50015-2019</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径流系数综合</w:t>
            </w:r>
            <w:r>
              <w:rPr>
                <w:rFonts w:ascii="Times New Roman" w:hAnsi="Times New Roman" w:eastAsia="宋体"/>
                <w:color w:val="auto"/>
                <w:sz w:val="24"/>
                <w:highlight w:val="none"/>
              </w:rPr>
              <w:t>取0.</w:t>
            </w:r>
            <w:r>
              <w:rPr>
                <w:rFonts w:hint="eastAsia" w:ascii="Times New Roman" w:hAnsi="Times New Roman"/>
                <w:color w:val="auto"/>
                <w:sz w:val="24"/>
                <w:highlight w:val="none"/>
                <w:lang w:val="en-US" w:eastAsia="zh-CN"/>
              </w:rPr>
              <w:t>85</w:t>
            </w:r>
            <w:r>
              <w:rPr>
                <w:rFonts w:ascii="Times New Roman" w:hAnsi="Times New Roman" w:eastAsia="宋体"/>
                <w:color w:val="auto"/>
                <w:sz w:val="24"/>
                <w:highlight w:val="none"/>
              </w:rPr>
              <w:t>；</w:t>
            </w:r>
          </w:p>
          <w:p w14:paraId="35B6317F">
            <w:pPr>
              <w:pStyle w:val="70"/>
              <w:ind w:firstLine="480"/>
              <w:rPr>
                <w:rFonts w:ascii="Times New Roman" w:hAnsi="Times New Roman" w:eastAsia="宋体"/>
                <w:color w:val="auto"/>
                <w:sz w:val="24"/>
                <w:highlight w:val="none"/>
              </w:rPr>
            </w:pPr>
            <w:r>
              <w:rPr>
                <w:rFonts w:ascii="Times New Roman" w:hAnsi="Times New Roman" w:eastAsia="宋体"/>
                <w:color w:val="auto"/>
                <w:sz w:val="24"/>
                <w:highlight w:val="none"/>
              </w:rPr>
              <w:t>q—设计暴雨强度，L/s.hm</w:t>
            </w:r>
            <w:r>
              <w:rPr>
                <w:rFonts w:ascii="Times New Roman" w:hAnsi="Times New Roman" w:eastAsia="宋体"/>
                <w:color w:val="auto"/>
                <w:sz w:val="24"/>
                <w:highlight w:val="none"/>
                <w:vertAlign w:val="superscript"/>
              </w:rPr>
              <w:t>2</w:t>
            </w:r>
            <w:r>
              <w:rPr>
                <w:rFonts w:ascii="Times New Roman" w:hAnsi="Times New Roman" w:eastAsia="宋体"/>
                <w:color w:val="auto"/>
                <w:sz w:val="24"/>
                <w:highlight w:val="none"/>
              </w:rPr>
              <w:t>；</w:t>
            </w:r>
          </w:p>
          <w:p w14:paraId="4C1BCE74">
            <w:pPr>
              <w:pStyle w:val="70"/>
              <w:ind w:firstLine="480"/>
              <w:rPr>
                <w:rFonts w:ascii="Times New Roman" w:hAnsi="Times New Roman" w:eastAsia="宋体"/>
                <w:color w:val="auto"/>
                <w:sz w:val="24"/>
                <w:highlight w:val="none"/>
              </w:rPr>
            </w:pPr>
            <w:r>
              <w:rPr>
                <w:rFonts w:ascii="Times New Roman" w:hAnsi="Times New Roman" w:eastAsia="宋体"/>
                <w:color w:val="auto"/>
                <w:sz w:val="24"/>
                <w:highlight w:val="none"/>
              </w:rPr>
              <w:t>F—汇水面积，m</w:t>
            </w:r>
            <w:r>
              <w:rPr>
                <w:rFonts w:ascii="Times New Roman" w:hAnsi="Times New Roman" w:eastAsia="宋体"/>
                <w:color w:val="auto"/>
                <w:sz w:val="24"/>
                <w:highlight w:val="none"/>
                <w:vertAlign w:val="superscript"/>
              </w:rPr>
              <w:t>2</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项目</w:t>
            </w:r>
            <w:r>
              <w:rPr>
                <w:rFonts w:hint="eastAsia" w:ascii="Times New Roman" w:hAnsi="Times New Roman" w:eastAsia="宋体"/>
                <w:color w:val="auto"/>
                <w:sz w:val="24"/>
                <w:highlight w:val="none"/>
              </w:rPr>
              <w:t>汇水面积为</w:t>
            </w:r>
            <w:r>
              <w:rPr>
                <w:rFonts w:hint="eastAsia" w:ascii="Times New Roman" w:hAnsi="Times New Roman"/>
                <w:color w:val="auto"/>
                <w:sz w:val="24"/>
                <w:highlight w:val="none"/>
                <w:lang w:val="en-US" w:eastAsia="zh-CN"/>
              </w:rPr>
              <w:t>21000</w:t>
            </w:r>
            <w:r>
              <w:rPr>
                <w:rFonts w:hint="eastAsia" w:ascii="Times New Roman" w:hAnsi="Times New Roman" w:eastAsia="宋体"/>
                <w:color w:val="auto"/>
                <w:sz w:val="24"/>
                <w:highlight w:val="none"/>
              </w:rPr>
              <w:t>m</w:t>
            </w:r>
            <w:r>
              <w:rPr>
                <w:rFonts w:hint="eastAsia" w:ascii="Times New Roman" w:hAnsi="Times New Roman" w:eastAsia="宋体"/>
                <w:color w:val="auto"/>
                <w:sz w:val="24"/>
                <w:highlight w:val="none"/>
                <w:vertAlign w:val="superscript"/>
              </w:rPr>
              <w:t>2</w:t>
            </w:r>
            <w:r>
              <w:rPr>
                <w:rFonts w:hint="eastAsia" w:ascii="Times New Roman" w:hAnsi="Times New Roman"/>
                <w:color w:val="auto"/>
                <w:sz w:val="24"/>
                <w:highlight w:val="none"/>
                <w:vertAlign w:val="baseline"/>
                <w:lang w:eastAsia="zh-CN"/>
              </w:rPr>
              <w:t>（</w:t>
            </w:r>
            <w:r>
              <w:rPr>
                <w:rFonts w:hint="eastAsia" w:ascii="Times New Roman" w:hAnsi="Times New Roman"/>
                <w:color w:val="auto"/>
                <w:sz w:val="24"/>
                <w:highlight w:val="none"/>
                <w:vertAlign w:val="baseline"/>
                <w:lang w:val="en-US" w:eastAsia="zh-CN"/>
              </w:rPr>
              <w:t>去除生活区、仓储大棚面积</w:t>
            </w:r>
            <w:r>
              <w:rPr>
                <w:rFonts w:hint="eastAsia" w:ascii="Times New Roman" w:hAnsi="Times New Roman"/>
                <w:color w:val="auto"/>
                <w:sz w:val="24"/>
                <w:highlight w:val="none"/>
                <w:vertAlign w:val="baseline"/>
                <w:lang w:eastAsia="zh-CN"/>
              </w:rPr>
              <w:t>）</w:t>
            </w:r>
            <w:r>
              <w:rPr>
                <w:rFonts w:ascii="Times New Roman" w:hAnsi="Times New Roman" w:eastAsia="宋体"/>
                <w:color w:val="auto"/>
                <w:sz w:val="24"/>
                <w:highlight w:val="none"/>
              </w:rPr>
              <w:t>；</w:t>
            </w:r>
          </w:p>
          <w:p w14:paraId="6B73B289">
            <w:pPr>
              <w:pStyle w:val="70"/>
              <w:ind w:firstLine="480"/>
              <w:rPr>
                <w:rFonts w:ascii="Times New Roman" w:hAnsi="Times New Roman" w:eastAsia="宋体"/>
                <w:color w:val="auto"/>
                <w:sz w:val="24"/>
                <w:highlight w:val="none"/>
              </w:rPr>
            </w:pPr>
            <w:r>
              <w:rPr>
                <w:rFonts w:hint="eastAsia" w:ascii="Times New Roman" w:hAnsi="Times New Roman" w:eastAsia="宋体"/>
                <w:color w:val="auto"/>
                <w:sz w:val="24"/>
                <w:highlight w:val="none"/>
              </w:rPr>
              <w:t>参考</w:t>
            </w:r>
            <w:r>
              <w:rPr>
                <w:rFonts w:hint="eastAsia" w:ascii="Times New Roman" w:hAnsi="Times New Roman" w:eastAsia="宋体"/>
                <w:color w:val="auto"/>
                <w:sz w:val="24"/>
                <w:highlight w:val="none"/>
                <w:lang w:val="en-US" w:eastAsia="zh-CN"/>
              </w:rPr>
              <w:t>玉溪市</w:t>
            </w:r>
            <w:r>
              <w:rPr>
                <w:rFonts w:ascii="Times New Roman" w:hAnsi="Times New Roman" w:eastAsia="宋体"/>
                <w:color w:val="auto"/>
                <w:sz w:val="24"/>
                <w:highlight w:val="none"/>
              </w:rPr>
              <w:t>暴雨强度计算公式：</w:t>
            </w:r>
          </w:p>
          <w:p w14:paraId="72961117">
            <w:pPr>
              <w:widowControl/>
              <w:adjustRightInd w:val="0"/>
              <w:snapToGrid w:val="0"/>
              <w:spacing w:line="360" w:lineRule="auto"/>
              <w:jc w:val="center"/>
              <w:rPr>
                <w:rFonts w:ascii="Times New Roman" w:hAnsi="Times New Roman" w:eastAsia="宋体"/>
                <w:color w:val="auto"/>
                <w:kern w:val="0"/>
                <w:sz w:val="24"/>
                <w:highlight w:val="none"/>
                <w:lang w:bidi="ar"/>
              </w:rPr>
            </w:pPr>
            <m:oMathPara>
              <m:oMath>
                <m:r>
                  <m:rPr/>
                  <w:rPr>
                    <w:rFonts w:hint="eastAsia" w:ascii="Times New Roman" w:hAnsi="Times New Roman" w:cs="Cambria Math" w:eastAsiaTheme="minorEastAsia"/>
                    <w:color w:val="auto"/>
                    <w:sz w:val="24"/>
                    <w:szCs w:val="24"/>
                    <w:highlight w:val="none"/>
                  </w:rPr>
                  <m:t>q</m:t>
                </m:r>
                <m:r>
                  <m:rPr>
                    <m:sty m:val="p"/>
                  </m:rPr>
                  <w:rPr>
                    <w:rFonts w:ascii="Times New Roman" w:hAnsi="Times New Roman" w:eastAsia="Cambria Math" w:cs="Cambria Math"/>
                    <w:color w:val="auto"/>
                    <w:sz w:val="24"/>
                    <w:szCs w:val="24"/>
                    <w:highlight w:val="none"/>
                  </w:rPr>
                  <m:t>=</m:t>
                </m:r>
                <m:f>
                  <m:fPr>
                    <m:ctrlPr>
                      <w:rPr>
                        <w:rFonts w:ascii="Cambria Math" w:hAnsi="Cambria Math" w:eastAsia="Cambria Math" w:cs="Times New Roman"/>
                        <w:color w:val="auto"/>
                        <w:sz w:val="24"/>
                        <w:szCs w:val="24"/>
                        <w:highlight w:val="none"/>
                      </w:rPr>
                    </m:ctrlPr>
                  </m:fPr>
                  <m:num>
                    <m:r>
                      <m:rPr>
                        <m:sty m:val="p"/>
                      </m:rPr>
                      <w:rPr>
                        <w:rFonts w:ascii="Times New Roman" w:hAnsi="Times New Roman" w:eastAsia="Cambria Math" w:cs="Cambria Math"/>
                        <w:color w:val="auto"/>
                        <w:sz w:val="24"/>
                        <w:szCs w:val="24"/>
                        <w:highlight w:val="none"/>
                      </w:rPr>
                      <m:t>2870.528</m:t>
                    </m:r>
                    <m:r>
                      <m:rPr>
                        <m:sty m:val="p"/>
                      </m:rPr>
                      <w:rPr>
                        <w:rFonts w:hint="eastAsia" w:ascii="Times New Roman" w:hAnsi="Times New Roman"/>
                        <w:color w:val="auto"/>
                        <w:sz w:val="24"/>
                        <w:szCs w:val="24"/>
                        <w:highlight w:val="none"/>
                      </w:rPr>
                      <m:t>（</m:t>
                    </m:r>
                    <m:r>
                      <m:rPr>
                        <m:sty m:val="p"/>
                      </m:rPr>
                      <w:rPr>
                        <w:rFonts w:ascii="Times New Roman" w:hAnsi="Times New Roman"/>
                        <w:color w:val="auto"/>
                        <w:sz w:val="24"/>
                        <w:szCs w:val="24"/>
                        <w:highlight w:val="none"/>
                      </w:rPr>
                      <m:t>1+0.633</m:t>
                    </m:r>
                    <m:r>
                      <m:rPr>
                        <m:sty m:val="p"/>
                      </m:rPr>
                      <w:rPr>
                        <w:rFonts w:hint="eastAsia" w:ascii="Times New Roman" w:hAnsi="Times New Roman"/>
                        <w:color w:val="auto"/>
                        <w:sz w:val="24"/>
                        <w:szCs w:val="24"/>
                        <w:highlight w:val="none"/>
                      </w:rPr>
                      <m:t>lg</m:t>
                    </m:r>
                    <m:r>
                      <m:rPr>
                        <m:sty m:val="p"/>
                      </m:rPr>
                      <w:rPr>
                        <w:rFonts w:ascii="Times New Roman" w:hAnsi="Times New Roman"/>
                        <w:color w:val="auto"/>
                        <w:sz w:val="24"/>
                        <w:szCs w:val="24"/>
                        <w:highlight w:val="none"/>
                      </w:rPr>
                      <m:t>P</m:t>
                    </m:r>
                    <m:r>
                      <m:rPr>
                        <m:sty m:val="p"/>
                      </m:rPr>
                      <w:rPr>
                        <w:rFonts w:hint="eastAsia" w:ascii="Times New Roman" w:hAnsi="Times New Roman"/>
                        <w:color w:val="auto"/>
                        <w:sz w:val="24"/>
                        <w:szCs w:val="24"/>
                        <w:highlight w:val="none"/>
                      </w:rPr>
                      <m:t>）</m:t>
                    </m:r>
                    <m:ctrlPr>
                      <w:rPr>
                        <w:rFonts w:ascii="Cambria Math" w:hAnsi="Cambria Math" w:eastAsia="Cambria Math" w:cs="Times New Roman"/>
                        <w:color w:val="auto"/>
                        <w:sz w:val="24"/>
                        <w:szCs w:val="24"/>
                        <w:highlight w:val="none"/>
                      </w:rPr>
                    </m:ctrlPr>
                  </m:num>
                  <m:den>
                    <m:sSup>
                      <m:sSupPr>
                        <m:ctrlPr>
                          <w:rPr>
                            <w:rFonts w:ascii="Cambria Math" w:hAnsi="Cambria Math" w:eastAsia="Cambria Math" w:cs="Cambria Math"/>
                            <w:color w:val="auto"/>
                            <w:sz w:val="24"/>
                            <w:szCs w:val="24"/>
                            <w:highlight w:val="none"/>
                          </w:rPr>
                        </m:ctrlPr>
                      </m:sSupPr>
                      <m:e>
                        <m:r>
                          <m:rPr>
                            <m:sty m:val="p"/>
                          </m:rPr>
                          <w:rPr>
                            <w:rFonts w:hint="eastAsia" w:ascii="Times New Roman" w:hAnsi="Times New Roman"/>
                            <w:color w:val="auto"/>
                            <w:sz w:val="24"/>
                            <w:szCs w:val="24"/>
                            <w:highlight w:val="none"/>
                          </w:rPr>
                          <m:t>（t+</m:t>
                        </m:r>
                        <m:r>
                          <m:rPr>
                            <m:sty m:val="p"/>
                          </m:rPr>
                          <w:rPr>
                            <w:rFonts w:ascii="Times New Roman" w:hAnsi="Times New Roman"/>
                            <w:color w:val="auto"/>
                            <w:sz w:val="24"/>
                            <w:szCs w:val="24"/>
                            <w:highlight w:val="none"/>
                          </w:rPr>
                          <m:t>14.742</m:t>
                        </m:r>
                        <m:r>
                          <m:rPr>
                            <m:sty m:val="p"/>
                          </m:rPr>
                          <w:rPr>
                            <w:rFonts w:hint="eastAsia" w:ascii="Times New Roman" w:hAnsi="Times New Roman"/>
                            <w:color w:val="auto"/>
                            <w:sz w:val="24"/>
                            <w:szCs w:val="24"/>
                            <w:highlight w:val="none"/>
                          </w:rPr>
                          <m:t>）</m:t>
                        </m:r>
                        <m:ctrlPr>
                          <w:rPr>
                            <w:rFonts w:ascii="Cambria Math" w:hAnsi="Cambria Math" w:eastAsia="Cambria Math" w:cs="Cambria Math"/>
                            <w:color w:val="auto"/>
                            <w:sz w:val="24"/>
                            <w:szCs w:val="24"/>
                            <w:highlight w:val="none"/>
                          </w:rPr>
                        </m:ctrlPr>
                      </m:e>
                      <m:sup>
                        <m:r>
                          <m:rPr/>
                          <w:rPr>
                            <w:rFonts w:ascii="Times New Roman" w:hAnsi="Times New Roman" w:eastAsia="Cambria Math" w:cs="Cambria Math"/>
                            <w:color w:val="auto"/>
                            <w:sz w:val="24"/>
                            <w:szCs w:val="24"/>
                            <w:highlight w:val="none"/>
                          </w:rPr>
                          <m:t>0.818</m:t>
                        </m:r>
                        <m:ctrlPr>
                          <w:rPr>
                            <w:rFonts w:ascii="Cambria Math" w:hAnsi="Cambria Math" w:eastAsia="Cambria Math" w:cs="Cambria Math"/>
                            <w:color w:val="auto"/>
                            <w:sz w:val="24"/>
                            <w:szCs w:val="24"/>
                            <w:highlight w:val="none"/>
                          </w:rPr>
                        </m:ctrlPr>
                      </m:sup>
                    </m:sSup>
                    <m:ctrlPr>
                      <w:rPr>
                        <w:rFonts w:ascii="Cambria Math" w:hAnsi="Cambria Math" w:eastAsia="Cambria Math" w:cs="Times New Roman"/>
                        <w:color w:val="auto"/>
                        <w:sz w:val="24"/>
                        <w:szCs w:val="24"/>
                        <w:highlight w:val="none"/>
                      </w:rPr>
                    </m:ctrlPr>
                  </m:den>
                </m:f>
              </m:oMath>
            </m:oMathPara>
          </w:p>
          <w:p w14:paraId="3DC05387">
            <w:pPr>
              <w:pStyle w:val="70"/>
              <w:ind w:firstLine="480"/>
              <w:rPr>
                <w:rFonts w:ascii="Times New Roman" w:hAnsi="Times New Roman" w:eastAsia="宋体"/>
                <w:color w:val="auto"/>
                <w:sz w:val="24"/>
                <w:highlight w:val="none"/>
              </w:rPr>
            </w:pPr>
            <w:r>
              <w:rPr>
                <w:rFonts w:ascii="Times New Roman" w:hAnsi="Times New Roman" w:eastAsia="宋体"/>
                <w:color w:val="auto"/>
                <w:sz w:val="24"/>
                <w:highlight w:val="none"/>
              </w:rPr>
              <w:t>式中：P—设计降雨重现期1a，</w:t>
            </w:r>
          </w:p>
          <w:p w14:paraId="346A9B75">
            <w:pPr>
              <w:pStyle w:val="70"/>
              <w:ind w:firstLine="480"/>
              <w:rPr>
                <w:rFonts w:ascii="Times New Roman" w:hAnsi="Times New Roman" w:eastAsia="宋体"/>
                <w:color w:val="auto"/>
                <w:sz w:val="24"/>
                <w:highlight w:val="none"/>
              </w:rPr>
            </w:pPr>
            <w:r>
              <w:rPr>
                <w:rFonts w:ascii="Times New Roman" w:hAnsi="Times New Roman" w:eastAsia="宋体"/>
                <w:color w:val="auto"/>
                <w:sz w:val="24"/>
                <w:highlight w:val="none"/>
              </w:rPr>
              <w:t>t—降雨历时（取15min）。</w:t>
            </w:r>
          </w:p>
          <w:p w14:paraId="1CFED297">
            <w:pPr>
              <w:pStyle w:val="70"/>
              <w:ind w:firstLine="480"/>
              <w:rPr>
                <w:rFonts w:hint="eastAsia" w:ascii="Times New Roman" w:hAnsi="Times New Roman" w:eastAsia="宋体" w:cs="宋体"/>
                <w:color w:val="auto"/>
                <w:sz w:val="24"/>
                <w:highlight w:val="none"/>
                <w:lang w:val="en-US" w:eastAsia="zh-CN"/>
              </w:rPr>
            </w:pPr>
            <w:r>
              <w:rPr>
                <w:rFonts w:ascii="Times New Roman" w:hAnsi="Times New Roman" w:eastAsia="宋体"/>
                <w:color w:val="auto"/>
                <w:sz w:val="24"/>
                <w:highlight w:val="none"/>
              </w:rPr>
              <w:t>按照上述公式计算，项目区的暴雨强度为</w:t>
            </w:r>
            <w:r>
              <w:rPr>
                <w:rFonts w:hint="eastAsia" w:ascii="Times New Roman" w:hAnsi="Times New Roman" w:eastAsia="宋体"/>
                <w:color w:val="auto"/>
                <w:sz w:val="24"/>
                <w:highlight w:val="none"/>
                <w:lang w:val="en-US" w:eastAsia="zh-CN"/>
              </w:rPr>
              <w:t>178.955</w:t>
            </w:r>
            <w:r>
              <w:rPr>
                <w:rFonts w:ascii="Times New Roman" w:hAnsi="Times New Roman" w:eastAsia="宋体"/>
                <w:color w:val="auto"/>
                <w:sz w:val="24"/>
                <w:highlight w:val="none"/>
              </w:rPr>
              <w:t>L/秒·hm</w:t>
            </w:r>
            <w:r>
              <w:rPr>
                <w:rFonts w:ascii="Times New Roman" w:hAnsi="Times New Roman" w:eastAsia="宋体"/>
                <w:color w:val="auto"/>
                <w:sz w:val="24"/>
                <w:highlight w:val="none"/>
                <w:vertAlign w:val="superscript"/>
              </w:rPr>
              <w:t>2</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项目区在设计重现期1年的条件下，雨水流量</w:t>
            </w:r>
            <w:r>
              <w:rPr>
                <w:rFonts w:hint="eastAsia" w:ascii="Times New Roman" w:hAnsi="Times New Roman"/>
                <w:color w:val="auto"/>
                <w:sz w:val="24"/>
                <w:highlight w:val="none"/>
                <w:lang w:val="en-US" w:eastAsia="zh-CN"/>
              </w:rPr>
              <w:t>319.44</w:t>
            </w:r>
            <w:r>
              <w:rPr>
                <w:rFonts w:ascii="Times New Roman" w:hAnsi="Times New Roman" w:eastAsia="宋体"/>
                <w:color w:val="auto"/>
                <w:sz w:val="24"/>
                <w:highlight w:val="none"/>
              </w:rPr>
              <w:t>L</w:t>
            </w:r>
            <w:r>
              <w:rPr>
                <w:rFonts w:hint="eastAsia" w:ascii="Times New Roman" w:hAnsi="Times New Roman" w:eastAsia="宋体"/>
                <w:color w:val="auto"/>
                <w:sz w:val="24"/>
                <w:highlight w:val="none"/>
              </w:rPr>
              <w:t>/s，</w:t>
            </w:r>
            <w:r>
              <w:rPr>
                <w:rFonts w:ascii="Times New Roman" w:hAnsi="Times New Roman" w:eastAsia="宋体"/>
                <w:color w:val="auto"/>
                <w:sz w:val="24"/>
                <w:highlight w:val="none"/>
              </w:rPr>
              <w:t>本次评价考虑对暴雨条件下前15min的雨水进行收集，则暴雨情况下需收集的雨水量为</w:t>
            </w:r>
            <w:r>
              <w:rPr>
                <w:rFonts w:hint="eastAsia" w:ascii="Times New Roman" w:hAnsi="Times New Roman"/>
                <w:color w:val="auto"/>
                <w:sz w:val="24"/>
                <w:highlight w:val="none"/>
                <w:lang w:val="en-US" w:eastAsia="zh-CN"/>
              </w:rPr>
              <w:t>287.496</w:t>
            </w:r>
            <w:r>
              <w:rPr>
                <w:rFonts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次</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为了便于施工，项目修建</w:t>
            </w:r>
            <w:r>
              <w:rPr>
                <w:rFonts w:hint="eastAsia" w:ascii="Times New Roman" w:hAnsi="Times New Roman"/>
                <w:color w:val="auto"/>
                <w:sz w:val="24"/>
                <w:highlight w:val="none"/>
                <w:lang w:val="en-US" w:eastAsia="zh-CN"/>
              </w:rPr>
              <w:t>310</w:t>
            </w:r>
            <w:r>
              <w:rPr>
                <w:rFonts w:hint="eastAsia"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hint="eastAsia" w:ascii="Times New Roman" w:hAnsi="Times New Roman" w:eastAsia="宋体"/>
                <w:color w:val="auto"/>
                <w:sz w:val="24"/>
                <w:highlight w:val="none"/>
              </w:rPr>
              <w:t>的初期雨水沉淀池</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共修建</w:t>
            </w:r>
            <w:r>
              <w:rPr>
                <w:rFonts w:hint="eastAsia" w:ascii="Times New Roman" w:hAnsi="Times New Roman"/>
                <w:color w:val="auto"/>
                <w:sz w:val="24"/>
                <w:highlight w:val="none"/>
                <w:lang w:val="en-US" w:eastAsia="zh-CN"/>
              </w:rPr>
              <w:t>3</w:t>
            </w:r>
            <w:r>
              <w:rPr>
                <w:rFonts w:hint="eastAsia" w:ascii="Times New Roman" w:hAnsi="Times New Roman" w:eastAsia="宋体"/>
                <w:color w:val="auto"/>
                <w:sz w:val="24"/>
                <w:highlight w:val="none"/>
                <w:lang w:val="en-US" w:eastAsia="zh-CN"/>
              </w:rPr>
              <w:t>个，</w:t>
            </w:r>
            <w:r>
              <w:rPr>
                <w:rFonts w:hint="eastAsia" w:ascii="Times New Roman" w:hAnsi="Times New Roman" w:eastAsia="宋体" w:cs="Times New Roman"/>
                <w:color w:val="auto"/>
                <w:sz w:val="24"/>
                <w:szCs w:val="21"/>
                <w:highlight w:val="none"/>
                <w:vertAlign w:val="baseline"/>
                <w:lang w:val="en-US" w:eastAsia="zh-CN"/>
              </w:rPr>
              <w:t>1#初期雨水池位于值班室附近，容积</w:t>
            </w:r>
            <w:r>
              <w:rPr>
                <w:rFonts w:hint="eastAsia" w:ascii="Times New Roman" w:hAnsi="Times New Roman" w:cs="Times New Roman"/>
                <w:color w:val="auto"/>
                <w:sz w:val="24"/>
                <w:szCs w:val="21"/>
                <w:highlight w:val="none"/>
                <w:vertAlign w:val="baseline"/>
                <w:lang w:val="en-US" w:eastAsia="zh-CN"/>
              </w:rPr>
              <w:t>45</w:t>
            </w:r>
            <w:r>
              <w:rPr>
                <w:rFonts w:hint="eastAsia" w:ascii="Times New Roman" w:hAnsi="Times New Roman" w:eastAsia="宋体" w:cs="Times New Roman"/>
                <w:color w:val="auto"/>
                <w:sz w:val="24"/>
                <w:szCs w:val="21"/>
                <w:highlight w:val="none"/>
                <w:vertAlign w:val="baseline"/>
                <w:lang w:val="en-US" w:eastAsia="zh-CN"/>
              </w:rPr>
              <w:t>m</w:t>
            </w:r>
            <w:r>
              <w:rPr>
                <w:rFonts w:hint="eastAsia" w:ascii="Times New Roman" w:hAnsi="Times New Roman" w:eastAsia="宋体" w:cs="Times New Roman"/>
                <w:color w:val="auto"/>
                <w:sz w:val="24"/>
                <w:szCs w:val="21"/>
                <w:highlight w:val="none"/>
                <w:vertAlign w:val="superscript"/>
                <w:lang w:val="en-US" w:eastAsia="zh-CN"/>
              </w:rPr>
              <w:t>3</w:t>
            </w:r>
            <w:r>
              <w:rPr>
                <w:rFonts w:hint="eastAsia" w:ascii="Times New Roman" w:hAnsi="Times New Roman" w:eastAsia="宋体" w:cs="Times New Roman"/>
                <w:color w:val="auto"/>
                <w:sz w:val="24"/>
                <w:szCs w:val="21"/>
                <w:highlight w:val="none"/>
                <w:vertAlign w:val="baseline"/>
                <w:lang w:val="en-US" w:eastAsia="zh-CN"/>
              </w:rPr>
              <w:t>，2#初期雨水沉淀池位于地磅房附近，容积</w:t>
            </w:r>
            <w:r>
              <w:rPr>
                <w:rFonts w:hint="eastAsia" w:ascii="Times New Roman" w:hAnsi="Times New Roman" w:cs="Times New Roman"/>
                <w:color w:val="auto"/>
                <w:sz w:val="24"/>
                <w:szCs w:val="21"/>
                <w:highlight w:val="none"/>
                <w:vertAlign w:val="baseline"/>
                <w:lang w:val="en-US" w:eastAsia="zh-CN"/>
              </w:rPr>
              <w:t>75</w:t>
            </w:r>
            <w:r>
              <w:rPr>
                <w:rFonts w:hint="eastAsia" w:ascii="Times New Roman" w:hAnsi="Times New Roman" w:eastAsia="宋体" w:cs="Times New Roman"/>
                <w:color w:val="auto"/>
                <w:sz w:val="24"/>
                <w:szCs w:val="21"/>
                <w:highlight w:val="none"/>
                <w:vertAlign w:val="baseline"/>
                <w:lang w:val="en-US" w:eastAsia="zh-CN"/>
              </w:rPr>
              <w:t>m</w:t>
            </w:r>
            <w:r>
              <w:rPr>
                <w:rFonts w:hint="eastAsia" w:ascii="Times New Roman" w:hAnsi="Times New Roman" w:eastAsia="宋体" w:cs="Times New Roman"/>
                <w:color w:val="auto"/>
                <w:sz w:val="24"/>
                <w:szCs w:val="21"/>
                <w:highlight w:val="none"/>
                <w:vertAlign w:val="superscript"/>
                <w:lang w:val="en-US" w:eastAsia="zh-CN"/>
              </w:rPr>
              <w:t>3</w:t>
            </w:r>
            <w:r>
              <w:rPr>
                <w:rFonts w:hint="eastAsia" w:ascii="Times New Roman" w:hAnsi="Times New Roman"/>
                <w:color w:val="auto"/>
                <w:sz w:val="24"/>
                <w:lang w:val="en-US" w:eastAsia="zh-CN"/>
              </w:rPr>
              <w:t>，3#初期雨水池位于2#初期雨水池东侧，容积190m</w:t>
            </w:r>
            <w:r>
              <w:rPr>
                <w:rFonts w:hint="eastAsia" w:ascii="Times New Roman" w:hAnsi="Times New Roman"/>
                <w:color w:val="auto"/>
                <w:sz w:val="24"/>
                <w:vertAlign w:val="superscript"/>
                <w:lang w:val="en-US" w:eastAsia="zh-CN"/>
              </w:rPr>
              <w:t>3</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用于收集雨水回用于</w:t>
            </w:r>
            <w:r>
              <w:rPr>
                <w:rFonts w:hint="eastAsia" w:ascii="Times New Roman" w:hAnsi="Times New Roman" w:eastAsia="宋体"/>
                <w:color w:val="auto"/>
                <w:sz w:val="24"/>
                <w:highlight w:val="none"/>
                <w:lang w:eastAsia="zh-CN"/>
              </w:rPr>
              <w:t>厂区洒水降尘</w:t>
            </w:r>
            <w:r>
              <w:rPr>
                <w:rFonts w:hint="eastAsia" w:ascii="Times New Roman" w:hAnsi="Times New Roman" w:eastAsia="宋体"/>
                <w:color w:val="auto"/>
                <w:sz w:val="24"/>
                <w:highlight w:val="none"/>
              </w:rPr>
              <w:t>。初期雨水收集，后期雨水则流入周边雨水沟渠</w:t>
            </w:r>
            <w:r>
              <w:rPr>
                <w:rFonts w:hint="eastAsia" w:ascii="Times New Roman" w:hAnsi="Times New Roman" w:eastAsia="宋体"/>
                <w:color w:val="auto"/>
                <w:sz w:val="24"/>
                <w:highlight w:val="none"/>
                <w:lang w:eastAsia="zh-CN"/>
              </w:rPr>
              <w:t>。</w:t>
            </w:r>
          </w:p>
          <w:p w14:paraId="0591721D">
            <w:pPr>
              <w:pStyle w:val="70"/>
              <w:ind w:firstLine="48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（2）本次项目水平衡</w:t>
            </w:r>
          </w:p>
          <w:p w14:paraId="5ABA9326">
            <w:pPr>
              <w:pStyle w:val="70"/>
              <w:ind w:firstLine="482"/>
              <w:rPr>
                <w:rFonts w:hint="default" w:ascii="Times New Roman" w:hAnsi="Times New Roman" w:eastAsia="宋体"/>
                <w:b w:val="0"/>
                <w:bCs w:val="0"/>
                <w:color w:val="auto"/>
                <w:highlight w:val="none"/>
                <w:lang w:val="en-US" w:eastAsia="zh-CN"/>
              </w:rPr>
            </w:pPr>
            <w:r>
              <w:rPr>
                <w:rFonts w:hint="eastAsia" w:ascii="Times New Roman" w:hAnsi="Times New Roman"/>
                <w:b w:val="0"/>
                <w:bCs w:val="0"/>
                <w:color w:val="auto"/>
                <w:highlight w:val="none"/>
                <w:lang w:val="en-US" w:eastAsia="zh-CN"/>
              </w:rPr>
              <w:t>根据上述核算，项目用排水情况如下表。</w:t>
            </w:r>
          </w:p>
          <w:p w14:paraId="3A14D821">
            <w:pPr>
              <w:pStyle w:val="66"/>
              <w:spacing w:line="240" w:lineRule="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表2.1.</w:t>
            </w:r>
            <w:r>
              <w:rPr>
                <w:rFonts w:hint="eastAsia" w:ascii="Times New Roman" w:hAnsi="Times New Roman" w:eastAsia="宋体" w:cs="宋体"/>
                <w:color w:val="auto"/>
                <w:highlight w:val="none"/>
                <w:lang w:val="en-US" w:eastAsia="zh-CN"/>
              </w:rPr>
              <w:t>8</w:t>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 xml:space="preserve">1   </w:t>
            </w:r>
            <w:r>
              <w:rPr>
                <w:rFonts w:hint="eastAsia" w:ascii="Times New Roman" w:hAnsi="Times New Roman" w:eastAsia="宋体" w:cs="宋体"/>
                <w:color w:val="auto"/>
                <w:highlight w:val="none"/>
              </w:rPr>
              <w:t>项目给排水情况一览表</w:t>
            </w:r>
          </w:p>
          <w:tbl>
            <w:tblPr>
              <w:tblStyle w:val="35"/>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819"/>
              <w:gridCol w:w="820"/>
              <w:gridCol w:w="764"/>
              <w:gridCol w:w="722"/>
              <w:gridCol w:w="3489"/>
            </w:tblGrid>
            <w:tr w14:paraId="6232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Merge w:val="restart"/>
                  <w:shd w:val="clear" w:color="auto" w:fill="D9D9D9"/>
                  <w:noWrap w:val="0"/>
                  <w:vAlign w:val="center"/>
                </w:tcPr>
                <w:p w14:paraId="59898605">
                  <w:pPr>
                    <w:pStyle w:val="70"/>
                    <w:spacing w:line="240" w:lineRule="auto"/>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用水对象</w:t>
                  </w:r>
                </w:p>
              </w:tc>
              <w:tc>
                <w:tcPr>
                  <w:tcW w:w="1639" w:type="dxa"/>
                  <w:gridSpan w:val="2"/>
                  <w:shd w:val="clear" w:color="auto" w:fill="D9D9D9"/>
                  <w:noWrap w:val="0"/>
                  <w:vAlign w:val="center"/>
                </w:tcPr>
                <w:p w14:paraId="7BCA707E">
                  <w:pPr>
                    <w:pStyle w:val="70"/>
                    <w:spacing w:line="240" w:lineRule="auto"/>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用水量</w:t>
                  </w:r>
                </w:p>
              </w:tc>
              <w:tc>
                <w:tcPr>
                  <w:tcW w:w="1486" w:type="dxa"/>
                  <w:gridSpan w:val="2"/>
                  <w:shd w:val="clear" w:color="auto" w:fill="D9D9D9"/>
                  <w:noWrap w:val="0"/>
                  <w:vAlign w:val="center"/>
                </w:tcPr>
                <w:p w14:paraId="2ED4DBCA">
                  <w:pPr>
                    <w:pStyle w:val="70"/>
                    <w:spacing w:line="240" w:lineRule="auto"/>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废水产生量</w:t>
                  </w:r>
                </w:p>
              </w:tc>
              <w:tc>
                <w:tcPr>
                  <w:tcW w:w="3489" w:type="dxa"/>
                  <w:vMerge w:val="restart"/>
                  <w:shd w:val="clear" w:color="auto" w:fill="D9D9D9"/>
                  <w:noWrap w:val="0"/>
                  <w:vAlign w:val="center"/>
                </w:tcPr>
                <w:p w14:paraId="77538A18">
                  <w:pPr>
                    <w:pStyle w:val="70"/>
                    <w:spacing w:line="240" w:lineRule="auto"/>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排放情况</w:t>
                  </w:r>
                </w:p>
              </w:tc>
            </w:tr>
            <w:tr w14:paraId="4E25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vMerge w:val="continue"/>
                  <w:shd w:val="clear" w:color="auto" w:fill="D9D9D9"/>
                  <w:noWrap w:val="0"/>
                  <w:vAlign w:val="center"/>
                </w:tcPr>
                <w:p w14:paraId="6A31F580">
                  <w:pPr>
                    <w:pStyle w:val="70"/>
                    <w:spacing w:line="240" w:lineRule="auto"/>
                    <w:ind w:firstLine="0" w:firstLineChars="0"/>
                    <w:jc w:val="center"/>
                    <w:rPr>
                      <w:rFonts w:hint="eastAsia" w:ascii="Times New Roman" w:hAnsi="Times New Roman" w:eastAsia="宋体"/>
                      <w:color w:val="auto"/>
                      <w:sz w:val="21"/>
                      <w:szCs w:val="21"/>
                      <w:highlight w:val="none"/>
                    </w:rPr>
                  </w:pPr>
                </w:p>
              </w:tc>
              <w:tc>
                <w:tcPr>
                  <w:tcW w:w="819" w:type="dxa"/>
                  <w:shd w:val="clear" w:color="auto" w:fill="D9D9D9"/>
                  <w:noWrap w:val="0"/>
                  <w:vAlign w:val="center"/>
                </w:tcPr>
                <w:p w14:paraId="3798662C">
                  <w:pPr>
                    <w:pStyle w:val="70"/>
                    <w:spacing w:line="240" w:lineRule="auto"/>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w:t>
                  </w:r>
                  <w:r>
                    <w:rPr>
                      <w:rFonts w:ascii="Times New Roman" w:hAnsi="Times New Roman" w:eastAsia="宋体"/>
                      <w:color w:val="auto"/>
                      <w:sz w:val="21"/>
                      <w:szCs w:val="21"/>
                      <w:highlight w:val="none"/>
                      <w:vertAlign w:val="superscript"/>
                    </w:rPr>
                    <w:t>3</w:t>
                  </w:r>
                  <w:r>
                    <w:rPr>
                      <w:rFonts w:ascii="Times New Roman" w:hAnsi="Times New Roman" w:eastAsia="宋体"/>
                      <w:color w:val="auto"/>
                      <w:sz w:val="21"/>
                      <w:szCs w:val="21"/>
                      <w:highlight w:val="none"/>
                    </w:rPr>
                    <w:t>/d</w:t>
                  </w:r>
                </w:p>
              </w:tc>
              <w:tc>
                <w:tcPr>
                  <w:tcW w:w="820" w:type="dxa"/>
                  <w:shd w:val="clear" w:color="auto" w:fill="D9D9D9"/>
                  <w:noWrap w:val="0"/>
                  <w:vAlign w:val="center"/>
                </w:tcPr>
                <w:p w14:paraId="499BA284">
                  <w:pPr>
                    <w:pStyle w:val="70"/>
                    <w:spacing w:line="240" w:lineRule="auto"/>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w:t>
                  </w:r>
                  <w:r>
                    <w:rPr>
                      <w:rFonts w:ascii="Times New Roman" w:hAnsi="Times New Roman" w:eastAsia="宋体"/>
                      <w:color w:val="auto"/>
                      <w:sz w:val="21"/>
                      <w:szCs w:val="21"/>
                      <w:highlight w:val="none"/>
                      <w:vertAlign w:val="superscript"/>
                    </w:rPr>
                    <w:t>3</w:t>
                  </w:r>
                  <w:r>
                    <w:rPr>
                      <w:rFonts w:ascii="Times New Roman" w:hAnsi="Times New Roman" w:eastAsia="宋体"/>
                      <w:color w:val="auto"/>
                      <w:sz w:val="21"/>
                      <w:szCs w:val="21"/>
                      <w:highlight w:val="none"/>
                    </w:rPr>
                    <w:t>/a</w:t>
                  </w:r>
                </w:p>
              </w:tc>
              <w:tc>
                <w:tcPr>
                  <w:tcW w:w="764" w:type="dxa"/>
                  <w:shd w:val="clear" w:color="auto" w:fill="D9D9D9"/>
                  <w:noWrap w:val="0"/>
                  <w:vAlign w:val="center"/>
                </w:tcPr>
                <w:p w14:paraId="6654AF90">
                  <w:pPr>
                    <w:pStyle w:val="70"/>
                    <w:spacing w:line="240" w:lineRule="auto"/>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w:t>
                  </w:r>
                  <w:r>
                    <w:rPr>
                      <w:rFonts w:ascii="Times New Roman" w:hAnsi="Times New Roman" w:eastAsia="宋体"/>
                      <w:color w:val="auto"/>
                      <w:sz w:val="21"/>
                      <w:szCs w:val="21"/>
                      <w:highlight w:val="none"/>
                      <w:vertAlign w:val="superscript"/>
                    </w:rPr>
                    <w:t>3</w:t>
                  </w:r>
                  <w:r>
                    <w:rPr>
                      <w:rFonts w:ascii="Times New Roman" w:hAnsi="Times New Roman" w:eastAsia="宋体"/>
                      <w:color w:val="auto"/>
                      <w:sz w:val="21"/>
                      <w:szCs w:val="21"/>
                      <w:highlight w:val="none"/>
                    </w:rPr>
                    <w:t>/d</w:t>
                  </w:r>
                </w:p>
              </w:tc>
              <w:tc>
                <w:tcPr>
                  <w:tcW w:w="722" w:type="dxa"/>
                  <w:shd w:val="clear" w:color="auto" w:fill="D9D9D9"/>
                  <w:noWrap w:val="0"/>
                  <w:vAlign w:val="center"/>
                </w:tcPr>
                <w:p w14:paraId="44D10C61">
                  <w:pPr>
                    <w:pStyle w:val="70"/>
                    <w:spacing w:line="240" w:lineRule="auto"/>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w:t>
                  </w:r>
                  <w:r>
                    <w:rPr>
                      <w:rFonts w:ascii="Times New Roman" w:hAnsi="Times New Roman" w:eastAsia="宋体"/>
                      <w:color w:val="auto"/>
                      <w:sz w:val="21"/>
                      <w:szCs w:val="21"/>
                      <w:highlight w:val="none"/>
                      <w:vertAlign w:val="superscript"/>
                    </w:rPr>
                    <w:t>3</w:t>
                  </w:r>
                  <w:r>
                    <w:rPr>
                      <w:rFonts w:ascii="Times New Roman" w:hAnsi="Times New Roman" w:eastAsia="宋体"/>
                      <w:color w:val="auto"/>
                      <w:sz w:val="21"/>
                      <w:szCs w:val="21"/>
                      <w:highlight w:val="none"/>
                    </w:rPr>
                    <w:t>/a</w:t>
                  </w:r>
                </w:p>
              </w:tc>
              <w:tc>
                <w:tcPr>
                  <w:tcW w:w="3489" w:type="dxa"/>
                  <w:vMerge w:val="continue"/>
                  <w:shd w:val="clear" w:color="auto" w:fill="D9D9D9"/>
                  <w:noWrap w:val="0"/>
                  <w:vAlign w:val="center"/>
                </w:tcPr>
                <w:p w14:paraId="679E82F3">
                  <w:pPr>
                    <w:pStyle w:val="70"/>
                    <w:spacing w:line="240" w:lineRule="auto"/>
                    <w:ind w:firstLine="0" w:firstLineChars="0"/>
                    <w:jc w:val="center"/>
                    <w:rPr>
                      <w:rFonts w:hint="eastAsia" w:ascii="Times New Roman" w:hAnsi="Times New Roman" w:eastAsia="宋体"/>
                      <w:color w:val="auto"/>
                      <w:sz w:val="21"/>
                      <w:szCs w:val="21"/>
                      <w:highlight w:val="none"/>
                    </w:rPr>
                  </w:pPr>
                </w:p>
              </w:tc>
            </w:tr>
            <w:tr w14:paraId="3153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6" w:type="dxa"/>
                  <w:noWrap w:val="0"/>
                  <w:vAlign w:val="center"/>
                </w:tcPr>
                <w:p w14:paraId="322F5932">
                  <w:pPr>
                    <w:pStyle w:val="70"/>
                    <w:spacing w:line="240" w:lineRule="auto"/>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员工</w:t>
                  </w:r>
                </w:p>
              </w:tc>
              <w:tc>
                <w:tcPr>
                  <w:tcW w:w="819" w:type="dxa"/>
                  <w:noWrap w:val="0"/>
                  <w:vAlign w:val="center"/>
                </w:tcPr>
                <w:p w14:paraId="69172F4F">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3.5</w:t>
                  </w:r>
                </w:p>
              </w:tc>
              <w:tc>
                <w:tcPr>
                  <w:tcW w:w="820" w:type="dxa"/>
                  <w:noWrap w:val="0"/>
                  <w:vAlign w:val="center"/>
                </w:tcPr>
                <w:p w14:paraId="53192C3A">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1050</w:t>
                  </w:r>
                </w:p>
              </w:tc>
              <w:tc>
                <w:tcPr>
                  <w:tcW w:w="764" w:type="dxa"/>
                  <w:noWrap w:val="0"/>
                  <w:vAlign w:val="center"/>
                </w:tcPr>
                <w:p w14:paraId="36903029">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2.8</w:t>
                  </w:r>
                </w:p>
              </w:tc>
              <w:tc>
                <w:tcPr>
                  <w:tcW w:w="722" w:type="dxa"/>
                  <w:noWrap w:val="0"/>
                  <w:vAlign w:val="center"/>
                </w:tcPr>
                <w:p w14:paraId="11304E72">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840</w:t>
                  </w:r>
                </w:p>
              </w:tc>
              <w:tc>
                <w:tcPr>
                  <w:tcW w:w="3489" w:type="dxa"/>
                  <w:noWrap w:val="0"/>
                  <w:vAlign w:val="center"/>
                </w:tcPr>
                <w:p w14:paraId="7855B33C">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经</w:t>
                  </w:r>
                  <w:r>
                    <w:rPr>
                      <w:rFonts w:hint="eastAsia" w:ascii="Times New Roman" w:hAnsi="Times New Roman" w:eastAsia="宋体" w:cs="Times New Roman"/>
                      <w:bCs/>
                      <w:color w:val="auto"/>
                      <w:sz w:val="21"/>
                      <w:szCs w:val="21"/>
                      <w:highlight w:val="none"/>
                      <w:lang w:val="en-US" w:eastAsia="zh-CN"/>
                    </w:rPr>
                    <w:t>隔油池、</w:t>
                  </w:r>
                  <w:r>
                    <w:rPr>
                      <w:rFonts w:hint="default" w:ascii="Times New Roman" w:hAnsi="Times New Roman" w:eastAsia="宋体" w:cs="Times New Roman"/>
                      <w:bCs/>
                      <w:color w:val="auto"/>
                      <w:sz w:val="21"/>
                      <w:szCs w:val="21"/>
                      <w:highlight w:val="none"/>
                      <w:lang w:val="en-US" w:eastAsia="zh-CN"/>
                    </w:rPr>
                    <w:t>化粪池</w:t>
                  </w:r>
                  <w:r>
                    <w:rPr>
                      <w:rFonts w:hint="eastAsia" w:ascii="Times New Roman" w:hAnsi="Times New Roman" w:eastAsia="宋体" w:cs="Times New Roman"/>
                      <w:bCs/>
                      <w:color w:val="auto"/>
                      <w:sz w:val="21"/>
                      <w:szCs w:val="21"/>
                      <w:highlight w:val="none"/>
                      <w:lang w:val="en-US" w:eastAsia="zh-CN"/>
                    </w:rPr>
                    <w:t>预处理后排入</w:t>
                  </w:r>
                  <w:r>
                    <w:rPr>
                      <w:rFonts w:hint="default" w:ascii="Times New Roman" w:hAnsi="Times New Roman" w:eastAsia="宋体" w:cs="Times New Roman"/>
                      <w:bCs/>
                      <w:color w:val="auto"/>
                      <w:sz w:val="21"/>
                      <w:szCs w:val="21"/>
                      <w:highlight w:val="none"/>
                      <w:lang w:val="en-US" w:eastAsia="zh-CN"/>
                    </w:rPr>
                    <w:t>一体化污水处理设备</w:t>
                  </w:r>
                  <w:r>
                    <w:rPr>
                      <w:rFonts w:hint="default" w:ascii="Times New Roman" w:hAnsi="Times New Roman" w:eastAsia="宋体" w:cs="Times New Roman"/>
                      <w:bCs/>
                      <w:color w:val="auto"/>
                      <w:sz w:val="21"/>
                      <w:szCs w:val="21"/>
                      <w:highlight w:val="none"/>
                    </w:rPr>
                    <w:t>处理</w:t>
                  </w:r>
                  <w:r>
                    <w:rPr>
                      <w:rFonts w:hint="default" w:ascii="Times New Roman" w:hAnsi="Times New Roman" w:eastAsia="宋体" w:cs="Times New Roman"/>
                      <w:bCs/>
                      <w:color w:val="auto"/>
                      <w:sz w:val="21"/>
                      <w:szCs w:val="21"/>
                      <w:highlight w:val="none"/>
                      <w:lang w:eastAsia="zh-CN"/>
                    </w:rPr>
                    <w:t>，</w:t>
                  </w:r>
                  <w:r>
                    <w:rPr>
                      <w:rFonts w:hint="eastAsia" w:ascii="Times New Roman" w:hAnsi="Times New Roman" w:cs="Times New Roman"/>
                      <w:bCs/>
                      <w:color w:val="auto"/>
                      <w:sz w:val="21"/>
                      <w:szCs w:val="21"/>
                      <w:highlight w:val="none"/>
                      <w:lang w:eastAsia="zh-CN"/>
                    </w:rPr>
                    <w:t>达到</w:t>
                  </w:r>
                  <w:r>
                    <w:rPr>
                      <w:rFonts w:hint="default" w:ascii="Times New Roman" w:hAnsi="Times New Roman" w:eastAsia="宋体" w:cs="Times New Roman"/>
                      <w:color w:val="auto"/>
                      <w:sz w:val="21"/>
                      <w:szCs w:val="21"/>
                      <w:highlight w:val="none"/>
                      <w:lang w:val="en-US" w:eastAsia="zh-CN"/>
                    </w:rPr>
                    <w:t>《城市污水再生利用城市杂用水水质》（GB/T18920-2020）中的城市绿化标准后，回用于厂区绿化，不外排</w:t>
                  </w:r>
                </w:p>
              </w:tc>
            </w:tr>
            <w:tr w14:paraId="2EAC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616" w:type="dxa"/>
                  <w:noWrap w:val="0"/>
                  <w:vAlign w:val="center"/>
                </w:tcPr>
                <w:p w14:paraId="758511E6">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道路洒水</w:t>
                  </w:r>
                </w:p>
              </w:tc>
              <w:tc>
                <w:tcPr>
                  <w:tcW w:w="819" w:type="dxa"/>
                  <w:noWrap w:val="0"/>
                  <w:vAlign w:val="center"/>
                </w:tcPr>
                <w:p w14:paraId="4428B0E2">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10</w:t>
                  </w:r>
                </w:p>
              </w:tc>
              <w:tc>
                <w:tcPr>
                  <w:tcW w:w="820" w:type="dxa"/>
                  <w:noWrap w:val="0"/>
                  <w:vAlign w:val="center"/>
                </w:tcPr>
                <w:p w14:paraId="29DA079E">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2000</w:t>
                  </w:r>
                </w:p>
              </w:tc>
              <w:tc>
                <w:tcPr>
                  <w:tcW w:w="764" w:type="dxa"/>
                  <w:noWrap w:val="0"/>
                  <w:vAlign w:val="center"/>
                </w:tcPr>
                <w:p w14:paraId="52F9371B">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722" w:type="dxa"/>
                  <w:noWrap w:val="0"/>
                  <w:vAlign w:val="center"/>
                </w:tcPr>
                <w:p w14:paraId="2649E128">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3489" w:type="dxa"/>
                  <w:noWrap w:val="0"/>
                  <w:vAlign w:val="center"/>
                </w:tcPr>
                <w:p w14:paraId="7753BE6B">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非雨天，全部蒸发</w:t>
                  </w:r>
                </w:p>
              </w:tc>
            </w:tr>
            <w:tr w14:paraId="594C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616" w:type="dxa"/>
                  <w:noWrap w:val="0"/>
                  <w:vAlign w:val="center"/>
                </w:tcPr>
                <w:p w14:paraId="52B6DF2D">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堆料大棚降尘</w:t>
                  </w:r>
                </w:p>
              </w:tc>
              <w:tc>
                <w:tcPr>
                  <w:tcW w:w="819" w:type="dxa"/>
                  <w:noWrap w:val="0"/>
                  <w:vAlign w:val="center"/>
                </w:tcPr>
                <w:p w14:paraId="0E4937AD">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133.32</w:t>
                  </w:r>
                </w:p>
              </w:tc>
              <w:tc>
                <w:tcPr>
                  <w:tcW w:w="820" w:type="dxa"/>
                  <w:noWrap w:val="0"/>
                  <w:vAlign w:val="center"/>
                </w:tcPr>
                <w:p w14:paraId="3A650520">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39996</w:t>
                  </w:r>
                </w:p>
              </w:tc>
              <w:tc>
                <w:tcPr>
                  <w:tcW w:w="764" w:type="dxa"/>
                  <w:noWrap w:val="0"/>
                  <w:vAlign w:val="center"/>
                </w:tcPr>
                <w:p w14:paraId="0850D768">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722" w:type="dxa"/>
                  <w:noWrap w:val="0"/>
                  <w:vAlign w:val="center"/>
                </w:tcPr>
                <w:p w14:paraId="2F6E0530">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3489" w:type="dxa"/>
                  <w:noWrap w:val="0"/>
                  <w:vAlign w:val="center"/>
                </w:tcPr>
                <w:p w14:paraId="75F6A2AC">
                  <w:pPr>
                    <w:pStyle w:val="70"/>
                    <w:spacing w:line="240" w:lineRule="auto"/>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color w:val="auto"/>
                      <w:sz w:val="21"/>
                      <w:szCs w:val="21"/>
                      <w:highlight w:val="none"/>
                      <w:lang w:val="en-US" w:eastAsia="zh-CN"/>
                    </w:rPr>
                    <w:t>全部蒸发</w:t>
                  </w:r>
                </w:p>
              </w:tc>
            </w:tr>
            <w:tr w14:paraId="3A09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616" w:type="dxa"/>
                  <w:noWrap w:val="0"/>
                  <w:vAlign w:val="center"/>
                </w:tcPr>
                <w:p w14:paraId="351B2642">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车轮清洗用水</w:t>
                  </w:r>
                </w:p>
              </w:tc>
              <w:tc>
                <w:tcPr>
                  <w:tcW w:w="819" w:type="dxa"/>
                  <w:noWrap w:val="0"/>
                  <w:vAlign w:val="center"/>
                </w:tcPr>
                <w:p w14:paraId="707BC6E6">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45.8</w:t>
                  </w:r>
                </w:p>
              </w:tc>
              <w:tc>
                <w:tcPr>
                  <w:tcW w:w="820" w:type="dxa"/>
                  <w:noWrap w:val="0"/>
                  <w:vAlign w:val="center"/>
                </w:tcPr>
                <w:p w14:paraId="495E9399">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13740</w:t>
                  </w:r>
                </w:p>
              </w:tc>
              <w:tc>
                <w:tcPr>
                  <w:tcW w:w="764" w:type="dxa"/>
                  <w:noWrap w:val="0"/>
                  <w:vAlign w:val="center"/>
                </w:tcPr>
                <w:p w14:paraId="5D5C13C5">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722" w:type="dxa"/>
                  <w:noWrap w:val="0"/>
                  <w:vAlign w:val="center"/>
                </w:tcPr>
                <w:p w14:paraId="33C8ACC3">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3489" w:type="dxa"/>
                  <w:noWrap w:val="0"/>
                  <w:vAlign w:val="center"/>
                </w:tcPr>
                <w:p w14:paraId="5A964980">
                  <w:pPr>
                    <w:pStyle w:val="70"/>
                    <w:spacing w:line="240" w:lineRule="auto"/>
                    <w:ind w:firstLine="0" w:firstLineChars="0"/>
                    <w:jc w:val="center"/>
                    <w:rPr>
                      <w:rFonts w:hint="default" w:ascii="Times New Roman" w:hAnsi="Times New Roman" w:eastAsia="宋体"/>
                      <w:color w:val="auto"/>
                      <w:sz w:val="21"/>
                      <w:szCs w:val="21"/>
                      <w:highlight w:val="none"/>
                      <w:lang w:val="en-US"/>
                    </w:rPr>
                  </w:pPr>
                  <w:r>
                    <w:rPr>
                      <w:rFonts w:hint="eastAsia" w:ascii="Times New Roman" w:hAnsi="Times New Roman"/>
                      <w:color w:val="auto"/>
                      <w:sz w:val="21"/>
                      <w:szCs w:val="21"/>
                      <w:highlight w:val="none"/>
                      <w:lang w:val="en-US" w:eastAsia="zh-CN"/>
                    </w:rPr>
                    <w:t>沉淀后回用</w:t>
                  </w:r>
                </w:p>
              </w:tc>
            </w:tr>
            <w:tr w14:paraId="4AA4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616" w:type="dxa"/>
                  <w:noWrap w:val="0"/>
                  <w:vAlign w:val="center"/>
                </w:tcPr>
                <w:p w14:paraId="547F64BE">
                  <w:pPr>
                    <w:pStyle w:val="70"/>
                    <w:spacing w:line="240" w:lineRule="auto"/>
                    <w:ind w:firstLine="0" w:firstLineChars="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绿化用水</w:t>
                  </w:r>
                </w:p>
              </w:tc>
              <w:tc>
                <w:tcPr>
                  <w:tcW w:w="819" w:type="dxa"/>
                  <w:noWrap w:val="0"/>
                  <w:vAlign w:val="center"/>
                </w:tcPr>
                <w:p w14:paraId="64FA9FE7">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7.5</w:t>
                  </w:r>
                </w:p>
              </w:tc>
              <w:tc>
                <w:tcPr>
                  <w:tcW w:w="820" w:type="dxa"/>
                  <w:noWrap w:val="0"/>
                  <w:vAlign w:val="center"/>
                </w:tcPr>
                <w:p w14:paraId="08E5BC62">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1500</w:t>
                  </w:r>
                </w:p>
              </w:tc>
              <w:tc>
                <w:tcPr>
                  <w:tcW w:w="764" w:type="dxa"/>
                  <w:noWrap w:val="0"/>
                  <w:vAlign w:val="center"/>
                </w:tcPr>
                <w:p w14:paraId="11CE0F4B">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722" w:type="dxa"/>
                  <w:noWrap w:val="0"/>
                  <w:vAlign w:val="center"/>
                </w:tcPr>
                <w:p w14:paraId="261DE4CD">
                  <w:pPr>
                    <w:pStyle w:val="7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c>
                <w:tcPr>
                  <w:tcW w:w="3489" w:type="dxa"/>
                  <w:noWrap w:val="0"/>
                  <w:vAlign w:val="center"/>
                </w:tcPr>
                <w:p w14:paraId="2B2B3986">
                  <w:pPr>
                    <w:pStyle w:val="70"/>
                    <w:spacing w:line="240" w:lineRule="auto"/>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color w:val="auto"/>
                      <w:sz w:val="21"/>
                      <w:szCs w:val="21"/>
                      <w:highlight w:val="none"/>
                      <w:lang w:val="en-US" w:eastAsia="zh-CN"/>
                    </w:rPr>
                    <w:t>非雨天，全部蒸发</w:t>
                  </w:r>
                </w:p>
              </w:tc>
            </w:tr>
          </w:tbl>
          <w:p w14:paraId="082C16C6">
            <w:pPr>
              <w:pStyle w:val="7"/>
              <w:rPr>
                <w:rFonts w:hint="eastAsia" w:ascii="Times New Roman" w:hAnsi="Times New Roman" w:eastAsia="宋体" w:cs="宋体"/>
                <w:color w:val="auto"/>
                <w:highlight w:val="none"/>
              </w:rPr>
            </w:pPr>
          </w:p>
          <w:p w14:paraId="30CD3F01">
            <w:pPr>
              <w:pStyle w:val="7"/>
              <w:rPr>
                <w:rFonts w:hint="eastAsia" w:ascii="Times New Roman" w:hAnsi="Times New Roman" w:eastAsia="宋体" w:cs="宋体"/>
                <w:color w:val="auto"/>
                <w:highlight w:val="none"/>
              </w:rPr>
            </w:pPr>
          </w:p>
          <w:p w14:paraId="27767CE6">
            <w:pPr>
              <w:keepNext w:val="0"/>
              <w:keepLines w:val="0"/>
              <w:pageBreakBefore w:val="0"/>
              <w:widowControl w:val="0"/>
              <w:kinsoku/>
              <w:wordWrap/>
              <w:overflowPunct/>
              <w:topLinePunct w:val="0"/>
              <w:autoSpaceDE/>
              <w:autoSpaceDN/>
              <w:bidi w:val="0"/>
              <w:adjustRightInd w:val="0"/>
              <w:snapToGrid w:val="0"/>
              <w:spacing w:after="160" w:afterLines="50"/>
              <w:jc w:val="center"/>
              <w:textAlignment w:val="auto"/>
              <w:rPr>
                <w:rFonts w:ascii="Times New Roman" w:hAnsi="Times New Roman" w:cs="Arial"/>
                <w:b/>
                <w:color w:val="auto"/>
                <w:highlight w:val="none"/>
              </w:rPr>
            </w:pPr>
            <w:r>
              <w:rPr>
                <w:rFonts w:ascii="Times New Roman" w:hAnsi="Times New Roman" w:cs="Arial"/>
                <w:b/>
                <w:color w:val="auto"/>
                <w:highlight w:val="none"/>
              </w:rPr>
              <w:object>
                <v:shape id="_x0000_i1025" o:spt="75" type="#_x0000_t75" style="height:344.4pt;width:353.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14:paraId="78760E04">
            <w:pPr>
              <w:pStyle w:val="66"/>
              <w:keepNext w:val="0"/>
              <w:keepLines w:val="0"/>
              <w:pageBreakBefore w:val="0"/>
              <w:widowControl w:val="0"/>
              <w:kinsoku/>
              <w:wordWrap/>
              <w:overflowPunct/>
              <w:topLinePunct w:val="0"/>
              <w:autoSpaceDE/>
              <w:autoSpaceDN/>
              <w:bidi w:val="0"/>
              <w:adjustRightInd w:val="0"/>
              <w:snapToGrid w:val="0"/>
              <w:spacing w:before="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图2.1</w:t>
            </w:r>
            <w:r>
              <w:rPr>
                <w:rFonts w:hint="eastAsia" w:ascii="Times New Roman" w:hAnsi="Times New Roman" w:eastAsia="宋体" w:cs="宋体"/>
                <w:color w:val="auto"/>
                <w:highlight w:val="none"/>
                <w:lang w:val="en-US" w:eastAsia="zh-CN"/>
              </w:rPr>
              <w:t>.8</w:t>
            </w:r>
            <w:r>
              <w:rPr>
                <w:rFonts w:hint="eastAsia" w:ascii="Times New Roman" w:hAnsi="Times New Roman" w:eastAsia="宋体" w:cs="宋体"/>
                <w:color w:val="auto"/>
                <w:highlight w:val="none"/>
              </w:rPr>
              <w:t>-1 项目运营期</w:t>
            </w:r>
            <w:r>
              <w:rPr>
                <w:rFonts w:hint="eastAsia" w:ascii="Times New Roman" w:hAnsi="Times New Roman" w:eastAsia="宋体" w:cs="宋体"/>
                <w:color w:val="auto"/>
                <w:highlight w:val="none"/>
                <w:lang w:val="en-US" w:eastAsia="zh-CN"/>
              </w:rPr>
              <w:t>非雨天</w:t>
            </w:r>
            <w:r>
              <w:rPr>
                <w:rFonts w:hint="eastAsia" w:ascii="Times New Roman" w:hAnsi="Times New Roman" w:eastAsia="宋体" w:cs="宋体"/>
                <w:color w:val="auto"/>
                <w:highlight w:val="none"/>
              </w:rPr>
              <w:t>水平衡图 单位：m</w:t>
            </w:r>
            <w:r>
              <w:rPr>
                <w:rFonts w:hint="eastAsia" w:ascii="Times New Roman" w:hAnsi="Times New Roman" w:eastAsia="宋体" w:cs="宋体"/>
                <w:color w:val="auto"/>
                <w:highlight w:val="none"/>
                <w:vertAlign w:val="superscript"/>
              </w:rPr>
              <w:t>3</w:t>
            </w:r>
            <w:r>
              <w:rPr>
                <w:rFonts w:hint="eastAsia" w:ascii="Times New Roman" w:hAnsi="Times New Roman" w:eastAsia="宋体" w:cs="宋体"/>
                <w:color w:val="auto"/>
                <w:highlight w:val="none"/>
              </w:rPr>
              <w:t>/d</w:t>
            </w:r>
          </w:p>
          <w:p w14:paraId="31FFC8FA">
            <w:pPr>
              <w:keepNext w:val="0"/>
              <w:keepLines w:val="0"/>
              <w:pageBreakBefore w:val="0"/>
              <w:widowControl w:val="0"/>
              <w:kinsoku/>
              <w:wordWrap/>
              <w:overflowPunct/>
              <w:topLinePunct w:val="0"/>
              <w:autoSpaceDE/>
              <w:autoSpaceDN/>
              <w:bidi w:val="0"/>
              <w:adjustRightInd w:val="0"/>
              <w:snapToGrid w:val="0"/>
              <w:spacing w:after="160" w:afterLines="50"/>
              <w:jc w:val="center"/>
              <w:textAlignment w:val="auto"/>
              <w:rPr>
                <w:rFonts w:ascii="Times New Roman" w:hAnsi="Times New Roman" w:cs="Arial"/>
                <w:b/>
                <w:color w:val="auto"/>
                <w:highlight w:val="none"/>
              </w:rPr>
            </w:pPr>
            <w:r>
              <w:rPr>
                <w:rFonts w:ascii="Times New Roman" w:hAnsi="Times New Roman" w:cs="Arial"/>
                <w:b/>
                <w:color w:val="auto"/>
                <w:highlight w:val="none"/>
              </w:rPr>
              <w:object>
                <v:shape id="_x0000_i1026" o:spt="75" type="#_x0000_t75" style="height:279.3pt;width:355.95pt;" o:ole="t" filled="f" o:preferrelative="t" stroked="f" coordsize="21600,21600">
                  <v:path/>
                  <v:fill on="f" focussize="0,0"/>
                  <v:stroke on="f"/>
                  <v:imagedata r:id="rId10" o:title=""/>
                  <o:lock v:ext="edit" aspectratio="t"/>
                  <w10:wrap type="none"/>
                  <w10:anchorlock/>
                </v:shape>
                <o:OLEObject Type="Embed" ProgID="Visio.Drawing.15" ShapeID="_x0000_i1026" DrawAspect="Content" ObjectID="_1468075726" r:id="rId9">
                  <o:LockedField>false</o:LockedField>
                </o:OLEObject>
              </w:object>
            </w:r>
          </w:p>
          <w:p w14:paraId="0BE4ADC7">
            <w:pPr>
              <w:pStyle w:val="66"/>
              <w:keepNext w:val="0"/>
              <w:keepLines w:val="0"/>
              <w:pageBreakBefore w:val="0"/>
              <w:widowControl w:val="0"/>
              <w:kinsoku/>
              <w:wordWrap/>
              <w:overflowPunct/>
              <w:topLinePunct w:val="0"/>
              <w:autoSpaceDE/>
              <w:autoSpaceDN/>
              <w:bidi w:val="0"/>
              <w:adjustRightInd w:val="0"/>
              <w:snapToGrid w:val="0"/>
              <w:spacing w:before="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图2.1</w:t>
            </w:r>
            <w:r>
              <w:rPr>
                <w:rFonts w:hint="eastAsia" w:ascii="Times New Roman" w:hAnsi="Times New Roman" w:eastAsia="宋体" w:cs="宋体"/>
                <w:color w:val="auto"/>
                <w:highlight w:val="none"/>
                <w:lang w:val="en-US" w:eastAsia="zh-CN"/>
              </w:rPr>
              <w:t>.8</w:t>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2</w:t>
            </w:r>
            <w:r>
              <w:rPr>
                <w:rFonts w:hint="eastAsia" w:ascii="Times New Roman" w:hAnsi="Times New Roman" w:eastAsia="宋体" w:cs="宋体"/>
                <w:color w:val="auto"/>
                <w:highlight w:val="none"/>
              </w:rPr>
              <w:t xml:space="preserve"> 项目运营期</w:t>
            </w:r>
            <w:r>
              <w:rPr>
                <w:rFonts w:hint="eastAsia" w:ascii="Times New Roman" w:hAnsi="Times New Roman" w:eastAsia="宋体" w:cs="宋体"/>
                <w:color w:val="auto"/>
                <w:highlight w:val="none"/>
                <w:lang w:val="en-US" w:eastAsia="zh-CN"/>
              </w:rPr>
              <w:t>雨天</w:t>
            </w:r>
            <w:r>
              <w:rPr>
                <w:rFonts w:hint="eastAsia" w:ascii="Times New Roman" w:hAnsi="Times New Roman" w:eastAsia="宋体" w:cs="宋体"/>
                <w:color w:val="auto"/>
                <w:highlight w:val="none"/>
              </w:rPr>
              <w:t>水平衡图 单位：m</w:t>
            </w:r>
            <w:r>
              <w:rPr>
                <w:rFonts w:hint="eastAsia" w:ascii="Times New Roman" w:hAnsi="Times New Roman" w:eastAsia="宋体" w:cs="宋体"/>
                <w:color w:val="auto"/>
                <w:highlight w:val="none"/>
                <w:vertAlign w:val="superscript"/>
              </w:rPr>
              <w:t>3</w:t>
            </w:r>
            <w:r>
              <w:rPr>
                <w:rFonts w:hint="eastAsia" w:ascii="Times New Roman" w:hAnsi="Times New Roman" w:eastAsia="宋体" w:cs="宋体"/>
                <w:color w:val="auto"/>
                <w:highlight w:val="none"/>
              </w:rPr>
              <w:t>/d</w:t>
            </w:r>
          </w:p>
          <w:p w14:paraId="3FE931D9">
            <w:pPr>
              <w:keepNext w:val="0"/>
              <w:keepLines/>
              <w:pageBreakBefore w:val="0"/>
              <w:widowControl w:val="0"/>
              <w:kinsoku/>
              <w:wordWrap w:val="0"/>
              <w:overflowPunct/>
              <w:topLinePunct/>
              <w:autoSpaceDE/>
              <w:autoSpaceDN/>
              <w:bidi w:val="0"/>
              <w:adjustRightInd w:val="0"/>
              <w:snapToGrid w:val="0"/>
              <w:spacing w:line="360" w:lineRule="auto"/>
              <w:textAlignment w:val="auto"/>
              <w:rPr>
                <w:rFonts w:hint="default" w:ascii="Times New Roman" w:hAnsi="Times New Roman" w:eastAsia="宋体" w:cs="Times New Roman"/>
                <w:b/>
                <w:bCs/>
                <w:color w:val="auto"/>
                <w:sz w:val="24"/>
                <w:highlight w:val="none"/>
              </w:rPr>
            </w:pPr>
            <w:bookmarkStart w:id="12" w:name="_Toc524030891"/>
            <w:bookmarkStart w:id="13" w:name="_Toc137737901"/>
            <w:r>
              <w:rPr>
                <w:rFonts w:hint="eastAsia" w:ascii="Times New Roman" w:hAnsi="Times New Roman" w:cs="Times New Roman"/>
                <w:b/>
                <w:bCs/>
                <w:color w:val="auto"/>
                <w:sz w:val="24"/>
                <w:highlight w:val="none"/>
                <w:lang w:val="en-US" w:eastAsia="zh-CN"/>
              </w:rPr>
              <w:t>九</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平面布置合理性分析</w:t>
            </w:r>
          </w:p>
          <w:p w14:paraId="525C57AB">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本项目</w:t>
            </w:r>
            <w:r>
              <w:rPr>
                <w:rFonts w:hint="eastAsia" w:ascii="Times New Roman" w:hAnsi="Times New Roman" w:cs="Times New Roman"/>
                <w:color w:val="auto"/>
                <w:sz w:val="24"/>
                <w:highlight w:val="none"/>
                <w:lang w:val="en-US" w:eastAsia="zh-CN"/>
              </w:rPr>
              <w:t>总占地面积为</w:t>
            </w:r>
            <w:r>
              <w:rPr>
                <w:rFonts w:hint="eastAsia" w:ascii="Times New Roman" w:hAnsi="Times New Roman" w:eastAsia="宋体" w:cs="Times New Roman"/>
                <w:color w:val="auto"/>
                <w:sz w:val="24"/>
                <w:highlight w:val="none"/>
                <w:lang w:val="en-US" w:eastAsia="zh-CN"/>
              </w:rPr>
              <w:t>71280m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107亩），该地块原为武警教导队地块，之后该单位已搬迁，闲置地块被云南红塔产业园区收储，地上建筑现已被云南红塔产业园区拆除，并进行了平整。该地块东、南、西、北现状为经济林地，有团田路、大金路与S214省道相连。项目区呈不</w:t>
            </w:r>
            <w:r>
              <w:rPr>
                <w:rFonts w:hint="eastAsia" w:cs="Times New Roman"/>
                <w:color w:val="auto"/>
                <w:sz w:val="24"/>
                <w:highlight w:val="none"/>
                <w:lang w:val="en-US" w:eastAsia="zh-CN"/>
              </w:rPr>
              <w:t>规则</w:t>
            </w:r>
            <w:r>
              <w:rPr>
                <w:rFonts w:hint="eastAsia" w:ascii="Times New Roman" w:hAnsi="Times New Roman" w:eastAsia="宋体" w:cs="Times New Roman"/>
                <w:color w:val="auto"/>
                <w:sz w:val="24"/>
                <w:highlight w:val="none"/>
                <w:lang w:val="en-US" w:eastAsia="zh-CN"/>
              </w:rPr>
              <w:t>多边形，分为办公生活区和生产区。办公生活区位于项目东南侧，生产区从南向北依次分布有厂区入口、门卫室、地磅房、大车充电区、铁矿石原料堆场、加工车间及成品库、柴油存储区。厂区</w:t>
            </w:r>
            <w:r>
              <w:rPr>
                <w:rFonts w:hint="default" w:ascii="Times New Roman" w:hAnsi="Times New Roman" w:cs="Times New Roman"/>
                <w:color w:val="auto"/>
                <w:sz w:val="24"/>
                <w:highlight w:val="none"/>
                <w:lang w:eastAsia="zh-CN"/>
              </w:rPr>
              <w:t>入口设置在</w:t>
            </w:r>
            <w:r>
              <w:rPr>
                <w:rFonts w:hint="eastAsia" w:ascii="Times New Roman" w:hAnsi="Times New Roman" w:cs="Times New Roman"/>
                <w:color w:val="auto"/>
                <w:sz w:val="24"/>
                <w:highlight w:val="none"/>
                <w:lang w:val="en-US" w:eastAsia="zh-CN"/>
              </w:rPr>
              <w:t>项目区南侧</w:t>
            </w:r>
            <w:r>
              <w:rPr>
                <w:rFonts w:hint="default" w:ascii="Times New Roman" w:hAnsi="Times New Roman" w:cs="Times New Roman"/>
                <w:color w:val="auto"/>
                <w:sz w:val="24"/>
                <w:highlight w:val="none"/>
                <w:lang w:eastAsia="zh-CN"/>
              </w:rPr>
              <w:t>道路旁，运输车辆及装卸车辆可通</w:t>
            </w:r>
            <w:r>
              <w:rPr>
                <w:rFonts w:hint="eastAsia" w:ascii="Times New Roman" w:hAnsi="Times New Roman" w:cs="Times New Roman"/>
                <w:color w:val="auto"/>
                <w:sz w:val="24"/>
                <w:highlight w:val="none"/>
                <w:lang w:val="en-US" w:eastAsia="zh-CN"/>
              </w:rPr>
              <w:t>行</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生活区设置有隔油池、化粪池、中水池、一体化污水设施。加工车间外设置有雨水沟，雨水经雨水沟流入项目区南侧初期雨水收集池。项目区南侧值班室旁设置1间危废暂存间。</w:t>
            </w:r>
          </w:p>
          <w:p w14:paraId="60B5A221">
            <w:pPr>
              <w:keepNext w:val="0"/>
              <w:keepLines/>
              <w:pageBreakBefore w:val="0"/>
              <w:widowControl w:val="0"/>
              <w:kinsoku/>
              <w:wordWrap w:val="0"/>
              <w:overflowPunct/>
              <w:topLine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szCs w:val="24"/>
                <w:highlight w:val="none"/>
                <w:lang w:val="en-US" w:eastAsia="zh-CN"/>
              </w:rPr>
              <w:t>红塔区</w:t>
            </w:r>
            <w:r>
              <w:rPr>
                <w:rFonts w:hint="default" w:ascii="Times New Roman" w:hAnsi="Times New Roman" w:eastAsia="宋体" w:cs="Times New Roman"/>
                <w:color w:val="auto"/>
                <w:sz w:val="24"/>
                <w:szCs w:val="24"/>
                <w:highlight w:val="none"/>
                <w:lang w:val="en-US" w:eastAsia="zh-CN"/>
              </w:rPr>
              <w:t>主导风向为</w:t>
            </w:r>
            <w:r>
              <w:rPr>
                <w:rFonts w:hint="eastAsia" w:ascii="Times New Roman" w:hAnsi="Times New Roman" w:eastAsia="宋体"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lang w:val="en-US" w:eastAsia="zh-CN"/>
              </w:rPr>
              <w:t>南风，</w:t>
            </w:r>
            <w:r>
              <w:rPr>
                <w:rFonts w:hint="eastAsia" w:ascii="Times New Roman" w:hAnsi="Times New Roman" w:eastAsia="宋体" w:cs="Times New Roman"/>
                <w:color w:val="auto"/>
                <w:sz w:val="24"/>
                <w:highlight w:val="none"/>
                <w:lang w:val="en-US" w:eastAsia="zh-CN"/>
              </w:rPr>
              <w:t>办公生活区位于主导风上侧风向，</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生产设备布置于</w:t>
            </w:r>
            <w:r>
              <w:rPr>
                <w:rFonts w:hint="eastAsia" w:ascii="Times New Roman" w:hAnsi="Times New Roman" w:eastAsia="宋体" w:cs="Times New Roman"/>
                <w:color w:val="auto"/>
                <w:sz w:val="24"/>
                <w:szCs w:val="24"/>
                <w:highlight w:val="none"/>
                <w:lang w:val="en-US" w:eastAsia="zh-CN"/>
              </w:rPr>
              <w:t>三面围挡</w:t>
            </w:r>
            <w:r>
              <w:rPr>
                <w:rFonts w:hint="default" w:ascii="Times New Roman" w:hAnsi="Times New Roman" w:eastAsia="宋体" w:cs="Times New Roman"/>
                <w:color w:val="auto"/>
                <w:sz w:val="24"/>
                <w:szCs w:val="24"/>
                <w:highlight w:val="none"/>
                <w:lang w:val="en-US" w:eastAsia="zh-CN"/>
              </w:rPr>
              <w:t>车间内，</w:t>
            </w:r>
            <w:r>
              <w:rPr>
                <w:rFonts w:hint="default" w:ascii="Times New Roman" w:hAnsi="Times New Roman" w:eastAsia="宋体" w:cs="Times New Roman"/>
                <w:color w:val="auto"/>
                <w:sz w:val="24"/>
                <w:highlight w:val="none"/>
                <w:lang w:val="en-US"/>
              </w:rPr>
              <w:t>减少了各种废气和噪声对</w:t>
            </w:r>
            <w:r>
              <w:rPr>
                <w:rFonts w:hint="eastAsia" w:ascii="Times New Roman" w:hAnsi="Times New Roman" w:eastAsia="宋体" w:cs="Times New Roman"/>
                <w:color w:val="auto"/>
                <w:sz w:val="24"/>
                <w:highlight w:val="none"/>
                <w:lang w:val="en-US" w:eastAsia="zh-CN"/>
              </w:rPr>
              <w:t>办公生活区及周围环境的</w:t>
            </w:r>
            <w:r>
              <w:rPr>
                <w:rFonts w:hint="default" w:ascii="Times New Roman" w:hAnsi="Times New Roman" w:eastAsia="宋体" w:cs="Times New Roman"/>
                <w:color w:val="auto"/>
                <w:sz w:val="24"/>
                <w:highlight w:val="none"/>
                <w:lang w:val="en-US"/>
              </w:rPr>
              <w:t>影响</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厂区道路、电力、通讯、给排水等功能配套设施齐全。总体上看厂区平面布置比较合理</w:t>
            </w:r>
            <w:r>
              <w:rPr>
                <w:rFonts w:hint="default" w:ascii="Times New Roman" w:hAnsi="Times New Roman" w:eastAsia="宋体" w:cs="Times New Roman"/>
                <w:color w:val="auto"/>
                <w:sz w:val="24"/>
                <w:highlight w:val="none"/>
              </w:rPr>
              <w:t>。</w:t>
            </w:r>
          </w:p>
          <w:p w14:paraId="485C5FF4">
            <w:pPr>
              <w:adjustRightInd w:val="0"/>
              <w:snapToGrid w:val="0"/>
              <w:spacing w:line="360" w:lineRule="auto"/>
              <w:ind w:firstLine="480" w:firstLineChars="200"/>
              <w:rPr>
                <w:rFonts w:hint="eastAsia" w:ascii="Times New Roman" w:hAnsi="Times New Roman"/>
                <w:b/>
                <w:color w:val="auto"/>
                <w:sz w:val="24"/>
                <w:highlight w:val="none"/>
                <w:lang w:val="en-US" w:eastAsia="zh-CN"/>
              </w:rPr>
            </w:pPr>
            <w:r>
              <w:rPr>
                <w:rFonts w:hint="eastAsia" w:ascii="Times New Roman" w:hAnsi="Times New Roman"/>
                <w:bCs/>
                <w:color w:val="auto"/>
                <w:sz w:val="24"/>
                <w:highlight w:val="none"/>
              </w:rPr>
              <w:t>本项目平面布置示意图见附图3。</w:t>
            </w:r>
          </w:p>
          <w:p w14:paraId="206CE743">
            <w:pPr>
              <w:adjustRightInd w:val="0"/>
              <w:snapToGrid w:val="0"/>
              <w:spacing w:line="360" w:lineRule="auto"/>
              <w:outlineLvl w:val="1"/>
              <w:rPr>
                <w:rFonts w:ascii="Times New Roman" w:hAnsi="Times New Roman"/>
                <w:b/>
                <w:color w:val="auto"/>
                <w:sz w:val="24"/>
                <w:highlight w:val="none"/>
              </w:rPr>
            </w:pPr>
            <w:r>
              <w:rPr>
                <w:rFonts w:hint="eastAsia" w:ascii="Times New Roman" w:hAnsi="Times New Roman"/>
                <w:b/>
                <w:color w:val="auto"/>
                <w:sz w:val="24"/>
                <w:highlight w:val="none"/>
                <w:lang w:val="en-US" w:eastAsia="zh-CN"/>
              </w:rPr>
              <w:t>十</w:t>
            </w:r>
            <w:r>
              <w:rPr>
                <w:rFonts w:ascii="Times New Roman" w:hAnsi="Times New Roman"/>
                <w:b/>
                <w:color w:val="auto"/>
                <w:sz w:val="24"/>
                <w:highlight w:val="none"/>
              </w:rPr>
              <w:t>、劳动定员及工作制度</w:t>
            </w:r>
            <w:bookmarkEnd w:id="12"/>
            <w:bookmarkEnd w:id="13"/>
          </w:p>
          <w:p w14:paraId="1BECC8A0">
            <w:pPr>
              <w:adjustRightInd w:val="0"/>
              <w:snapToGrid w:val="0"/>
              <w:spacing w:line="360" w:lineRule="auto"/>
              <w:ind w:firstLine="480" w:firstLineChars="200"/>
              <w:rPr>
                <w:rFonts w:ascii="Times New Roman" w:hAnsi="Times New Roman" w:eastAsia="宋体" w:cs="Times New Roman"/>
                <w:color w:val="auto"/>
                <w:sz w:val="24"/>
                <w:highlight w:val="none"/>
              </w:rPr>
            </w:pPr>
            <w:bookmarkStart w:id="14" w:name="_Toc137737902"/>
            <w:r>
              <w:rPr>
                <w:rFonts w:hint="eastAsia" w:ascii="Times New Roman" w:hAnsi="Times New Roman" w:eastAsia="宋体" w:cs="Times New Roman"/>
                <w:color w:val="auto"/>
                <w:sz w:val="24"/>
                <w:highlight w:val="none"/>
              </w:rPr>
              <w:t>劳动定员：</w:t>
            </w:r>
            <w:r>
              <w:rPr>
                <w:rFonts w:hint="eastAsia" w:ascii="Times New Roman" w:hAnsi="Times New Roman" w:eastAsia="宋体" w:cs="Times New Roman"/>
                <w:color w:val="auto"/>
                <w:sz w:val="24"/>
                <w:highlight w:val="none"/>
                <w:lang w:val="en-US" w:eastAsia="zh-CN"/>
              </w:rPr>
              <w:t>项目员工</w:t>
            </w:r>
            <w:r>
              <w:rPr>
                <w:rFonts w:hint="eastAsia" w:ascii="Times New Roman" w:hAnsi="Times New Roman" w:cs="Times New Roman"/>
                <w:color w:val="auto"/>
                <w:sz w:val="24"/>
                <w:highlight w:val="none"/>
                <w:lang w:val="en-US" w:eastAsia="zh-CN"/>
              </w:rPr>
              <w:t>35</w:t>
            </w:r>
            <w:r>
              <w:rPr>
                <w:rFonts w:hint="eastAsia" w:ascii="Times New Roman" w:hAnsi="Times New Roman" w:eastAsia="宋体" w:cs="Times New Roman"/>
                <w:color w:val="auto"/>
                <w:sz w:val="24"/>
                <w:highlight w:val="none"/>
                <w:lang w:val="en-US" w:eastAsia="zh-CN"/>
              </w:rPr>
              <w:t>人</w:t>
            </w:r>
            <w:r>
              <w:rPr>
                <w:rFonts w:hint="eastAsia" w:ascii="Times New Roman" w:hAnsi="Times New Roman" w:eastAsia="宋体" w:cs="Times New Roman"/>
                <w:color w:val="auto"/>
                <w:sz w:val="24"/>
                <w:highlight w:val="none"/>
              </w:rPr>
              <w:t>。</w:t>
            </w:r>
          </w:p>
          <w:p w14:paraId="0D2CFD0E">
            <w:pPr>
              <w:adjustRightInd w:val="0"/>
              <w:snapToGrid w:val="0"/>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工作制度：</w:t>
            </w:r>
            <w:r>
              <w:rPr>
                <w:rFonts w:hint="default" w:ascii="Times New Roman" w:hAnsi="Times New Roman" w:eastAsia="宋体" w:cs="Times New Roman"/>
                <w:bCs/>
                <w:color w:val="auto"/>
                <w:sz w:val="24"/>
                <w:highlight w:val="none"/>
              </w:rPr>
              <w:t>本项目年生产300天，每天1班</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每班8小时，项目夜间不生产</w:t>
            </w:r>
            <w:r>
              <w:rPr>
                <w:rFonts w:hint="eastAsia"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共计24</w:t>
            </w:r>
            <w:r>
              <w:rPr>
                <w:rFonts w:ascii="Times New Roman" w:hAnsi="Times New Roman" w:eastAsia="宋体" w:cs="Times New Roman"/>
                <w:color w:val="auto"/>
                <w:sz w:val="24"/>
                <w:highlight w:val="none"/>
              </w:rPr>
              <w:t>00h</w:t>
            </w:r>
            <w:r>
              <w:rPr>
                <w:rFonts w:hint="eastAsia" w:ascii="Times New Roman" w:hAnsi="Times New Roman" w:eastAsia="宋体" w:cs="Times New Roman"/>
                <w:color w:val="auto"/>
                <w:sz w:val="24"/>
                <w:highlight w:val="none"/>
              </w:rPr>
              <w:t>。</w:t>
            </w:r>
          </w:p>
          <w:p w14:paraId="7C94145E">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员工食宿安排：项目区内提供员工宿舍和餐饮</w:t>
            </w:r>
            <w:r>
              <w:rPr>
                <w:rFonts w:hint="eastAsia" w:cs="Times New Roman"/>
                <w:color w:val="auto"/>
                <w:sz w:val="24"/>
                <w:highlight w:val="none"/>
                <w:lang w:eastAsia="zh-CN"/>
              </w:rPr>
              <w:t>。</w:t>
            </w:r>
          </w:p>
          <w:p w14:paraId="6E710563">
            <w:pPr>
              <w:adjustRightInd w:val="0"/>
              <w:snapToGrid w:val="0"/>
              <w:spacing w:line="360" w:lineRule="auto"/>
              <w:outlineLvl w:val="1"/>
              <w:rPr>
                <w:rFonts w:ascii="Times New Roman" w:hAnsi="Times New Roman"/>
                <w:b/>
                <w:color w:val="auto"/>
                <w:sz w:val="24"/>
                <w:highlight w:val="none"/>
              </w:rPr>
            </w:pPr>
            <w:r>
              <w:rPr>
                <w:rFonts w:hint="eastAsia" w:ascii="Times New Roman" w:hAnsi="Times New Roman"/>
                <w:b/>
                <w:color w:val="auto"/>
                <w:sz w:val="24"/>
                <w:highlight w:val="none"/>
                <w:lang w:val="en-US" w:eastAsia="zh-CN"/>
              </w:rPr>
              <w:t>十一</w:t>
            </w:r>
            <w:r>
              <w:rPr>
                <w:rFonts w:hint="eastAsia" w:ascii="Times New Roman" w:hAnsi="Times New Roman"/>
                <w:b/>
                <w:color w:val="auto"/>
                <w:sz w:val="24"/>
                <w:highlight w:val="none"/>
              </w:rPr>
              <w:t>、环保投资估算</w:t>
            </w:r>
            <w:bookmarkEnd w:id="14"/>
          </w:p>
          <w:p w14:paraId="5A6084D3">
            <w:pPr>
              <w:adjustRightInd w:val="0"/>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项目总投资</w:t>
            </w:r>
            <w:r>
              <w:rPr>
                <w:rFonts w:hint="eastAsia" w:ascii="Times New Roman" w:hAnsi="Times New Roman"/>
                <w:color w:val="auto"/>
                <w:sz w:val="24"/>
                <w:highlight w:val="none"/>
                <w:lang w:val="en-US" w:eastAsia="zh-CN"/>
              </w:rPr>
              <w:t>12000</w:t>
            </w:r>
            <w:r>
              <w:rPr>
                <w:rFonts w:ascii="Times New Roman" w:hAnsi="Times New Roman"/>
                <w:color w:val="auto"/>
                <w:sz w:val="24"/>
                <w:highlight w:val="none"/>
              </w:rPr>
              <w:t>万元，其中环保投资</w:t>
            </w:r>
            <w:r>
              <w:rPr>
                <w:rFonts w:hint="eastAsia"/>
                <w:color w:val="auto"/>
                <w:sz w:val="24"/>
                <w:highlight w:val="none"/>
                <w:lang w:val="en-US" w:eastAsia="zh-CN"/>
              </w:rPr>
              <w:t>253.8</w:t>
            </w:r>
            <w:r>
              <w:rPr>
                <w:rFonts w:ascii="Times New Roman" w:hAnsi="Times New Roman"/>
                <w:color w:val="auto"/>
                <w:sz w:val="24"/>
                <w:highlight w:val="none"/>
              </w:rPr>
              <w:t>万元，占总投资的</w:t>
            </w:r>
            <w:r>
              <w:rPr>
                <w:rFonts w:hint="eastAsia"/>
                <w:color w:val="auto"/>
                <w:sz w:val="24"/>
                <w:highlight w:val="none"/>
                <w:lang w:val="en-US" w:eastAsia="zh-CN"/>
              </w:rPr>
              <w:t>2.12</w:t>
            </w:r>
            <w:r>
              <w:rPr>
                <w:rFonts w:ascii="Times New Roman" w:hAnsi="Times New Roman"/>
                <w:color w:val="auto"/>
                <w:sz w:val="24"/>
                <w:highlight w:val="none"/>
              </w:rPr>
              <w:t>%，环保投资的细项列于下表。</w:t>
            </w:r>
          </w:p>
          <w:p w14:paraId="20D09641">
            <w:pPr>
              <w:pStyle w:val="66"/>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表2.1.</w:t>
            </w:r>
            <w:r>
              <w:rPr>
                <w:rFonts w:hint="eastAsia" w:ascii="Times New Roman" w:hAnsi="Times New Roman" w:eastAsia="宋体" w:cs="宋体"/>
                <w:color w:val="auto"/>
                <w:highlight w:val="none"/>
                <w:lang w:val="en-US" w:eastAsia="zh-CN"/>
              </w:rPr>
              <w:t>11</w:t>
            </w:r>
            <w:r>
              <w:rPr>
                <w:rFonts w:hint="eastAsia" w:ascii="Times New Roman" w:hAnsi="Times New Roman" w:eastAsia="宋体" w:cs="宋体"/>
                <w:color w:val="auto"/>
                <w:highlight w:val="none"/>
              </w:rPr>
              <w:t>-1项目环保设备及设施一览表</w:t>
            </w:r>
          </w:p>
          <w:tbl>
            <w:tblPr>
              <w:tblStyle w:val="35"/>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066"/>
              <w:gridCol w:w="1126"/>
              <w:gridCol w:w="3558"/>
              <w:gridCol w:w="709"/>
              <w:gridCol w:w="1276"/>
            </w:tblGrid>
            <w:tr w14:paraId="7625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5" w:type="dxa"/>
                  <w:shd w:val="clear" w:color="auto" w:fill="D9D9D9"/>
                  <w:noWrap w:val="0"/>
                  <w:vAlign w:val="center"/>
                </w:tcPr>
                <w:p w14:paraId="569023A4">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序号</w:t>
                  </w:r>
                </w:p>
              </w:tc>
              <w:tc>
                <w:tcPr>
                  <w:tcW w:w="1066" w:type="dxa"/>
                  <w:shd w:val="clear" w:color="auto" w:fill="D9D9D9"/>
                  <w:noWrap w:val="0"/>
                  <w:vAlign w:val="center"/>
                </w:tcPr>
                <w:p w14:paraId="67DD8073">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污染源</w:t>
                  </w:r>
                </w:p>
              </w:tc>
              <w:tc>
                <w:tcPr>
                  <w:tcW w:w="1126" w:type="dxa"/>
                  <w:shd w:val="clear" w:color="auto" w:fill="D9D9D9"/>
                  <w:noWrap w:val="0"/>
                  <w:vAlign w:val="center"/>
                </w:tcPr>
                <w:p w14:paraId="36DDB9F1">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污染物</w:t>
                  </w:r>
                </w:p>
              </w:tc>
              <w:tc>
                <w:tcPr>
                  <w:tcW w:w="3558" w:type="dxa"/>
                  <w:shd w:val="clear" w:color="auto" w:fill="D9D9D9"/>
                  <w:noWrap w:val="0"/>
                  <w:vAlign w:val="center"/>
                </w:tcPr>
                <w:p w14:paraId="5997D0D0">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主要设备</w:t>
                  </w:r>
                </w:p>
              </w:tc>
              <w:tc>
                <w:tcPr>
                  <w:tcW w:w="709" w:type="dxa"/>
                  <w:shd w:val="clear" w:color="auto" w:fill="D9D9D9"/>
                  <w:noWrap w:val="0"/>
                  <w:vAlign w:val="center"/>
                </w:tcPr>
                <w:p w14:paraId="0592A7F7">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数量</w:t>
                  </w:r>
                </w:p>
              </w:tc>
              <w:tc>
                <w:tcPr>
                  <w:tcW w:w="1276" w:type="dxa"/>
                  <w:shd w:val="clear" w:color="auto" w:fill="D9D9D9"/>
                  <w:noWrap w:val="0"/>
                  <w:vAlign w:val="center"/>
                </w:tcPr>
                <w:p w14:paraId="1A40D6BA">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金额（万元）</w:t>
                  </w:r>
                </w:p>
              </w:tc>
            </w:tr>
            <w:tr w14:paraId="342B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420" w:type="dxa"/>
                  <w:gridSpan w:val="6"/>
                  <w:shd w:val="clear" w:color="auto" w:fill="auto"/>
                  <w:noWrap w:val="0"/>
                  <w:vAlign w:val="center"/>
                </w:tcPr>
                <w:p w14:paraId="52376266">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施工期</w:t>
                  </w:r>
                </w:p>
              </w:tc>
            </w:tr>
            <w:tr w14:paraId="7A4E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5" w:type="dxa"/>
                  <w:shd w:val="clear" w:color="auto" w:fill="auto"/>
                  <w:noWrap w:val="0"/>
                  <w:vAlign w:val="center"/>
                </w:tcPr>
                <w:p w14:paraId="4A4A6C04">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066" w:type="dxa"/>
                  <w:vMerge w:val="restart"/>
                  <w:shd w:val="clear" w:color="auto" w:fill="auto"/>
                  <w:noWrap w:val="0"/>
                  <w:vAlign w:val="center"/>
                </w:tcPr>
                <w:p w14:paraId="58FBBF2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基础施工、建筑工程、装修工程、设备安装</w:t>
                  </w:r>
                </w:p>
              </w:tc>
              <w:tc>
                <w:tcPr>
                  <w:tcW w:w="1126" w:type="dxa"/>
                  <w:shd w:val="clear" w:color="auto" w:fill="auto"/>
                  <w:noWrap w:val="0"/>
                  <w:vAlign w:val="center"/>
                </w:tcPr>
                <w:p w14:paraId="3D588F7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扬尘抑制</w:t>
                  </w:r>
                </w:p>
              </w:tc>
              <w:tc>
                <w:tcPr>
                  <w:tcW w:w="3558" w:type="dxa"/>
                  <w:shd w:val="clear" w:color="auto" w:fill="auto"/>
                  <w:noWrap w:val="0"/>
                  <w:vAlign w:val="center"/>
                </w:tcPr>
                <w:p w14:paraId="5B70A3C8">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料场设蓬、运输加盖篷布及洒水</w:t>
                  </w:r>
                </w:p>
              </w:tc>
              <w:tc>
                <w:tcPr>
                  <w:tcW w:w="709" w:type="dxa"/>
                  <w:shd w:val="clear" w:color="auto" w:fill="auto"/>
                  <w:noWrap w:val="0"/>
                  <w:vAlign w:val="center"/>
                </w:tcPr>
                <w:p w14:paraId="6B498028">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p>
              </w:tc>
              <w:tc>
                <w:tcPr>
                  <w:tcW w:w="1276" w:type="dxa"/>
                  <w:shd w:val="clear" w:color="auto" w:fill="auto"/>
                  <w:noWrap w:val="0"/>
                  <w:vAlign w:val="center"/>
                </w:tcPr>
                <w:p w14:paraId="1094A750">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r>
            <w:tr w14:paraId="19AB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5" w:type="dxa"/>
                  <w:shd w:val="clear" w:color="auto" w:fill="auto"/>
                  <w:noWrap w:val="0"/>
                  <w:vAlign w:val="center"/>
                </w:tcPr>
                <w:p w14:paraId="2B17E403">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066" w:type="dxa"/>
                  <w:vMerge w:val="continue"/>
                  <w:shd w:val="clear" w:color="auto" w:fill="auto"/>
                  <w:noWrap w:val="0"/>
                  <w:vAlign w:val="center"/>
                </w:tcPr>
                <w:p w14:paraId="0B020959">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s="Times New Roman"/>
                      <w:color w:val="auto"/>
                      <w:sz w:val="21"/>
                      <w:szCs w:val="21"/>
                      <w:highlight w:val="none"/>
                    </w:rPr>
                  </w:pPr>
                </w:p>
              </w:tc>
              <w:tc>
                <w:tcPr>
                  <w:tcW w:w="1126" w:type="dxa"/>
                  <w:shd w:val="clear" w:color="auto" w:fill="auto"/>
                  <w:noWrap w:val="0"/>
                  <w:vAlign w:val="center"/>
                </w:tcPr>
                <w:p w14:paraId="647B1F7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废水治理</w:t>
                  </w:r>
                </w:p>
              </w:tc>
              <w:tc>
                <w:tcPr>
                  <w:tcW w:w="3558" w:type="dxa"/>
                  <w:shd w:val="clear" w:color="auto" w:fill="auto"/>
                  <w:noWrap w:val="0"/>
                  <w:vAlign w:val="center"/>
                </w:tcPr>
                <w:p w14:paraId="6074D7A7">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施工</w:t>
                  </w:r>
                  <w:r>
                    <w:rPr>
                      <w:rFonts w:hint="default" w:ascii="Times New Roman" w:hAnsi="Times New Roman" w:eastAsia="宋体" w:cs="Times New Roman"/>
                      <w:color w:val="auto"/>
                      <w:sz w:val="21"/>
                      <w:szCs w:val="21"/>
                      <w:highlight w:val="none"/>
                    </w:rPr>
                    <w:t>清洗废水</w:t>
                  </w:r>
                  <w:r>
                    <w:rPr>
                      <w:rFonts w:hint="eastAsia" w:ascii="Times New Roman" w:hAnsi="Times New Roman" w:eastAsia="宋体" w:cs="Times New Roman"/>
                      <w:color w:val="auto"/>
                      <w:sz w:val="21"/>
                      <w:szCs w:val="21"/>
                      <w:highlight w:val="none"/>
                      <w:lang w:val="en-US" w:eastAsia="zh-CN"/>
                    </w:rPr>
                    <w:t>和车辆轮胎清洗废水</w:t>
                  </w:r>
                  <w:r>
                    <w:rPr>
                      <w:rFonts w:hint="eastAsia" w:ascii="Times New Roman" w:hAnsi="Times New Roman" w:eastAsia="宋体" w:cs="Times New Roman"/>
                      <w:bCs/>
                      <w:color w:val="auto"/>
                      <w:sz w:val="21"/>
                      <w:szCs w:val="21"/>
                      <w:highlight w:val="none"/>
                      <w:lang w:val="en-US" w:eastAsia="zh-CN"/>
                    </w:rPr>
                    <w:t>经临时沉淀池（容积约5m</w:t>
                  </w:r>
                  <w:r>
                    <w:rPr>
                      <w:rFonts w:hint="eastAsia" w:ascii="Times New Roman" w:hAnsi="Times New Roman" w:eastAsia="宋体" w:cs="Times New Roman"/>
                      <w:bCs/>
                      <w:color w:val="auto"/>
                      <w:sz w:val="21"/>
                      <w:szCs w:val="21"/>
                      <w:highlight w:val="none"/>
                      <w:vertAlign w:val="superscript"/>
                      <w:lang w:val="en-US" w:eastAsia="zh-CN"/>
                    </w:rPr>
                    <w:t>3</w:t>
                  </w:r>
                  <w:r>
                    <w:rPr>
                      <w:rFonts w:hint="eastAsia" w:ascii="Times New Roman" w:hAnsi="Times New Roman" w:eastAsia="宋体" w:cs="Times New Roman"/>
                      <w:bCs/>
                      <w:color w:val="auto"/>
                      <w:sz w:val="21"/>
                      <w:szCs w:val="21"/>
                      <w:highlight w:val="none"/>
                      <w:lang w:val="en-US" w:eastAsia="zh-CN"/>
                    </w:rPr>
                    <w:t>）沉淀处理后回用于场地洒水降尘，不外排。</w:t>
                  </w:r>
                </w:p>
              </w:tc>
              <w:tc>
                <w:tcPr>
                  <w:tcW w:w="709" w:type="dxa"/>
                  <w:shd w:val="clear" w:color="auto" w:fill="auto"/>
                  <w:noWrap w:val="0"/>
                  <w:vAlign w:val="center"/>
                </w:tcPr>
                <w:p w14:paraId="04077D0E">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p>
              </w:tc>
              <w:tc>
                <w:tcPr>
                  <w:tcW w:w="1276" w:type="dxa"/>
                  <w:shd w:val="clear" w:color="auto" w:fill="auto"/>
                  <w:noWrap w:val="0"/>
                  <w:vAlign w:val="center"/>
                </w:tcPr>
                <w:p w14:paraId="42420E5C">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r>
            <w:tr w14:paraId="0064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5" w:type="dxa"/>
                  <w:shd w:val="clear" w:color="auto" w:fill="auto"/>
                  <w:noWrap w:val="0"/>
                  <w:vAlign w:val="center"/>
                </w:tcPr>
                <w:p w14:paraId="3F4BF81D">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066" w:type="dxa"/>
                  <w:vMerge w:val="continue"/>
                  <w:shd w:val="clear" w:color="auto" w:fill="auto"/>
                  <w:noWrap w:val="0"/>
                  <w:vAlign w:val="center"/>
                </w:tcPr>
                <w:p w14:paraId="1816A77F">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s="Times New Roman"/>
                      <w:color w:val="auto"/>
                      <w:sz w:val="21"/>
                      <w:szCs w:val="21"/>
                      <w:highlight w:val="none"/>
                    </w:rPr>
                  </w:pPr>
                </w:p>
              </w:tc>
              <w:tc>
                <w:tcPr>
                  <w:tcW w:w="1126" w:type="dxa"/>
                  <w:shd w:val="clear" w:color="auto" w:fill="auto"/>
                  <w:noWrap w:val="0"/>
                  <w:vAlign w:val="center"/>
                </w:tcPr>
                <w:p w14:paraId="017D8322">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3558" w:type="dxa"/>
                  <w:shd w:val="clear" w:color="auto" w:fill="auto"/>
                  <w:noWrap w:val="0"/>
                  <w:vAlign w:val="center"/>
                </w:tcPr>
                <w:p w14:paraId="5082C2E5">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施工场界围挡，</w:t>
                  </w:r>
                  <w:r>
                    <w:rPr>
                      <w:rFonts w:hint="eastAsia" w:ascii="Times New Roman" w:hAnsi="Times New Roman" w:eastAsia="宋体"/>
                      <w:color w:val="auto"/>
                      <w:sz w:val="21"/>
                      <w:szCs w:val="24"/>
                      <w:highlight w:val="none"/>
                    </w:rPr>
                    <w:t>施工设备降噪，进出车辆减速</w:t>
                  </w:r>
                </w:p>
              </w:tc>
              <w:tc>
                <w:tcPr>
                  <w:tcW w:w="709" w:type="dxa"/>
                  <w:shd w:val="clear" w:color="auto" w:fill="auto"/>
                  <w:noWrap w:val="0"/>
                  <w:vAlign w:val="center"/>
                </w:tcPr>
                <w:p w14:paraId="29D5A9F9">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p>
              </w:tc>
              <w:tc>
                <w:tcPr>
                  <w:tcW w:w="1276" w:type="dxa"/>
                  <w:shd w:val="clear" w:color="auto" w:fill="auto"/>
                  <w:noWrap w:val="0"/>
                  <w:vAlign w:val="center"/>
                </w:tcPr>
                <w:p w14:paraId="3911B86B">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r>
            <w:tr w14:paraId="5F7F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5" w:type="dxa"/>
                  <w:shd w:val="clear" w:color="auto" w:fill="auto"/>
                  <w:noWrap w:val="0"/>
                  <w:vAlign w:val="center"/>
                </w:tcPr>
                <w:p w14:paraId="2062E2E5">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066" w:type="dxa"/>
                  <w:vMerge w:val="continue"/>
                  <w:shd w:val="clear" w:color="auto" w:fill="auto"/>
                  <w:noWrap w:val="0"/>
                  <w:vAlign w:val="center"/>
                </w:tcPr>
                <w:p w14:paraId="1B732CBE">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s="Times New Roman"/>
                      <w:color w:val="auto"/>
                      <w:sz w:val="21"/>
                      <w:szCs w:val="21"/>
                      <w:highlight w:val="none"/>
                    </w:rPr>
                  </w:pPr>
                </w:p>
              </w:tc>
              <w:tc>
                <w:tcPr>
                  <w:tcW w:w="1126" w:type="dxa"/>
                  <w:shd w:val="clear" w:color="auto" w:fill="auto"/>
                  <w:noWrap w:val="0"/>
                  <w:vAlign w:val="center"/>
                </w:tcPr>
                <w:p w14:paraId="4FC2075A">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固体废物</w:t>
                  </w:r>
                </w:p>
              </w:tc>
              <w:tc>
                <w:tcPr>
                  <w:tcW w:w="3558" w:type="dxa"/>
                  <w:shd w:val="clear" w:color="auto" w:fill="auto"/>
                  <w:noWrap w:val="0"/>
                  <w:vAlign w:val="center"/>
                </w:tcPr>
                <w:p w14:paraId="71A4E59F">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固体废物清运处置</w:t>
                  </w:r>
                </w:p>
              </w:tc>
              <w:tc>
                <w:tcPr>
                  <w:tcW w:w="709" w:type="dxa"/>
                  <w:shd w:val="clear" w:color="auto" w:fill="auto"/>
                  <w:noWrap w:val="0"/>
                  <w:vAlign w:val="center"/>
                </w:tcPr>
                <w:p w14:paraId="584ED2FA">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p>
              </w:tc>
              <w:tc>
                <w:tcPr>
                  <w:tcW w:w="1276" w:type="dxa"/>
                  <w:shd w:val="clear" w:color="auto" w:fill="auto"/>
                  <w:noWrap w:val="0"/>
                  <w:vAlign w:val="center"/>
                </w:tcPr>
                <w:p w14:paraId="660A23A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r>
            <w:tr w14:paraId="32D5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5" w:type="dxa"/>
                  <w:shd w:val="clear" w:color="auto" w:fill="auto"/>
                  <w:noWrap w:val="0"/>
                  <w:vAlign w:val="center"/>
                </w:tcPr>
                <w:p w14:paraId="21468509">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066" w:type="dxa"/>
                  <w:vMerge w:val="continue"/>
                  <w:shd w:val="clear" w:color="auto" w:fill="auto"/>
                  <w:noWrap w:val="0"/>
                  <w:vAlign w:val="center"/>
                </w:tcPr>
                <w:p w14:paraId="5CA08940">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s="Times New Roman"/>
                      <w:color w:val="auto"/>
                      <w:sz w:val="21"/>
                      <w:szCs w:val="21"/>
                      <w:highlight w:val="none"/>
                    </w:rPr>
                  </w:pPr>
                </w:p>
              </w:tc>
              <w:tc>
                <w:tcPr>
                  <w:tcW w:w="1126" w:type="dxa"/>
                  <w:shd w:val="clear" w:color="auto" w:fill="auto"/>
                  <w:noWrap w:val="0"/>
                  <w:vAlign w:val="center"/>
                </w:tcPr>
                <w:p w14:paraId="1536275B">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小计</w:t>
                  </w:r>
                </w:p>
              </w:tc>
              <w:tc>
                <w:tcPr>
                  <w:tcW w:w="3558" w:type="dxa"/>
                  <w:shd w:val="clear" w:color="auto" w:fill="auto"/>
                  <w:noWrap w:val="0"/>
                  <w:vAlign w:val="center"/>
                </w:tcPr>
                <w:p w14:paraId="73D737C8">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p>
              </w:tc>
              <w:tc>
                <w:tcPr>
                  <w:tcW w:w="709" w:type="dxa"/>
                  <w:shd w:val="clear" w:color="auto" w:fill="auto"/>
                  <w:noWrap w:val="0"/>
                  <w:vAlign w:val="center"/>
                </w:tcPr>
                <w:p w14:paraId="305607DE">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p>
              </w:tc>
              <w:tc>
                <w:tcPr>
                  <w:tcW w:w="1276" w:type="dxa"/>
                  <w:shd w:val="clear" w:color="auto" w:fill="auto"/>
                  <w:noWrap w:val="0"/>
                  <w:vAlign w:val="center"/>
                </w:tcPr>
                <w:p w14:paraId="0180114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w:t>
                  </w:r>
                </w:p>
              </w:tc>
            </w:tr>
            <w:tr w14:paraId="1BF0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420" w:type="dxa"/>
                  <w:gridSpan w:val="6"/>
                  <w:shd w:val="clear" w:color="auto" w:fill="auto"/>
                  <w:noWrap w:val="0"/>
                  <w:vAlign w:val="center"/>
                </w:tcPr>
                <w:p w14:paraId="2B2992D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运营期</w:t>
                  </w:r>
                </w:p>
              </w:tc>
            </w:tr>
            <w:tr w14:paraId="6AA2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0" w:type="dxa"/>
                  <w:gridSpan w:val="6"/>
                  <w:noWrap w:val="0"/>
                  <w:vAlign w:val="center"/>
                </w:tcPr>
                <w:p w14:paraId="4350FF36">
                  <w:pPr>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1、废水处理措施</w:t>
                  </w:r>
                </w:p>
              </w:tc>
            </w:tr>
            <w:tr w14:paraId="5AB6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4ACE764B">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1</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1</w:t>
                  </w:r>
                </w:p>
              </w:tc>
              <w:tc>
                <w:tcPr>
                  <w:tcW w:w="1066" w:type="dxa"/>
                  <w:vMerge w:val="restart"/>
                  <w:noWrap w:val="0"/>
                  <w:vAlign w:val="center"/>
                </w:tcPr>
                <w:p w14:paraId="579CDBB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项目生产及生活</w:t>
                  </w:r>
                </w:p>
              </w:tc>
              <w:tc>
                <w:tcPr>
                  <w:tcW w:w="1126" w:type="dxa"/>
                  <w:noWrap w:val="0"/>
                  <w:vAlign w:val="center"/>
                </w:tcPr>
                <w:p w14:paraId="64EBFD02">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生活</w:t>
                  </w:r>
                  <w:r>
                    <w:rPr>
                      <w:rFonts w:hint="eastAsia" w:ascii="Times New Roman" w:hAnsi="Times New Roman" w:eastAsia="宋体"/>
                      <w:color w:val="auto"/>
                      <w:sz w:val="21"/>
                      <w:szCs w:val="21"/>
                      <w:highlight w:val="none"/>
                      <w:lang w:val="en-US" w:eastAsia="zh-CN"/>
                    </w:rPr>
                    <w:t>污水</w:t>
                  </w:r>
                </w:p>
              </w:tc>
              <w:tc>
                <w:tcPr>
                  <w:tcW w:w="3558" w:type="dxa"/>
                  <w:noWrap w:val="0"/>
                  <w:vAlign w:val="center"/>
                </w:tcPr>
                <w:p w14:paraId="721AE5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①化粪池2个，总容积62.13m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w:t>
                  </w:r>
                  <w:r>
                    <w:rPr>
                      <w:rFonts w:hint="eastAsia" w:ascii="Times New Roman" w:hAnsi="Times New Roman" w:eastAsia="宋体"/>
                      <w:color w:val="auto"/>
                      <w:sz w:val="21"/>
                      <w:highlight w:val="none"/>
                      <w:lang w:val="en-US" w:eastAsia="zh-CN"/>
                    </w:rPr>
                    <w:t>1#化粪池位于厂区南侧，值班室旁，容积11.73m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eastAsia="宋体"/>
                      <w:color w:val="auto"/>
                      <w:sz w:val="21"/>
                      <w:highlight w:val="none"/>
                      <w:vertAlign w:val="baseline"/>
                      <w:lang w:val="en-US" w:eastAsia="zh-CN"/>
                    </w:rPr>
                    <w:t>；2#化粪池位于宿舍楼旁，收集处理食堂及宿舍楼废水，容积50.4m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eastAsia="宋体"/>
                      <w:color w:val="auto"/>
                      <w:sz w:val="21"/>
                      <w:highlight w:val="none"/>
                      <w:vertAlign w:val="baseline"/>
                      <w:lang w:val="en-US" w:eastAsia="zh-CN"/>
                    </w:rPr>
                    <w:t>；</w:t>
                  </w:r>
                </w:p>
                <w:p w14:paraId="0E7EEC2F">
                  <w:pPr>
                    <w:pStyle w:val="3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②食堂油隔油池1个，容积0.5m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w:t>
                  </w:r>
                </w:p>
                <w:p w14:paraId="07951965">
                  <w:pPr>
                    <w:pStyle w:val="3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③一体化污水处理站1座，处理规模3.5m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/d；</w:t>
                  </w:r>
                </w:p>
                <w:p w14:paraId="302E74BA">
                  <w:pPr>
                    <w:pStyle w:val="3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④污水处理站配套事故水池1座，容积3m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；配套中水暂存池1座，容积20m</w:t>
                  </w:r>
                  <w:r>
                    <w:rPr>
                      <w:rFonts w:hint="eastAsia" w:ascii="Times New Roman" w:hAnsi="Times New Roman" w:eastAsia="宋体"/>
                      <w:color w:val="auto"/>
                      <w:sz w:val="21"/>
                      <w:szCs w:val="21"/>
                      <w:highlight w:val="none"/>
                      <w:vertAlign w:val="superscript"/>
                      <w:lang w:val="en-US" w:eastAsia="zh-CN"/>
                    </w:rPr>
                    <w:t>3</w:t>
                  </w:r>
                </w:p>
              </w:tc>
              <w:tc>
                <w:tcPr>
                  <w:tcW w:w="709" w:type="dxa"/>
                  <w:noWrap w:val="0"/>
                  <w:vAlign w:val="center"/>
                </w:tcPr>
                <w:p w14:paraId="03087B32">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w:t>
                  </w:r>
                </w:p>
              </w:tc>
              <w:tc>
                <w:tcPr>
                  <w:tcW w:w="1276" w:type="dxa"/>
                  <w:noWrap w:val="0"/>
                  <w:vAlign w:val="center"/>
                </w:tcPr>
                <w:p w14:paraId="6C8A72F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30</w:t>
                  </w:r>
                </w:p>
              </w:tc>
            </w:tr>
            <w:tr w14:paraId="78F3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85" w:type="dxa"/>
                  <w:vMerge w:val="restart"/>
                  <w:noWrap w:val="0"/>
                  <w:vAlign w:val="center"/>
                </w:tcPr>
                <w:p w14:paraId="3C6148D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1.2</w:t>
                  </w:r>
                </w:p>
              </w:tc>
              <w:tc>
                <w:tcPr>
                  <w:tcW w:w="1066" w:type="dxa"/>
                  <w:vMerge w:val="continue"/>
                  <w:noWrap w:val="0"/>
                  <w:vAlign w:val="center"/>
                </w:tcPr>
                <w:p w14:paraId="5CB7D76B">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p>
              </w:tc>
              <w:tc>
                <w:tcPr>
                  <w:tcW w:w="1126" w:type="dxa"/>
                  <w:noWrap w:val="0"/>
                  <w:vAlign w:val="center"/>
                </w:tcPr>
                <w:p w14:paraId="3168AE9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初期雨水沉淀池</w:t>
                  </w:r>
                </w:p>
              </w:tc>
              <w:tc>
                <w:tcPr>
                  <w:tcW w:w="3558" w:type="dxa"/>
                  <w:noWrap w:val="0"/>
                  <w:vAlign w:val="center"/>
                </w:tcPr>
                <w:p w14:paraId="1FD1F9ED">
                  <w:pPr>
                    <w:pStyle w:val="3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雨水经雨水沟收集后排放项目区南侧初期雨水收集池（</w:t>
                  </w:r>
                  <w:r>
                    <w:rPr>
                      <w:rFonts w:hint="eastAsia" w:cs="Times New Roman"/>
                      <w:color w:val="auto"/>
                      <w:sz w:val="21"/>
                      <w:szCs w:val="21"/>
                      <w:highlight w:val="none"/>
                      <w:lang w:val="en-US" w:eastAsia="zh-CN"/>
                    </w:rPr>
                    <w:t>31</w:t>
                  </w:r>
                  <w:r>
                    <w:rPr>
                      <w:rFonts w:hint="eastAsia" w:ascii="Times New Roman" w:hAnsi="Times New Roman" w:eastAsia="宋体" w:cs="Times New Roman"/>
                      <w:color w:val="auto"/>
                      <w:sz w:val="21"/>
                      <w:szCs w:val="21"/>
                      <w:highlight w:val="none"/>
                      <w:lang w:val="en-US" w:eastAsia="zh-CN"/>
                    </w:rPr>
                    <w:t>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olor w:val="auto"/>
                      <w:sz w:val="21"/>
                      <w:szCs w:val="21"/>
                      <w:highlight w:val="none"/>
                      <w:lang w:val="en-US" w:eastAsia="zh-CN"/>
                    </w:rPr>
                    <w:t>共修建3个，</w:t>
                  </w:r>
                  <w:r>
                    <w:rPr>
                      <w:rFonts w:hint="eastAsia" w:ascii="Times New Roman" w:hAnsi="Times New Roman" w:eastAsia="宋体" w:cs="Times New Roman"/>
                      <w:color w:val="auto"/>
                      <w:sz w:val="21"/>
                      <w:szCs w:val="21"/>
                      <w:highlight w:val="none"/>
                      <w:vertAlign w:val="baseline"/>
                      <w:lang w:val="en-US" w:eastAsia="zh-CN"/>
                    </w:rPr>
                    <w:t>1#初期雨水池位于值班室附近，容积45m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，2#初期雨水沉淀池位于地磅房附近，容积75m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olor w:val="auto"/>
                      <w:sz w:val="21"/>
                      <w:szCs w:val="21"/>
                      <w:lang w:val="en-US" w:eastAsia="zh-CN"/>
                    </w:rPr>
                    <w:t>,3#初期雨水池位于2#初期雨水池东侧，容积190m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p>
              </w:tc>
              <w:tc>
                <w:tcPr>
                  <w:tcW w:w="709" w:type="dxa"/>
                  <w:noWrap w:val="0"/>
                  <w:vAlign w:val="center"/>
                </w:tcPr>
                <w:p w14:paraId="35E50DBF">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w:t>
                  </w:r>
                  <w:r>
                    <w:rPr>
                      <w:rFonts w:hint="eastAsia" w:ascii="Times New Roman" w:hAnsi="Times New Roman" w:eastAsia="宋体"/>
                      <w:color w:val="auto"/>
                      <w:sz w:val="21"/>
                      <w:szCs w:val="21"/>
                      <w:highlight w:val="none"/>
                      <w:lang w:val="en-US" w:eastAsia="zh-CN"/>
                    </w:rPr>
                    <w:t>个</w:t>
                  </w:r>
                </w:p>
              </w:tc>
              <w:tc>
                <w:tcPr>
                  <w:tcW w:w="1276" w:type="dxa"/>
                  <w:noWrap w:val="0"/>
                  <w:vAlign w:val="center"/>
                </w:tcPr>
                <w:p w14:paraId="6C7BC82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r w14:paraId="11A9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685" w:type="dxa"/>
                  <w:vMerge w:val="continue"/>
                  <w:noWrap w:val="0"/>
                  <w:vAlign w:val="center"/>
                </w:tcPr>
                <w:p w14:paraId="36D6198B">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p>
              </w:tc>
              <w:tc>
                <w:tcPr>
                  <w:tcW w:w="1066" w:type="dxa"/>
                  <w:vMerge w:val="continue"/>
                  <w:noWrap w:val="0"/>
                  <w:vAlign w:val="center"/>
                </w:tcPr>
                <w:p w14:paraId="74213814">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p>
              </w:tc>
              <w:tc>
                <w:tcPr>
                  <w:tcW w:w="1126" w:type="dxa"/>
                  <w:noWrap w:val="0"/>
                  <w:vAlign w:val="center"/>
                </w:tcPr>
                <w:p w14:paraId="1D79147C">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车辆轮胎清洗池</w:t>
                  </w:r>
                </w:p>
              </w:tc>
              <w:tc>
                <w:tcPr>
                  <w:tcW w:w="3558" w:type="dxa"/>
                  <w:noWrap w:val="0"/>
                  <w:vAlign w:val="center"/>
                </w:tcPr>
                <w:p w14:paraId="79F2BF89">
                  <w:pPr>
                    <w:pStyle w:val="3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宋体"/>
                      <w:color w:val="auto"/>
                      <w:sz w:val="21"/>
                      <w:szCs w:val="21"/>
                      <w:lang w:val="en-US" w:eastAsia="zh-CN"/>
                    </w:rPr>
                    <w:t>每个</w:t>
                  </w:r>
                  <w:r>
                    <w:rPr>
                      <w:rFonts w:hint="eastAsia" w:ascii="Times New Roman" w:hAnsi="Times New Roman" w:eastAsia="宋体" w:cs="宋体"/>
                      <w:color w:val="auto"/>
                      <w:sz w:val="21"/>
                      <w:szCs w:val="21"/>
                    </w:rPr>
                    <w:t>容积为1</w:t>
                  </w:r>
                  <w:r>
                    <w:rPr>
                      <w:rFonts w:ascii="Times New Roman" w:hAnsi="Times New Roman" w:eastAsia="宋体" w:cs="宋体"/>
                      <w:color w:val="auto"/>
                      <w:sz w:val="21"/>
                      <w:szCs w:val="21"/>
                    </w:rPr>
                    <w:t>0</w:t>
                  </w:r>
                  <w:r>
                    <w:rPr>
                      <w:rFonts w:hint="eastAsia" w:ascii="Times New Roman" w:hAnsi="Times New Roman" w:eastAsia="宋体" w:cs="宋体"/>
                      <w:color w:val="auto"/>
                      <w:sz w:val="21"/>
                      <w:szCs w:val="21"/>
                    </w:rPr>
                    <w:t>m</w:t>
                  </w:r>
                  <w:r>
                    <w:rPr>
                      <w:rFonts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，为三级沉淀池，废水通过沉淀处理后回用于洗车</w:t>
                  </w:r>
                  <w:r>
                    <w:rPr>
                      <w:rFonts w:hint="eastAsia" w:ascii="Times New Roman" w:hAnsi="Times New Roman" w:eastAsia="宋体" w:cs="宋体"/>
                      <w:color w:val="auto"/>
                      <w:sz w:val="21"/>
                      <w:szCs w:val="21"/>
                      <w:lang w:eastAsia="zh-CN"/>
                    </w:rPr>
                    <w:t>。</w:t>
                  </w:r>
                </w:p>
              </w:tc>
              <w:tc>
                <w:tcPr>
                  <w:tcW w:w="709" w:type="dxa"/>
                  <w:noWrap w:val="0"/>
                  <w:vAlign w:val="center"/>
                </w:tcPr>
                <w:p w14:paraId="1261BD6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2个</w:t>
                  </w:r>
                </w:p>
              </w:tc>
              <w:tc>
                <w:tcPr>
                  <w:tcW w:w="1276" w:type="dxa"/>
                  <w:noWrap w:val="0"/>
                  <w:vAlign w:val="center"/>
                </w:tcPr>
                <w:p w14:paraId="5BD1701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w:t>
                  </w:r>
                </w:p>
              </w:tc>
            </w:tr>
            <w:tr w14:paraId="6A17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0" w:type="dxa"/>
                  <w:gridSpan w:val="6"/>
                  <w:noWrap w:val="0"/>
                  <w:vAlign w:val="center"/>
                </w:tcPr>
                <w:p w14:paraId="60FA4C71">
                  <w:pPr>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2、环境空气保护措施</w:t>
                  </w:r>
                </w:p>
              </w:tc>
            </w:tr>
            <w:tr w14:paraId="4A0E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restart"/>
                  <w:noWrap w:val="0"/>
                  <w:vAlign w:val="center"/>
                </w:tcPr>
                <w:p w14:paraId="0CBA082A">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rPr>
                    <w:t>2.</w:t>
                  </w:r>
                  <w:r>
                    <w:rPr>
                      <w:rFonts w:hint="eastAsia" w:ascii="Times New Roman" w:hAnsi="Times New Roman" w:eastAsia="宋体"/>
                      <w:color w:val="auto"/>
                      <w:sz w:val="21"/>
                      <w:szCs w:val="21"/>
                      <w:highlight w:val="none"/>
                      <w:lang w:val="en-US" w:eastAsia="zh-CN"/>
                    </w:rPr>
                    <w:t>1</w:t>
                  </w:r>
                </w:p>
              </w:tc>
              <w:tc>
                <w:tcPr>
                  <w:tcW w:w="1066" w:type="dxa"/>
                  <w:vMerge w:val="restart"/>
                  <w:noWrap w:val="0"/>
                  <w:vAlign w:val="center"/>
                </w:tcPr>
                <w:p w14:paraId="0587420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有组织－</w:t>
                  </w:r>
                  <w:r>
                    <w:rPr>
                      <w:rFonts w:hint="eastAsia" w:ascii="Times New Roman" w:hAnsi="Times New Roman" w:eastAsia="宋体" w:cs="Times New Roman"/>
                      <w:color w:val="auto"/>
                      <w:sz w:val="21"/>
                      <w:highlight w:val="none"/>
                      <w:lang w:val="en-US" w:eastAsia="zh-CN"/>
                    </w:rPr>
                    <w:t>铁矿石破碎</w:t>
                  </w:r>
                  <w:r>
                    <w:rPr>
                      <w:rFonts w:hint="eastAsia" w:ascii="Times New Roman" w:hAnsi="Times New Roman" w:eastAsia="宋体" w:cs="Times New Roman"/>
                      <w:color w:val="auto"/>
                      <w:sz w:val="21"/>
                      <w:szCs w:val="21"/>
                      <w:highlight w:val="none"/>
                      <w:vertAlign w:val="baseline"/>
                      <w:lang w:val="en-US" w:eastAsia="zh-CN"/>
                    </w:rPr>
                    <w:t>、筛分</w:t>
                  </w:r>
                </w:p>
              </w:tc>
              <w:tc>
                <w:tcPr>
                  <w:tcW w:w="1126" w:type="dxa"/>
                  <w:vMerge w:val="restart"/>
                  <w:noWrap w:val="0"/>
                  <w:vAlign w:val="center"/>
                </w:tcPr>
                <w:p w14:paraId="2B36DFA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3558" w:type="dxa"/>
                  <w:noWrap w:val="0"/>
                  <w:vAlign w:val="center"/>
                </w:tcPr>
                <w:p w14:paraId="4B346AD6">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第一生产线</w:t>
                  </w:r>
                </w:p>
                <w:p w14:paraId="153CA3E8">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生产设备上方设置集气罩，共计8个；</w:t>
                  </w:r>
                </w:p>
                <w:p w14:paraId="685B36E4">
                  <w:pPr>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00E46E55">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ascii="Times New Roman" w:hAnsi="Times New Roman" w:eastAsia="宋体"/>
                      <w:color w:val="auto"/>
                      <w:sz w:val="21"/>
                      <w:highlight w:val="none"/>
                      <w:lang w:val="en-US" w:eastAsia="zh-CN"/>
                    </w:rPr>
                    <w:t>770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7D9AB6F1">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），H=1</w:t>
                  </w:r>
                  <w:r>
                    <w:rPr>
                      <w:rFonts w:hint="eastAsia" w:ascii="Times New Roman" w:hAnsi="Times New Roman" w:eastAsia="宋体"/>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tc>
              <w:tc>
                <w:tcPr>
                  <w:tcW w:w="709" w:type="dxa"/>
                  <w:noWrap w:val="0"/>
                  <w:vAlign w:val="center"/>
                </w:tcPr>
                <w:p w14:paraId="66BF79E0">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1套</w:t>
                  </w:r>
                </w:p>
              </w:tc>
              <w:tc>
                <w:tcPr>
                  <w:tcW w:w="1276" w:type="dxa"/>
                  <w:noWrap w:val="0"/>
                  <w:vAlign w:val="center"/>
                </w:tcPr>
                <w:p w14:paraId="291800D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16.5</w:t>
                  </w:r>
                </w:p>
              </w:tc>
            </w:tr>
            <w:tr w14:paraId="4850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noWrap w:val="0"/>
                  <w:vAlign w:val="center"/>
                </w:tcPr>
                <w:p w14:paraId="662E586C">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p>
              </w:tc>
              <w:tc>
                <w:tcPr>
                  <w:tcW w:w="1066" w:type="dxa"/>
                  <w:vMerge w:val="continue"/>
                  <w:noWrap w:val="0"/>
                  <w:vAlign w:val="center"/>
                </w:tcPr>
                <w:p w14:paraId="3563158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p>
              </w:tc>
              <w:tc>
                <w:tcPr>
                  <w:tcW w:w="1126" w:type="dxa"/>
                  <w:vMerge w:val="continue"/>
                  <w:noWrap w:val="0"/>
                  <w:vAlign w:val="center"/>
                </w:tcPr>
                <w:p w14:paraId="1349FF60">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p>
              </w:tc>
              <w:tc>
                <w:tcPr>
                  <w:tcW w:w="3558" w:type="dxa"/>
                  <w:noWrap w:val="0"/>
                  <w:vAlign w:val="center"/>
                </w:tcPr>
                <w:p w14:paraId="327B8861">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第二生产线</w:t>
                  </w:r>
                </w:p>
                <w:p w14:paraId="6ECAD461">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生产设备上方设置集气罩，共计8个；</w:t>
                  </w:r>
                </w:p>
                <w:p w14:paraId="392AFCC7">
                  <w:pPr>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7669A674">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ascii="Times New Roman" w:hAnsi="Times New Roman" w:eastAsia="宋体"/>
                      <w:color w:val="auto"/>
                      <w:sz w:val="21"/>
                      <w:highlight w:val="none"/>
                      <w:lang w:val="en-US" w:eastAsia="zh-CN"/>
                    </w:rPr>
                    <w:t>770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1D53E1D1">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），H=1</w:t>
                  </w:r>
                  <w:r>
                    <w:rPr>
                      <w:rFonts w:hint="eastAsia" w:ascii="Times New Roman" w:hAnsi="Times New Roman" w:eastAsia="宋体"/>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tc>
              <w:tc>
                <w:tcPr>
                  <w:tcW w:w="709" w:type="dxa"/>
                  <w:noWrap w:val="0"/>
                  <w:vAlign w:val="center"/>
                </w:tcPr>
                <w:p w14:paraId="35A48069">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1套</w:t>
                  </w:r>
                </w:p>
              </w:tc>
              <w:tc>
                <w:tcPr>
                  <w:tcW w:w="1276" w:type="dxa"/>
                  <w:noWrap w:val="0"/>
                  <w:vAlign w:val="center"/>
                </w:tcPr>
                <w:p w14:paraId="3CE7F9E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r>
                    <w:rPr>
                      <w:rFonts w:hint="eastAsia"/>
                      <w:color w:val="auto"/>
                      <w:sz w:val="21"/>
                      <w:szCs w:val="21"/>
                      <w:highlight w:val="none"/>
                      <w:lang w:val="en-US" w:eastAsia="zh-CN"/>
                    </w:rPr>
                    <w:t>6.5</w:t>
                  </w:r>
                </w:p>
              </w:tc>
            </w:tr>
            <w:tr w14:paraId="1609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noWrap w:val="0"/>
                  <w:vAlign w:val="center"/>
                </w:tcPr>
                <w:p w14:paraId="6FCB4527">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p>
              </w:tc>
              <w:tc>
                <w:tcPr>
                  <w:tcW w:w="1066" w:type="dxa"/>
                  <w:vMerge w:val="continue"/>
                  <w:noWrap w:val="0"/>
                  <w:vAlign w:val="center"/>
                </w:tcPr>
                <w:p w14:paraId="308014C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p>
              </w:tc>
              <w:tc>
                <w:tcPr>
                  <w:tcW w:w="1126" w:type="dxa"/>
                  <w:vMerge w:val="continue"/>
                  <w:noWrap w:val="0"/>
                  <w:vAlign w:val="center"/>
                </w:tcPr>
                <w:p w14:paraId="44D215A1">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p>
              </w:tc>
              <w:tc>
                <w:tcPr>
                  <w:tcW w:w="3558" w:type="dxa"/>
                  <w:noWrap w:val="0"/>
                  <w:vAlign w:val="center"/>
                </w:tcPr>
                <w:p w14:paraId="71C8A151">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第三生产线</w:t>
                  </w:r>
                </w:p>
                <w:p w14:paraId="0132327A">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①生产设备上方设置集气罩，共计</w:t>
                  </w:r>
                  <w:r>
                    <w:rPr>
                      <w:rFonts w:hint="eastAsia"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lang w:val="en-US" w:eastAsia="zh-CN"/>
                    </w:rPr>
                    <w:t>个；</w:t>
                  </w:r>
                </w:p>
                <w:p w14:paraId="35C5916D">
                  <w:pPr>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3</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7186FC75">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color w:val="auto"/>
                      <w:sz w:val="21"/>
                      <w:highlight w:val="none"/>
                      <w:lang w:val="en-US" w:eastAsia="zh-CN"/>
                    </w:rPr>
                    <w:t>96</w:t>
                  </w:r>
                  <w:r>
                    <w:rPr>
                      <w:rFonts w:hint="eastAsia" w:ascii="Times New Roman" w:hAnsi="Times New Roman" w:eastAsia="宋体"/>
                      <w:color w:val="auto"/>
                      <w:sz w:val="21"/>
                      <w:highlight w:val="none"/>
                      <w:lang w:val="en-US" w:eastAsia="zh-CN"/>
                    </w:rPr>
                    <w:t>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7AC09A74">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3</w:t>
                  </w:r>
                  <w:r>
                    <w:rPr>
                      <w:rFonts w:hint="eastAsia" w:ascii="Times New Roman" w:hAnsi="Times New Roman" w:eastAsia="宋体"/>
                      <w:color w:val="auto"/>
                      <w:sz w:val="21"/>
                      <w:szCs w:val="21"/>
                      <w:highlight w:val="none"/>
                    </w:rPr>
                    <w:t>），H=1</w:t>
                  </w:r>
                  <w:r>
                    <w:rPr>
                      <w:rFonts w:hint="eastAsia" w:ascii="Times New Roman" w:hAnsi="Times New Roman" w:eastAsia="宋体"/>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tc>
              <w:tc>
                <w:tcPr>
                  <w:tcW w:w="709" w:type="dxa"/>
                  <w:noWrap w:val="0"/>
                  <w:vAlign w:val="center"/>
                </w:tcPr>
                <w:p w14:paraId="23986DE0">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1套</w:t>
                  </w:r>
                </w:p>
              </w:tc>
              <w:tc>
                <w:tcPr>
                  <w:tcW w:w="1276" w:type="dxa"/>
                  <w:noWrap w:val="0"/>
                  <w:vAlign w:val="center"/>
                </w:tcPr>
                <w:p w14:paraId="7045AD5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19</w:t>
                  </w:r>
                </w:p>
              </w:tc>
            </w:tr>
            <w:tr w14:paraId="44D3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74098CFC">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2.2</w:t>
                  </w:r>
                </w:p>
              </w:tc>
              <w:tc>
                <w:tcPr>
                  <w:tcW w:w="1066" w:type="dxa"/>
                  <w:noWrap w:val="0"/>
                  <w:vAlign w:val="center"/>
                </w:tcPr>
                <w:p w14:paraId="261CE4A2">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无组织－生产线、</w:t>
                  </w:r>
                  <w:r>
                    <w:rPr>
                      <w:rFonts w:hint="default" w:ascii="Times New Roman" w:hAnsi="Times New Roman" w:eastAsia="宋体" w:cs="Times New Roman"/>
                      <w:color w:val="auto"/>
                      <w:kern w:val="0"/>
                      <w:sz w:val="21"/>
                      <w:szCs w:val="21"/>
                      <w:highlight w:val="none"/>
                      <w:lang w:val="en-US" w:eastAsia="zh-CN" w:bidi="ar"/>
                    </w:rPr>
                    <w:t>堆场、装卸扬尘</w:t>
                  </w:r>
                </w:p>
              </w:tc>
              <w:tc>
                <w:tcPr>
                  <w:tcW w:w="1126" w:type="dxa"/>
                  <w:noWrap w:val="0"/>
                  <w:vAlign w:val="center"/>
                </w:tcPr>
                <w:p w14:paraId="25768C10">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3558" w:type="dxa"/>
                  <w:noWrap w:val="0"/>
                  <w:vAlign w:val="center"/>
                </w:tcPr>
                <w:p w14:paraId="1BF7E634">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①生产车间封闭厂房，原料</w:t>
                  </w:r>
                  <w:r>
                    <w:rPr>
                      <w:rFonts w:hint="default" w:ascii="Times New Roman" w:hAnsi="Times New Roman" w:eastAsia="宋体" w:cs="Times New Roman"/>
                      <w:color w:val="auto"/>
                      <w:kern w:val="0"/>
                      <w:sz w:val="21"/>
                      <w:szCs w:val="21"/>
                      <w:highlight w:val="none"/>
                      <w:lang w:val="en-US" w:eastAsia="zh-CN" w:bidi="ar"/>
                    </w:rPr>
                    <w:t>堆场、装卸区设置</w:t>
                  </w:r>
                  <w:r>
                    <w:rPr>
                      <w:rFonts w:hint="eastAsia" w:ascii="Times New Roman" w:hAnsi="Times New Roman" w:eastAsia="宋体" w:cs="Times New Roman"/>
                      <w:color w:val="auto"/>
                      <w:kern w:val="0"/>
                      <w:sz w:val="21"/>
                      <w:szCs w:val="21"/>
                      <w:highlight w:val="none"/>
                      <w:lang w:val="en-US" w:eastAsia="zh-CN" w:bidi="ar"/>
                    </w:rPr>
                    <w:t>三面围挡</w:t>
                  </w:r>
                  <w:r>
                    <w:rPr>
                      <w:rFonts w:hint="eastAsia" w:ascii="Times New Roman" w:hAnsi="Times New Roman" w:eastAsia="宋体" w:cs="Times New Roman"/>
                      <w:color w:val="auto"/>
                      <w:sz w:val="21"/>
                      <w:szCs w:val="21"/>
                      <w:highlight w:val="none"/>
                      <w:vertAlign w:val="baseline"/>
                      <w:lang w:val="en-US" w:eastAsia="zh-CN"/>
                    </w:rPr>
                    <w:t>加顶棚</w:t>
                  </w:r>
                  <w:r>
                    <w:rPr>
                      <w:rFonts w:hint="eastAsia" w:ascii="Times New Roman" w:hAnsi="Times New Roman" w:eastAsia="宋体" w:cs="Times New Roman"/>
                      <w:color w:val="auto"/>
                      <w:kern w:val="0"/>
                      <w:sz w:val="21"/>
                      <w:szCs w:val="21"/>
                      <w:highlight w:val="none"/>
                      <w:lang w:val="en-US" w:eastAsia="zh-CN" w:bidi="ar"/>
                    </w:rPr>
                    <w:t>的车间内</w:t>
                  </w:r>
                  <w:r>
                    <w:rPr>
                      <w:rFonts w:hint="default" w:ascii="Times New Roman" w:hAnsi="Times New Roman" w:eastAsia="宋体" w:cs="Times New Roman"/>
                      <w:color w:val="auto"/>
                      <w:kern w:val="0"/>
                      <w:sz w:val="21"/>
                      <w:szCs w:val="21"/>
                      <w:highlight w:val="none"/>
                      <w:lang w:val="en-US" w:eastAsia="zh-CN" w:bidi="ar"/>
                    </w:rPr>
                    <w:t>，车间地面硬化处理</w:t>
                  </w:r>
                  <w:r>
                    <w:rPr>
                      <w:rFonts w:hint="eastAsia" w:ascii="Times New Roman" w:hAnsi="Times New Roman" w:eastAsia="宋体" w:cs="Times New Roman"/>
                      <w:color w:val="auto"/>
                      <w:kern w:val="0"/>
                      <w:sz w:val="21"/>
                      <w:szCs w:val="21"/>
                      <w:highlight w:val="none"/>
                      <w:lang w:val="en-US" w:eastAsia="zh-CN" w:bidi="ar"/>
                    </w:rPr>
                    <w:t>；</w:t>
                  </w:r>
                </w:p>
                <w:p w14:paraId="7BF005E4">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auto"/>
                      <w:kern w:val="0"/>
                      <w:sz w:val="21"/>
                      <w:highlight w:val="none"/>
                      <w:lang w:val="en-US" w:eastAsia="zh-CN"/>
                    </w:rPr>
                  </w:pPr>
                  <w:r>
                    <w:rPr>
                      <w:rFonts w:hint="eastAsia" w:ascii="Times New Roman" w:hAnsi="Times New Roman" w:eastAsia="宋体" w:cs="Times New Roman"/>
                      <w:color w:val="auto"/>
                      <w:kern w:val="0"/>
                      <w:sz w:val="21"/>
                      <w:highlight w:val="none"/>
                      <w:lang w:val="en-US" w:eastAsia="zh-CN"/>
                    </w:rPr>
                    <w:t>②堆料大棚设置洒水喷头50个，配套输水管道，定期洒水降尘。</w:t>
                  </w:r>
                </w:p>
                <w:p w14:paraId="18FF2B31">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auto"/>
                      <w:kern w:val="0"/>
                      <w:sz w:val="21"/>
                      <w:highlight w:val="none"/>
                      <w:lang w:val="en-US" w:eastAsia="zh-CN"/>
                    </w:rPr>
                  </w:pPr>
                  <w:r>
                    <w:rPr>
                      <w:rFonts w:hint="eastAsia"/>
                      <w:color w:val="auto"/>
                      <w:lang w:val="en-US" w:eastAsia="zh-CN"/>
                    </w:rPr>
                    <w:t>③生产线破碎机、振动筛设置集气罩，滚筒筛封闭设置。</w:t>
                  </w:r>
                </w:p>
              </w:tc>
              <w:tc>
                <w:tcPr>
                  <w:tcW w:w="709" w:type="dxa"/>
                  <w:noWrap w:val="0"/>
                  <w:vAlign w:val="center"/>
                </w:tcPr>
                <w:p w14:paraId="408CDF7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1套</w:t>
                  </w:r>
                </w:p>
              </w:tc>
              <w:tc>
                <w:tcPr>
                  <w:tcW w:w="1276" w:type="dxa"/>
                  <w:noWrap w:val="0"/>
                  <w:vAlign w:val="center"/>
                </w:tcPr>
                <w:p w14:paraId="47E0F4C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30</w:t>
                  </w:r>
                </w:p>
              </w:tc>
            </w:tr>
            <w:tr w14:paraId="503E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4312952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2.3</w:t>
                  </w:r>
                </w:p>
              </w:tc>
              <w:tc>
                <w:tcPr>
                  <w:tcW w:w="1066" w:type="dxa"/>
                  <w:noWrap w:val="0"/>
                  <w:vAlign w:val="center"/>
                </w:tcPr>
                <w:p w14:paraId="3224F725">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无组织－运输粉尘</w:t>
                  </w:r>
                </w:p>
              </w:tc>
              <w:tc>
                <w:tcPr>
                  <w:tcW w:w="1126" w:type="dxa"/>
                  <w:noWrap w:val="0"/>
                  <w:vAlign w:val="center"/>
                </w:tcPr>
                <w:p w14:paraId="53F5260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3558" w:type="dxa"/>
                  <w:noWrap w:val="0"/>
                  <w:vAlign w:val="center"/>
                </w:tcPr>
                <w:p w14:paraId="392D1AE1">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①</w:t>
                  </w:r>
                  <w:r>
                    <w:rPr>
                      <w:rFonts w:hint="default" w:ascii="Times New Roman" w:hAnsi="Times New Roman" w:eastAsia="宋体" w:cs="Times New Roman"/>
                      <w:color w:val="auto"/>
                      <w:kern w:val="0"/>
                      <w:sz w:val="21"/>
                      <w:szCs w:val="21"/>
                      <w:highlight w:val="none"/>
                      <w:lang w:val="en-US" w:eastAsia="zh-CN" w:bidi="ar"/>
                    </w:rPr>
                    <w:t>运输车辆加盖篷布及时清扫、</w:t>
                  </w:r>
                  <w:r>
                    <w:rPr>
                      <w:rFonts w:hint="eastAsia" w:ascii="Times New Roman" w:hAnsi="Times New Roman" w:eastAsia="宋体" w:cs="Times New Roman"/>
                      <w:color w:val="auto"/>
                      <w:kern w:val="0"/>
                      <w:sz w:val="21"/>
                      <w:szCs w:val="21"/>
                      <w:highlight w:val="none"/>
                      <w:lang w:val="en-US" w:eastAsia="zh-CN" w:bidi="ar"/>
                    </w:rPr>
                    <w:t>运输道路</w:t>
                  </w:r>
                  <w:r>
                    <w:rPr>
                      <w:rFonts w:hint="default" w:ascii="Times New Roman" w:hAnsi="Times New Roman" w:eastAsia="宋体" w:cs="Times New Roman"/>
                      <w:color w:val="auto"/>
                      <w:kern w:val="0"/>
                      <w:sz w:val="21"/>
                      <w:szCs w:val="21"/>
                      <w:highlight w:val="none"/>
                      <w:lang w:val="en-US" w:eastAsia="zh-CN" w:bidi="ar"/>
                    </w:rPr>
                    <w:t>定期洒水降尘</w:t>
                  </w:r>
                  <w:r>
                    <w:rPr>
                      <w:rFonts w:hint="eastAsia" w:ascii="Times New Roman" w:hAnsi="Times New Roman" w:eastAsia="宋体" w:cs="Times New Roman"/>
                      <w:color w:val="auto"/>
                      <w:kern w:val="0"/>
                      <w:sz w:val="21"/>
                      <w:szCs w:val="21"/>
                      <w:highlight w:val="none"/>
                      <w:lang w:val="en-US" w:eastAsia="zh-CN" w:bidi="ar"/>
                    </w:rPr>
                    <w:t>；</w:t>
                  </w:r>
                </w:p>
                <w:p w14:paraId="0EED3AAC">
                  <w:pPr>
                    <w:keepNext w:val="0"/>
                    <w:keepLines w:val="0"/>
                    <w:pageBreakBefore w:val="0"/>
                    <w:kinsoku/>
                    <w:wordWrap/>
                    <w:overflowPunct/>
                    <w:topLinePunct w:val="0"/>
                    <w:bidi w:val="0"/>
                    <w:adjustRightInd w:val="0"/>
                    <w:snapToGrid w:val="0"/>
                    <w:jc w:val="both"/>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②运输车辆进入厂区进行轮胎清洗；</w:t>
                  </w:r>
                </w:p>
                <w:p w14:paraId="5C62A174">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auto"/>
                      <w:kern w:val="0"/>
                      <w:sz w:val="21"/>
                      <w:highlight w:val="none"/>
                      <w:lang w:val="en-US" w:eastAsia="zh-CN"/>
                    </w:rPr>
                  </w:pPr>
                  <w:r>
                    <w:rPr>
                      <w:rFonts w:hint="eastAsia" w:cs="Times New Roman"/>
                      <w:color w:val="auto"/>
                      <w:kern w:val="0"/>
                      <w:sz w:val="21"/>
                      <w:szCs w:val="21"/>
                      <w:highlight w:val="none"/>
                      <w:lang w:val="en-US" w:eastAsia="zh-CN" w:bidi="ar"/>
                    </w:rPr>
                    <w:t>③</w:t>
                  </w:r>
                  <w:r>
                    <w:rPr>
                      <w:rFonts w:hint="eastAsia" w:ascii="Times New Roman" w:hAnsi="Times New Roman" w:eastAsia="宋体" w:cs="Times New Roman"/>
                      <w:color w:val="auto"/>
                      <w:kern w:val="0"/>
                      <w:sz w:val="21"/>
                      <w:szCs w:val="21"/>
                      <w:highlight w:val="none"/>
                      <w:lang w:val="en-US" w:eastAsia="zh-CN" w:bidi="ar"/>
                    </w:rPr>
                    <w:t>配置洒水车1辆。</w:t>
                  </w:r>
                </w:p>
              </w:tc>
              <w:tc>
                <w:tcPr>
                  <w:tcW w:w="709" w:type="dxa"/>
                  <w:noWrap w:val="0"/>
                  <w:vAlign w:val="center"/>
                </w:tcPr>
                <w:p w14:paraId="45B4A96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1套</w:t>
                  </w:r>
                </w:p>
              </w:tc>
              <w:tc>
                <w:tcPr>
                  <w:tcW w:w="1276" w:type="dxa"/>
                  <w:noWrap w:val="0"/>
                  <w:vAlign w:val="center"/>
                </w:tcPr>
                <w:p w14:paraId="31B74FA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w:t>
                  </w:r>
                </w:p>
              </w:tc>
            </w:tr>
            <w:tr w14:paraId="7F7E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2BD1A83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2.4</w:t>
                  </w:r>
                </w:p>
              </w:tc>
              <w:tc>
                <w:tcPr>
                  <w:tcW w:w="1066" w:type="dxa"/>
                  <w:noWrap w:val="0"/>
                  <w:vAlign w:val="center"/>
                </w:tcPr>
                <w:p w14:paraId="4073F90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食堂</w:t>
                  </w:r>
                </w:p>
              </w:tc>
              <w:tc>
                <w:tcPr>
                  <w:tcW w:w="1126" w:type="dxa"/>
                  <w:noWrap w:val="0"/>
                  <w:vAlign w:val="center"/>
                </w:tcPr>
                <w:p w14:paraId="3E398CF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饮食油烟</w:t>
                  </w:r>
                </w:p>
              </w:tc>
              <w:tc>
                <w:tcPr>
                  <w:tcW w:w="3558" w:type="dxa"/>
                  <w:noWrap w:val="0"/>
                  <w:vAlign w:val="center"/>
                </w:tcPr>
                <w:p w14:paraId="30D39A2B">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olor w:val="auto"/>
                      <w:sz w:val="21"/>
                      <w:szCs w:val="21"/>
                      <w:highlight w:val="none"/>
                    </w:rPr>
                    <w:t>抽油烟机一套，处理效率≥</w:t>
                  </w:r>
                  <w:r>
                    <w:rPr>
                      <w:rFonts w:hint="eastAsia" w:ascii="Times New Roman" w:hAnsi="Times New Roman" w:eastAsia="宋体"/>
                      <w:color w:val="auto"/>
                      <w:sz w:val="21"/>
                      <w:szCs w:val="21"/>
                      <w:highlight w:val="none"/>
                      <w:lang w:val="en-US" w:eastAsia="zh-CN"/>
                    </w:rPr>
                    <w:t>60</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eastAsia="zh-CN"/>
                    </w:rPr>
                    <w:t>，处理风量≥</w:t>
                  </w:r>
                  <w:r>
                    <w:rPr>
                      <w:rFonts w:hint="eastAsia" w:ascii="Times New Roman" w:hAnsi="Times New Roman" w:eastAsia="宋体"/>
                      <w:color w:val="auto"/>
                      <w:sz w:val="21"/>
                      <w:szCs w:val="21"/>
                      <w:highlight w:val="none"/>
                      <w:lang w:val="en-US" w:eastAsia="zh-CN"/>
                    </w:rPr>
                    <w:t>4000m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/h</w:t>
                  </w:r>
                </w:p>
              </w:tc>
              <w:tc>
                <w:tcPr>
                  <w:tcW w:w="709" w:type="dxa"/>
                  <w:noWrap w:val="0"/>
                  <w:vAlign w:val="center"/>
                </w:tcPr>
                <w:p w14:paraId="7547DA2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1套</w:t>
                  </w:r>
                </w:p>
              </w:tc>
              <w:tc>
                <w:tcPr>
                  <w:tcW w:w="1276" w:type="dxa"/>
                  <w:noWrap w:val="0"/>
                  <w:vAlign w:val="center"/>
                </w:tcPr>
                <w:p w14:paraId="206A03C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0.5</w:t>
                  </w:r>
                </w:p>
              </w:tc>
            </w:tr>
            <w:tr w14:paraId="60D3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0" w:type="dxa"/>
                  <w:gridSpan w:val="6"/>
                  <w:noWrap w:val="0"/>
                  <w:vAlign w:val="center"/>
                </w:tcPr>
                <w:p w14:paraId="0E1E9C46">
                  <w:pPr>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3、固体废弃物保护措施</w:t>
                  </w:r>
                </w:p>
              </w:tc>
            </w:tr>
            <w:tr w14:paraId="1261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15D103F6">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r>
                    <w:rPr>
                      <w:rFonts w:ascii="Times New Roman" w:hAnsi="Times New Roman" w:eastAsia="宋体"/>
                      <w:color w:val="auto"/>
                      <w:sz w:val="21"/>
                      <w:szCs w:val="21"/>
                      <w:highlight w:val="none"/>
                    </w:rPr>
                    <w:t>.1</w:t>
                  </w:r>
                </w:p>
              </w:tc>
              <w:tc>
                <w:tcPr>
                  <w:tcW w:w="1066" w:type="dxa"/>
                  <w:noWrap w:val="0"/>
                  <w:vAlign w:val="center"/>
                </w:tcPr>
                <w:p w14:paraId="65B3F23A">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生活</w:t>
                  </w:r>
                </w:p>
              </w:tc>
              <w:tc>
                <w:tcPr>
                  <w:tcW w:w="1126" w:type="dxa"/>
                  <w:noWrap w:val="0"/>
                  <w:vAlign w:val="center"/>
                </w:tcPr>
                <w:p w14:paraId="233F178E">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隔油池废油脂</w:t>
                  </w:r>
                </w:p>
              </w:tc>
              <w:tc>
                <w:tcPr>
                  <w:tcW w:w="3558" w:type="dxa"/>
                  <w:noWrap w:val="0"/>
                  <w:vAlign w:val="center"/>
                </w:tcPr>
                <w:p w14:paraId="3F74B7CB">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olor w:val="auto"/>
                      <w:sz w:val="21"/>
                      <w:szCs w:val="21"/>
                      <w:highlight w:val="none"/>
                      <w:lang w:val="en-US"/>
                    </w:rPr>
                  </w:pPr>
                  <w:r>
                    <w:rPr>
                      <w:rFonts w:hint="eastAsia" w:ascii="Times New Roman" w:hAnsi="Times New Roman" w:eastAsia="宋体" w:cs="Times New Roman"/>
                      <w:color w:val="auto"/>
                      <w:sz w:val="21"/>
                      <w:highlight w:val="none"/>
                      <w:lang w:val="en-US" w:eastAsia="zh-CN"/>
                    </w:rPr>
                    <w:t>设置2个容积为20L的收集桶</w:t>
                  </w:r>
                </w:p>
              </w:tc>
              <w:tc>
                <w:tcPr>
                  <w:tcW w:w="709" w:type="dxa"/>
                  <w:noWrap w:val="0"/>
                  <w:vAlign w:val="center"/>
                </w:tcPr>
                <w:p w14:paraId="78DBA0B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1套</w:t>
                  </w:r>
                </w:p>
              </w:tc>
              <w:tc>
                <w:tcPr>
                  <w:tcW w:w="1276" w:type="dxa"/>
                  <w:noWrap w:val="0"/>
                  <w:vAlign w:val="center"/>
                </w:tcPr>
                <w:p w14:paraId="3E7DDD6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w:t>
                  </w:r>
                </w:p>
              </w:tc>
            </w:tr>
            <w:tr w14:paraId="0744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680FB51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3.2</w:t>
                  </w:r>
                </w:p>
              </w:tc>
              <w:tc>
                <w:tcPr>
                  <w:tcW w:w="1066" w:type="dxa"/>
                  <w:noWrap w:val="0"/>
                  <w:vAlign w:val="center"/>
                </w:tcPr>
                <w:p w14:paraId="7C480611">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生活</w:t>
                  </w:r>
                </w:p>
              </w:tc>
              <w:tc>
                <w:tcPr>
                  <w:tcW w:w="1126" w:type="dxa"/>
                  <w:noWrap w:val="0"/>
                  <w:vAlign w:val="center"/>
                </w:tcPr>
                <w:p w14:paraId="7BC75B0A">
                  <w:pPr>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生活垃圾</w:t>
                  </w:r>
                </w:p>
              </w:tc>
              <w:tc>
                <w:tcPr>
                  <w:tcW w:w="3558" w:type="dxa"/>
                  <w:noWrap w:val="0"/>
                  <w:vAlign w:val="center"/>
                </w:tcPr>
                <w:p w14:paraId="7AEAF34A">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olor w:val="auto"/>
                      <w:sz w:val="21"/>
                      <w:szCs w:val="21"/>
                      <w:highlight w:val="none"/>
                    </w:rPr>
                  </w:pPr>
                  <w:r>
                    <w:rPr>
                      <w:rFonts w:hint="eastAsia" w:ascii="Times New Roman" w:hAnsi="Times New Roman" w:eastAsia="宋体" w:cs="Times New Roman"/>
                      <w:color w:val="auto"/>
                      <w:sz w:val="21"/>
                      <w:highlight w:val="none"/>
                      <w:lang w:val="en-US" w:eastAsia="zh-CN"/>
                    </w:rPr>
                    <w:t>1个封闭式室外垃圾收集桶（120L）2个，用于收集生活垃圾，配套室内垃圾桶若干；定期</w:t>
                  </w:r>
                  <w:r>
                    <w:rPr>
                      <w:rFonts w:hint="eastAsia" w:ascii="Times New Roman" w:hAnsi="Times New Roman" w:eastAsia="宋体" w:cs="Times New Roman"/>
                      <w:b w:val="0"/>
                      <w:bCs w:val="0"/>
                      <w:color w:val="auto"/>
                      <w:sz w:val="21"/>
                      <w:szCs w:val="21"/>
                      <w:highlight w:val="none"/>
                      <w:lang w:val="en-US" w:eastAsia="zh-CN"/>
                    </w:rPr>
                    <w:t>由环卫部门清运处置</w:t>
                  </w:r>
                </w:p>
              </w:tc>
              <w:tc>
                <w:tcPr>
                  <w:tcW w:w="709" w:type="dxa"/>
                  <w:noWrap w:val="0"/>
                  <w:vAlign w:val="center"/>
                </w:tcPr>
                <w:p w14:paraId="012388DC">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w:t>
                  </w:r>
                </w:p>
              </w:tc>
              <w:tc>
                <w:tcPr>
                  <w:tcW w:w="1276" w:type="dxa"/>
                  <w:noWrap w:val="0"/>
                  <w:vAlign w:val="center"/>
                </w:tcPr>
                <w:p w14:paraId="0BF560D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0.2</w:t>
                  </w:r>
                </w:p>
              </w:tc>
            </w:tr>
            <w:tr w14:paraId="32B8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4538DCF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3.3</w:t>
                  </w:r>
                </w:p>
              </w:tc>
              <w:tc>
                <w:tcPr>
                  <w:tcW w:w="1066" w:type="dxa"/>
                  <w:noWrap w:val="0"/>
                  <w:vAlign w:val="center"/>
                </w:tcPr>
                <w:p w14:paraId="58898A73">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生产</w:t>
                  </w:r>
                </w:p>
              </w:tc>
              <w:tc>
                <w:tcPr>
                  <w:tcW w:w="1126" w:type="dxa"/>
                  <w:noWrap w:val="0"/>
                  <w:vAlign w:val="center"/>
                </w:tcPr>
                <w:p w14:paraId="16331927">
                  <w:pPr>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危险废物</w:t>
                  </w:r>
                </w:p>
              </w:tc>
              <w:tc>
                <w:tcPr>
                  <w:tcW w:w="3558" w:type="dxa"/>
                  <w:noWrap w:val="0"/>
                  <w:vAlign w:val="center"/>
                </w:tcPr>
                <w:p w14:paraId="0D540626">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olor w:val="auto"/>
                      <w:sz w:val="21"/>
                      <w:szCs w:val="21"/>
                      <w:highlight w:val="none"/>
                    </w:rPr>
                  </w:pPr>
                  <w:r>
                    <w:rPr>
                      <w:rFonts w:hint="eastAsia" w:ascii="Times New Roman" w:hAnsi="Times New Roman" w:eastAsia="宋体" w:cs="Times New Roman"/>
                      <w:color w:val="auto"/>
                      <w:sz w:val="21"/>
                      <w:highlight w:val="none"/>
                      <w:lang w:val="en-US" w:eastAsia="zh-CN"/>
                    </w:rPr>
                    <w:t>危险废物暂存间1间，占地面积10m</w:t>
                  </w:r>
                  <w:r>
                    <w:rPr>
                      <w:rFonts w:hint="eastAsia" w:ascii="Times New Roman" w:hAnsi="Times New Roman" w:eastAsia="宋体" w:cs="Times New Roman"/>
                      <w:color w:val="auto"/>
                      <w:sz w:val="21"/>
                      <w:highlight w:val="none"/>
                      <w:vertAlign w:val="superscript"/>
                      <w:lang w:val="en-US" w:eastAsia="zh-CN"/>
                    </w:rPr>
                    <w:t>2</w:t>
                  </w:r>
                  <w:r>
                    <w:rPr>
                      <w:rFonts w:hint="eastAsia"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szCs w:val="21"/>
                      <w:highlight w:val="none"/>
                      <w:lang w:eastAsia="zh-CN"/>
                    </w:rPr>
                    <w:t>危险废物</w:t>
                  </w:r>
                  <w:r>
                    <w:rPr>
                      <w:rFonts w:hint="eastAsia" w:ascii="Times New Roman" w:hAnsi="Times New Roman" w:eastAsia="宋体" w:cs="Times New Roman"/>
                      <w:b w:val="0"/>
                      <w:bCs w:val="0"/>
                      <w:color w:val="auto"/>
                      <w:sz w:val="21"/>
                      <w:szCs w:val="21"/>
                      <w:highlight w:val="none"/>
                      <w:lang w:val="en-US" w:eastAsia="zh-CN"/>
                    </w:rPr>
                    <w:t>分类</w:t>
                  </w:r>
                  <w:r>
                    <w:rPr>
                      <w:rFonts w:hint="default" w:ascii="Times New Roman" w:hAnsi="Times New Roman" w:eastAsia="宋体" w:cs="Times New Roman"/>
                      <w:b w:val="0"/>
                      <w:bCs w:val="0"/>
                      <w:color w:val="auto"/>
                      <w:sz w:val="21"/>
                      <w:szCs w:val="21"/>
                      <w:highlight w:val="none"/>
                      <w:lang w:val="en-US" w:eastAsia="zh-CN"/>
                    </w:rPr>
                    <w:t>收集后</w:t>
                  </w:r>
                  <w:r>
                    <w:rPr>
                      <w:rFonts w:hint="eastAsia" w:ascii="Times New Roman" w:hAnsi="Times New Roman" w:eastAsia="宋体" w:cs="Times New Roman"/>
                      <w:b w:val="0"/>
                      <w:bCs w:val="0"/>
                      <w:color w:val="auto"/>
                      <w:sz w:val="21"/>
                      <w:szCs w:val="21"/>
                      <w:highlight w:val="none"/>
                      <w:lang w:val="en-US" w:eastAsia="zh-CN"/>
                    </w:rPr>
                    <w:t>分类</w:t>
                  </w:r>
                  <w:r>
                    <w:rPr>
                      <w:rFonts w:hint="default" w:ascii="Times New Roman" w:hAnsi="Times New Roman" w:eastAsia="宋体" w:cs="Times New Roman"/>
                      <w:b w:val="0"/>
                      <w:bCs w:val="0"/>
                      <w:color w:val="auto"/>
                      <w:sz w:val="21"/>
                      <w:szCs w:val="21"/>
                      <w:highlight w:val="none"/>
                      <w:lang w:val="en-US" w:eastAsia="zh-CN"/>
                    </w:rPr>
                    <w:t>暂存于危废暂存间，定期委托</w:t>
                  </w:r>
                  <w:r>
                    <w:rPr>
                      <w:rFonts w:hint="eastAsia" w:ascii="Times New Roman" w:hAnsi="Times New Roman" w:eastAsia="宋体" w:cs="Times New Roman"/>
                      <w:b w:val="0"/>
                      <w:bCs w:val="0"/>
                      <w:color w:val="auto"/>
                      <w:sz w:val="21"/>
                      <w:szCs w:val="21"/>
                      <w:highlight w:val="none"/>
                      <w:lang w:val="en-US" w:eastAsia="zh-CN"/>
                    </w:rPr>
                    <w:t>有资质单位</w:t>
                  </w:r>
                  <w:r>
                    <w:rPr>
                      <w:rFonts w:hint="default" w:ascii="Times New Roman" w:hAnsi="Times New Roman" w:eastAsia="宋体" w:cs="Times New Roman"/>
                      <w:b w:val="0"/>
                      <w:bCs w:val="0"/>
                      <w:color w:val="auto"/>
                      <w:sz w:val="21"/>
                      <w:szCs w:val="21"/>
                      <w:highlight w:val="none"/>
                      <w:lang w:val="en-US" w:eastAsia="zh-CN"/>
                    </w:rPr>
                    <w:t>清运处置</w:t>
                  </w:r>
                </w:p>
              </w:tc>
              <w:tc>
                <w:tcPr>
                  <w:tcW w:w="709" w:type="dxa"/>
                  <w:noWrap w:val="0"/>
                  <w:vAlign w:val="center"/>
                </w:tcPr>
                <w:p w14:paraId="7CF2798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1间</w:t>
                  </w:r>
                </w:p>
              </w:tc>
              <w:tc>
                <w:tcPr>
                  <w:tcW w:w="1276" w:type="dxa"/>
                  <w:noWrap w:val="0"/>
                  <w:vAlign w:val="center"/>
                </w:tcPr>
                <w:p w14:paraId="4FA6AA2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w:t>
                  </w:r>
                </w:p>
              </w:tc>
            </w:tr>
            <w:tr w14:paraId="74E3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0" w:type="dxa"/>
                  <w:gridSpan w:val="6"/>
                  <w:noWrap w:val="0"/>
                  <w:vAlign w:val="center"/>
                </w:tcPr>
                <w:p w14:paraId="05826EE1">
                  <w:pPr>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4、噪声防治措施</w:t>
                  </w:r>
                </w:p>
              </w:tc>
            </w:tr>
            <w:tr w14:paraId="3482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1090C006">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w:t>
                  </w:r>
                  <w:r>
                    <w:rPr>
                      <w:rFonts w:ascii="Times New Roman" w:hAnsi="Times New Roman" w:eastAsia="宋体"/>
                      <w:color w:val="auto"/>
                      <w:sz w:val="21"/>
                      <w:szCs w:val="21"/>
                      <w:highlight w:val="none"/>
                    </w:rPr>
                    <w:t>.1</w:t>
                  </w:r>
                </w:p>
              </w:tc>
              <w:tc>
                <w:tcPr>
                  <w:tcW w:w="1066" w:type="dxa"/>
                  <w:noWrap w:val="0"/>
                  <w:vAlign w:val="center"/>
                </w:tcPr>
                <w:p w14:paraId="0DCB7869">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生产设备</w:t>
                  </w:r>
                </w:p>
              </w:tc>
              <w:tc>
                <w:tcPr>
                  <w:tcW w:w="1126" w:type="dxa"/>
                  <w:noWrap w:val="0"/>
                  <w:vAlign w:val="center"/>
                </w:tcPr>
                <w:p w14:paraId="0855819D">
                  <w:pPr>
                    <w:keepNext w:val="0"/>
                    <w:keepLines w:val="0"/>
                    <w:pageBreakBefore w:val="0"/>
                    <w:widowControl w:val="0"/>
                    <w:kinsoku/>
                    <w:wordWrap/>
                    <w:overflowPunct/>
                    <w:topLinePunct w:val="0"/>
                    <w:bidi w:val="0"/>
                    <w:adjustRightInd w:val="0"/>
                    <w:snapToGrid w:val="0"/>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机械噪声</w:t>
                  </w:r>
                </w:p>
              </w:tc>
              <w:tc>
                <w:tcPr>
                  <w:tcW w:w="3558" w:type="dxa"/>
                  <w:noWrap w:val="0"/>
                  <w:vAlign w:val="center"/>
                </w:tcPr>
                <w:p w14:paraId="4E697681">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szCs w:val="21"/>
                      <w:highlight w:val="none"/>
                    </w:rPr>
                  </w:pPr>
                  <w:r>
                    <w:rPr>
                      <w:rFonts w:hint="default" w:ascii="Times New Roman" w:hAnsi="Times New Roman" w:eastAsia="宋体" w:cs="Times New Roman"/>
                      <w:color w:val="auto"/>
                      <w:sz w:val="21"/>
                      <w:szCs w:val="21"/>
                      <w:highlight w:val="none"/>
                    </w:rPr>
                    <w:t>减振、隔声，出入口减速带、禁鸣标识</w:t>
                  </w:r>
                </w:p>
              </w:tc>
              <w:tc>
                <w:tcPr>
                  <w:tcW w:w="709" w:type="dxa"/>
                  <w:noWrap w:val="0"/>
                  <w:vAlign w:val="center"/>
                </w:tcPr>
                <w:p w14:paraId="4A2A27CC">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w:t>
                  </w:r>
                </w:p>
              </w:tc>
              <w:tc>
                <w:tcPr>
                  <w:tcW w:w="1276" w:type="dxa"/>
                  <w:noWrap w:val="0"/>
                  <w:vAlign w:val="center"/>
                </w:tcPr>
                <w:p w14:paraId="7EFE15F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w:t>
                  </w:r>
                </w:p>
              </w:tc>
            </w:tr>
            <w:tr w14:paraId="109C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0" w:type="dxa"/>
                  <w:gridSpan w:val="6"/>
                  <w:noWrap w:val="0"/>
                  <w:vAlign w:val="center"/>
                </w:tcPr>
                <w:p w14:paraId="3F23CC09">
                  <w:pPr>
                    <w:keepNext w:val="0"/>
                    <w:keepLines w:val="0"/>
                    <w:pageBreakBefore w:val="0"/>
                    <w:widowControl w:val="0"/>
                    <w:kinsoku/>
                    <w:wordWrap/>
                    <w:overflowPunct/>
                    <w:topLinePunct w:val="0"/>
                    <w:bidi w:val="0"/>
                    <w:adjustRightInd w:val="0"/>
                    <w:snapToGrid w:val="0"/>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5</w:t>
                  </w:r>
                  <w:r>
                    <w:rPr>
                      <w:rFonts w:ascii="Times New Roman" w:hAnsi="Times New Roman" w:eastAsia="宋体"/>
                      <w:color w:val="auto"/>
                      <w:sz w:val="21"/>
                      <w:szCs w:val="21"/>
                      <w:highlight w:val="none"/>
                    </w:rPr>
                    <w:t>、其他</w:t>
                  </w:r>
                </w:p>
              </w:tc>
            </w:tr>
            <w:tr w14:paraId="77CA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4E1BE48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5.1</w:t>
                  </w:r>
                </w:p>
              </w:tc>
              <w:tc>
                <w:tcPr>
                  <w:tcW w:w="2192" w:type="dxa"/>
                  <w:gridSpan w:val="2"/>
                  <w:noWrap w:val="0"/>
                  <w:vAlign w:val="center"/>
                </w:tcPr>
                <w:p w14:paraId="1C00BFEF">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柴油库风险</w:t>
                  </w:r>
                </w:p>
              </w:tc>
              <w:tc>
                <w:tcPr>
                  <w:tcW w:w="3558" w:type="dxa"/>
                  <w:noWrap w:val="0"/>
                  <w:vAlign w:val="center"/>
                </w:tcPr>
                <w:p w14:paraId="7860E5A7">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szCs w:val="21"/>
                      <w:highlight w:val="none"/>
                    </w:rPr>
                  </w:pPr>
                  <w:r>
                    <w:rPr>
                      <w:rFonts w:hint="default" w:ascii="Times New Roman" w:hAnsi="Times New Roman" w:eastAsia="宋体" w:cs="Times New Roman"/>
                      <w:bCs/>
                      <w:color w:val="auto"/>
                      <w:kern w:val="0"/>
                      <w:sz w:val="21"/>
                      <w:szCs w:val="21"/>
                      <w:highlight w:val="none"/>
                    </w:rPr>
                    <w:t>柴油</w:t>
                  </w:r>
                  <w:r>
                    <w:rPr>
                      <w:rFonts w:hint="eastAsia" w:ascii="Times New Roman" w:hAnsi="Times New Roman" w:eastAsia="宋体" w:cs="Times New Roman"/>
                      <w:bCs/>
                      <w:color w:val="auto"/>
                      <w:kern w:val="0"/>
                      <w:sz w:val="21"/>
                      <w:szCs w:val="21"/>
                      <w:highlight w:val="none"/>
                      <w:lang w:val="en-US" w:eastAsia="zh-CN"/>
                    </w:rPr>
                    <w:t>储</w:t>
                  </w:r>
                  <w:r>
                    <w:rPr>
                      <w:rFonts w:hint="default" w:ascii="Times New Roman" w:hAnsi="Times New Roman" w:eastAsia="宋体" w:cs="Times New Roman"/>
                      <w:bCs/>
                      <w:color w:val="auto"/>
                      <w:kern w:val="0"/>
                      <w:sz w:val="21"/>
                      <w:szCs w:val="21"/>
                      <w:highlight w:val="none"/>
                    </w:rPr>
                    <w:t>罐放置</w:t>
                  </w:r>
                  <w:r>
                    <w:rPr>
                      <w:rFonts w:hint="default" w:ascii="Times New Roman" w:hAnsi="Times New Roman" w:eastAsia="宋体" w:cs="Times New Roman"/>
                      <w:bCs/>
                      <w:color w:val="auto"/>
                      <w:kern w:val="0"/>
                      <w:sz w:val="21"/>
                      <w:szCs w:val="21"/>
                      <w:highlight w:val="none"/>
                      <w:lang w:val="en-US" w:eastAsia="zh-CN"/>
                    </w:rPr>
                    <w:t>在</w:t>
                  </w:r>
                  <w:r>
                    <w:rPr>
                      <w:rFonts w:hint="default" w:ascii="Times New Roman" w:hAnsi="Times New Roman" w:eastAsia="宋体" w:cs="Times New Roman"/>
                      <w:bCs/>
                      <w:color w:val="auto"/>
                      <w:kern w:val="0"/>
                      <w:sz w:val="21"/>
                      <w:szCs w:val="21"/>
                      <w:highlight w:val="none"/>
                    </w:rPr>
                    <w:t>围堰</w:t>
                  </w:r>
                  <w:r>
                    <w:rPr>
                      <w:rFonts w:hint="default" w:ascii="Times New Roman" w:hAnsi="Times New Roman" w:eastAsia="宋体" w:cs="Times New Roman"/>
                      <w:bCs/>
                      <w:color w:val="auto"/>
                      <w:kern w:val="0"/>
                      <w:sz w:val="21"/>
                      <w:szCs w:val="21"/>
                      <w:highlight w:val="none"/>
                      <w:lang w:val="en-US" w:eastAsia="zh-CN"/>
                    </w:rPr>
                    <w:t>内</w:t>
                  </w:r>
                  <w:r>
                    <w:rPr>
                      <w:rFonts w:hint="default" w:ascii="Times New Roman" w:hAnsi="Times New Roman" w:eastAsia="宋体" w:cs="Times New Roman"/>
                      <w:bCs/>
                      <w:color w:val="auto"/>
                      <w:kern w:val="0"/>
                      <w:sz w:val="21"/>
                      <w:szCs w:val="21"/>
                      <w:highlight w:val="none"/>
                    </w:rPr>
                    <w:t>，储罐区</w:t>
                  </w:r>
                  <w:r>
                    <w:rPr>
                      <w:rFonts w:hint="eastAsia" w:ascii="Times New Roman" w:hAnsi="Times New Roman" w:eastAsia="宋体" w:cs="Times New Roman"/>
                      <w:bCs/>
                      <w:color w:val="auto"/>
                      <w:kern w:val="0"/>
                      <w:sz w:val="21"/>
                      <w:szCs w:val="21"/>
                      <w:highlight w:val="none"/>
                      <w:lang w:eastAsia="zh-CN"/>
                    </w:rPr>
                    <w:t>周边</w:t>
                  </w:r>
                  <w:r>
                    <w:rPr>
                      <w:rFonts w:hint="default" w:ascii="Times New Roman" w:hAnsi="Times New Roman" w:eastAsia="宋体" w:cs="Times New Roman"/>
                      <w:bCs/>
                      <w:color w:val="auto"/>
                      <w:kern w:val="0"/>
                      <w:sz w:val="21"/>
                      <w:szCs w:val="21"/>
                      <w:highlight w:val="none"/>
                    </w:rPr>
                    <w:t>设置堵截泄漏的围堰，围堰高</w:t>
                  </w:r>
                  <w:r>
                    <w:rPr>
                      <w:rFonts w:hint="eastAsia" w:ascii="Times New Roman" w:hAnsi="Times New Roman" w:eastAsia="宋体" w:cs="Times New Roman"/>
                      <w:bCs/>
                      <w:color w:val="auto"/>
                      <w:kern w:val="0"/>
                      <w:sz w:val="21"/>
                      <w:szCs w:val="21"/>
                      <w:highlight w:val="none"/>
                      <w:lang w:val="en-US" w:eastAsia="zh-CN"/>
                    </w:rPr>
                    <w:t>0.5</w:t>
                  </w:r>
                  <w:r>
                    <w:rPr>
                      <w:rFonts w:hint="default" w:ascii="Times New Roman" w:hAnsi="Times New Roman" w:eastAsia="宋体" w:cs="Times New Roman"/>
                      <w:bCs/>
                      <w:color w:val="auto"/>
                      <w:kern w:val="0"/>
                      <w:sz w:val="21"/>
                      <w:szCs w:val="21"/>
                      <w:highlight w:val="none"/>
                    </w:rPr>
                    <w:t>m，围堰总容积满足总储量的1/5要求</w:t>
                  </w:r>
                  <w:r>
                    <w:rPr>
                      <w:rFonts w:hint="eastAsia" w:ascii="Times New Roman" w:hAnsi="Times New Roman" w:eastAsia="宋体" w:cs="Times New Roman"/>
                      <w:bCs/>
                      <w:color w:val="auto"/>
                      <w:kern w:val="0"/>
                      <w:sz w:val="21"/>
                      <w:szCs w:val="21"/>
                      <w:highlight w:val="none"/>
                      <w:lang w:eastAsia="zh-CN"/>
                    </w:rPr>
                    <w:t>，</w:t>
                  </w:r>
                  <w:r>
                    <w:rPr>
                      <w:rFonts w:hint="default" w:ascii="Times New Roman" w:hAnsi="Times New Roman" w:eastAsia="宋体" w:cs="Times New Roman"/>
                      <w:bCs/>
                      <w:color w:val="auto"/>
                      <w:kern w:val="0"/>
                      <w:sz w:val="21"/>
                      <w:szCs w:val="21"/>
                      <w:highlight w:val="none"/>
                      <w:lang w:val="en-US" w:eastAsia="zh-CN"/>
                    </w:rPr>
                    <w:t>围堰池体采用钢筋混凝土浇筑，</w:t>
                  </w:r>
                  <w:r>
                    <w:rPr>
                      <w:rFonts w:hint="default" w:ascii="Times New Roman" w:hAnsi="Times New Roman" w:eastAsia="宋体" w:cs="Times New Roman"/>
                      <w:bCs/>
                      <w:color w:val="auto"/>
                      <w:kern w:val="0"/>
                      <w:sz w:val="21"/>
                      <w:szCs w:val="21"/>
                      <w:highlight w:val="none"/>
                      <w:lang w:eastAsia="zh-CN"/>
                    </w:rPr>
                    <w:t>池底和内壁采用环氧树脂或</w:t>
                  </w:r>
                  <w:r>
                    <w:rPr>
                      <w:rFonts w:hint="eastAsia" w:ascii="Times New Roman" w:hAnsi="Times New Roman" w:eastAsia="宋体" w:cs="Times New Roman"/>
                      <w:bCs/>
                      <w:color w:val="auto"/>
                      <w:kern w:val="0"/>
                      <w:sz w:val="21"/>
                      <w:szCs w:val="21"/>
                      <w:highlight w:val="none"/>
                      <w:lang w:eastAsia="zh-CN"/>
                    </w:rPr>
                    <w:t>其他</w:t>
                  </w:r>
                  <w:r>
                    <w:rPr>
                      <w:rFonts w:hint="default" w:ascii="Times New Roman" w:hAnsi="Times New Roman" w:eastAsia="宋体" w:cs="Times New Roman"/>
                      <w:bCs/>
                      <w:color w:val="auto"/>
                      <w:kern w:val="0"/>
                      <w:sz w:val="21"/>
                      <w:szCs w:val="21"/>
                      <w:highlight w:val="none"/>
                      <w:lang w:eastAsia="zh-CN"/>
                    </w:rPr>
                    <w:t>防渗材料进行防渗处理</w:t>
                  </w:r>
                  <w:r>
                    <w:rPr>
                      <w:rFonts w:hint="default" w:ascii="Times New Roman" w:hAnsi="Times New Roman" w:eastAsia="宋体" w:cs="Times New Roman"/>
                      <w:bCs/>
                      <w:color w:val="auto"/>
                      <w:kern w:val="0"/>
                      <w:sz w:val="21"/>
                      <w:szCs w:val="21"/>
                      <w:highlight w:val="none"/>
                    </w:rPr>
                    <w:t>（渗透系数≤10</w:t>
                  </w:r>
                  <w:r>
                    <w:rPr>
                      <w:rFonts w:hint="default" w:ascii="Times New Roman" w:hAnsi="Times New Roman" w:eastAsia="宋体" w:cs="Times New Roman"/>
                      <w:bCs/>
                      <w:color w:val="auto"/>
                      <w:kern w:val="0"/>
                      <w:sz w:val="21"/>
                      <w:szCs w:val="21"/>
                      <w:highlight w:val="none"/>
                      <w:vertAlign w:val="superscript"/>
                      <w:lang w:val="en-US" w:eastAsia="zh-CN"/>
                    </w:rPr>
                    <w:t>-10</w:t>
                  </w:r>
                  <w:r>
                    <w:rPr>
                      <w:rFonts w:hint="default" w:ascii="Times New Roman" w:hAnsi="Times New Roman" w:eastAsia="宋体" w:cs="Times New Roman"/>
                      <w:bCs/>
                      <w:color w:val="auto"/>
                      <w:kern w:val="0"/>
                      <w:sz w:val="21"/>
                      <w:szCs w:val="21"/>
                      <w:highlight w:val="none"/>
                    </w:rPr>
                    <w:t>cm/s），定期对围堰进行检查，发现破裂处立即维护</w:t>
                  </w:r>
                  <w:r>
                    <w:rPr>
                      <w:rFonts w:hint="eastAsia" w:ascii="Times New Roman" w:hAnsi="Times New Roman" w:eastAsia="宋体" w:cs="Times New Roman"/>
                      <w:bCs/>
                      <w:color w:val="auto"/>
                      <w:kern w:val="0"/>
                      <w:sz w:val="21"/>
                      <w:szCs w:val="21"/>
                      <w:highlight w:val="none"/>
                      <w:lang w:eastAsia="zh-CN"/>
                    </w:rPr>
                    <w:t>。</w:t>
                  </w:r>
                </w:p>
              </w:tc>
              <w:tc>
                <w:tcPr>
                  <w:tcW w:w="709" w:type="dxa"/>
                  <w:noWrap w:val="0"/>
                  <w:vAlign w:val="center"/>
                </w:tcPr>
                <w:p w14:paraId="7BA4474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1套</w:t>
                  </w:r>
                </w:p>
              </w:tc>
              <w:tc>
                <w:tcPr>
                  <w:tcW w:w="1276" w:type="dxa"/>
                  <w:noWrap w:val="0"/>
                  <w:vAlign w:val="center"/>
                </w:tcPr>
                <w:p w14:paraId="2C3297A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w:t>
                  </w:r>
                </w:p>
              </w:tc>
            </w:tr>
            <w:tr w14:paraId="6D61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29BF0739">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5</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2</w:t>
                  </w:r>
                </w:p>
              </w:tc>
              <w:tc>
                <w:tcPr>
                  <w:tcW w:w="2192" w:type="dxa"/>
                  <w:gridSpan w:val="2"/>
                  <w:noWrap w:val="0"/>
                  <w:vAlign w:val="center"/>
                </w:tcPr>
                <w:p w14:paraId="18A32E46">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环境保护管理费</w:t>
                  </w:r>
                </w:p>
              </w:tc>
              <w:tc>
                <w:tcPr>
                  <w:tcW w:w="3558" w:type="dxa"/>
                  <w:noWrap w:val="0"/>
                  <w:vAlign w:val="center"/>
                </w:tcPr>
                <w:p w14:paraId="1C306863">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环境影响评价、应急预案编制、竣工环境保护验收及监测</w:t>
                  </w:r>
                  <w:r>
                    <w:rPr>
                      <w:rFonts w:hint="eastAsia" w:ascii="Times New Roman" w:hAnsi="Times New Roman" w:eastAsia="宋体"/>
                      <w:color w:val="auto"/>
                      <w:sz w:val="21"/>
                      <w:szCs w:val="21"/>
                      <w:highlight w:val="none"/>
                    </w:rPr>
                    <w:t>等</w:t>
                  </w:r>
                </w:p>
              </w:tc>
              <w:tc>
                <w:tcPr>
                  <w:tcW w:w="709" w:type="dxa"/>
                  <w:noWrap w:val="0"/>
                  <w:vAlign w:val="center"/>
                </w:tcPr>
                <w:p w14:paraId="789FAA5A">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1276" w:type="dxa"/>
                  <w:noWrap w:val="0"/>
                  <w:vAlign w:val="center"/>
                </w:tcPr>
                <w:p w14:paraId="75880E6E">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5</w:t>
                  </w:r>
                </w:p>
              </w:tc>
            </w:tr>
            <w:tr w14:paraId="1A96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44" w:type="dxa"/>
                  <w:gridSpan w:val="5"/>
                  <w:noWrap w:val="0"/>
                  <w:vAlign w:val="center"/>
                </w:tcPr>
                <w:p w14:paraId="57F9ECD4">
                  <w:pPr>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合计</w:t>
                  </w:r>
                </w:p>
              </w:tc>
              <w:tc>
                <w:tcPr>
                  <w:tcW w:w="1276" w:type="dxa"/>
                  <w:noWrap w:val="0"/>
                  <w:vAlign w:val="center"/>
                </w:tcPr>
                <w:p w14:paraId="6DC5384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253.8</w:t>
                  </w:r>
                </w:p>
              </w:tc>
            </w:tr>
          </w:tbl>
          <w:p w14:paraId="3FD94B0E">
            <w:pPr>
              <w:pStyle w:val="70"/>
              <w:spacing w:line="240" w:lineRule="auto"/>
              <w:ind w:firstLine="40"/>
              <w:rPr>
                <w:rFonts w:ascii="Times New Roman" w:hAnsi="Times New Roman"/>
                <w:color w:val="auto"/>
                <w:sz w:val="2"/>
                <w:szCs w:val="2"/>
                <w:highlight w:val="none"/>
              </w:rPr>
            </w:pPr>
          </w:p>
          <w:p w14:paraId="37AB5591">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4E264BA8">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33932F89">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54BD4B1C">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413BF12A">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010F0A9B">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24D289EC">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4C368622">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4790EFFD">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6F818C34">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7E133A54">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5F4B5B63">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7DFCF67E">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p>
          <w:p w14:paraId="4BB4B22A">
            <w:pPr>
              <w:pStyle w:val="70"/>
              <w:ind w:firstLine="0" w:firstLineChars="0"/>
              <w:rPr>
                <w:rFonts w:hint="eastAsia" w:ascii="Times New Roman" w:hAnsi="Times New Roman"/>
                <w:color w:val="auto"/>
                <w:sz w:val="10"/>
                <w:szCs w:val="10"/>
                <w:highlight w:val="none"/>
              </w:rPr>
            </w:pPr>
          </w:p>
        </w:tc>
      </w:tr>
      <w:tr w14:paraId="611E1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3" w:hRule="atLeast"/>
          <w:jc w:val="center"/>
        </w:trPr>
        <w:tc>
          <w:tcPr>
            <w:tcW w:w="483" w:type="dxa"/>
            <w:noWrap w:val="0"/>
            <w:vAlign w:val="center"/>
          </w:tcPr>
          <w:p w14:paraId="202B31F8">
            <w:pPr>
              <w:pStyle w:val="30"/>
              <w:adjustRightInd w:val="0"/>
              <w:snapToGrid w:val="0"/>
              <w:spacing w:before="0" w:beforeAutospacing="0" w:after="0" w:afterAutospacing="0"/>
              <w:jc w:val="center"/>
              <w:rPr>
                <w:rFonts w:hint="eastAsia" w:ascii="Times New Roman" w:hAnsi="Times New Roman" w:eastAsia="宋体" w:cs="宋体"/>
                <w:b/>
                <w:bCs/>
                <w:color w:val="auto"/>
                <w:szCs w:val="24"/>
                <w:highlight w:val="none"/>
                <w:lang w:eastAsia="zh-CN"/>
              </w:rPr>
            </w:pPr>
          </w:p>
        </w:tc>
        <w:tc>
          <w:tcPr>
            <w:tcW w:w="8501" w:type="dxa"/>
            <w:noWrap w:val="0"/>
            <w:vAlign w:val="top"/>
          </w:tcPr>
          <w:p w14:paraId="5875EEC7">
            <w:pPr>
              <w:keepNext/>
              <w:keepLines/>
              <w:spacing w:before="80" w:after="80" w:line="360" w:lineRule="auto"/>
              <w:outlineLvl w:val="2"/>
              <w:rPr>
                <w:rFonts w:hint="eastAsia" w:ascii="Times New Roman" w:hAnsi="Times New Roman" w:eastAsia="宋体" w:cs="宋体"/>
                <w:b/>
                <w:bCs/>
                <w:color w:val="auto"/>
                <w:kern w:val="0"/>
                <w:sz w:val="28"/>
                <w:szCs w:val="28"/>
                <w:highlight w:val="none"/>
                <w:lang w:val="zh-CN"/>
              </w:rPr>
            </w:pPr>
            <w:bookmarkStart w:id="15" w:name="_Toc137737903"/>
            <w:bookmarkStart w:id="16" w:name="_Toc501912934"/>
            <w:r>
              <w:rPr>
                <w:rFonts w:hint="eastAsia" w:ascii="Times New Roman" w:hAnsi="Times New Roman" w:eastAsia="宋体" w:cs="宋体"/>
                <w:b/>
                <w:bCs/>
                <w:color w:val="auto"/>
                <w:kern w:val="0"/>
                <w:sz w:val="28"/>
                <w:szCs w:val="28"/>
                <w:highlight w:val="none"/>
                <w:lang w:val="zh-CN"/>
              </w:rPr>
              <w:t>1、项目工艺流程及产污节点</w:t>
            </w:r>
            <w:bookmarkEnd w:id="15"/>
            <w:bookmarkEnd w:id="16"/>
          </w:p>
          <w:p w14:paraId="4EB0BE2B">
            <w:pPr>
              <w:keepNext/>
              <w:keepLines/>
              <w:adjustRightInd w:val="0"/>
              <w:snapToGrid w:val="0"/>
              <w:spacing w:line="360" w:lineRule="auto"/>
              <w:outlineLvl w:val="3"/>
              <w:rPr>
                <w:rFonts w:hint="eastAsia" w:ascii="Times New Roman" w:hAnsi="Times New Roman" w:eastAsia="宋体" w:cs="宋体"/>
                <w:b/>
                <w:bCs/>
                <w:color w:val="auto"/>
                <w:kern w:val="0"/>
                <w:sz w:val="24"/>
                <w:highlight w:val="none"/>
                <w:lang w:val="zh-CN"/>
              </w:rPr>
            </w:pPr>
            <w:r>
              <w:rPr>
                <w:rFonts w:hint="eastAsia" w:ascii="Times New Roman" w:hAnsi="Times New Roman" w:eastAsia="宋体" w:cs="宋体"/>
                <w:b/>
                <w:bCs/>
                <w:color w:val="auto"/>
                <w:kern w:val="0"/>
                <w:sz w:val="24"/>
                <w:highlight w:val="none"/>
                <w:lang w:val="zh-CN"/>
              </w:rPr>
              <w:t>1-1施工期工艺流程简述</w:t>
            </w:r>
          </w:p>
          <w:p w14:paraId="66AC919D">
            <w:pPr>
              <w:pStyle w:val="70"/>
              <w:ind w:firstLine="480"/>
              <w:rPr>
                <w:rFonts w:ascii="Times New Roman" w:hAnsi="Times New Roman" w:cs="Times New Roman"/>
                <w:bCs/>
                <w:color w:val="auto"/>
                <w:highlight w:val="none"/>
              </w:rPr>
            </w:pPr>
            <w:r>
              <w:rPr>
                <w:rFonts w:ascii="Times New Roman" w:hAnsi="Times New Roman" w:cs="Times New Roman"/>
                <w:color w:val="auto"/>
                <w:highlight w:val="none"/>
                <w:lang w:bidi="ar"/>
              </w:rPr>
              <w:t>项目单位施工内容主要包括</w:t>
            </w:r>
            <w:r>
              <w:rPr>
                <w:rFonts w:hint="eastAsia" w:ascii="Times New Roman" w:hAnsi="Times New Roman" w:cs="Times New Roman"/>
                <w:color w:val="auto"/>
                <w:highlight w:val="none"/>
                <w:lang w:bidi="ar"/>
              </w:rPr>
              <w:t>基础工程、</w:t>
            </w:r>
            <w:r>
              <w:rPr>
                <w:rFonts w:ascii="Times New Roman" w:hAnsi="Times New Roman" w:cs="Times New Roman"/>
                <w:color w:val="auto"/>
                <w:highlight w:val="none"/>
                <w:lang w:bidi="ar"/>
              </w:rPr>
              <w:t>建筑工程、</w:t>
            </w:r>
            <w:r>
              <w:rPr>
                <w:rFonts w:hint="eastAsia" w:ascii="Times New Roman" w:hAnsi="Times New Roman" w:cs="Times New Roman"/>
                <w:bCs/>
                <w:color w:val="auto"/>
                <w:highlight w:val="none"/>
                <w:lang w:eastAsia="zh-CN" w:bidi="ar"/>
              </w:rPr>
              <w:t>装修</w:t>
            </w:r>
            <w:r>
              <w:rPr>
                <w:rFonts w:ascii="Times New Roman" w:hAnsi="Times New Roman" w:cs="Times New Roman"/>
                <w:bCs/>
                <w:color w:val="auto"/>
                <w:highlight w:val="none"/>
                <w:lang w:bidi="ar"/>
              </w:rPr>
              <w:t>及设备的安装、调试、竣工验收等</w:t>
            </w:r>
            <w:r>
              <w:rPr>
                <w:rFonts w:ascii="Times New Roman" w:hAnsi="Times New Roman" w:cs="Times New Roman"/>
                <w:color w:val="auto"/>
                <w:highlight w:val="none"/>
                <w:lang w:bidi="ar"/>
              </w:rPr>
              <w:t>。</w:t>
            </w:r>
            <w:r>
              <w:rPr>
                <w:rFonts w:ascii="Times New Roman" w:hAnsi="Times New Roman" w:cs="Times New Roman"/>
                <w:bCs/>
                <w:color w:val="auto"/>
                <w:highlight w:val="none"/>
                <w:lang w:bidi="ar"/>
              </w:rPr>
              <w:t>这些工序会产生少量的噪声、废气、固体废弃物、污水等污染物，其排放量随工序和施工强度不同而变化</w:t>
            </w:r>
            <w:r>
              <w:rPr>
                <w:rFonts w:ascii="Times New Roman" w:hAnsi="Times New Roman"/>
                <w:color w:val="auto"/>
                <w:highlight w:val="none"/>
              </w:rPr>
              <w:t>。</w:t>
            </w:r>
          </w:p>
          <w:p w14:paraId="7ECAAE82">
            <w:pPr>
              <w:pStyle w:val="70"/>
              <w:ind w:left="0" w:leftChars="0" w:firstLine="0" w:firstLineChars="0"/>
              <w:jc w:val="center"/>
              <w:rPr>
                <w:rFonts w:hint="eastAsia" w:ascii="Times New Roman" w:hAnsi="Times New Roman" w:eastAsia="宋体" w:cs="宋体"/>
                <w:b/>
                <w:color w:val="auto"/>
                <w:sz w:val="24"/>
                <w:highlight w:val="none"/>
              </w:rPr>
            </w:pPr>
            <w:r>
              <w:rPr>
                <w:rFonts w:ascii="Times New Roman" w:hAnsi="Times New Roman"/>
                <w:color w:val="auto"/>
                <w:highlight w:val="none"/>
              </w:rPr>
              <w:object>
                <v:shape id="_x0000_i1027" o:spt="75" type="#_x0000_t75" style="height:301.2pt;width:416.4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r>
              <w:rPr>
                <w:rFonts w:hint="eastAsia" w:ascii="Times New Roman" w:hAnsi="Times New Roman" w:eastAsia="宋体" w:cs="宋体"/>
                <w:b/>
                <w:color w:val="auto"/>
                <w:sz w:val="24"/>
                <w:highlight w:val="none"/>
              </w:rPr>
              <w:t>图2.2</w:t>
            </w:r>
            <w:r>
              <w:rPr>
                <w:rFonts w:hint="eastAsia" w:ascii="Times New Roman" w:hAnsi="Times New Roman" w:cs="宋体"/>
                <w:b/>
                <w:color w:val="auto"/>
                <w:sz w:val="24"/>
                <w:highlight w:val="none"/>
                <w:lang w:val="en-US" w:eastAsia="zh-CN"/>
              </w:rPr>
              <w:t>.1</w:t>
            </w:r>
            <w:r>
              <w:rPr>
                <w:rFonts w:hint="eastAsia" w:ascii="Times New Roman" w:hAnsi="Times New Roman" w:eastAsia="宋体" w:cs="宋体"/>
                <w:b/>
                <w:color w:val="auto"/>
                <w:sz w:val="24"/>
                <w:highlight w:val="none"/>
              </w:rPr>
              <w:t>-</w:t>
            </w:r>
            <w:r>
              <w:rPr>
                <w:rFonts w:hint="eastAsia" w:ascii="Times New Roman" w:hAnsi="Times New Roman" w:eastAsia="宋体" w:cs="宋体"/>
                <w:b/>
                <w:color w:val="auto"/>
                <w:sz w:val="24"/>
                <w:highlight w:val="none"/>
                <w:lang w:val="en-US" w:eastAsia="zh-CN"/>
              </w:rPr>
              <w:t>1</w:t>
            </w:r>
            <w:r>
              <w:rPr>
                <w:rFonts w:hint="eastAsia" w:ascii="Times New Roman" w:hAnsi="Times New Roman" w:eastAsia="宋体" w:cs="宋体"/>
                <w:b/>
                <w:color w:val="auto"/>
                <w:sz w:val="24"/>
                <w:highlight w:val="none"/>
              </w:rPr>
              <w:t>项目</w:t>
            </w:r>
            <w:r>
              <w:rPr>
                <w:rFonts w:hint="eastAsia" w:ascii="Times New Roman" w:hAnsi="Times New Roman" w:eastAsia="宋体" w:cs="宋体"/>
                <w:b/>
                <w:color w:val="auto"/>
                <w:sz w:val="24"/>
                <w:highlight w:val="none"/>
                <w:lang w:val="en-US" w:eastAsia="zh-CN"/>
              </w:rPr>
              <w:t>施工期施工</w:t>
            </w:r>
            <w:r>
              <w:rPr>
                <w:rFonts w:hint="eastAsia" w:ascii="Times New Roman" w:hAnsi="Times New Roman" w:eastAsia="宋体" w:cs="宋体"/>
                <w:b/>
                <w:color w:val="auto"/>
                <w:sz w:val="24"/>
                <w:highlight w:val="none"/>
              </w:rPr>
              <w:t>工艺及产污节点图</w:t>
            </w:r>
          </w:p>
          <w:p w14:paraId="6793D2D4">
            <w:pPr>
              <w:adjustRightInd w:val="0"/>
              <w:snapToGrid w:val="0"/>
              <w:spacing w:line="360" w:lineRule="auto"/>
              <w:jc w:val="left"/>
              <w:rPr>
                <w:rFonts w:ascii="Times New Roman" w:hAnsi="Times New Roman"/>
                <w:color w:val="auto"/>
                <w:sz w:val="24"/>
                <w:highlight w:val="none"/>
              </w:rPr>
            </w:pPr>
            <w:r>
              <w:rPr>
                <w:rFonts w:ascii="Times New Roman" w:hAnsi="Times New Roman"/>
                <w:b/>
                <w:bCs/>
                <w:color w:val="auto"/>
                <w:sz w:val="24"/>
                <w:highlight w:val="none"/>
              </w:rPr>
              <w:t>施工工艺流程说明：</w:t>
            </w:r>
          </w:p>
          <w:p w14:paraId="0C8C59F3">
            <w:pPr>
              <w:pStyle w:val="70"/>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本工程施工</w:t>
            </w:r>
            <w:r>
              <w:rPr>
                <w:rFonts w:hint="eastAsia" w:ascii="Times New Roman" w:hAnsi="Times New Roman"/>
                <w:color w:val="auto"/>
                <w:sz w:val="24"/>
                <w:highlight w:val="none"/>
                <w:lang w:eastAsia="zh-CN"/>
              </w:rPr>
              <w:t>期间</w:t>
            </w:r>
            <w:r>
              <w:rPr>
                <w:rFonts w:hint="eastAsia" w:ascii="Times New Roman" w:hAnsi="Times New Roman" w:eastAsia="宋体"/>
                <w:color w:val="auto"/>
                <w:sz w:val="24"/>
                <w:highlight w:val="none"/>
              </w:rPr>
              <w:t>的环境影响，主要表现在以下几个方面：根据建设单位提供的施工资料，本项目施工周期</w:t>
            </w:r>
            <w:r>
              <w:rPr>
                <w:rFonts w:hint="eastAsia" w:ascii="Times New Roman" w:hAnsi="Times New Roman" w:eastAsia="宋体"/>
                <w:color w:val="auto"/>
                <w:sz w:val="24"/>
                <w:highlight w:val="none"/>
                <w:lang w:val="en-US" w:eastAsia="zh-CN"/>
              </w:rPr>
              <w:t>12</w:t>
            </w:r>
            <w:r>
              <w:rPr>
                <w:rFonts w:hint="eastAsia" w:ascii="Times New Roman" w:hAnsi="Times New Roman" w:eastAsia="宋体"/>
                <w:color w:val="auto"/>
                <w:sz w:val="24"/>
                <w:highlight w:val="none"/>
              </w:rPr>
              <w:t>个月。高峰期施工人数约</w:t>
            </w:r>
            <w:r>
              <w:rPr>
                <w:rFonts w:hint="eastAsia" w:ascii="Times New Roman" w:hAnsi="Times New Roman" w:eastAsia="宋体"/>
                <w:color w:val="auto"/>
                <w:sz w:val="24"/>
                <w:highlight w:val="none"/>
                <w:lang w:val="en-US" w:eastAsia="zh-CN"/>
              </w:rPr>
              <w:t>40</w:t>
            </w:r>
            <w:r>
              <w:rPr>
                <w:rFonts w:hint="eastAsia" w:ascii="Times New Roman" w:hAnsi="Times New Roman" w:eastAsia="宋体"/>
                <w:color w:val="auto"/>
                <w:sz w:val="24"/>
                <w:highlight w:val="none"/>
              </w:rPr>
              <w:t>人/d，施工人员</w:t>
            </w:r>
            <w:r>
              <w:rPr>
                <w:rFonts w:hint="eastAsia" w:ascii="Times New Roman" w:hAnsi="Times New Roman" w:eastAsia="宋体"/>
                <w:color w:val="auto"/>
                <w:sz w:val="24"/>
                <w:highlight w:val="none"/>
                <w:lang w:val="en-US" w:eastAsia="zh-CN"/>
              </w:rPr>
              <w:t>在施工场地内</w:t>
            </w:r>
            <w:r>
              <w:rPr>
                <w:rFonts w:hint="eastAsia" w:ascii="Times New Roman" w:hAnsi="Times New Roman" w:eastAsia="宋体"/>
                <w:color w:val="auto"/>
                <w:sz w:val="24"/>
                <w:highlight w:val="none"/>
              </w:rPr>
              <w:t>不</w:t>
            </w:r>
            <w:r>
              <w:rPr>
                <w:rFonts w:hint="eastAsia" w:ascii="Times New Roman" w:hAnsi="Times New Roman" w:eastAsia="宋体"/>
                <w:color w:val="auto"/>
                <w:sz w:val="24"/>
                <w:highlight w:val="none"/>
                <w:lang w:val="en-US" w:eastAsia="zh-CN"/>
              </w:rPr>
              <w:t>提供</w:t>
            </w:r>
            <w:r>
              <w:rPr>
                <w:rFonts w:hint="eastAsia" w:ascii="Times New Roman" w:hAnsi="Times New Roman" w:eastAsia="宋体"/>
                <w:color w:val="auto"/>
                <w:sz w:val="24"/>
                <w:highlight w:val="none"/>
              </w:rPr>
              <w:t>食堂和住宿。根据本项目施工期特点，施工对区域环境的影响主要表现在：</w:t>
            </w:r>
          </w:p>
          <w:p w14:paraId="27094481">
            <w:pPr>
              <w:pStyle w:val="70"/>
              <w:ind w:firstLine="480"/>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①</w:t>
            </w:r>
            <w:r>
              <w:rPr>
                <w:rFonts w:hint="eastAsia" w:ascii="Times New Roman" w:hAnsi="Times New Roman"/>
                <w:color w:val="auto"/>
                <w:kern w:val="1"/>
                <w:sz w:val="24"/>
                <w:szCs w:val="20"/>
                <w:highlight w:val="none"/>
                <w:lang w:val="en-US" w:eastAsia="zh-CN"/>
              </w:rPr>
              <w:t>施工</w:t>
            </w:r>
            <w:r>
              <w:rPr>
                <w:rFonts w:hint="eastAsia" w:ascii="Times New Roman" w:hAnsi="Times New Roman" w:eastAsia="宋体"/>
                <w:color w:val="auto"/>
                <w:kern w:val="1"/>
                <w:sz w:val="24"/>
                <w:szCs w:val="20"/>
                <w:highlight w:val="none"/>
                <w:lang w:val="en-US" w:eastAsia="zh-CN"/>
              </w:rPr>
              <w:t>过程中产生的扬尘、建筑垃圾和施工噪声，对周边环境的影响</w:t>
            </w:r>
            <w:r>
              <w:rPr>
                <w:rFonts w:hint="eastAsia" w:ascii="Times New Roman" w:hAnsi="Times New Roman"/>
                <w:color w:val="auto"/>
                <w:kern w:val="1"/>
                <w:sz w:val="24"/>
                <w:szCs w:val="20"/>
                <w:highlight w:val="none"/>
                <w:lang w:val="en-US" w:eastAsia="zh-CN"/>
              </w:rPr>
              <w:t>；</w:t>
            </w:r>
          </w:p>
          <w:p w14:paraId="5EB36832">
            <w:pPr>
              <w:pStyle w:val="70"/>
              <w:ind w:firstLine="480"/>
              <w:rPr>
                <w:rFonts w:ascii="Times New Roman" w:hAnsi="Times New Roman" w:eastAsia="宋体"/>
                <w:color w:val="auto"/>
                <w:sz w:val="24"/>
                <w:highlight w:val="none"/>
              </w:rPr>
            </w:pPr>
            <w:r>
              <w:rPr>
                <w:rFonts w:hint="eastAsia" w:ascii="Times New Roman" w:hAnsi="Times New Roman" w:eastAsia="宋体"/>
                <w:color w:val="auto"/>
                <w:sz w:val="24"/>
                <w:highlight w:val="none"/>
                <w:lang w:val="en-US" w:eastAsia="zh-CN"/>
              </w:rPr>
              <w:t>②</w:t>
            </w:r>
            <w:r>
              <w:rPr>
                <w:rFonts w:hint="eastAsia" w:ascii="Times New Roman" w:hAnsi="Times New Roman" w:eastAsia="宋体"/>
                <w:color w:val="auto"/>
                <w:sz w:val="24"/>
                <w:highlight w:val="none"/>
              </w:rPr>
              <w:t>散状物堆积扬尘对局部环境的影响；</w:t>
            </w:r>
          </w:p>
          <w:p w14:paraId="5266452C">
            <w:pPr>
              <w:pStyle w:val="70"/>
              <w:ind w:firstLine="480"/>
              <w:rPr>
                <w:rFonts w:ascii="Times New Roman" w:hAnsi="Times New Roman" w:eastAsia="宋体"/>
                <w:color w:val="auto"/>
                <w:sz w:val="24"/>
                <w:highlight w:val="none"/>
              </w:rPr>
            </w:pPr>
            <w:r>
              <w:rPr>
                <w:rFonts w:hint="eastAsia" w:ascii="Times New Roman" w:hAnsi="Times New Roman" w:eastAsia="宋体"/>
                <w:color w:val="auto"/>
                <w:sz w:val="24"/>
                <w:highlight w:val="none"/>
                <w:lang w:val="en-US" w:eastAsia="zh-CN"/>
              </w:rPr>
              <w:t>③</w:t>
            </w:r>
            <w:r>
              <w:rPr>
                <w:rFonts w:hint="eastAsia" w:ascii="Times New Roman" w:hAnsi="Times New Roman" w:eastAsia="宋体"/>
                <w:color w:val="auto"/>
                <w:sz w:val="24"/>
                <w:highlight w:val="none"/>
              </w:rPr>
              <w:t>材料运输产生的道路扬尘及交通噪声对环境空气和声环境的影响；</w:t>
            </w:r>
          </w:p>
          <w:p w14:paraId="7DF4EC71">
            <w:pPr>
              <w:pStyle w:val="70"/>
              <w:ind w:firstLine="480"/>
              <w:rPr>
                <w:rFonts w:ascii="Times New Roman" w:hAnsi="Times New Roman" w:eastAsia="宋体"/>
                <w:color w:val="auto"/>
                <w:sz w:val="24"/>
                <w:highlight w:val="none"/>
              </w:rPr>
            </w:pPr>
            <w:r>
              <w:rPr>
                <w:rFonts w:hint="eastAsia" w:ascii="Times New Roman" w:hAnsi="Times New Roman" w:eastAsia="宋体"/>
                <w:color w:val="auto"/>
                <w:sz w:val="24"/>
                <w:highlight w:val="none"/>
                <w:lang w:val="en-US" w:eastAsia="zh-CN"/>
              </w:rPr>
              <w:t>④</w:t>
            </w:r>
            <w:r>
              <w:rPr>
                <w:rFonts w:hint="eastAsia" w:ascii="Times New Roman" w:hAnsi="Times New Roman" w:eastAsia="宋体"/>
                <w:color w:val="auto"/>
                <w:sz w:val="24"/>
                <w:highlight w:val="none"/>
              </w:rPr>
              <w:t>施工队伍排放的少量生活污水、施工废水对地表水的影响；</w:t>
            </w:r>
          </w:p>
          <w:p w14:paraId="7C902D71">
            <w:pPr>
              <w:pStyle w:val="70"/>
              <w:ind w:firstLine="480"/>
              <w:rPr>
                <w:rFonts w:ascii="Times New Roman" w:hAnsi="Times New Roman" w:eastAsia="宋体"/>
                <w:color w:val="auto"/>
                <w:sz w:val="24"/>
                <w:highlight w:val="none"/>
              </w:rPr>
            </w:pPr>
            <w:r>
              <w:rPr>
                <w:rFonts w:hint="eastAsia" w:ascii="Times New Roman" w:hAnsi="Times New Roman" w:eastAsia="宋体"/>
                <w:color w:val="auto"/>
                <w:sz w:val="24"/>
                <w:highlight w:val="none"/>
                <w:lang w:val="en-US" w:eastAsia="zh-CN"/>
              </w:rPr>
              <w:t>⑤</w:t>
            </w:r>
            <w:r>
              <w:rPr>
                <w:rFonts w:hint="eastAsia" w:ascii="Times New Roman" w:hAnsi="Times New Roman" w:eastAsia="宋体"/>
                <w:color w:val="auto"/>
                <w:sz w:val="24"/>
                <w:highlight w:val="none"/>
              </w:rPr>
              <w:t>施工机具产生的机械噪声对区域环境的影响；</w:t>
            </w:r>
          </w:p>
          <w:p w14:paraId="4232073F">
            <w:pPr>
              <w:pStyle w:val="70"/>
              <w:ind w:firstLine="480"/>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lang w:val="en-US" w:eastAsia="zh-CN"/>
              </w:rPr>
              <w:t>⑥</w:t>
            </w:r>
            <w:r>
              <w:rPr>
                <w:rFonts w:hint="eastAsia" w:ascii="Times New Roman" w:hAnsi="Times New Roman" w:eastAsia="宋体"/>
                <w:color w:val="auto"/>
                <w:sz w:val="24"/>
                <w:highlight w:val="none"/>
              </w:rPr>
              <w:t>建筑垃圾、施工人员的生活垃圾和一些废弃物对环境的影响</w:t>
            </w:r>
            <w:r>
              <w:rPr>
                <w:rFonts w:hint="eastAsia" w:ascii="Times New Roman" w:hAnsi="Times New Roman" w:eastAsia="宋体"/>
                <w:color w:val="auto"/>
                <w:sz w:val="24"/>
                <w:highlight w:val="none"/>
                <w:lang w:eastAsia="zh-CN"/>
              </w:rPr>
              <w:t>；</w:t>
            </w:r>
          </w:p>
          <w:p w14:paraId="7BC5BD36">
            <w:pPr>
              <w:pStyle w:val="7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ascii="Times New Roman" w:hAnsi="Times New Roman" w:eastAsia="宋体" w:cs="Times New Roman"/>
                <w:bCs/>
                <w:color w:val="auto"/>
                <w:sz w:val="24"/>
                <w:highlight w:val="none"/>
              </w:rPr>
            </w:pPr>
            <w:r>
              <w:rPr>
                <w:rFonts w:hint="eastAsia" w:ascii="Times New Roman" w:hAnsi="Times New Roman" w:eastAsia="宋体"/>
                <w:color w:val="auto"/>
                <w:sz w:val="24"/>
                <w:highlight w:val="none"/>
                <w:lang w:val="en-US" w:eastAsia="zh-CN"/>
              </w:rPr>
              <w:t>⑦</w:t>
            </w:r>
            <w:r>
              <w:rPr>
                <w:rFonts w:hint="eastAsia" w:ascii="Times New Roman" w:hAnsi="Times New Roman" w:eastAsia="宋体"/>
                <w:color w:val="auto"/>
                <w:sz w:val="24"/>
                <w:highlight w:val="none"/>
                <w:lang w:eastAsia="zh-CN"/>
              </w:rPr>
              <w:t>装修过程中产生的废气、建筑垃圾和噪声对周围区域的影响。</w:t>
            </w:r>
          </w:p>
          <w:p w14:paraId="7D5E57A3">
            <w:pPr>
              <w:keepNext/>
              <w:keepLines/>
              <w:spacing w:line="360" w:lineRule="auto"/>
              <w:outlineLvl w:val="3"/>
              <w:rPr>
                <w:rFonts w:hint="eastAsia" w:ascii="Times New Roman" w:hAnsi="Times New Roman" w:eastAsia="宋体" w:cs="宋体"/>
                <w:b/>
                <w:bCs/>
                <w:color w:val="auto"/>
                <w:kern w:val="0"/>
                <w:sz w:val="24"/>
                <w:highlight w:val="none"/>
                <w:lang w:val="zh-CN"/>
              </w:rPr>
            </w:pPr>
            <w:bookmarkStart w:id="17" w:name="_Toc406399753"/>
            <w:r>
              <w:rPr>
                <w:rFonts w:hint="eastAsia" w:ascii="Times New Roman" w:hAnsi="Times New Roman" w:eastAsia="宋体" w:cs="宋体"/>
                <w:b/>
                <w:bCs/>
                <w:color w:val="auto"/>
                <w:kern w:val="0"/>
                <w:sz w:val="24"/>
                <w:highlight w:val="none"/>
                <w:lang w:val="zh-CN"/>
              </w:rPr>
              <w:t>1-2运营期生产工艺流程简述</w:t>
            </w:r>
          </w:p>
          <w:p w14:paraId="25D0F5A5">
            <w:pPr>
              <w:pStyle w:val="70"/>
              <w:ind w:firstLine="48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snapToGrid w:val="0"/>
                <w:color w:val="auto"/>
                <w:kern w:val="0"/>
                <w:sz w:val="24"/>
                <w:szCs w:val="24"/>
                <w:highlight w:val="none"/>
                <w:lang w:val="en-US" w:eastAsia="zh-CN"/>
              </w:rPr>
              <w:t>本项目为新建项目，主要建设3条铁矿石加工生产线，铁矿石进厂后经物理破碎、筛分工序后外售，</w:t>
            </w:r>
            <w:r>
              <w:rPr>
                <w:rFonts w:hint="eastAsia" w:ascii="Times New Roman" w:hAnsi="Times New Roman" w:eastAsia="宋体"/>
                <w:color w:val="auto"/>
                <w:sz w:val="24"/>
                <w:szCs w:val="24"/>
                <w:highlight w:val="none"/>
                <w:lang w:val="en-US" w:eastAsia="zh-CN"/>
              </w:rPr>
              <w:t>无化学处理工序。</w:t>
            </w:r>
            <w:r>
              <w:rPr>
                <w:rFonts w:hint="eastAsia" w:ascii="Times New Roman" w:hAnsi="Times New Roman" w:eastAsia="宋体" w:cs="Times New Roman"/>
                <w:b w:val="0"/>
                <w:bCs w:val="0"/>
                <w:color w:val="auto"/>
                <w:kern w:val="2"/>
                <w:sz w:val="24"/>
                <w:szCs w:val="24"/>
                <w:highlight w:val="none"/>
                <w:lang w:val="en-US" w:eastAsia="zh-CN" w:bidi="ar-SA"/>
              </w:rPr>
              <w:t>运营期工艺流程简介如下</w:t>
            </w:r>
            <w:r>
              <w:rPr>
                <w:rFonts w:hint="eastAsia" w:ascii="Times New Roman" w:hAnsi="Times New Roman" w:eastAsia="宋体" w:cs="Times New Roman"/>
                <w:color w:val="auto"/>
                <w:sz w:val="24"/>
                <w:szCs w:val="24"/>
                <w:highlight w:val="none"/>
                <w:lang w:val="en-US" w:eastAsia="zh-CN"/>
              </w:rPr>
              <w:t>。</w:t>
            </w:r>
          </w:p>
          <w:p w14:paraId="677BBE5C">
            <w:pPr>
              <w:pStyle w:val="70"/>
              <w:ind w:left="0" w:leftChars="0" w:firstLine="0" w:firstLineChars="0"/>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object>
                <v:shape id="_x0000_i1028" o:spt="75" type="#_x0000_t75" style="height:396.6pt;width:399.4pt;" o:ole="t" filled="f" o:preferrelative="t" stroked="f" coordsize="21600,21600">
                  <v:path/>
                  <v:fill on="f" focussize="0,0"/>
                  <v:stroke on="f"/>
                  <v:imagedata r:id="rId14" o:title=""/>
                  <o:lock v:ext="edit" aspectratio="t"/>
                  <w10:wrap type="none"/>
                  <w10:anchorlock/>
                </v:shape>
                <o:OLEObject Type="Embed" ProgID="Visio.Drawing.15" ShapeID="_x0000_i1028" DrawAspect="Content" ObjectID="_1468075728" r:id="rId13">
                  <o:LockedField>false</o:LockedField>
                </o:OLEObject>
              </w:object>
            </w:r>
          </w:p>
          <w:p w14:paraId="0E53F136">
            <w:pPr>
              <w:pStyle w:val="70"/>
              <w:ind w:left="0" w:leftChars="0" w:firstLine="0" w:firstLineChars="0"/>
              <w:jc w:val="center"/>
              <w:rPr>
                <w:rFonts w:hint="eastAsia"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图2.2</w:t>
            </w:r>
            <w:r>
              <w:rPr>
                <w:rFonts w:hint="eastAsia" w:ascii="Times New Roman" w:hAnsi="Times New Roman" w:cs="宋体"/>
                <w:b/>
                <w:color w:val="auto"/>
                <w:sz w:val="24"/>
                <w:highlight w:val="none"/>
                <w:lang w:val="en-US" w:eastAsia="zh-CN"/>
              </w:rPr>
              <w:t>.1</w:t>
            </w:r>
            <w:r>
              <w:rPr>
                <w:rFonts w:hint="eastAsia" w:ascii="Times New Roman" w:hAnsi="Times New Roman" w:eastAsia="宋体" w:cs="宋体"/>
                <w:b/>
                <w:color w:val="auto"/>
                <w:sz w:val="24"/>
                <w:highlight w:val="none"/>
              </w:rPr>
              <w:t>-2项目生产工艺及产污节点图</w:t>
            </w:r>
          </w:p>
          <w:p w14:paraId="370575CB">
            <w:pPr>
              <w:adjustRightInd w:val="0"/>
              <w:snapToGrid w:val="0"/>
              <w:spacing w:line="360" w:lineRule="auto"/>
              <w:ind w:firstLine="482" w:firstLineChars="200"/>
              <w:rPr>
                <w:rFonts w:ascii="Times New Roman" w:hAnsi="Times New Roman"/>
                <w:b/>
                <w:color w:val="auto"/>
                <w:sz w:val="24"/>
                <w:highlight w:val="none"/>
              </w:rPr>
            </w:pPr>
            <w:r>
              <w:rPr>
                <w:rFonts w:ascii="Times New Roman" w:hAnsi="Times New Roman"/>
                <w:b/>
                <w:color w:val="auto"/>
                <w:sz w:val="24"/>
                <w:highlight w:val="none"/>
              </w:rPr>
              <w:t>工艺流程说明：</w:t>
            </w:r>
          </w:p>
          <w:p w14:paraId="3E002B5B">
            <w:pPr>
              <w:adjustRightInd w:val="0"/>
              <w:snapToGrid w:val="0"/>
              <w:spacing w:line="360" w:lineRule="auto"/>
              <w:ind w:firstLine="480" w:firstLineChars="200"/>
              <w:rPr>
                <w:rFonts w:ascii="Times New Roman" w:hAnsi="Times New Roman"/>
                <w:b w:val="0"/>
                <w:bCs/>
                <w:color w:val="auto"/>
                <w:sz w:val="24"/>
                <w:highlight w:val="none"/>
              </w:rPr>
            </w:pPr>
            <w:r>
              <w:rPr>
                <w:rFonts w:hint="eastAsia" w:ascii="Times New Roman" w:hAnsi="Times New Roman"/>
                <w:b w:val="0"/>
                <w:bCs/>
                <w:color w:val="auto"/>
                <w:sz w:val="24"/>
                <w:highlight w:val="none"/>
              </w:rPr>
              <w:t>原料堆场依据铁矿石品位划分独立堆存区域，实现分质存放。生产过程中，结合成品矿石品位指标确定掺配比例，通过装载机完成多品位矿石的定量取料与转运，物料经给料机充分混匀配矿后，输送至破碎系统进行破碎加工</w:t>
            </w:r>
            <w:r>
              <w:rPr>
                <w:rFonts w:hint="eastAsia"/>
                <w:b w:val="0"/>
                <w:bCs/>
                <w:color w:val="auto"/>
                <w:sz w:val="24"/>
                <w:highlight w:val="none"/>
                <w:lang w:eastAsia="zh-CN"/>
              </w:rPr>
              <w:t>，</w:t>
            </w:r>
            <w:r>
              <w:rPr>
                <w:rFonts w:hint="eastAsia"/>
                <w:b w:val="0"/>
                <w:bCs/>
                <w:color w:val="auto"/>
                <w:sz w:val="24"/>
                <w:highlight w:val="none"/>
                <w:lang w:val="en-US" w:eastAsia="zh-CN"/>
              </w:rPr>
              <w:t>即可得到目标的铁矿产品</w:t>
            </w:r>
            <w:r>
              <w:rPr>
                <w:rFonts w:hint="eastAsia" w:ascii="Times New Roman" w:hAnsi="Times New Roman"/>
                <w:b w:val="0"/>
                <w:bCs/>
                <w:color w:val="auto"/>
                <w:sz w:val="24"/>
                <w:highlight w:val="none"/>
              </w:rPr>
              <w:t>。</w:t>
            </w:r>
          </w:p>
          <w:p w14:paraId="0463E9A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w:t>
            </w:r>
            <w:r>
              <w:rPr>
                <w:rFonts w:hint="eastAsia" w:ascii="Times New Roman" w:hAnsi="Times New Roman" w:cs="Times New Roman"/>
                <w:b/>
                <w:bCs/>
                <w:color w:val="auto"/>
                <w:sz w:val="24"/>
                <w:szCs w:val="24"/>
                <w:highlight w:val="none"/>
                <w:lang w:val="en-US" w:eastAsia="zh-CN"/>
              </w:rPr>
              <w:t>原料运输、过磅及卸料</w:t>
            </w:r>
          </w:p>
          <w:p w14:paraId="168E59D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根据客户订单加工需求，原料铁矿石采用自卸汽车运输至厂区经过磅后运至原料</w:t>
            </w:r>
            <w:r>
              <w:rPr>
                <w:rFonts w:hint="eastAsia" w:cs="Times New Roman"/>
                <w:color w:val="auto"/>
                <w:kern w:val="2"/>
                <w:sz w:val="24"/>
                <w:szCs w:val="24"/>
                <w:highlight w:val="none"/>
                <w:lang w:val="en-US" w:eastAsia="zh-CN" w:bidi="ar-SA"/>
              </w:rPr>
              <w:t>仓库</w:t>
            </w:r>
            <w:r>
              <w:rPr>
                <w:rFonts w:hint="eastAsia" w:ascii="Times New Roman" w:hAnsi="Times New Roman" w:eastAsia="宋体" w:cs="Times New Roman"/>
                <w:color w:val="auto"/>
                <w:kern w:val="2"/>
                <w:sz w:val="24"/>
                <w:szCs w:val="24"/>
                <w:highlight w:val="none"/>
                <w:lang w:val="en-US" w:eastAsia="zh-CN" w:bidi="ar-SA"/>
              </w:rPr>
              <w:t>堆放，铁矿石原矿含水率约</w:t>
            </w:r>
            <w:r>
              <w:rPr>
                <w:rFonts w:hint="eastAsia" w:cs="Times New Roman"/>
                <w:color w:val="auto"/>
                <w:kern w:val="2"/>
                <w:sz w:val="24"/>
                <w:szCs w:val="24"/>
                <w:highlight w:val="none"/>
                <w:lang w:val="en-US" w:eastAsia="zh-CN" w:bidi="ar-SA"/>
              </w:rPr>
              <w:t>8%～20%</w:t>
            </w:r>
            <w:r>
              <w:rPr>
                <w:rFonts w:hint="eastAsia" w:ascii="Times New Roman" w:hAnsi="Times New Roman" w:eastAsia="宋体" w:cs="Times New Roman"/>
                <w:color w:val="auto"/>
                <w:kern w:val="2"/>
                <w:sz w:val="24"/>
                <w:szCs w:val="24"/>
                <w:highlight w:val="none"/>
                <w:lang w:val="en-US" w:eastAsia="zh-CN" w:bidi="ar-SA"/>
              </w:rPr>
              <w:t>，原料进场后通过装载机卸料，原料卸料工序会产生粉尘T1、T</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和噪声N。</w:t>
            </w:r>
          </w:p>
          <w:p w14:paraId="5C5BE37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（2）颚式破碎</w:t>
            </w:r>
          </w:p>
          <w:p w14:paraId="691060B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按照所需产品矿品位，</w:t>
            </w:r>
            <w:r>
              <w:rPr>
                <w:rFonts w:hint="eastAsia" w:ascii="Times New Roman" w:hAnsi="Times New Roman" w:eastAsia="宋体" w:cs="Times New Roman"/>
                <w:color w:val="auto"/>
                <w:kern w:val="2"/>
                <w:sz w:val="24"/>
                <w:szCs w:val="24"/>
                <w:highlight w:val="none"/>
                <w:lang w:val="en-US" w:eastAsia="zh-CN" w:bidi="ar-SA"/>
              </w:rPr>
              <w:t>使用装载机</w:t>
            </w:r>
            <w:r>
              <w:rPr>
                <w:rFonts w:hint="eastAsia" w:cs="Times New Roman"/>
                <w:color w:val="auto"/>
                <w:kern w:val="2"/>
                <w:sz w:val="24"/>
                <w:szCs w:val="24"/>
                <w:highlight w:val="none"/>
                <w:lang w:val="en-US" w:eastAsia="zh-CN" w:bidi="ar-SA"/>
              </w:rPr>
              <w:t>将不同品位的铁矿按重量比例</w:t>
            </w:r>
            <w:r>
              <w:rPr>
                <w:rFonts w:hint="eastAsia" w:ascii="Times New Roman" w:hAnsi="Times New Roman" w:eastAsia="宋体" w:cs="Times New Roman"/>
                <w:color w:val="auto"/>
                <w:kern w:val="2"/>
                <w:sz w:val="24"/>
                <w:szCs w:val="24"/>
                <w:highlight w:val="none"/>
                <w:lang w:val="en-US" w:eastAsia="zh-CN" w:bidi="ar-SA"/>
              </w:rPr>
              <w:t>将铁矿石铲入给料机中，直接进入颚式破碎机进行破碎，此工序会产生粉尘G1和噪声N。给料机与颚式破碎机入口相连，拟在给料口上方设置1套喷雾降尘装置降尘，在颚式破碎机设置1个集气罩收集粉尘，收集的粉尘通过密闭管道引至各自生产线布袋除尘器（TA001、TA002、TA003）处理后，由</w:t>
            </w:r>
            <w:r>
              <w:rPr>
                <w:rFonts w:hint="eastAsia" w:ascii="Times New Roman" w:hAnsi="Times New Roman" w:cs="Times New Roman"/>
                <w:color w:val="auto"/>
                <w:kern w:val="2"/>
                <w:sz w:val="24"/>
                <w:szCs w:val="24"/>
                <w:highlight w:val="none"/>
                <w:lang w:val="en-US" w:eastAsia="zh-CN" w:bidi="ar-SA"/>
              </w:rPr>
              <w:t>各自</w:t>
            </w:r>
            <w:r>
              <w:rPr>
                <w:rFonts w:hint="eastAsia" w:ascii="Times New Roman" w:hAnsi="Times New Roman" w:eastAsia="宋体" w:cs="Times New Roman"/>
                <w:color w:val="auto"/>
                <w:kern w:val="2"/>
                <w:sz w:val="24"/>
                <w:szCs w:val="24"/>
                <w:highlight w:val="none"/>
                <w:lang w:val="en-US" w:eastAsia="zh-CN" w:bidi="ar-SA"/>
              </w:rPr>
              <w:t>生产线1</w:t>
            </w:r>
            <w:r>
              <w:rPr>
                <w:rFonts w:hint="eastAsia" w:cs="Times New Roman"/>
                <w:color w:val="auto"/>
                <w:kern w:val="2"/>
                <w:sz w:val="24"/>
                <w:szCs w:val="24"/>
                <w:highlight w:val="none"/>
                <w:lang w:val="en-US" w:eastAsia="zh-CN" w:bidi="ar-SA"/>
              </w:rPr>
              <w:t>6</w:t>
            </w:r>
            <w:r>
              <w:rPr>
                <w:rFonts w:hint="eastAsia" w:ascii="Times New Roman" w:hAnsi="Times New Roman" w:eastAsia="宋体" w:cs="Times New Roman"/>
                <w:color w:val="auto"/>
                <w:kern w:val="2"/>
                <w:sz w:val="24"/>
                <w:szCs w:val="24"/>
                <w:highlight w:val="none"/>
                <w:lang w:val="en-US" w:eastAsia="zh-CN" w:bidi="ar-SA"/>
              </w:rPr>
              <w:t>m高排气筒排放（DA001、DA002、DA003）。</w:t>
            </w:r>
          </w:p>
          <w:p w14:paraId="12D5667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（3）振动筛分</w:t>
            </w:r>
          </w:p>
          <w:p w14:paraId="742BBA2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破碎后原料全部进入振动平筛机进行筛分，</w:t>
            </w:r>
            <w:r>
              <w:rPr>
                <w:rFonts w:hint="eastAsia" w:ascii="Times New Roman" w:hAnsi="Times New Roman" w:eastAsia="宋体" w:cs="Times New Roman"/>
                <w:b w:val="0"/>
                <w:bCs w:val="0"/>
                <w:color w:val="auto"/>
                <w:kern w:val="2"/>
                <w:sz w:val="24"/>
                <w:szCs w:val="24"/>
                <w:highlight w:val="none"/>
                <w:lang w:val="en-US" w:eastAsia="zh-CN" w:bidi="ar-SA"/>
              </w:rPr>
              <w:t>经振动平筛机进行筛分后铁矿石粒径≤8mm经皮带输送至成品</w:t>
            </w:r>
            <w:r>
              <w:rPr>
                <w:rFonts w:hint="eastAsia" w:cs="Times New Roman"/>
                <w:b w:val="0"/>
                <w:bCs w:val="0"/>
                <w:color w:val="auto"/>
                <w:kern w:val="2"/>
                <w:sz w:val="24"/>
                <w:szCs w:val="24"/>
                <w:highlight w:val="none"/>
                <w:lang w:val="en-US" w:eastAsia="zh-CN" w:bidi="ar-SA"/>
              </w:rPr>
              <w:t>仓库</w:t>
            </w:r>
            <w:r>
              <w:rPr>
                <w:rFonts w:hint="eastAsia" w:ascii="Times New Roman" w:hAnsi="Times New Roman" w:eastAsia="宋体" w:cs="Times New Roman"/>
                <w:b w:val="0"/>
                <w:bCs w:val="0"/>
                <w:color w:val="auto"/>
                <w:kern w:val="2"/>
                <w:sz w:val="24"/>
                <w:szCs w:val="24"/>
                <w:highlight w:val="none"/>
                <w:lang w:val="en-US" w:eastAsia="zh-CN" w:bidi="ar-SA"/>
              </w:rPr>
              <w:t>，产品率约50%；粒径＞8mm的铁矿石经皮带输送至反击破进行二次破碎，</w:t>
            </w:r>
            <w:r>
              <w:rPr>
                <w:rFonts w:hint="eastAsia" w:ascii="Times New Roman" w:hAnsi="Times New Roman" w:eastAsia="宋体" w:cs="Times New Roman"/>
                <w:color w:val="auto"/>
                <w:kern w:val="2"/>
                <w:sz w:val="24"/>
                <w:szCs w:val="24"/>
                <w:highlight w:val="none"/>
                <w:lang w:val="en-US" w:eastAsia="zh-CN" w:bidi="ar-SA"/>
              </w:rPr>
              <w:t>此工序会产生粉尘G2和噪声N。振动平筛机上方设置1个集气罩收集筛分粉尘，收集的粉尘通过密闭管道引至各自生产线布袋除尘器（TA001、TA002、TA003）处理后，由</w:t>
            </w:r>
            <w:r>
              <w:rPr>
                <w:rFonts w:hint="eastAsia" w:ascii="Times New Roman" w:hAnsi="Times New Roman" w:cs="Times New Roman"/>
                <w:color w:val="auto"/>
                <w:kern w:val="2"/>
                <w:sz w:val="24"/>
                <w:szCs w:val="24"/>
                <w:highlight w:val="none"/>
                <w:lang w:val="en-US" w:eastAsia="zh-CN" w:bidi="ar-SA"/>
              </w:rPr>
              <w:t>各自</w:t>
            </w:r>
            <w:r>
              <w:rPr>
                <w:rFonts w:hint="eastAsia" w:ascii="Times New Roman" w:hAnsi="Times New Roman" w:eastAsia="宋体" w:cs="Times New Roman"/>
                <w:color w:val="auto"/>
                <w:kern w:val="2"/>
                <w:sz w:val="24"/>
                <w:szCs w:val="24"/>
                <w:highlight w:val="none"/>
                <w:lang w:val="en-US" w:eastAsia="zh-CN" w:bidi="ar-SA"/>
              </w:rPr>
              <w:t>生产线1</w:t>
            </w:r>
            <w:r>
              <w:rPr>
                <w:rFonts w:hint="eastAsia" w:cs="Times New Roman"/>
                <w:color w:val="auto"/>
                <w:kern w:val="2"/>
                <w:sz w:val="24"/>
                <w:szCs w:val="24"/>
                <w:highlight w:val="none"/>
                <w:lang w:val="en-US" w:eastAsia="zh-CN" w:bidi="ar-SA"/>
              </w:rPr>
              <w:t>6</w:t>
            </w:r>
            <w:r>
              <w:rPr>
                <w:rFonts w:hint="eastAsia" w:ascii="Times New Roman" w:hAnsi="Times New Roman" w:eastAsia="宋体" w:cs="Times New Roman"/>
                <w:color w:val="auto"/>
                <w:kern w:val="2"/>
                <w:sz w:val="24"/>
                <w:szCs w:val="24"/>
                <w:highlight w:val="none"/>
                <w:lang w:val="en-US" w:eastAsia="zh-CN" w:bidi="ar-SA"/>
              </w:rPr>
              <w:t>m高排气筒排放（DA001、DA002、DA003）</w:t>
            </w:r>
            <w:r>
              <w:rPr>
                <w:rFonts w:hint="eastAsia" w:ascii="Times New Roman" w:hAnsi="Times New Roman" w:eastAsia="宋体" w:cs="Times New Roman"/>
                <w:b w:val="0"/>
                <w:bCs w:val="0"/>
                <w:color w:val="auto"/>
                <w:kern w:val="2"/>
                <w:sz w:val="24"/>
                <w:szCs w:val="24"/>
                <w:highlight w:val="none"/>
                <w:lang w:val="en-US" w:eastAsia="zh-CN" w:bidi="ar-SA"/>
              </w:rPr>
              <w:t>。</w:t>
            </w:r>
          </w:p>
          <w:p w14:paraId="3B78C9F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（4）反击破碎</w:t>
            </w:r>
          </w:p>
          <w:p w14:paraId="6651C74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经振动平筛机筛分后粒径＞8mm的铁矿石经皮带输送至反击破进行二次破碎，经反击破破碎</w:t>
            </w:r>
            <w:r>
              <w:rPr>
                <w:rFonts w:hint="eastAsia" w:ascii="Times New Roman" w:hAnsi="Times New Roman" w:cs="Times New Roman"/>
                <w:b w:val="0"/>
                <w:bCs w:val="0"/>
                <w:color w:val="auto"/>
                <w:kern w:val="2"/>
                <w:sz w:val="24"/>
                <w:szCs w:val="24"/>
                <w:highlight w:val="none"/>
                <w:lang w:val="en-US" w:eastAsia="zh-CN" w:bidi="ar-SA"/>
              </w:rPr>
              <w:t>的</w:t>
            </w:r>
            <w:r>
              <w:rPr>
                <w:rFonts w:hint="eastAsia" w:ascii="Times New Roman" w:hAnsi="Times New Roman" w:eastAsia="宋体" w:cs="Times New Roman"/>
                <w:b w:val="0"/>
                <w:bCs w:val="0"/>
                <w:color w:val="auto"/>
                <w:kern w:val="2"/>
                <w:sz w:val="24"/>
                <w:szCs w:val="24"/>
                <w:highlight w:val="none"/>
                <w:lang w:val="en-US" w:eastAsia="zh-CN" w:bidi="ar-SA"/>
              </w:rPr>
              <w:t>铁矿石全部进入滚筒筛，</w:t>
            </w:r>
            <w:r>
              <w:rPr>
                <w:rFonts w:hint="eastAsia" w:ascii="Times New Roman" w:hAnsi="Times New Roman" w:eastAsia="宋体" w:cs="Times New Roman"/>
                <w:color w:val="auto"/>
                <w:kern w:val="2"/>
                <w:sz w:val="24"/>
                <w:szCs w:val="24"/>
                <w:highlight w:val="none"/>
                <w:lang w:val="en-US" w:eastAsia="zh-CN" w:bidi="ar-SA"/>
              </w:rPr>
              <w:t>此工序会产生</w:t>
            </w:r>
            <w:r>
              <w:rPr>
                <w:rFonts w:hint="eastAsia" w:ascii="Times New Roman" w:hAnsi="Times New Roman" w:eastAsia="宋体" w:cs="Times New Roman"/>
                <w:b w:val="0"/>
                <w:bCs w:val="0"/>
                <w:color w:val="auto"/>
                <w:kern w:val="2"/>
                <w:sz w:val="24"/>
                <w:szCs w:val="24"/>
                <w:highlight w:val="none"/>
                <w:lang w:val="en-US" w:eastAsia="zh-CN" w:bidi="ar-SA"/>
              </w:rPr>
              <w:t>粉尘G3和噪声N。反击破出料皮带处</w:t>
            </w:r>
            <w:r>
              <w:rPr>
                <w:rFonts w:hint="eastAsia" w:ascii="Times New Roman" w:hAnsi="Times New Roman" w:eastAsia="宋体" w:cs="Times New Roman"/>
                <w:color w:val="auto"/>
                <w:kern w:val="2"/>
                <w:sz w:val="24"/>
                <w:szCs w:val="24"/>
                <w:highlight w:val="none"/>
                <w:lang w:val="en-US" w:eastAsia="zh-CN" w:bidi="ar-SA"/>
              </w:rPr>
              <w:t>设置1个集气罩收集破碎粉尘，收集的粉尘通过密闭管道引至各自生产线布袋除尘器（TA001、TA002、TA003）处理后，由</w:t>
            </w:r>
            <w:r>
              <w:rPr>
                <w:rFonts w:hint="eastAsia" w:ascii="Times New Roman" w:hAnsi="Times New Roman" w:cs="Times New Roman"/>
                <w:color w:val="auto"/>
                <w:kern w:val="2"/>
                <w:sz w:val="24"/>
                <w:szCs w:val="24"/>
                <w:highlight w:val="none"/>
                <w:lang w:val="en-US" w:eastAsia="zh-CN" w:bidi="ar-SA"/>
              </w:rPr>
              <w:t>各自</w:t>
            </w:r>
            <w:r>
              <w:rPr>
                <w:rFonts w:hint="eastAsia" w:ascii="Times New Roman" w:hAnsi="Times New Roman" w:eastAsia="宋体" w:cs="Times New Roman"/>
                <w:color w:val="auto"/>
                <w:kern w:val="2"/>
                <w:sz w:val="24"/>
                <w:szCs w:val="24"/>
                <w:highlight w:val="none"/>
                <w:lang w:val="en-US" w:eastAsia="zh-CN" w:bidi="ar-SA"/>
              </w:rPr>
              <w:t>生产线1</w:t>
            </w:r>
            <w:r>
              <w:rPr>
                <w:rFonts w:hint="eastAsia" w:cs="Times New Roman"/>
                <w:color w:val="auto"/>
                <w:kern w:val="2"/>
                <w:sz w:val="24"/>
                <w:szCs w:val="24"/>
                <w:highlight w:val="none"/>
                <w:lang w:val="en-US" w:eastAsia="zh-CN" w:bidi="ar-SA"/>
              </w:rPr>
              <w:t>6</w:t>
            </w:r>
            <w:r>
              <w:rPr>
                <w:rFonts w:hint="eastAsia" w:ascii="Times New Roman" w:hAnsi="Times New Roman" w:eastAsia="宋体" w:cs="Times New Roman"/>
                <w:color w:val="auto"/>
                <w:kern w:val="2"/>
                <w:sz w:val="24"/>
                <w:szCs w:val="24"/>
                <w:highlight w:val="none"/>
                <w:lang w:val="en-US" w:eastAsia="zh-CN" w:bidi="ar-SA"/>
              </w:rPr>
              <w:t>m高排气筒排放（DA001、DA002、DA003）</w:t>
            </w:r>
            <w:r>
              <w:rPr>
                <w:rFonts w:hint="eastAsia" w:ascii="Times New Roman" w:hAnsi="Times New Roman" w:eastAsia="宋体" w:cs="Times New Roman"/>
                <w:b w:val="0"/>
                <w:bCs w:val="0"/>
                <w:color w:val="auto"/>
                <w:kern w:val="2"/>
                <w:sz w:val="24"/>
                <w:szCs w:val="24"/>
                <w:highlight w:val="none"/>
                <w:lang w:val="en-US" w:eastAsia="zh-CN" w:bidi="ar-SA"/>
              </w:rPr>
              <w:t>。</w:t>
            </w:r>
          </w:p>
          <w:p w14:paraId="35D0BE2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（5）滚筒筛</w:t>
            </w:r>
          </w:p>
          <w:p w14:paraId="2E0D4D9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经反击破破碎</w:t>
            </w:r>
            <w:r>
              <w:rPr>
                <w:rFonts w:hint="eastAsia" w:ascii="Times New Roman" w:hAnsi="Times New Roman" w:cs="Times New Roman"/>
                <w:b w:val="0"/>
                <w:bCs w:val="0"/>
                <w:color w:val="auto"/>
                <w:kern w:val="2"/>
                <w:sz w:val="24"/>
                <w:szCs w:val="24"/>
                <w:highlight w:val="none"/>
                <w:lang w:val="en-US" w:eastAsia="zh-CN" w:bidi="ar-SA"/>
              </w:rPr>
              <w:t>的</w:t>
            </w:r>
            <w:r>
              <w:rPr>
                <w:rFonts w:hint="eastAsia" w:ascii="Times New Roman" w:hAnsi="Times New Roman" w:eastAsia="宋体" w:cs="Times New Roman"/>
                <w:b w:val="0"/>
                <w:bCs w:val="0"/>
                <w:color w:val="auto"/>
                <w:kern w:val="2"/>
                <w:sz w:val="24"/>
                <w:szCs w:val="24"/>
                <w:highlight w:val="none"/>
                <w:lang w:val="en-US" w:eastAsia="zh-CN" w:bidi="ar-SA"/>
              </w:rPr>
              <w:t>铁矿石全部进入滚筒筛进行二次筛分，筛分后粒径≤8mm经皮带输送至成品</w:t>
            </w:r>
            <w:r>
              <w:rPr>
                <w:rFonts w:hint="eastAsia" w:cs="Times New Roman"/>
                <w:b w:val="0"/>
                <w:bCs w:val="0"/>
                <w:color w:val="auto"/>
                <w:kern w:val="2"/>
                <w:sz w:val="24"/>
                <w:szCs w:val="24"/>
                <w:highlight w:val="none"/>
                <w:lang w:val="en-US" w:eastAsia="zh-CN" w:bidi="ar-SA"/>
              </w:rPr>
              <w:t>仓库</w:t>
            </w:r>
            <w:r>
              <w:rPr>
                <w:rFonts w:hint="eastAsia" w:ascii="Times New Roman" w:hAnsi="Times New Roman" w:eastAsia="宋体" w:cs="Times New Roman"/>
                <w:b w:val="0"/>
                <w:bCs w:val="0"/>
                <w:color w:val="auto"/>
                <w:kern w:val="2"/>
                <w:sz w:val="24"/>
                <w:szCs w:val="24"/>
                <w:highlight w:val="none"/>
                <w:lang w:val="en-US" w:eastAsia="zh-CN" w:bidi="ar-SA"/>
              </w:rPr>
              <w:t>（约30%），粒径＞8mm的铁矿石经皮带输送至</w:t>
            </w:r>
            <w:r>
              <w:rPr>
                <w:rFonts w:hint="eastAsia" w:cs="Times New Roman"/>
                <w:b w:val="0"/>
                <w:bCs w:val="0"/>
                <w:color w:val="auto"/>
                <w:kern w:val="2"/>
                <w:sz w:val="24"/>
                <w:szCs w:val="24"/>
                <w:highlight w:val="none"/>
                <w:lang w:val="en-US" w:eastAsia="zh-CN" w:bidi="ar-SA"/>
              </w:rPr>
              <w:t>反击破碎机</w:t>
            </w:r>
            <w:r>
              <w:rPr>
                <w:rFonts w:hint="eastAsia" w:ascii="Times New Roman" w:hAnsi="Times New Roman" w:eastAsia="宋体" w:cs="Times New Roman"/>
                <w:b w:val="0"/>
                <w:bCs w:val="0"/>
                <w:color w:val="auto"/>
                <w:kern w:val="2"/>
                <w:sz w:val="24"/>
                <w:szCs w:val="24"/>
                <w:highlight w:val="none"/>
                <w:lang w:val="en-US" w:eastAsia="zh-CN" w:bidi="ar-SA"/>
              </w:rPr>
              <w:t>中再破碎，</w:t>
            </w:r>
            <w:r>
              <w:rPr>
                <w:rFonts w:hint="eastAsia" w:ascii="Times New Roman" w:hAnsi="Times New Roman" w:eastAsia="宋体" w:cs="Times New Roman"/>
                <w:color w:val="auto"/>
                <w:kern w:val="2"/>
                <w:sz w:val="24"/>
                <w:szCs w:val="24"/>
                <w:highlight w:val="none"/>
                <w:lang w:val="en-US" w:eastAsia="zh-CN" w:bidi="ar-SA"/>
              </w:rPr>
              <w:t>此工序会产生</w:t>
            </w:r>
            <w:r>
              <w:rPr>
                <w:rFonts w:hint="eastAsia" w:ascii="Times New Roman" w:hAnsi="Times New Roman" w:eastAsia="宋体" w:cs="Times New Roman"/>
                <w:b w:val="0"/>
                <w:bCs w:val="0"/>
                <w:color w:val="auto"/>
                <w:kern w:val="2"/>
                <w:sz w:val="24"/>
                <w:szCs w:val="24"/>
                <w:highlight w:val="none"/>
                <w:lang w:val="en-US" w:eastAsia="zh-CN" w:bidi="ar-SA"/>
              </w:rPr>
              <w:t>粉尘G4和噪声N。滚筒筛</w:t>
            </w:r>
            <w:r>
              <w:rPr>
                <w:rFonts w:hint="eastAsia" w:cs="Times New Roman"/>
                <w:b w:val="0"/>
                <w:bCs w:val="0"/>
                <w:color w:val="auto"/>
                <w:kern w:val="2"/>
                <w:sz w:val="24"/>
                <w:szCs w:val="24"/>
                <w:highlight w:val="none"/>
                <w:lang w:val="en-US" w:eastAsia="zh-CN" w:bidi="ar-SA"/>
              </w:rPr>
              <w:t>设置为封闭式，并配套</w:t>
            </w:r>
            <w:r>
              <w:rPr>
                <w:rFonts w:hint="eastAsia" w:ascii="Times New Roman" w:hAnsi="Times New Roman" w:eastAsia="宋体" w:cs="Times New Roman"/>
                <w:color w:val="auto"/>
                <w:kern w:val="2"/>
                <w:sz w:val="24"/>
                <w:szCs w:val="24"/>
                <w:highlight w:val="none"/>
                <w:lang w:val="en-US" w:eastAsia="zh-CN" w:bidi="ar-SA"/>
              </w:rPr>
              <w:t>1个集气罩收集粉尘，收集的粉尘通过密闭管道引至各自生产线布袋除尘器（TA001、TA002、TA003）处理后，由</w:t>
            </w:r>
            <w:r>
              <w:rPr>
                <w:rFonts w:hint="eastAsia" w:ascii="Times New Roman" w:hAnsi="Times New Roman" w:cs="Times New Roman"/>
                <w:color w:val="auto"/>
                <w:kern w:val="2"/>
                <w:sz w:val="24"/>
                <w:szCs w:val="24"/>
                <w:highlight w:val="none"/>
                <w:lang w:val="en-US" w:eastAsia="zh-CN" w:bidi="ar-SA"/>
              </w:rPr>
              <w:t>各自</w:t>
            </w:r>
            <w:r>
              <w:rPr>
                <w:rFonts w:hint="eastAsia" w:ascii="Times New Roman" w:hAnsi="Times New Roman" w:eastAsia="宋体" w:cs="Times New Roman"/>
                <w:color w:val="auto"/>
                <w:kern w:val="2"/>
                <w:sz w:val="24"/>
                <w:szCs w:val="24"/>
                <w:highlight w:val="none"/>
                <w:lang w:val="en-US" w:eastAsia="zh-CN" w:bidi="ar-SA"/>
              </w:rPr>
              <w:t>生产线1</w:t>
            </w:r>
            <w:r>
              <w:rPr>
                <w:rFonts w:hint="eastAsia" w:cs="Times New Roman"/>
                <w:color w:val="auto"/>
                <w:kern w:val="2"/>
                <w:sz w:val="24"/>
                <w:szCs w:val="24"/>
                <w:highlight w:val="none"/>
                <w:lang w:val="en-US" w:eastAsia="zh-CN" w:bidi="ar-SA"/>
              </w:rPr>
              <w:t>6</w:t>
            </w:r>
            <w:r>
              <w:rPr>
                <w:rFonts w:hint="eastAsia" w:ascii="Times New Roman" w:hAnsi="Times New Roman" w:eastAsia="宋体" w:cs="Times New Roman"/>
                <w:color w:val="auto"/>
                <w:kern w:val="2"/>
                <w:sz w:val="24"/>
                <w:szCs w:val="24"/>
                <w:highlight w:val="none"/>
                <w:lang w:val="en-US" w:eastAsia="zh-CN" w:bidi="ar-SA"/>
              </w:rPr>
              <w:t>m高排气筒排放（DA001、DA002、DA003）</w:t>
            </w:r>
            <w:r>
              <w:rPr>
                <w:rFonts w:hint="eastAsia" w:ascii="Times New Roman" w:hAnsi="Times New Roman" w:eastAsia="宋体" w:cs="Times New Roman"/>
                <w:b w:val="0"/>
                <w:bCs w:val="0"/>
                <w:color w:val="auto"/>
                <w:kern w:val="2"/>
                <w:sz w:val="24"/>
                <w:szCs w:val="24"/>
                <w:highlight w:val="none"/>
                <w:lang w:val="en-US" w:eastAsia="zh-CN" w:bidi="ar-SA"/>
              </w:rPr>
              <w:t>。</w:t>
            </w:r>
          </w:p>
          <w:p w14:paraId="56A1D92E">
            <w:pPr>
              <w:keepNext w:val="0"/>
              <w:keepLines w:val="0"/>
              <w:pageBreakBefore w:val="0"/>
              <w:widowControl/>
              <w:numPr>
                <w:ilvl w:val="0"/>
                <w:numId w:val="7"/>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球磨机</w:t>
            </w:r>
          </w:p>
          <w:p w14:paraId="71E15B1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ascii="宋体" w:hAnsi="宋体" w:eastAsia="宋体" w:cs="宋体"/>
                <w:color w:val="auto"/>
                <w:sz w:val="24"/>
                <w:szCs w:val="24"/>
              </w:rPr>
              <w:t>为保障铁矿品位调配均匀，项目第三条生产线对矿石粒径要求更精细，因此增设一台球磨机</w:t>
            </w:r>
            <w:r>
              <w:rPr>
                <w:rFonts w:hint="eastAsia" w:cs="Times New Roman"/>
                <w:b w:val="0"/>
                <w:bCs w:val="0"/>
                <w:color w:val="auto"/>
                <w:kern w:val="2"/>
                <w:sz w:val="24"/>
                <w:szCs w:val="24"/>
                <w:highlight w:val="none"/>
                <w:lang w:val="en-US" w:eastAsia="zh-CN" w:bidi="ar-SA"/>
              </w:rPr>
              <w:t>，用于将铁矿石粒径加工至≤0.15mm（100目），加工好的矿石粉采用封闭出料的方式，利用封闭皮带运输机运至密闭筒仓，定期用粉罐车拉运出厂。球磨机为全密闭式设备，研磨过程在筒体内完成，且成品矿粉无需额外分级筛分，无敞开式扬尘环节，粉尘主要产生于球磨机的进料口及出料口，在球磨机的进料口及出料口各配套</w:t>
            </w:r>
            <w:r>
              <w:rPr>
                <w:rFonts w:hint="eastAsia" w:ascii="Times New Roman" w:hAnsi="Times New Roman" w:eastAsia="宋体" w:cs="Times New Roman"/>
                <w:color w:val="auto"/>
                <w:kern w:val="2"/>
                <w:sz w:val="24"/>
                <w:szCs w:val="24"/>
                <w:highlight w:val="none"/>
                <w:lang w:val="en-US" w:eastAsia="zh-CN" w:bidi="ar-SA"/>
              </w:rPr>
              <w:t>1个集气罩收集粉尘，收集的粉尘通过密闭管道引至各自生产线布袋除尘器（TA003）处理后，由</w:t>
            </w:r>
            <w:r>
              <w:rPr>
                <w:rFonts w:hint="eastAsia" w:ascii="Times New Roman" w:hAnsi="Times New Roman" w:cs="Times New Roman"/>
                <w:color w:val="auto"/>
                <w:kern w:val="2"/>
                <w:sz w:val="24"/>
                <w:szCs w:val="24"/>
                <w:highlight w:val="none"/>
                <w:lang w:val="en-US" w:eastAsia="zh-CN" w:bidi="ar-SA"/>
              </w:rPr>
              <w:t>各自</w:t>
            </w:r>
            <w:r>
              <w:rPr>
                <w:rFonts w:hint="eastAsia" w:ascii="Times New Roman" w:hAnsi="Times New Roman" w:eastAsia="宋体" w:cs="Times New Roman"/>
                <w:color w:val="auto"/>
                <w:kern w:val="2"/>
                <w:sz w:val="24"/>
                <w:szCs w:val="24"/>
                <w:highlight w:val="none"/>
                <w:lang w:val="en-US" w:eastAsia="zh-CN" w:bidi="ar-SA"/>
              </w:rPr>
              <w:t>生产线1</w:t>
            </w:r>
            <w:r>
              <w:rPr>
                <w:rFonts w:hint="eastAsia" w:cs="Times New Roman"/>
                <w:color w:val="auto"/>
                <w:kern w:val="2"/>
                <w:sz w:val="24"/>
                <w:szCs w:val="24"/>
                <w:highlight w:val="none"/>
                <w:lang w:val="en-US" w:eastAsia="zh-CN" w:bidi="ar-SA"/>
              </w:rPr>
              <w:t>6</w:t>
            </w:r>
            <w:r>
              <w:rPr>
                <w:rFonts w:hint="eastAsia" w:ascii="Times New Roman" w:hAnsi="Times New Roman" w:eastAsia="宋体" w:cs="Times New Roman"/>
                <w:color w:val="auto"/>
                <w:kern w:val="2"/>
                <w:sz w:val="24"/>
                <w:szCs w:val="24"/>
                <w:highlight w:val="none"/>
                <w:lang w:val="en-US" w:eastAsia="zh-CN" w:bidi="ar-SA"/>
              </w:rPr>
              <w:t>m高排气筒排放（DA003）</w:t>
            </w:r>
            <w:r>
              <w:rPr>
                <w:rFonts w:hint="eastAsia"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主要</w:t>
            </w:r>
            <w:r>
              <w:rPr>
                <w:rFonts w:hint="eastAsia" w:ascii="Times New Roman" w:hAnsi="Times New Roman" w:cs="Times New Roman"/>
                <w:color w:val="auto"/>
                <w:kern w:val="2"/>
                <w:sz w:val="24"/>
                <w:szCs w:val="24"/>
                <w:highlight w:val="none"/>
                <w:lang w:val="en-US" w:eastAsia="zh-CN" w:bidi="ar-SA"/>
              </w:rPr>
              <w:t>污染物为</w:t>
            </w:r>
            <w:r>
              <w:rPr>
                <w:rFonts w:hint="eastAsia" w:cs="Times New Roman"/>
                <w:color w:val="auto"/>
                <w:kern w:val="2"/>
                <w:sz w:val="24"/>
                <w:szCs w:val="24"/>
                <w:highlight w:val="none"/>
                <w:lang w:val="en-US" w:eastAsia="zh-CN" w:bidi="ar-SA"/>
              </w:rPr>
              <w:t>球磨机进出料粉尘G5、</w:t>
            </w:r>
            <w:r>
              <w:rPr>
                <w:rFonts w:hint="eastAsia" w:ascii="Times New Roman" w:hAnsi="Times New Roman" w:cs="Times New Roman"/>
                <w:color w:val="auto"/>
                <w:kern w:val="2"/>
                <w:sz w:val="24"/>
                <w:szCs w:val="24"/>
                <w:highlight w:val="none"/>
                <w:lang w:val="en-US" w:eastAsia="zh-CN" w:bidi="ar-SA"/>
              </w:rPr>
              <w:t>设备</w:t>
            </w:r>
            <w:r>
              <w:rPr>
                <w:rFonts w:hint="eastAsia" w:ascii="Times New Roman" w:hAnsi="Times New Roman" w:eastAsia="宋体" w:cs="Times New Roman"/>
                <w:b w:val="0"/>
                <w:bCs w:val="0"/>
                <w:color w:val="auto"/>
                <w:kern w:val="2"/>
                <w:sz w:val="24"/>
                <w:szCs w:val="24"/>
                <w:highlight w:val="none"/>
                <w:lang w:val="en-US" w:eastAsia="zh-CN" w:bidi="ar-SA"/>
              </w:rPr>
              <w:t>噪声N。</w:t>
            </w:r>
          </w:p>
          <w:p w14:paraId="0D62560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（7）成品堆存、外售</w:t>
            </w:r>
          </w:p>
          <w:p w14:paraId="7F9EDBD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第一、第二生产线</w:t>
            </w:r>
            <w:r>
              <w:rPr>
                <w:rFonts w:hint="eastAsia" w:ascii="Times New Roman" w:hAnsi="Times New Roman" w:eastAsia="宋体" w:cs="Times New Roman"/>
                <w:b w:val="0"/>
                <w:bCs w:val="0"/>
                <w:color w:val="auto"/>
                <w:kern w:val="2"/>
                <w:sz w:val="24"/>
                <w:szCs w:val="24"/>
                <w:highlight w:val="none"/>
                <w:lang w:val="en-US" w:eastAsia="zh-CN" w:bidi="ar-SA"/>
              </w:rPr>
              <w:t>破碎好的成品铁矿石经皮带输送机直接输送至成品</w:t>
            </w:r>
            <w:r>
              <w:rPr>
                <w:rFonts w:hint="eastAsia" w:cs="Times New Roman"/>
                <w:b w:val="0"/>
                <w:bCs w:val="0"/>
                <w:color w:val="auto"/>
                <w:kern w:val="2"/>
                <w:sz w:val="24"/>
                <w:szCs w:val="24"/>
                <w:highlight w:val="none"/>
                <w:lang w:val="en-US" w:eastAsia="zh-CN" w:bidi="ar-SA"/>
              </w:rPr>
              <w:t>仓</w:t>
            </w:r>
            <w:r>
              <w:rPr>
                <w:rFonts w:hint="eastAsia" w:ascii="Times New Roman" w:hAnsi="Times New Roman" w:eastAsia="宋体" w:cs="Times New Roman"/>
                <w:b w:val="0"/>
                <w:bCs w:val="0"/>
                <w:color w:val="auto"/>
                <w:kern w:val="2"/>
                <w:sz w:val="24"/>
                <w:szCs w:val="24"/>
                <w:highlight w:val="none"/>
                <w:lang w:val="en-US" w:eastAsia="zh-CN" w:bidi="ar-SA"/>
              </w:rPr>
              <w:t>内，再由装载机直接装车运走，不在厂内长期贮存。</w:t>
            </w:r>
            <w:r>
              <w:rPr>
                <w:rFonts w:hint="eastAsia" w:cs="Times New Roman"/>
                <w:b w:val="0"/>
                <w:bCs w:val="0"/>
                <w:color w:val="auto"/>
                <w:kern w:val="2"/>
                <w:sz w:val="24"/>
                <w:szCs w:val="24"/>
                <w:highlight w:val="none"/>
                <w:lang w:val="en-US" w:eastAsia="zh-CN" w:bidi="ar-SA"/>
              </w:rPr>
              <w:t>第三生产线球磨机</w:t>
            </w:r>
            <w:r>
              <w:rPr>
                <w:rFonts w:hint="eastAsia" w:cs="Times New Roman"/>
                <w:color w:val="auto"/>
                <w:kern w:val="2"/>
                <w:sz w:val="24"/>
                <w:szCs w:val="24"/>
                <w:highlight w:val="none"/>
                <w:lang w:val="en-US" w:eastAsia="zh-CN" w:bidi="ar-SA"/>
              </w:rPr>
              <w:t>加工料则通过密闭的皮带输送机转运至密闭筒仓内，</w:t>
            </w:r>
            <w:r>
              <w:rPr>
                <w:rFonts w:hint="eastAsia" w:cs="Times New Roman"/>
                <w:b w:val="0"/>
                <w:bCs w:val="0"/>
                <w:color w:val="auto"/>
                <w:kern w:val="2"/>
                <w:sz w:val="24"/>
                <w:szCs w:val="24"/>
                <w:highlight w:val="none"/>
                <w:lang w:val="en-US" w:eastAsia="zh-CN" w:bidi="ar-SA"/>
              </w:rPr>
              <w:t>定期用粉罐车拉运出厂。</w:t>
            </w:r>
            <w:r>
              <w:rPr>
                <w:rFonts w:hint="eastAsia" w:ascii="Times New Roman" w:hAnsi="Times New Roman" w:eastAsia="宋体" w:cs="Times New Roman"/>
                <w:color w:val="auto"/>
                <w:kern w:val="2"/>
                <w:sz w:val="24"/>
                <w:szCs w:val="24"/>
                <w:highlight w:val="none"/>
                <w:lang w:val="en-US" w:eastAsia="zh-CN" w:bidi="ar-SA"/>
              </w:rPr>
              <w:t>上料工序会产生粉尘T</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、T4和噪声N。</w:t>
            </w:r>
          </w:p>
          <w:p w14:paraId="2754F173">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（8）物料运输</w:t>
            </w:r>
          </w:p>
          <w:p w14:paraId="58B7EE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厂外运输方式：采用汽车将原矿运至厂区原料</w:t>
            </w:r>
            <w:r>
              <w:rPr>
                <w:rFonts w:hint="eastAsia" w:cs="Times New Roman"/>
                <w:color w:val="auto"/>
                <w:kern w:val="2"/>
                <w:sz w:val="24"/>
                <w:szCs w:val="24"/>
                <w:highlight w:val="none"/>
                <w:lang w:val="en-US" w:eastAsia="zh-CN" w:bidi="ar-SA"/>
              </w:rPr>
              <w:t>仓内</w:t>
            </w:r>
            <w:r>
              <w:rPr>
                <w:rFonts w:hint="eastAsia" w:ascii="Times New Roman" w:hAnsi="Times New Roman" w:eastAsia="宋体" w:cs="Times New Roman"/>
                <w:color w:val="auto"/>
                <w:kern w:val="2"/>
                <w:sz w:val="24"/>
                <w:szCs w:val="24"/>
                <w:highlight w:val="none"/>
                <w:lang w:val="en-US" w:eastAsia="zh-CN" w:bidi="ar-SA"/>
              </w:rPr>
              <w:t>，随即进行加工；成品采用汽车外运出售。</w:t>
            </w:r>
          </w:p>
          <w:p w14:paraId="51B4A54A">
            <w:pPr>
              <w:pStyle w:val="3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厂内运输方式：厂内运输采用皮带输送，辅以装载机的装运。</w:t>
            </w:r>
          </w:p>
          <w:p w14:paraId="537FA0E6">
            <w:pPr>
              <w:keepNext/>
              <w:keepLines/>
              <w:spacing w:line="360" w:lineRule="auto"/>
              <w:outlineLvl w:val="3"/>
              <w:rPr>
                <w:rFonts w:hint="eastAsia" w:ascii="Times New Roman" w:hAnsi="Times New Roman" w:eastAsia="宋体" w:cs="宋体"/>
                <w:b/>
                <w:bCs/>
                <w:color w:val="auto"/>
                <w:kern w:val="0"/>
                <w:sz w:val="24"/>
                <w:highlight w:val="none"/>
                <w:lang w:val="zh-CN"/>
              </w:rPr>
            </w:pPr>
            <w:r>
              <w:rPr>
                <w:rFonts w:hint="eastAsia" w:ascii="Times New Roman" w:hAnsi="Times New Roman" w:eastAsia="宋体" w:cs="宋体"/>
                <w:b/>
                <w:bCs/>
                <w:color w:val="auto"/>
                <w:kern w:val="0"/>
                <w:sz w:val="24"/>
                <w:highlight w:val="none"/>
                <w:lang w:val="zh-CN"/>
              </w:rPr>
              <w:t>1-3产污节点统计</w:t>
            </w:r>
          </w:p>
          <w:p w14:paraId="05BCFC74">
            <w:pPr>
              <w:tabs>
                <w:tab w:val="right" w:leader="middleDot" w:pos="9450"/>
              </w:tabs>
              <w:spacing w:line="360" w:lineRule="auto"/>
              <w:ind w:firstLine="480" w:firstLineChars="200"/>
              <w:jc w:val="left"/>
              <w:rPr>
                <w:rFonts w:ascii="Times New Roman" w:hAnsi="Times New Roman"/>
                <w:color w:val="auto"/>
                <w:sz w:val="24"/>
                <w:highlight w:val="none"/>
              </w:rPr>
            </w:pPr>
            <w:r>
              <w:rPr>
                <w:rFonts w:hint="eastAsia" w:ascii="Times New Roman" w:hAnsi="Times New Roman"/>
                <w:color w:val="auto"/>
                <w:sz w:val="24"/>
                <w:highlight w:val="none"/>
              </w:rPr>
              <w:t>根据项目工艺流程和原辅材料分析可知，营运期产污环节和主要污染物类型见下表</w:t>
            </w:r>
            <w:r>
              <w:rPr>
                <w:rFonts w:ascii="Times New Roman" w:hAnsi="Times New Roman"/>
                <w:color w:val="auto"/>
                <w:sz w:val="24"/>
                <w:highlight w:val="none"/>
              </w:rPr>
              <w:t>。</w:t>
            </w:r>
          </w:p>
          <w:p w14:paraId="011E85D4">
            <w:pPr>
              <w:tabs>
                <w:tab w:val="right" w:leader="middleDot" w:pos="9450"/>
              </w:tabs>
              <w:spacing w:line="360" w:lineRule="auto"/>
              <w:ind w:firstLine="480" w:firstLineChars="200"/>
              <w:jc w:val="left"/>
              <w:rPr>
                <w:rFonts w:ascii="Times New Roman" w:hAnsi="Times New Roman"/>
                <w:color w:val="auto"/>
                <w:sz w:val="24"/>
                <w:highlight w:val="none"/>
              </w:rPr>
            </w:pPr>
          </w:p>
          <w:p w14:paraId="5C6D9114">
            <w:pPr>
              <w:tabs>
                <w:tab w:val="right" w:leader="middleDot" w:pos="9450"/>
              </w:tabs>
              <w:spacing w:line="360" w:lineRule="auto"/>
              <w:ind w:firstLine="480" w:firstLineChars="200"/>
              <w:jc w:val="left"/>
              <w:rPr>
                <w:rFonts w:ascii="Times New Roman" w:hAnsi="Times New Roman"/>
                <w:color w:val="auto"/>
                <w:sz w:val="24"/>
                <w:highlight w:val="none"/>
              </w:rPr>
            </w:pPr>
          </w:p>
          <w:p w14:paraId="681379B2">
            <w:pPr>
              <w:tabs>
                <w:tab w:val="right" w:leader="middleDot" w:pos="9450"/>
              </w:tabs>
              <w:spacing w:line="360" w:lineRule="auto"/>
              <w:ind w:firstLine="480" w:firstLineChars="200"/>
              <w:jc w:val="left"/>
              <w:rPr>
                <w:rFonts w:ascii="Times New Roman" w:hAnsi="Times New Roman"/>
                <w:color w:val="auto"/>
                <w:sz w:val="24"/>
                <w:highlight w:val="none"/>
              </w:rPr>
            </w:pPr>
          </w:p>
          <w:p w14:paraId="1F4B649C">
            <w:pPr>
              <w:tabs>
                <w:tab w:val="right" w:leader="middleDot" w:pos="9450"/>
              </w:tabs>
              <w:spacing w:line="360" w:lineRule="auto"/>
              <w:ind w:firstLine="480" w:firstLineChars="200"/>
              <w:jc w:val="left"/>
              <w:rPr>
                <w:rFonts w:ascii="Times New Roman" w:hAnsi="Times New Roman"/>
                <w:color w:val="auto"/>
                <w:sz w:val="24"/>
                <w:highlight w:val="none"/>
              </w:rPr>
            </w:pPr>
          </w:p>
          <w:p w14:paraId="6160F36E">
            <w:pPr>
              <w:tabs>
                <w:tab w:val="right" w:leader="middleDot" w:pos="9450"/>
              </w:tabs>
              <w:spacing w:line="360" w:lineRule="auto"/>
              <w:ind w:firstLine="480" w:firstLineChars="200"/>
              <w:jc w:val="left"/>
              <w:rPr>
                <w:rFonts w:ascii="Times New Roman" w:hAnsi="Times New Roman"/>
                <w:color w:val="auto"/>
                <w:sz w:val="24"/>
                <w:highlight w:val="none"/>
              </w:rPr>
            </w:pPr>
          </w:p>
          <w:p w14:paraId="206E06F6">
            <w:pPr>
              <w:tabs>
                <w:tab w:val="right" w:leader="middleDot" w:pos="9450"/>
              </w:tabs>
              <w:spacing w:line="360" w:lineRule="auto"/>
              <w:ind w:firstLine="480" w:firstLineChars="200"/>
              <w:jc w:val="left"/>
              <w:rPr>
                <w:rFonts w:ascii="Times New Roman" w:hAnsi="Times New Roman"/>
                <w:color w:val="auto"/>
                <w:sz w:val="24"/>
                <w:highlight w:val="none"/>
              </w:rPr>
            </w:pPr>
          </w:p>
          <w:p w14:paraId="13144A19">
            <w:pPr>
              <w:tabs>
                <w:tab w:val="right" w:leader="middleDot" w:pos="9450"/>
              </w:tabs>
              <w:spacing w:line="360" w:lineRule="auto"/>
              <w:ind w:firstLine="480" w:firstLineChars="200"/>
              <w:jc w:val="left"/>
              <w:rPr>
                <w:rFonts w:ascii="Times New Roman" w:hAnsi="Times New Roman"/>
                <w:color w:val="auto"/>
                <w:sz w:val="24"/>
                <w:highlight w:val="none"/>
              </w:rPr>
            </w:pPr>
          </w:p>
          <w:bookmarkEnd w:id="17"/>
          <w:p w14:paraId="5024DD8B">
            <w:pPr>
              <w:spacing w:line="300" w:lineRule="auto"/>
              <w:jc w:val="center"/>
              <w:rPr>
                <w:rFonts w:hint="eastAsia"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表2.2</w:t>
            </w:r>
            <w:r>
              <w:rPr>
                <w:rFonts w:hint="eastAsia" w:ascii="Times New Roman" w:hAnsi="Times New Roman" w:cs="宋体"/>
                <w:b/>
                <w:color w:val="auto"/>
                <w:sz w:val="24"/>
                <w:highlight w:val="none"/>
                <w:lang w:val="en-US" w:eastAsia="zh-CN"/>
              </w:rPr>
              <w:t>.1</w:t>
            </w:r>
            <w:r>
              <w:rPr>
                <w:rFonts w:hint="eastAsia" w:ascii="Times New Roman" w:hAnsi="Times New Roman" w:eastAsia="宋体" w:cs="宋体"/>
                <w:b/>
                <w:color w:val="auto"/>
                <w:sz w:val="24"/>
                <w:highlight w:val="none"/>
              </w:rPr>
              <w:t>-1项目产污环节</w:t>
            </w:r>
          </w:p>
          <w:tbl>
            <w:tblPr>
              <w:tblStyle w:val="35"/>
              <w:tblW w:w="7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036"/>
              <w:gridCol w:w="2062"/>
              <w:gridCol w:w="1329"/>
              <w:gridCol w:w="2349"/>
            </w:tblGrid>
            <w:tr w14:paraId="2846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shd w:val="clear" w:color="auto" w:fill="D9D9D9"/>
                  <w:noWrap w:val="0"/>
                  <w:vAlign w:val="center"/>
                </w:tcPr>
                <w:p w14:paraId="05B94A7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污染类别</w:t>
                  </w:r>
                </w:p>
              </w:tc>
              <w:tc>
                <w:tcPr>
                  <w:tcW w:w="1036" w:type="dxa"/>
                  <w:shd w:val="clear" w:color="auto" w:fill="D9D9D9"/>
                  <w:noWrap w:val="0"/>
                  <w:vAlign w:val="center"/>
                </w:tcPr>
                <w:p w14:paraId="1F9990B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编号</w:t>
                  </w:r>
                </w:p>
              </w:tc>
              <w:tc>
                <w:tcPr>
                  <w:tcW w:w="2062" w:type="dxa"/>
                  <w:shd w:val="clear" w:color="auto" w:fill="D9D9D9"/>
                  <w:noWrap w:val="0"/>
                  <w:vAlign w:val="center"/>
                </w:tcPr>
                <w:p w14:paraId="269A38EA">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产污节点</w:t>
                  </w:r>
                </w:p>
              </w:tc>
              <w:tc>
                <w:tcPr>
                  <w:tcW w:w="1329" w:type="dxa"/>
                  <w:shd w:val="clear" w:color="auto" w:fill="D9D9D9"/>
                  <w:noWrap w:val="0"/>
                  <w:vAlign w:val="center"/>
                </w:tcPr>
                <w:p w14:paraId="4414AE42">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成分</w:t>
                  </w:r>
                </w:p>
              </w:tc>
              <w:tc>
                <w:tcPr>
                  <w:tcW w:w="2349" w:type="dxa"/>
                  <w:shd w:val="clear" w:color="auto" w:fill="D9D9D9"/>
                  <w:noWrap w:val="0"/>
                  <w:vAlign w:val="center"/>
                </w:tcPr>
                <w:p w14:paraId="0D5E4F44">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主要污染物</w:t>
                  </w:r>
                </w:p>
              </w:tc>
            </w:tr>
            <w:tr w14:paraId="28D8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218" w:type="dxa"/>
                  <w:vMerge w:val="restart"/>
                  <w:noWrap w:val="0"/>
                  <w:vAlign w:val="center"/>
                </w:tcPr>
                <w:p w14:paraId="6E623010">
                  <w:pPr>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废气</w:t>
                  </w:r>
                </w:p>
              </w:tc>
              <w:tc>
                <w:tcPr>
                  <w:tcW w:w="1036" w:type="dxa"/>
                  <w:noWrap w:val="0"/>
                  <w:vAlign w:val="center"/>
                </w:tcPr>
                <w:p w14:paraId="64346F1F">
                  <w:pPr>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hint="eastAsia" w:ascii="Times New Roman" w:hAnsi="Times New Roman" w:eastAsia="宋体"/>
                      <w:snapToGrid w:val="0"/>
                      <w:color w:val="auto"/>
                      <w:kern w:val="0"/>
                      <w:sz w:val="21"/>
                      <w:szCs w:val="21"/>
                      <w:highlight w:val="none"/>
                      <w:lang w:val="zh-CN"/>
                    </w:rPr>
                    <w:t>G</w:t>
                  </w:r>
                </w:p>
              </w:tc>
              <w:tc>
                <w:tcPr>
                  <w:tcW w:w="2062" w:type="dxa"/>
                  <w:noWrap w:val="0"/>
                  <w:vAlign w:val="center"/>
                </w:tcPr>
                <w:p w14:paraId="16EAE843">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hint="eastAsia" w:ascii="Times New Roman" w:hAnsi="Times New Roman" w:eastAsia="宋体"/>
                      <w:snapToGrid w:val="0"/>
                      <w:color w:val="auto"/>
                      <w:kern w:val="0"/>
                      <w:sz w:val="21"/>
                      <w:szCs w:val="21"/>
                      <w:highlight w:val="none"/>
                      <w:lang w:val="en-US" w:eastAsia="zh-CN"/>
                    </w:rPr>
                    <w:t>颚式破碎机、反击式破碎机、振动筛、圆筒筛</w:t>
                  </w:r>
                  <w:r>
                    <w:rPr>
                      <w:rFonts w:hint="eastAsia"/>
                      <w:snapToGrid w:val="0"/>
                      <w:color w:val="auto"/>
                      <w:kern w:val="0"/>
                      <w:sz w:val="21"/>
                      <w:szCs w:val="21"/>
                      <w:highlight w:val="none"/>
                      <w:lang w:val="en-US" w:eastAsia="zh-CN"/>
                    </w:rPr>
                    <w:t>、球磨机</w:t>
                  </w:r>
                </w:p>
              </w:tc>
              <w:tc>
                <w:tcPr>
                  <w:tcW w:w="1329" w:type="dxa"/>
                  <w:noWrap w:val="0"/>
                  <w:vAlign w:val="center"/>
                </w:tcPr>
                <w:p w14:paraId="1BE4153C">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zh-CN" w:eastAsia="zh-CN"/>
                    </w:rPr>
                  </w:pPr>
                  <w:r>
                    <w:rPr>
                      <w:rFonts w:hint="eastAsia" w:ascii="Times New Roman" w:hAnsi="Times New Roman" w:eastAsia="宋体"/>
                      <w:snapToGrid w:val="0"/>
                      <w:color w:val="auto"/>
                      <w:kern w:val="0"/>
                      <w:sz w:val="21"/>
                      <w:szCs w:val="21"/>
                      <w:highlight w:val="none"/>
                      <w:lang w:val="en-US" w:eastAsia="zh-CN"/>
                    </w:rPr>
                    <w:t>粉尘</w:t>
                  </w:r>
                </w:p>
              </w:tc>
              <w:tc>
                <w:tcPr>
                  <w:tcW w:w="2349" w:type="dxa"/>
                  <w:noWrap w:val="0"/>
                  <w:vAlign w:val="center"/>
                </w:tcPr>
                <w:p w14:paraId="7DCD4855">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hint="eastAsia" w:ascii="Times New Roman" w:hAnsi="Times New Roman" w:eastAsia="宋体"/>
                      <w:snapToGrid w:val="0"/>
                      <w:color w:val="auto"/>
                      <w:kern w:val="0"/>
                      <w:sz w:val="21"/>
                      <w:szCs w:val="21"/>
                      <w:highlight w:val="none"/>
                      <w:lang w:val="en-US" w:eastAsia="zh-CN"/>
                    </w:rPr>
                    <w:t>颗粒物</w:t>
                  </w:r>
                </w:p>
              </w:tc>
            </w:tr>
            <w:tr w14:paraId="2567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14:paraId="1D59938C">
                  <w:pPr>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p>
              </w:tc>
              <w:tc>
                <w:tcPr>
                  <w:tcW w:w="1036" w:type="dxa"/>
                  <w:noWrap w:val="0"/>
                  <w:vAlign w:val="center"/>
                </w:tcPr>
                <w:p w14:paraId="501787DA">
                  <w:pPr>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rPr>
                  </w:pPr>
                  <w:r>
                    <w:rPr>
                      <w:rFonts w:hint="eastAsia" w:ascii="Times New Roman" w:hAnsi="Times New Roman" w:eastAsia="宋体"/>
                      <w:snapToGrid w:val="0"/>
                      <w:color w:val="auto"/>
                      <w:kern w:val="0"/>
                      <w:sz w:val="21"/>
                      <w:szCs w:val="21"/>
                      <w:highlight w:val="none"/>
                      <w:lang w:val="en-US" w:eastAsia="zh-CN"/>
                    </w:rPr>
                    <w:t>T</w:t>
                  </w:r>
                </w:p>
              </w:tc>
              <w:tc>
                <w:tcPr>
                  <w:tcW w:w="2062" w:type="dxa"/>
                  <w:noWrap w:val="0"/>
                  <w:vAlign w:val="center"/>
                </w:tcPr>
                <w:p w14:paraId="398ABCB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hint="eastAsia" w:ascii="Times New Roman" w:hAnsi="Times New Roman" w:eastAsia="宋体" w:cs="Times New Roman"/>
                      <w:color w:val="auto"/>
                      <w:sz w:val="21"/>
                      <w:szCs w:val="24"/>
                      <w:highlight w:val="none"/>
                      <w:lang w:val="en-US" w:eastAsia="zh-CN"/>
                    </w:rPr>
                    <w:t>原料运输扬尘、</w:t>
                  </w:r>
                  <w:r>
                    <w:rPr>
                      <w:rFonts w:hint="eastAsia" w:cs="Times New Roman"/>
                      <w:color w:val="auto"/>
                      <w:sz w:val="21"/>
                      <w:szCs w:val="24"/>
                      <w:highlight w:val="none"/>
                      <w:lang w:val="en-US" w:eastAsia="zh-CN"/>
                    </w:rPr>
                    <w:t>破碎、筛分</w:t>
                  </w:r>
                  <w:r>
                    <w:rPr>
                      <w:rFonts w:hint="eastAsia" w:ascii="Times New Roman" w:hAnsi="Times New Roman" w:eastAsia="宋体" w:cs="Times New Roman"/>
                      <w:color w:val="auto"/>
                      <w:sz w:val="21"/>
                      <w:szCs w:val="24"/>
                      <w:highlight w:val="none"/>
                      <w:lang w:val="en-US" w:eastAsia="zh-CN"/>
                    </w:rPr>
                    <w:t>装卸、堆放扬尘、逸散粉尘</w:t>
                  </w:r>
                </w:p>
              </w:tc>
              <w:tc>
                <w:tcPr>
                  <w:tcW w:w="1329" w:type="dxa"/>
                  <w:noWrap w:val="0"/>
                  <w:vAlign w:val="center"/>
                </w:tcPr>
                <w:p w14:paraId="1B1A07A9">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en-US" w:eastAsia="zh-CN"/>
                    </w:rPr>
                  </w:pPr>
                  <w:r>
                    <w:rPr>
                      <w:rFonts w:hint="eastAsia" w:ascii="Times New Roman" w:hAnsi="Times New Roman" w:eastAsia="宋体"/>
                      <w:snapToGrid w:val="0"/>
                      <w:color w:val="auto"/>
                      <w:kern w:val="0"/>
                      <w:sz w:val="21"/>
                      <w:szCs w:val="21"/>
                      <w:highlight w:val="none"/>
                      <w:lang w:val="en-US" w:eastAsia="zh-CN"/>
                    </w:rPr>
                    <w:t>粉尘</w:t>
                  </w:r>
                </w:p>
              </w:tc>
              <w:tc>
                <w:tcPr>
                  <w:tcW w:w="2349" w:type="dxa"/>
                  <w:noWrap w:val="0"/>
                  <w:vAlign w:val="center"/>
                </w:tcPr>
                <w:p w14:paraId="037B0ABF">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rPr>
                  </w:pPr>
                  <w:r>
                    <w:rPr>
                      <w:rFonts w:ascii="Times New Roman" w:hAnsi="Times New Roman" w:eastAsia="宋体"/>
                      <w:snapToGrid w:val="0"/>
                      <w:color w:val="auto"/>
                      <w:kern w:val="0"/>
                      <w:sz w:val="21"/>
                      <w:szCs w:val="21"/>
                      <w:highlight w:val="none"/>
                    </w:rPr>
                    <w:t>颗粒物</w:t>
                  </w:r>
                </w:p>
              </w:tc>
            </w:tr>
            <w:tr w14:paraId="6E58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14:paraId="477006C3">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p>
              </w:tc>
              <w:tc>
                <w:tcPr>
                  <w:tcW w:w="1036" w:type="dxa"/>
                  <w:noWrap w:val="0"/>
                  <w:vAlign w:val="center"/>
                </w:tcPr>
                <w:p w14:paraId="56358A54">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zh-CN"/>
                    </w:rPr>
                  </w:pPr>
                  <w:r>
                    <w:rPr>
                      <w:rFonts w:hint="eastAsia" w:ascii="Times New Roman" w:hAnsi="Times New Roman" w:eastAsia="宋体"/>
                      <w:snapToGrid w:val="0"/>
                      <w:color w:val="auto"/>
                      <w:kern w:val="0"/>
                      <w:sz w:val="21"/>
                      <w:szCs w:val="21"/>
                      <w:highlight w:val="none"/>
                      <w:lang w:val="zh-CN"/>
                    </w:rPr>
                    <w:t>——</w:t>
                  </w:r>
                </w:p>
              </w:tc>
              <w:tc>
                <w:tcPr>
                  <w:tcW w:w="2062" w:type="dxa"/>
                  <w:noWrap w:val="0"/>
                  <w:vAlign w:val="center"/>
                </w:tcPr>
                <w:p w14:paraId="0FD5F97F">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zh-CN" w:eastAsia="zh-CN"/>
                    </w:rPr>
                  </w:pPr>
                  <w:r>
                    <w:rPr>
                      <w:rFonts w:hint="eastAsia" w:ascii="Times New Roman" w:hAnsi="Times New Roman" w:eastAsia="宋体"/>
                      <w:snapToGrid w:val="0"/>
                      <w:color w:val="auto"/>
                      <w:kern w:val="0"/>
                      <w:sz w:val="21"/>
                      <w:szCs w:val="21"/>
                      <w:highlight w:val="none"/>
                      <w:lang w:val="en-US" w:eastAsia="zh-CN"/>
                    </w:rPr>
                    <w:t>员工食堂</w:t>
                  </w:r>
                </w:p>
              </w:tc>
              <w:tc>
                <w:tcPr>
                  <w:tcW w:w="1329" w:type="dxa"/>
                  <w:noWrap w:val="0"/>
                  <w:vAlign w:val="center"/>
                </w:tcPr>
                <w:p w14:paraId="03F50B99">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zh-CN" w:eastAsia="zh-CN"/>
                    </w:rPr>
                  </w:pPr>
                  <w:r>
                    <w:rPr>
                      <w:rFonts w:hint="eastAsia" w:ascii="Times New Roman" w:hAnsi="Times New Roman" w:eastAsia="宋体"/>
                      <w:snapToGrid w:val="0"/>
                      <w:color w:val="auto"/>
                      <w:kern w:val="0"/>
                      <w:sz w:val="21"/>
                      <w:szCs w:val="21"/>
                      <w:highlight w:val="none"/>
                      <w:lang w:val="en-US" w:eastAsia="zh-CN"/>
                    </w:rPr>
                    <w:t>饮食油烟</w:t>
                  </w:r>
                </w:p>
              </w:tc>
              <w:tc>
                <w:tcPr>
                  <w:tcW w:w="2349" w:type="dxa"/>
                  <w:noWrap w:val="0"/>
                  <w:vAlign w:val="center"/>
                </w:tcPr>
                <w:p w14:paraId="07B7BF5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vertAlign w:val="baseline"/>
                      <w:lang w:val="en-US" w:eastAsia="zh-CN"/>
                    </w:rPr>
                  </w:pPr>
                  <w:r>
                    <w:rPr>
                      <w:rFonts w:hint="eastAsia" w:ascii="Times New Roman" w:hAnsi="Times New Roman" w:eastAsia="宋体"/>
                      <w:snapToGrid w:val="0"/>
                      <w:color w:val="auto"/>
                      <w:kern w:val="0"/>
                      <w:sz w:val="21"/>
                      <w:szCs w:val="21"/>
                      <w:highlight w:val="none"/>
                      <w:lang w:val="en-US" w:eastAsia="zh-CN"/>
                    </w:rPr>
                    <w:t>饮食油烟</w:t>
                  </w:r>
                </w:p>
              </w:tc>
            </w:tr>
            <w:tr w14:paraId="5211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218" w:type="dxa"/>
                  <w:vMerge w:val="restart"/>
                  <w:noWrap w:val="0"/>
                  <w:vAlign w:val="center"/>
                </w:tcPr>
                <w:p w14:paraId="11742081">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zh-CN"/>
                    </w:rPr>
                  </w:pPr>
                  <w:r>
                    <w:rPr>
                      <w:rFonts w:hint="eastAsia" w:ascii="Times New Roman" w:hAnsi="Times New Roman" w:eastAsia="宋体"/>
                      <w:snapToGrid w:val="0"/>
                      <w:color w:val="auto"/>
                      <w:kern w:val="0"/>
                      <w:sz w:val="21"/>
                      <w:szCs w:val="21"/>
                      <w:highlight w:val="none"/>
                      <w:lang w:val="zh-CN"/>
                    </w:rPr>
                    <w:t>废水</w:t>
                  </w:r>
                </w:p>
              </w:tc>
              <w:tc>
                <w:tcPr>
                  <w:tcW w:w="1036" w:type="dxa"/>
                  <w:noWrap w:val="0"/>
                  <w:vAlign w:val="center"/>
                </w:tcPr>
                <w:p w14:paraId="0E78417B">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zh-CN"/>
                    </w:rPr>
                  </w:pPr>
                  <w:r>
                    <w:rPr>
                      <w:rFonts w:hint="eastAsia" w:ascii="Times New Roman" w:hAnsi="Times New Roman" w:eastAsia="宋体"/>
                      <w:snapToGrid w:val="0"/>
                      <w:color w:val="auto"/>
                      <w:kern w:val="0"/>
                      <w:sz w:val="21"/>
                      <w:szCs w:val="21"/>
                      <w:highlight w:val="none"/>
                      <w:lang w:val="zh-CN"/>
                    </w:rPr>
                    <w:t>——</w:t>
                  </w:r>
                </w:p>
              </w:tc>
              <w:tc>
                <w:tcPr>
                  <w:tcW w:w="2062" w:type="dxa"/>
                  <w:noWrap w:val="0"/>
                  <w:vAlign w:val="center"/>
                </w:tcPr>
                <w:p w14:paraId="5F20A80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员工</w:t>
                  </w:r>
                </w:p>
              </w:tc>
              <w:tc>
                <w:tcPr>
                  <w:tcW w:w="1329" w:type="dxa"/>
                  <w:noWrap w:val="0"/>
                  <w:vAlign w:val="center"/>
                </w:tcPr>
                <w:p w14:paraId="4FB5116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生活污水</w:t>
                  </w:r>
                </w:p>
              </w:tc>
              <w:tc>
                <w:tcPr>
                  <w:tcW w:w="2349" w:type="dxa"/>
                  <w:noWrap w:val="0"/>
                  <w:vAlign w:val="center"/>
                </w:tcPr>
                <w:p w14:paraId="3EB38A9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COD、BOD</w:t>
                  </w:r>
                  <w:r>
                    <w:rPr>
                      <w:rFonts w:ascii="Times New Roman" w:hAnsi="Times New Roman" w:eastAsia="宋体"/>
                      <w:snapToGrid w:val="0"/>
                      <w:color w:val="auto"/>
                      <w:kern w:val="0"/>
                      <w:sz w:val="21"/>
                      <w:szCs w:val="21"/>
                      <w:highlight w:val="none"/>
                      <w:vertAlign w:val="subscript"/>
                      <w:lang w:val="zh-CN"/>
                    </w:rPr>
                    <w:t>5</w:t>
                  </w:r>
                  <w:r>
                    <w:rPr>
                      <w:rFonts w:ascii="Times New Roman" w:hAnsi="Times New Roman" w:eastAsia="宋体"/>
                      <w:snapToGrid w:val="0"/>
                      <w:color w:val="auto"/>
                      <w:kern w:val="0"/>
                      <w:sz w:val="21"/>
                      <w:szCs w:val="21"/>
                      <w:highlight w:val="none"/>
                      <w:lang w:val="zh-CN"/>
                    </w:rPr>
                    <w:t>、SS、NH</w:t>
                  </w:r>
                  <w:r>
                    <w:rPr>
                      <w:rFonts w:ascii="Times New Roman" w:hAnsi="Times New Roman" w:eastAsia="宋体"/>
                      <w:snapToGrid w:val="0"/>
                      <w:color w:val="auto"/>
                      <w:kern w:val="0"/>
                      <w:sz w:val="21"/>
                      <w:szCs w:val="21"/>
                      <w:highlight w:val="none"/>
                      <w:vertAlign w:val="subscript"/>
                      <w:lang w:val="zh-CN"/>
                    </w:rPr>
                    <w:t>3</w:t>
                  </w:r>
                  <w:r>
                    <w:rPr>
                      <w:rFonts w:ascii="Times New Roman" w:hAnsi="Times New Roman" w:eastAsia="宋体"/>
                      <w:snapToGrid w:val="0"/>
                      <w:color w:val="auto"/>
                      <w:kern w:val="0"/>
                      <w:sz w:val="21"/>
                      <w:szCs w:val="21"/>
                      <w:highlight w:val="none"/>
                      <w:lang w:val="zh-CN"/>
                    </w:rPr>
                    <w:t>-N、TP等</w:t>
                  </w:r>
                </w:p>
              </w:tc>
            </w:tr>
            <w:tr w14:paraId="7B8A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218" w:type="dxa"/>
                  <w:vMerge w:val="continue"/>
                  <w:noWrap w:val="0"/>
                  <w:vAlign w:val="center"/>
                </w:tcPr>
                <w:p w14:paraId="0D867BCB">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zh-CN"/>
                    </w:rPr>
                  </w:pPr>
                </w:p>
              </w:tc>
              <w:tc>
                <w:tcPr>
                  <w:tcW w:w="1036" w:type="dxa"/>
                  <w:noWrap w:val="0"/>
                  <w:vAlign w:val="center"/>
                </w:tcPr>
                <w:p w14:paraId="7703C1A3">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zh-CN"/>
                    </w:rPr>
                  </w:pPr>
                  <w:r>
                    <w:rPr>
                      <w:rFonts w:hint="eastAsia"/>
                      <w:snapToGrid w:val="0"/>
                      <w:color w:val="auto"/>
                      <w:kern w:val="0"/>
                      <w:sz w:val="21"/>
                      <w:szCs w:val="21"/>
                      <w:highlight w:val="none"/>
                      <w:lang w:val="zh-CN"/>
                    </w:rPr>
                    <w:t>——</w:t>
                  </w:r>
                </w:p>
              </w:tc>
              <w:tc>
                <w:tcPr>
                  <w:tcW w:w="2062" w:type="dxa"/>
                  <w:noWrap w:val="0"/>
                  <w:vAlign w:val="center"/>
                </w:tcPr>
                <w:p w14:paraId="2F48AD4B">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车辆清洗</w:t>
                  </w:r>
                </w:p>
              </w:tc>
              <w:tc>
                <w:tcPr>
                  <w:tcW w:w="1329" w:type="dxa"/>
                  <w:noWrap w:val="0"/>
                  <w:vAlign w:val="center"/>
                </w:tcPr>
                <w:p w14:paraId="4E079584">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洗车废水</w:t>
                  </w:r>
                </w:p>
              </w:tc>
              <w:tc>
                <w:tcPr>
                  <w:tcW w:w="2349" w:type="dxa"/>
                  <w:noWrap w:val="0"/>
                  <w:vAlign w:val="center"/>
                </w:tcPr>
                <w:p w14:paraId="503B94C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ascii="Times New Roman" w:hAnsi="Times New Roman" w:eastAsia="宋体"/>
                      <w:snapToGrid w:val="0"/>
                      <w:color w:val="auto"/>
                      <w:kern w:val="0"/>
                      <w:sz w:val="21"/>
                      <w:szCs w:val="21"/>
                      <w:highlight w:val="none"/>
                      <w:lang w:val="zh-CN"/>
                    </w:rPr>
                    <w:t>SS、</w:t>
                  </w:r>
                  <w:r>
                    <w:rPr>
                      <w:rFonts w:hint="eastAsia"/>
                      <w:snapToGrid w:val="0"/>
                      <w:color w:val="auto"/>
                      <w:kern w:val="0"/>
                      <w:sz w:val="21"/>
                      <w:szCs w:val="21"/>
                      <w:highlight w:val="none"/>
                      <w:lang w:val="en-US" w:eastAsia="zh-CN"/>
                    </w:rPr>
                    <w:t>石油类等</w:t>
                  </w:r>
                </w:p>
              </w:tc>
            </w:tr>
            <w:tr w14:paraId="51B4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218" w:type="dxa"/>
                  <w:vMerge w:val="restart"/>
                  <w:noWrap w:val="0"/>
                  <w:vAlign w:val="center"/>
                </w:tcPr>
                <w:p w14:paraId="5ACB0849">
                  <w:pPr>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固废</w:t>
                  </w:r>
                </w:p>
              </w:tc>
              <w:tc>
                <w:tcPr>
                  <w:tcW w:w="1036" w:type="dxa"/>
                  <w:noWrap w:val="0"/>
                  <w:vAlign w:val="center"/>
                </w:tcPr>
                <w:p w14:paraId="378ABFC5">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hint="eastAsia" w:ascii="Times New Roman" w:hAnsi="Times New Roman" w:eastAsia="宋体"/>
                      <w:snapToGrid w:val="0"/>
                      <w:color w:val="auto"/>
                      <w:kern w:val="0"/>
                      <w:sz w:val="21"/>
                      <w:szCs w:val="21"/>
                      <w:highlight w:val="none"/>
                      <w:lang w:val="zh-CN"/>
                    </w:rPr>
                    <w:t>——</w:t>
                  </w:r>
                </w:p>
              </w:tc>
              <w:tc>
                <w:tcPr>
                  <w:tcW w:w="2062" w:type="dxa"/>
                  <w:noWrap w:val="0"/>
                  <w:vAlign w:val="center"/>
                </w:tcPr>
                <w:p w14:paraId="346DBAC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hint="eastAsia" w:ascii="Times New Roman" w:hAnsi="Times New Roman" w:eastAsia="宋体"/>
                      <w:snapToGrid w:val="0"/>
                      <w:color w:val="auto"/>
                      <w:kern w:val="0"/>
                      <w:sz w:val="21"/>
                      <w:szCs w:val="21"/>
                      <w:highlight w:val="none"/>
                      <w:lang w:val="en-US" w:eastAsia="zh-CN"/>
                    </w:rPr>
                    <w:t>设备维护</w:t>
                  </w:r>
                </w:p>
              </w:tc>
              <w:tc>
                <w:tcPr>
                  <w:tcW w:w="3678" w:type="dxa"/>
                  <w:gridSpan w:val="2"/>
                  <w:noWrap w:val="0"/>
                  <w:vAlign w:val="center"/>
                </w:tcPr>
                <w:p w14:paraId="6D3D369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hint="eastAsia" w:ascii="Times New Roman" w:hAnsi="Times New Roman" w:eastAsia="宋体"/>
                      <w:snapToGrid w:val="0"/>
                      <w:color w:val="auto"/>
                      <w:kern w:val="0"/>
                      <w:sz w:val="21"/>
                      <w:szCs w:val="21"/>
                      <w:highlight w:val="none"/>
                      <w:lang w:val="en-US" w:eastAsia="zh-CN"/>
                    </w:rPr>
                    <w:t>废机油、废液压油</w:t>
                  </w:r>
                </w:p>
              </w:tc>
            </w:tr>
            <w:tr w14:paraId="5FB9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14:paraId="50C76C52">
                  <w:pPr>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p>
              </w:tc>
              <w:tc>
                <w:tcPr>
                  <w:tcW w:w="1036" w:type="dxa"/>
                  <w:noWrap w:val="0"/>
                  <w:vAlign w:val="center"/>
                </w:tcPr>
                <w:p w14:paraId="32DCF988">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zh-CN"/>
                    </w:rPr>
                  </w:pPr>
                  <w:r>
                    <w:rPr>
                      <w:rFonts w:hint="eastAsia"/>
                      <w:snapToGrid w:val="0"/>
                      <w:color w:val="auto"/>
                      <w:kern w:val="0"/>
                      <w:sz w:val="21"/>
                      <w:szCs w:val="21"/>
                      <w:highlight w:val="none"/>
                      <w:lang w:val="zh-CN"/>
                    </w:rPr>
                    <w:t>——</w:t>
                  </w:r>
                </w:p>
              </w:tc>
              <w:tc>
                <w:tcPr>
                  <w:tcW w:w="2062" w:type="dxa"/>
                  <w:noWrap w:val="0"/>
                  <w:vAlign w:val="center"/>
                </w:tcPr>
                <w:p w14:paraId="3D1333C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有组织废气除尘</w:t>
                  </w:r>
                </w:p>
              </w:tc>
              <w:tc>
                <w:tcPr>
                  <w:tcW w:w="3678" w:type="dxa"/>
                  <w:gridSpan w:val="2"/>
                  <w:noWrap w:val="0"/>
                  <w:vAlign w:val="center"/>
                </w:tcPr>
                <w:p w14:paraId="36A55FE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除尘灰</w:t>
                  </w:r>
                </w:p>
              </w:tc>
            </w:tr>
            <w:tr w14:paraId="4779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14:paraId="207E5D0C">
                  <w:pPr>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p>
              </w:tc>
              <w:tc>
                <w:tcPr>
                  <w:tcW w:w="1036" w:type="dxa"/>
                  <w:noWrap w:val="0"/>
                  <w:vAlign w:val="center"/>
                </w:tcPr>
                <w:p w14:paraId="51A2EC13">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zh-CN"/>
                    </w:rPr>
                  </w:pPr>
                  <w:r>
                    <w:rPr>
                      <w:rFonts w:hint="eastAsia" w:ascii="Times New Roman" w:hAnsi="Times New Roman" w:eastAsia="宋体"/>
                      <w:snapToGrid w:val="0"/>
                      <w:color w:val="auto"/>
                      <w:kern w:val="0"/>
                      <w:sz w:val="21"/>
                      <w:szCs w:val="21"/>
                      <w:highlight w:val="none"/>
                      <w:lang w:val="zh-CN"/>
                    </w:rPr>
                    <w:t>——</w:t>
                  </w:r>
                </w:p>
              </w:tc>
              <w:tc>
                <w:tcPr>
                  <w:tcW w:w="2062" w:type="dxa"/>
                  <w:noWrap w:val="0"/>
                  <w:vAlign w:val="center"/>
                </w:tcPr>
                <w:p w14:paraId="26EBEC58">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 w:val="21"/>
                      <w:szCs w:val="21"/>
                      <w:highlight w:val="none"/>
                      <w:lang w:val="en-US" w:eastAsia="zh-CN"/>
                    </w:rPr>
                  </w:pPr>
                  <w:r>
                    <w:rPr>
                      <w:rFonts w:ascii="Times New Roman" w:hAnsi="Times New Roman" w:eastAsia="宋体"/>
                      <w:snapToGrid w:val="0"/>
                      <w:color w:val="auto"/>
                      <w:kern w:val="0"/>
                      <w:sz w:val="21"/>
                      <w:szCs w:val="21"/>
                      <w:highlight w:val="none"/>
                      <w:lang w:val="zh-CN"/>
                    </w:rPr>
                    <w:t>员工生活</w:t>
                  </w:r>
                </w:p>
              </w:tc>
              <w:tc>
                <w:tcPr>
                  <w:tcW w:w="3678" w:type="dxa"/>
                  <w:gridSpan w:val="2"/>
                  <w:noWrap w:val="0"/>
                  <w:vAlign w:val="center"/>
                </w:tcPr>
                <w:p w14:paraId="0D8D68C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 w:val="21"/>
                      <w:szCs w:val="21"/>
                      <w:highlight w:val="none"/>
                      <w:lang w:val="en-US" w:eastAsia="zh-CN"/>
                    </w:rPr>
                  </w:pPr>
                  <w:r>
                    <w:rPr>
                      <w:rFonts w:ascii="Times New Roman" w:hAnsi="Times New Roman" w:eastAsia="宋体"/>
                      <w:snapToGrid w:val="0"/>
                      <w:color w:val="auto"/>
                      <w:kern w:val="0"/>
                      <w:sz w:val="21"/>
                      <w:szCs w:val="21"/>
                      <w:highlight w:val="none"/>
                      <w:lang w:val="zh-CN"/>
                    </w:rPr>
                    <w:t>生活垃圾</w:t>
                  </w:r>
                </w:p>
              </w:tc>
            </w:tr>
            <w:tr w14:paraId="1EC7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noWrap w:val="0"/>
                  <w:vAlign w:val="center"/>
                </w:tcPr>
                <w:p w14:paraId="17DAEB9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噪声</w:t>
                  </w:r>
                </w:p>
              </w:tc>
              <w:tc>
                <w:tcPr>
                  <w:tcW w:w="1036" w:type="dxa"/>
                  <w:noWrap w:val="0"/>
                  <w:vAlign w:val="center"/>
                </w:tcPr>
                <w:p w14:paraId="14D4710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bCs/>
                      <w:snapToGrid w:val="0"/>
                      <w:color w:val="auto"/>
                      <w:kern w:val="0"/>
                      <w:sz w:val="21"/>
                      <w:szCs w:val="21"/>
                      <w:highlight w:val="none"/>
                      <w:lang w:val="zh-CN"/>
                    </w:rPr>
                  </w:pPr>
                  <w:r>
                    <w:rPr>
                      <w:rFonts w:ascii="Times New Roman" w:hAnsi="Times New Roman" w:eastAsia="宋体"/>
                      <w:bCs/>
                      <w:snapToGrid w:val="0"/>
                      <w:color w:val="auto"/>
                      <w:kern w:val="0"/>
                      <w:sz w:val="21"/>
                      <w:szCs w:val="21"/>
                      <w:highlight w:val="none"/>
                      <w:lang w:val="zh-CN"/>
                    </w:rPr>
                    <w:t>N</w:t>
                  </w:r>
                </w:p>
              </w:tc>
              <w:tc>
                <w:tcPr>
                  <w:tcW w:w="2062" w:type="dxa"/>
                  <w:noWrap w:val="0"/>
                  <w:vAlign w:val="center"/>
                </w:tcPr>
                <w:p w14:paraId="5F6DFE8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hint="eastAsia" w:ascii="Times New Roman" w:hAnsi="Times New Roman" w:eastAsia="宋体"/>
                      <w:snapToGrid w:val="0"/>
                      <w:color w:val="auto"/>
                      <w:kern w:val="0"/>
                      <w:sz w:val="21"/>
                      <w:szCs w:val="21"/>
                      <w:highlight w:val="none"/>
                      <w:lang w:val="zh-CN"/>
                    </w:rPr>
                    <w:t>机械</w:t>
                  </w:r>
                  <w:r>
                    <w:rPr>
                      <w:rFonts w:ascii="Times New Roman" w:hAnsi="Times New Roman" w:eastAsia="宋体"/>
                      <w:snapToGrid w:val="0"/>
                      <w:color w:val="auto"/>
                      <w:kern w:val="0"/>
                      <w:sz w:val="21"/>
                      <w:szCs w:val="21"/>
                      <w:highlight w:val="none"/>
                      <w:lang w:val="zh-CN"/>
                    </w:rPr>
                    <w:t>设备</w:t>
                  </w:r>
                </w:p>
              </w:tc>
              <w:tc>
                <w:tcPr>
                  <w:tcW w:w="1329" w:type="dxa"/>
                  <w:noWrap w:val="0"/>
                  <w:vAlign w:val="center"/>
                </w:tcPr>
                <w:p w14:paraId="68BC350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设备噪声</w:t>
                  </w:r>
                </w:p>
              </w:tc>
              <w:tc>
                <w:tcPr>
                  <w:tcW w:w="2349" w:type="dxa"/>
                  <w:noWrap w:val="0"/>
                  <w:vAlign w:val="center"/>
                </w:tcPr>
                <w:p w14:paraId="79E1D7C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 w:val="21"/>
                      <w:szCs w:val="21"/>
                      <w:highlight w:val="none"/>
                      <w:lang w:val="zh-CN"/>
                    </w:rPr>
                  </w:pPr>
                  <w:r>
                    <w:rPr>
                      <w:rFonts w:ascii="Times New Roman" w:hAnsi="Times New Roman" w:eastAsia="宋体"/>
                      <w:snapToGrid w:val="0"/>
                      <w:color w:val="auto"/>
                      <w:kern w:val="0"/>
                      <w:sz w:val="21"/>
                      <w:szCs w:val="21"/>
                      <w:highlight w:val="none"/>
                      <w:lang w:val="zh-CN"/>
                    </w:rPr>
                    <w:t>LeqdB（A）</w:t>
                  </w:r>
                </w:p>
              </w:tc>
            </w:tr>
          </w:tbl>
          <w:p w14:paraId="0C8A6E45">
            <w:pPr>
              <w:pStyle w:val="70"/>
              <w:ind w:firstLine="0" w:firstLineChars="0"/>
              <w:rPr>
                <w:rFonts w:hint="eastAsia" w:ascii="Times New Roman" w:hAnsi="Times New Roman"/>
                <w:color w:val="auto"/>
                <w:sz w:val="10"/>
                <w:szCs w:val="10"/>
                <w:highlight w:val="none"/>
              </w:rPr>
            </w:pPr>
          </w:p>
          <w:p w14:paraId="2AA4F2E4">
            <w:pPr>
              <w:pStyle w:val="70"/>
              <w:ind w:firstLine="0" w:firstLineChars="0"/>
              <w:rPr>
                <w:rFonts w:hint="eastAsia" w:ascii="Times New Roman" w:hAnsi="Times New Roman"/>
                <w:color w:val="auto"/>
                <w:sz w:val="10"/>
                <w:szCs w:val="10"/>
                <w:highlight w:val="none"/>
              </w:rPr>
            </w:pPr>
          </w:p>
        </w:tc>
      </w:tr>
      <w:tr w14:paraId="1C1D7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06" w:hRule="atLeast"/>
          <w:jc w:val="center"/>
        </w:trPr>
        <w:tc>
          <w:tcPr>
            <w:tcW w:w="483" w:type="dxa"/>
            <w:noWrap w:val="0"/>
            <w:vAlign w:val="center"/>
          </w:tcPr>
          <w:p w14:paraId="143FC5DD">
            <w:pPr>
              <w:pStyle w:val="30"/>
              <w:adjustRightInd w:val="0"/>
              <w:snapToGrid w:val="0"/>
              <w:spacing w:before="0" w:beforeAutospacing="0" w:after="0" w:afterAutospacing="0"/>
              <w:jc w:val="center"/>
              <w:rPr>
                <w:rFonts w:ascii="Times New Roman" w:hAnsi="Times New Roman" w:cs="宋体"/>
                <w:b/>
                <w:bCs/>
                <w:color w:val="auto"/>
                <w:szCs w:val="24"/>
                <w:highlight w:val="none"/>
              </w:rPr>
            </w:pPr>
            <w:r>
              <w:rPr>
                <w:rFonts w:hint="eastAsia" w:ascii="Times New Roman" w:hAnsi="Times New Roman" w:cs="宋体"/>
                <w:b/>
                <w:bCs/>
                <w:color w:val="auto"/>
                <w:szCs w:val="24"/>
                <w:highlight w:val="none"/>
              </w:rPr>
              <w:t>与项目有关的原有环境污染问题</w:t>
            </w:r>
          </w:p>
        </w:tc>
        <w:tc>
          <w:tcPr>
            <w:tcW w:w="8501" w:type="dxa"/>
            <w:noWrap w:val="0"/>
            <w:vAlign w:val="top"/>
          </w:tcPr>
          <w:p w14:paraId="4D0C252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黑体"/>
                <w:color w:val="auto"/>
                <w:sz w:val="24"/>
                <w:highlight w:val="none"/>
                <w:lang w:eastAsia="zh-CN"/>
              </w:rPr>
              <w:t>本项目选址于云南红塔产业园区研和片区二地块，该地块原为武警教导队用地，后因该单位搬迁而闲置。云南红塔产业园区管委会对该闲置地块实施收储后，完成了地表建筑物拆除、场地平整等前期整理工作，同步保留了水电管网等相关配套设施，</w:t>
            </w:r>
            <w:r>
              <w:rPr>
                <w:rFonts w:hint="eastAsia" w:ascii="Times New Roman" w:hAnsi="Times New Roman" w:eastAsia="宋体" w:cs="Times New Roman"/>
                <w:color w:val="auto"/>
                <w:sz w:val="24"/>
                <w:highlight w:val="none"/>
                <w:lang w:val="en-US" w:eastAsia="zh-CN"/>
              </w:rPr>
              <w:t>通过现场调查，现有场地不存在历史遗留问题，周围总体环境良好，</w:t>
            </w:r>
            <w:r>
              <w:rPr>
                <w:rFonts w:hint="eastAsia" w:ascii="Times New Roman" w:hAnsi="Times New Roman" w:eastAsia="宋体"/>
                <w:color w:val="auto"/>
                <w:kern w:val="1"/>
                <w:sz w:val="24"/>
                <w:szCs w:val="20"/>
                <w:highlight w:val="none"/>
              </w:rPr>
              <w:t>无与本项目有关的原有污染情况存在</w:t>
            </w:r>
            <w:r>
              <w:rPr>
                <w:rFonts w:hint="eastAsia" w:ascii="Times New Roman" w:hAnsi="Times New Roman" w:eastAsia="宋体" w:cs="Times New Roman"/>
                <w:color w:val="auto"/>
                <w:sz w:val="24"/>
                <w:highlight w:val="none"/>
                <w:lang w:val="en-US" w:eastAsia="zh-CN"/>
              </w:rPr>
              <w:t>。</w:t>
            </w:r>
          </w:p>
          <w:p w14:paraId="6C4214E8">
            <w:pPr>
              <w:pStyle w:val="70"/>
              <w:ind w:left="0" w:leftChars="0" w:firstLine="0" w:firstLineChars="0"/>
              <w:rPr>
                <w:rFonts w:hint="eastAsia" w:ascii="Times New Roman" w:hAnsi="Times New Roman" w:eastAsia="宋体" w:cs="宋体"/>
                <w:color w:val="auto"/>
                <w:highlight w:val="none"/>
                <w:lang w:eastAsia="zh-CN"/>
              </w:rPr>
            </w:pPr>
          </w:p>
          <w:p w14:paraId="0C79A3C0">
            <w:pPr>
              <w:pStyle w:val="70"/>
              <w:ind w:left="0" w:leftChars="0" w:firstLine="0" w:firstLineChars="0"/>
              <w:rPr>
                <w:rFonts w:hint="eastAsia" w:ascii="Times New Roman" w:hAnsi="Times New Roman" w:eastAsia="宋体" w:cs="宋体"/>
                <w:color w:val="auto"/>
                <w:highlight w:val="none"/>
                <w:lang w:eastAsia="zh-CN"/>
              </w:rPr>
            </w:pPr>
          </w:p>
          <w:p w14:paraId="0C85062A">
            <w:pPr>
              <w:pStyle w:val="70"/>
              <w:ind w:left="0" w:leftChars="0" w:firstLine="0" w:firstLineChars="0"/>
              <w:rPr>
                <w:rFonts w:hint="eastAsia" w:ascii="Times New Roman" w:hAnsi="Times New Roman" w:eastAsia="宋体" w:cs="宋体"/>
                <w:color w:val="auto"/>
                <w:highlight w:val="none"/>
                <w:lang w:eastAsia="zh-CN"/>
              </w:rPr>
            </w:pPr>
          </w:p>
          <w:p w14:paraId="06801EFB">
            <w:pPr>
              <w:pStyle w:val="70"/>
              <w:ind w:left="0" w:leftChars="0" w:firstLine="0" w:firstLineChars="0"/>
              <w:rPr>
                <w:rFonts w:hint="eastAsia" w:ascii="Times New Roman" w:hAnsi="Times New Roman" w:eastAsia="宋体" w:cs="宋体"/>
                <w:color w:val="auto"/>
                <w:highlight w:val="none"/>
                <w:lang w:eastAsia="zh-CN"/>
              </w:rPr>
            </w:pPr>
          </w:p>
          <w:p w14:paraId="27DB7793">
            <w:pPr>
              <w:pStyle w:val="70"/>
              <w:ind w:left="0" w:leftChars="0" w:firstLine="0" w:firstLineChars="0"/>
              <w:rPr>
                <w:rFonts w:hint="eastAsia" w:ascii="Times New Roman" w:hAnsi="Times New Roman" w:eastAsia="宋体" w:cs="宋体"/>
                <w:color w:val="auto"/>
                <w:highlight w:val="none"/>
                <w:lang w:eastAsia="zh-CN"/>
              </w:rPr>
            </w:pPr>
          </w:p>
          <w:p w14:paraId="437060DD">
            <w:pPr>
              <w:pStyle w:val="70"/>
              <w:ind w:left="0" w:leftChars="0" w:firstLine="0" w:firstLineChars="0"/>
              <w:rPr>
                <w:rFonts w:hint="eastAsia" w:ascii="Times New Roman" w:hAnsi="Times New Roman" w:eastAsia="宋体" w:cs="宋体"/>
                <w:color w:val="auto"/>
                <w:highlight w:val="none"/>
                <w:lang w:eastAsia="zh-CN"/>
              </w:rPr>
            </w:pPr>
          </w:p>
          <w:p w14:paraId="542DC8BA">
            <w:pPr>
              <w:pStyle w:val="70"/>
              <w:ind w:left="0" w:leftChars="0" w:firstLine="0" w:firstLineChars="0"/>
              <w:rPr>
                <w:rFonts w:hint="eastAsia" w:ascii="Times New Roman" w:hAnsi="Times New Roman" w:eastAsia="宋体" w:cs="宋体"/>
                <w:color w:val="auto"/>
                <w:highlight w:val="none"/>
                <w:lang w:eastAsia="zh-CN"/>
              </w:rPr>
            </w:pPr>
          </w:p>
          <w:p w14:paraId="10493ED1">
            <w:pPr>
              <w:pStyle w:val="70"/>
              <w:ind w:left="0" w:leftChars="0" w:firstLine="0" w:firstLineChars="0"/>
              <w:rPr>
                <w:rFonts w:hint="eastAsia" w:ascii="Times New Roman" w:hAnsi="Times New Roman" w:eastAsia="宋体" w:cs="宋体"/>
                <w:color w:val="auto"/>
                <w:highlight w:val="none"/>
                <w:lang w:eastAsia="zh-CN"/>
              </w:rPr>
            </w:pPr>
          </w:p>
          <w:p w14:paraId="1B4925AD">
            <w:pPr>
              <w:pStyle w:val="70"/>
              <w:ind w:left="0" w:leftChars="0" w:firstLine="0" w:firstLineChars="0"/>
              <w:rPr>
                <w:rFonts w:hint="eastAsia" w:ascii="Times New Roman" w:hAnsi="Times New Roman" w:eastAsia="宋体" w:cs="宋体"/>
                <w:color w:val="auto"/>
                <w:highlight w:val="none"/>
                <w:lang w:eastAsia="zh-CN"/>
              </w:rPr>
            </w:pPr>
          </w:p>
          <w:p w14:paraId="72B3CC4F">
            <w:pPr>
              <w:pStyle w:val="70"/>
              <w:ind w:left="0" w:leftChars="0" w:firstLine="0" w:firstLineChars="0"/>
              <w:rPr>
                <w:rFonts w:hint="eastAsia" w:ascii="Times New Roman" w:hAnsi="Times New Roman" w:eastAsia="宋体" w:cs="宋体"/>
                <w:color w:val="auto"/>
                <w:highlight w:val="none"/>
                <w:lang w:eastAsia="zh-CN"/>
              </w:rPr>
            </w:pPr>
          </w:p>
          <w:p w14:paraId="35E63468">
            <w:pPr>
              <w:pStyle w:val="70"/>
              <w:ind w:left="0" w:leftChars="0" w:firstLine="0" w:firstLineChars="0"/>
              <w:rPr>
                <w:rFonts w:hint="eastAsia" w:ascii="Times New Roman" w:hAnsi="Times New Roman" w:eastAsia="宋体" w:cs="宋体"/>
                <w:color w:val="auto"/>
                <w:highlight w:val="none"/>
                <w:lang w:eastAsia="zh-CN"/>
              </w:rPr>
            </w:pPr>
          </w:p>
        </w:tc>
      </w:tr>
    </w:tbl>
    <w:p w14:paraId="4200266F">
      <w:pPr>
        <w:pStyle w:val="30"/>
        <w:jc w:val="center"/>
        <w:rPr>
          <w:rFonts w:ascii="Times New Roman" w:hAnsi="Times New Roman" w:eastAsia="黑体"/>
          <w:snapToGrid w:val="0"/>
          <w:color w:val="auto"/>
          <w:sz w:val="36"/>
          <w:szCs w:val="36"/>
          <w:highlight w:val="none"/>
        </w:rPr>
        <w:sectPr>
          <w:pgSz w:w="11905" w:h="16838"/>
          <w:pgMar w:top="1440" w:right="1701" w:bottom="1440" w:left="1701" w:header="851" w:footer="1077" w:gutter="0"/>
          <w:cols w:space="720" w:num="1"/>
          <w:docGrid w:type="lines" w:linePitch="317" w:charSpace="0"/>
        </w:sectPr>
      </w:pPr>
    </w:p>
    <w:p w14:paraId="366031A8">
      <w:pPr>
        <w:pStyle w:val="30"/>
        <w:spacing w:before="0" w:beforeAutospacing="0" w:after="0" w:afterAutospacing="0"/>
        <w:jc w:val="center"/>
        <w:outlineLvl w:val="0"/>
        <w:rPr>
          <w:rFonts w:ascii="Times New Roman" w:hAnsi="Times New Roman" w:eastAsia="黑体"/>
          <w:b/>
          <w:bCs/>
          <w:snapToGrid w:val="0"/>
          <w:color w:val="auto"/>
          <w:sz w:val="30"/>
          <w:szCs w:val="30"/>
          <w:highlight w:val="none"/>
        </w:rPr>
      </w:pPr>
      <w:bookmarkStart w:id="18" w:name="_Toc137737904"/>
      <w:r>
        <w:rPr>
          <w:rFonts w:hint="eastAsia" w:ascii="Times New Roman" w:hAnsi="Times New Roman" w:eastAsia="黑体"/>
          <w:b/>
          <w:bCs/>
          <w:snapToGrid w:val="0"/>
          <w:color w:val="auto"/>
          <w:sz w:val="30"/>
          <w:szCs w:val="30"/>
          <w:highlight w:val="none"/>
        </w:rPr>
        <w:t>三、区域环境质量现状、环境保护目标及评价标准</w:t>
      </w:r>
      <w:bookmarkEnd w:id="18"/>
    </w:p>
    <w:tbl>
      <w:tblPr>
        <w:tblStyle w:val="35"/>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7"/>
        <w:gridCol w:w="8500"/>
      </w:tblGrid>
      <w:tr w14:paraId="62E43A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87" w:type="dxa"/>
            <w:noWrap w:val="0"/>
            <w:vAlign w:val="center"/>
          </w:tcPr>
          <w:p w14:paraId="3CADA7C8">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区域</w:t>
            </w:r>
          </w:p>
          <w:p w14:paraId="1769E3B7">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环境</w:t>
            </w:r>
          </w:p>
          <w:p w14:paraId="51D82102">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质量</w:t>
            </w:r>
          </w:p>
          <w:p w14:paraId="2417CB23">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现状</w:t>
            </w:r>
          </w:p>
        </w:tc>
        <w:tc>
          <w:tcPr>
            <w:tcW w:w="8500" w:type="dxa"/>
            <w:noWrap w:val="0"/>
            <w:vAlign w:val="center"/>
          </w:tcPr>
          <w:p w14:paraId="3588E0F9">
            <w:pPr>
              <w:spacing w:line="360" w:lineRule="auto"/>
              <w:rPr>
                <w:rFonts w:hint="eastAsia"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一、环境空气质量现状</w:t>
            </w:r>
          </w:p>
          <w:p w14:paraId="47BB6A8A">
            <w:pPr>
              <w:pStyle w:val="107"/>
              <w:bidi w:val="0"/>
              <w:rPr>
                <w:rFonts w:ascii="Times New Roman" w:hAnsi="Times New Roman"/>
                <w:b/>
                <w:bCs/>
                <w:color w:val="auto"/>
                <w:highlight w:val="none"/>
              </w:rPr>
            </w:pPr>
            <w:r>
              <w:rPr>
                <w:rFonts w:hint="eastAsia" w:ascii="Times New Roman" w:hAnsi="Times New Roman"/>
                <w:b/>
                <w:bCs/>
                <w:color w:val="auto"/>
                <w:highlight w:val="none"/>
                <w:lang w:val="en-US" w:eastAsia="zh-CN"/>
              </w:rPr>
              <w:t>1、</w:t>
            </w:r>
            <w:r>
              <w:rPr>
                <w:rFonts w:ascii="Times New Roman" w:hAnsi="Times New Roman"/>
                <w:b/>
                <w:bCs/>
                <w:color w:val="auto"/>
                <w:highlight w:val="none"/>
              </w:rPr>
              <w:t>环境空气质量标准</w:t>
            </w:r>
          </w:p>
          <w:p w14:paraId="1104B6EE">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w:t>
            </w:r>
            <w:r>
              <w:rPr>
                <w:rFonts w:hint="eastAsia" w:ascii="Times New Roman" w:hAnsi="Times New Roman" w:eastAsia="宋体" w:cs="Times New Roman"/>
                <w:color w:val="auto"/>
                <w:sz w:val="24"/>
                <w:szCs w:val="24"/>
                <w:highlight w:val="none"/>
                <w:lang w:val="en-US" w:eastAsia="zh-CN"/>
              </w:rPr>
              <w:t>云南红塔产业园区研和片区大坡头原武警教导队地块，属于红塔工业园区研和片区地块二</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根据《云南红塔产业园区总体规划修编（</w:t>
            </w:r>
            <w:r>
              <w:rPr>
                <w:rFonts w:hint="default" w:ascii="Times New Roman" w:hAnsi="Times New Roman" w:eastAsia="宋体" w:cs="Times New Roman"/>
                <w:color w:val="auto"/>
                <w:sz w:val="24"/>
                <w:szCs w:val="24"/>
                <w:highlight w:val="none"/>
                <w:lang w:val="en-US" w:eastAsia="zh-CN"/>
              </w:rPr>
              <w:t>2021</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2035</w:t>
            </w:r>
            <w:r>
              <w:rPr>
                <w:rFonts w:hint="eastAsia" w:ascii="Times New Roman" w:hAnsi="Times New Roman" w:eastAsia="宋体" w:cs="Times New Roman"/>
                <w:color w:val="auto"/>
                <w:sz w:val="24"/>
                <w:szCs w:val="24"/>
                <w:highlight w:val="none"/>
                <w:lang w:val="en-US" w:eastAsia="zh-CN"/>
              </w:rPr>
              <w:t>年）环境影响报告书》，该区域</w:t>
            </w:r>
            <w:r>
              <w:rPr>
                <w:rFonts w:hint="eastAsia" w:ascii="Times New Roman" w:hAnsi="Times New Roman" w:cs="Times New Roman"/>
                <w:color w:val="auto"/>
                <w:sz w:val="24"/>
                <w:szCs w:val="24"/>
                <w:highlight w:val="none"/>
                <w:lang w:val="en-US" w:eastAsia="zh-CN"/>
              </w:rPr>
              <w:t>属于</w:t>
            </w:r>
            <w:r>
              <w:rPr>
                <w:rFonts w:hint="eastAsia" w:ascii="Times New Roman" w:hAnsi="Times New Roman" w:eastAsia="宋体" w:cs="Times New Roman"/>
                <w:color w:val="auto"/>
                <w:sz w:val="24"/>
                <w:szCs w:val="24"/>
                <w:highlight w:val="none"/>
                <w:lang w:val="en-US" w:eastAsia="zh-CN"/>
              </w:rPr>
              <w:t>环境空气质量二类区，2030年12月31日止</w:t>
            </w:r>
            <w:r>
              <w:rPr>
                <w:rFonts w:hint="default" w:ascii="Times New Roman" w:hAnsi="Times New Roman" w:eastAsia="宋体" w:cs="Times New Roman"/>
                <w:color w:val="auto"/>
                <w:sz w:val="24"/>
                <w:szCs w:val="24"/>
                <w:highlight w:val="none"/>
              </w:rPr>
              <w:t>环境空气执行</w:t>
            </w:r>
            <w:r>
              <w:rPr>
                <w:rFonts w:ascii="Times New Roman" w:hAnsi="Times New Roman" w:eastAsia="宋体"/>
                <w:color w:val="auto"/>
                <w:sz w:val="24"/>
              </w:rPr>
              <w:t>《环境空气质量标准》（GB3095-20</w:t>
            </w:r>
            <w:r>
              <w:rPr>
                <w:rFonts w:hint="eastAsia"/>
                <w:color w:val="auto"/>
                <w:sz w:val="24"/>
                <w:lang w:val="en-US" w:eastAsia="zh-CN"/>
              </w:rPr>
              <w:t>26</w:t>
            </w:r>
            <w:r>
              <w:rPr>
                <w:rFonts w:ascii="Times New Roman" w:hAnsi="Times New Roman" w:eastAsia="宋体"/>
                <w:color w:val="auto"/>
                <w:sz w:val="24"/>
              </w:rPr>
              <w:t>）</w:t>
            </w:r>
            <w:r>
              <w:rPr>
                <w:rFonts w:hint="eastAsia"/>
                <w:color w:val="auto"/>
                <w:sz w:val="24"/>
                <w:lang w:val="en-US" w:eastAsia="zh-CN"/>
              </w:rPr>
              <w:t>表1过渡阶段浓度限值</w:t>
            </w:r>
            <w:r>
              <w:rPr>
                <w:rFonts w:ascii="Times New Roman" w:hAnsi="Times New Roman" w:eastAsia="宋体"/>
                <w:color w:val="auto"/>
                <w:sz w:val="24"/>
              </w:rPr>
              <w:t>二级标准</w:t>
            </w:r>
            <w:r>
              <w:rPr>
                <w:rFonts w:hint="eastAsia"/>
                <w:color w:val="auto"/>
                <w:sz w:val="24"/>
                <w:lang w:eastAsia="zh-CN"/>
              </w:rPr>
              <w:t>，自2031年1月1日起</w:t>
            </w:r>
            <w:r>
              <w:rPr>
                <w:rFonts w:hint="default" w:ascii="Times New Roman" w:hAnsi="Times New Roman" w:eastAsia="宋体" w:cs="Times New Roman"/>
                <w:color w:val="auto"/>
                <w:sz w:val="24"/>
                <w:szCs w:val="24"/>
                <w:highlight w:val="none"/>
              </w:rPr>
              <w:t>执行</w:t>
            </w:r>
            <w:r>
              <w:rPr>
                <w:rFonts w:ascii="Times New Roman" w:hAnsi="Times New Roman" w:eastAsia="宋体"/>
                <w:color w:val="auto"/>
                <w:sz w:val="24"/>
              </w:rPr>
              <w:t>《环境空气质量标准》（GB3095-20</w:t>
            </w:r>
            <w:r>
              <w:rPr>
                <w:rFonts w:hint="eastAsia"/>
                <w:color w:val="auto"/>
                <w:sz w:val="24"/>
                <w:lang w:val="en-US" w:eastAsia="zh-CN"/>
              </w:rPr>
              <w:t>26</w:t>
            </w:r>
            <w:r>
              <w:rPr>
                <w:rFonts w:ascii="Times New Roman" w:hAnsi="Times New Roman" w:eastAsia="宋体"/>
                <w:color w:val="auto"/>
                <w:sz w:val="24"/>
              </w:rPr>
              <w:t>）</w:t>
            </w:r>
            <w:r>
              <w:rPr>
                <w:rFonts w:hint="eastAsia"/>
                <w:color w:val="auto"/>
                <w:sz w:val="24"/>
                <w:lang w:val="en-US" w:eastAsia="zh-CN"/>
              </w:rPr>
              <w:t>表1二级标准限值</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具体</w:t>
            </w:r>
            <w:r>
              <w:rPr>
                <w:rFonts w:hint="eastAsia" w:ascii="Times New Roman" w:hAnsi="Times New Roman" w:eastAsia="宋体" w:cs="Times New Roman"/>
                <w:color w:val="auto"/>
                <w:sz w:val="24"/>
                <w:szCs w:val="24"/>
                <w:highlight w:val="none"/>
              </w:rPr>
              <w:t>标准限值如下表所示。</w:t>
            </w:r>
          </w:p>
          <w:p w14:paraId="1E8B2715">
            <w:pPr>
              <w:jc w:val="center"/>
              <w:rPr>
                <w:rFonts w:hint="eastAsia" w:ascii="Times New Roman" w:hAnsi="Times New Roman" w:eastAsia="宋体" w:cs="宋体"/>
                <w:b/>
                <w:color w:val="auto"/>
                <w:kern w:val="0"/>
                <w:sz w:val="24"/>
                <w:highlight w:val="none"/>
              </w:rPr>
            </w:pPr>
            <w:r>
              <w:rPr>
                <w:rFonts w:hint="eastAsia" w:ascii="Times New Roman" w:hAnsi="Times New Roman" w:eastAsia="宋体" w:cs="宋体"/>
                <w:b/>
                <w:color w:val="auto"/>
                <w:kern w:val="0"/>
                <w:sz w:val="24"/>
                <w:highlight w:val="none"/>
              </w:rPr>
              <w:t>表3</w:t>
            </w:r>
            <w:r>
              <w:rPr>
                <w:rFonts w:hint="eastAsia" w:ascii="Times New Roman" w:hAnsi="Times New Roman" w:eastAsia="宋体" w:cs="宋体"/>
                <w:b/>
                <w:color w:val="auto"/>
                <w:kern w:val="0"/>
                <w:sz w:val="24"/>
                <w:highlight w:val="none"/>
                <w:lang w:val="en-US" w:eastAsia="zh-CN"/>
              </w:rPr>
              <w:t>.1</w:t>
            </w:r>
            <w:r>
              <w:rPr>
                <w:rFonts w:hint="eastAsia" w:ascii="Times New Roman" w:hAnsi="Times New Roman" w:eastAsia="宋体" w:cs="宋体"/>
                <w:b/>
                <w:color w:val="auto"/>
                <w:kern w:val="0"/>
                <w:sz w:val="24"/>
                <w:highlight w:val="none"/>
              </w:rPr>
              <w:t>-1</w:t>
            </w:r>
            <w:r>
              <w:rPr>
                <w:rFonts w:hint="eastAsia" w:ascii="Times New Roman" w:hAnsi="Times New Roman" w:eastAsia="宋体" w:cs="宋体"/>
                <w:b/>
                <w:color w:val="auto"/>
                <w:kern w:val="0"/>
                <w:sz w:val="24"/>
                <w:highlight w:val="none"/>
                <w:lang w:val="en-US" w:eastAsia="zh-CN"/>
              </w:rPr>
              <w:t xml:space="preserve">   </w:t>
            </w:r>
            <w:r>
              <w:rPr>
                <w:rFonts w:hint="eastAsia" w:ascii="Times New Roman" w:hAnsi="Times New Roman" w:eastAsia="宋体" w:cs="宋体"/>
                <w:b/>
                <w:color w:val="auto"/>
                <w:kern w:val="0"/>
                <w:sz w:val="24"/>
                <w:highlight w:val="none"/>
              </w:rPr>
              <w:t>环境空气污染物浓度限值</w:t>
            </w:r>
          </w:p>
          <w:tbl>
            <w:tblPr>
              <w:tblStyle w:val="35"/>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4"/>
              <w:gridCol w:w="2228"/>
              <w:gridCol w:w="2008"/>
              <w:gridCol w:w="1419"/>
              <w:gridCol w:w="1330"/>
            </w:tblGrid>
            <w:tr w14:paraId="047F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restart"/>
                  <w:shd w:val="clear" w:color="auto" w:fill="D7D7D7" w:themeFill="background1" w:themeFillShade="D8"/>
                  <w:noWrap w:val="0"/>
                  <w:vAlign w:val="center"/>
                </w:tcPr>
                <w:p w14:paraId="48B5FCB3">
                  <w:pPr>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污染物</w:t>
                  </w:r>
                </w:p>
              </w:tc>
              <w:tc>
                <w:tcPr>
                  <w:tcW w:w="3402" w:type="pct"/>
                  <w:gridSpan w:val="3"/>
                  <w:shd w:val="clear" w:color="auto" w:fill="D7D7D7" w:themeFill="background1" w:themeFillShade="D8"/>
                  <w:noWrap w:val="0"/>
                  <w:vAlign w:val="center"/>
                </w:tcPr>
                <w:p w14:paraId="284E7F9E">
                  <w:pPr>
                    <w:jc w:val="center"/>
                    <w:rPr>
                      <w:rFonts w:ascii="Times New Roman" w:hAnsi="Times New Roman"/>
                      <w:b w:val="0"/>
                      <w:bCs/>
                      <w:color w:val="auto"/>
                      <w:szCs w:val="21"/>
                      <w:highlight w:val="none"/>
                    </w:rPr>
                  </w:pPr>
                  <w:r>
                    <w:rPr>
                      <w:rFonts w:ascii="Times New Roman" w:hAnsi="Times New Roman"/>
                      <w:b w:val="0"/>
                      <w:bCs/>
                      <w:color w:val="auto"/>
                      <w:szCs w:val="21"/>
                      <w:highlight w:val="none"/>
                    </w:rPr>
                    <w:t>浓度限值（μg/</w:t>
                  </w:r>
                  <w:r>
                    <w:rPr>
                      <w:rFonts w:ascii="Times New Roman" w:hAnsi="Times New Roman"/>
                      <w:b w:val="0"/>
                      <w:bCs/>
                      <w:color w:val="auto"/>
                      <w:highlight w:val="none"/>
                    </w:rPr>
                    <w:t>m</w:t>
                  </w:r>
                  <w:r>
                    <w:rPr>
                      <w:rFonts w:ascii="Times New Roman" w:hAnsi="Times New Roman"/>
                      <w:b w:val="0"/>
                      <w:bCs/>
                      <w:color w:val="auto"/>
                      <w:highlight w:val="none"/>
                      <w:vertAlign w:val="superscript"/>
                    </w:rPr>
                    <w:t>3</w:t>
                  </w:r>
                  <w:r>
                    <w:rPr>
                      <w:rFonts w:ascii="Times New Roman" w:hAnsi="Times New Roman"/>
                      <w:b w:val="0"/>
                      <w:bCs/>
                      <w:color w:val="auto"/>
                      <w:szCs w:val="21"/>
                      <w:highlight w:val="none"/>
                    </w:rPr>
                    <w:t>）</w:t>
                  </w:r>
                </w:p>
              </w:tc>
              <w:tc>
                <w:tcPr>
                  <w:tcW w:w="800" w:type="pct"/>
                  <w:vMerge w:val="restart"/>
                  <w:shd w:val="clear" w:color="auto" w:fill="D7D7D7" w:themeFill="background1" w:themeFillShade="D8"/>
                  <w:noWrap w:val="0"/>
                  <w:vAlign w:val="center"/>
                </w:tcPr>
                <w:p w14:paraId="6B68BFCF">
                  <w:pPr>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单位</w:t>
                  </w:r>
                </w:p>
              </w:tc>
            </w:tr>
            <w:tr w14:paraId="341C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shd w:val="clear" w:color="auto" w:fill="D7D7D7" w:themeFill="background1" w:themeFillShade="D8"/>
                  <w:noWrap w:val="0"/>
                  <w:vAlign w:val="center"/>
                </w:tcPr>
                <w:p w14:paraId="0008278D">
                  <w:pPr>
                    <w:jc w:val="center"/>
                    <w:rPr>
                      <w:rFonts w:ascii="Times New Roman" w:hAnsi="Times New Roman"/>
                      <w:b w:val="0"/>
                      <w:bCs/>
                      <w:color w:val="auto"/>
                      <w:szCs w:val="21"/>
                      <w:highlight w:val="none"/>
                    </w:rPr>
                  </w:pPr>
                </w:p>
              </w:tc>
              <w:tc>
                <w:tcPr>
                  <w:tcW w:w="1340" w:type="pct"/>
                  <w:shd w:val="clear" w:color="auto" w:fill="D7D7D7" w:themeFill="background1" w:themeFillShade="D8"/>
                  <w:noWrap w:val="0"/>
                  <w:vAlign w:val="center"/>
                </w:tcPr>
                <w:p w14:paraId="5240BF73">
                  <w:pPr>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取值时间</w:t>
                  </w:r>
                </w:p>
              </w:tc>
              <w:tc>
                <w:tcPr>
                  <w:tcW w:w="1208" w:type="pct"/>
                  <w:shd w:val="clear" w:color="auto" w:fill="D7D7D7" w:themeFill="background1" w:themeFillShade="D8"/>
                  <w:noWrap w:val="0"/>
                  <w:vAlign w:val="center"/>
                </w:tcPr>
                <w:p w14:paraId="5AD72479">
                  <w:pPr>
                    <w:jc w:val="center"/>
                    <w:rPr>
                      <w:rFonts w:ascii="Times New Roman" w:hAnsi="Times New Roman"/>
                      <w:b w:val="0"/>
                      <w:bCs/>
                      <w:color w:val="auto"/>
                      <w:sz w:val="21"/>
                      <w:szCs w:val="21"/>
                      <w:highlight w:val="none"/>
                    </w:rPr>
                  </w:pPr>
                  <w:r>
                    <w:rPr>
                      <w:rFonts w:hint="eastAsia"/>
                      <w:b w:val="0"/>
                      <w:bCs/>
                      <w:color w:val="auto"/>
                      <w:sz w:val="21"/>
                      <w:szCs w:val="21"/>
                      <w:highlight w:val="none"/>
                      <w:lang w:val="en-US" w:eastAsia="zh-CN"/>
                    </w:rPr>
                    <w:t>过渡阶段</w:t>
                  </w:r>
                  <w:r>
                    <w:rPr>
                      <w:rFonts w:ascii="Times New Roman" w:hAnsi="Times New Roman"/>
                      <w:b w:val="0"/>
                      <w:bCs/>
                      <w:color w:val="auto"/>
                      <w:sz w:val="21"/>
                      <w:szCs w:val="21"/>
                      <w:highlight w:val="none"/>
                    </w:rPr>
                    <w:t>二级标准</w:t>
                  </w:r>
                </w:p>
              </w:tc>
              <w:tc>
                <w:tcPr>
                  <w:tcW w:w="853" w:type="pct"/>
                  <w:shd w:val="clear" w:color="auto" w:fill="D7D7D7" w:themeFill="background1" w:themeFillShade="D8"/>
                  <w:noWrap w:val="0"/>
                  <w:vAlign w:val="center"/>
                </w:tcPr>
                <w:p w14:paraId="36E10D35">
                  <w:pPr>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二级标准</w:t>
                  </w:r>
                </w:p>
              </w:tc>
              <w:tc>
                <w:tcPr>
                  <w:tcW w:w="800" w:type="pct"/>
                  <w:vMerge w:val="continue"/>
                  <w:shd w:val="clear" w:color="auto" w:fill="D7D7D7" w:themeFill="background1" w:themeFillShade="D8"/>
                  <w:noWrap w:val="0"/>
                  <w:vAlign w:val="center"/>
                </w:tcPr>
                <w:p w14:paraId="5B94C3BA">
                  <w:pPr>
                    <w:jc w:val="center"/>
                    <w:rPr>
                      <w:rFonts w:ascii="Times New Roman" w:hAnsi="Times New Roman"/>
                      <w:b w:val="0"/>
                      <w:bCs/>
                      <w:color w:val="auto"/>
                      <w:szCs w:val="21"/>
                      <w:highlight w:val="none"/>
                    </w:rPr>
                  </w:pPr>
                </w:p>
              </w:tc>
            </w:tr>
            <w:tr w14:paraId="6099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restart"/>
                  <w:noWrap w:val="0"/>
                  <w:vAlign w:val="center"/>
                </w:tcPr>
                <w:p w14:paraId="6E5E001F">
                  <w:pPr>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SO</w:t>
                  </w:r>
                  <w:r>
                    <w:rPr>
                      <w:rFonts w:ascii="Times New Roman" w:hAnsi="Times New Roman"/>
                      <w:b w:val="0"/>
                      <w:bCs/>
                      <w:color w:val="auto"/>
                      <w:sz w:val="21"/>
                      <w:szCs w:val="21"/>
                      <w:highlight w:val="none"/>
                      <w:vertAlign w:val="subscript"/>
                    </w:rPr>
                    <w:t>2</w:t>
                  </w:r>
                </w:p>
              </w:tc>
              <w:tc>
                <w:tcPr>
                  <w:tcW w:w="1340" w:type="pct"/>
                  <w:noWrap w:val="0"/>
                  <w:vAlign w:val="center"/>
                </w:tcPr>
                <w:p w14:paraId="2100E1DE">
                  <w:pPr>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年平均</w:t>
                  </w:r>
                </w:p>
              </w:tc>
              <w:tc>
                <w:tcPr>
                  <w:tcW w:w="1208" w:type="pct"/>
                  <w:noWrap w:val="0"/>
                  <w:vAlign w:val="center"/>
                </w:tcPr>
                <w:p w14:paraId="283BE9FE">
                  <w:pPr>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60</w:t>
                  </w:r>
                </w:p>
              </w:tc>
              <w:tc>
                <w:tcPr>
                  <w:tcW w:w="853" w:type="pct"/>
                  <w:noWrap w:val="0"/>
                  <w:vAlign w:val="center"/>
                </w:tcPr>
                <w:p w14:paraId="2AB75743">
                  <w:pPr>
                    <w:jc w:val="center"/>
                    <w:rPr>
                      <w:rFonts w:hint="default" w:ascii="Times New Roman" w:hAnsi="Times New Roman" w:eastAsia="宋体"/>
                      <w:b w:val="0"/>
                      <w:bCs/>
                      <w:color w:val="auto"/>
                      <w:sz w:val="21"/>
                      <w:szCs w:val="21"/>
                      <w:highlight w:val="none"/>
                      <w:lang w:val="en-US" w:eastAsia="zh-CN"/>
                    </w:rPr>
                  </w:pPr>
                  <w:r>
                    <w:rPr>
                      <w:rFonts w:hint="eastAsia"/>
                      <w:b w:val="0"/>
                      <w:bCs/>
                      <w:color w:val="auto"/>
                      <w:sz w:val="21"/>
                      <w:szCs w:val="21"/>
                      <w:highlight w:val="none"/>
                      <w:lang w:val="en-US" w:eastAsia="zh-CN"/>
                    </w:rPr>
                    <w:t>20</w:t>
                  </w:r>
                </w:p>
              </w:tc>
              <w:tc>
                <w:tcPr>
                  <w:tcW w:w="800" w:type="pct"/>
                  <w:vMerge w:val="restart"/>
                  <w:noWrap w:val="0"/>
                  <w:vAlign w:val="center"/>
                </w:tcPr>
                <w:p w14:paraId="1D42F25C">
                  <w:pPr>
                    <w:jc w:val="center"/>
                    <w:rPr>
                      <w:rFonts w:ascii="Times New Roman" w:hAnsi="Times New Roman"/>
                      <w:b w:val="0"/>
                      <w:bCs/>
                      <w:color w:val="auto"/>
                      <w:szCs w:val="21"/>
                      <w:highlight w:val="none"/>
                    </w:rPr>
                  </w:pPr>
                  <w:r>
                    <w:rPr>
                      <w:rFonts w:ascii="Times New Roman" w:hAnsi="Times New Roman"/>
                      <w:b w:val="0"/>
                      <w:bCs/>
                      <w:color w:val="auto"/>
                      <w:highlight w:val="none"/>
                    </w:rPr>
                    <w:t>μg/m</w:t>
                  </w:r>
                  <w:r>
                    <w:rPr>
                      <w:rFonts w:ascii="Times New Roman" w:hAnsi="Times New Roman"/>
                      <w:b w:val="0"/>
                      <w:bCs/>
                      <w:color w:val="auto"/>
                      <w:highlight w:val="none"/>
                      <w:vertAlign w:val="superscript"/>
                    </w:rPr>
                    <w:t>3</w:t>
                  </w:r>
                </w:p>
              </w:tc>
            </w:tr>
            <w:tr w14:paraId="4136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526141F3">
                  <w:pPr>
                    <w:jc w:val="center"/>
                    <w:rPr>
                      <w:rFonts w:ascii="Times New Roman" w:hAnsi="Times New Roman"/>
                      <w:b w:val="0"/>
                      <w:bCs/>
                      <w:color w:val="auto"/>
                      <w:szCs w:val="21"/>
                      <w:highlight w:val="none"/>
                    </w:rPr>
                  </w:pPr>
                </w:p>
              </w:tc>
              <w:tc>
                <w:tcPr>
                  <w:tcW w:w="1340" w:type="pct"/>
                  <w:noWrap w:val="0"/>
                  <w:vAlign w:val="center"/>
                </w:tcPr>
                <w:p w14:paraId="3F407EA8">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24小时平均</w:t>
                  </w:r>
                </w:p>
              </w:tc>
              <w:tc>
                <w:tcPr>
                  <w:tcW w:w="1208" w:type="pct"/>
                  <w:noWrap w:val="0"/>
                  <w:vAlign w:val="center"/>
                </w:tcPr>
                <w:p w14:paraId="75D617BD">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150</w:t>
                  </w:r>
                </w:p>
              </w:tc>
              <w:tc>
                <w:tcPr>
                  <w:tcW w:w="853" w:type="pct"/>
                  <w:noWrap w:val="0"/>
                  <w:vAlign w:val="center"/>
                </w:tcPr>
                <w:p w14:paraId="3C69FB03">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50</w:t>
                  </w:r>
                </w:p>
              </w:tc>
              <w:tc>
                <w:tcPr>
                  <w:tcW w:w="800" w:type="pct"/>
                  <w:vMerge w:val="continue"/>
                  <w:noWrap w:val="0"/>
                  <w:vAlign w:val="center"/>
                </w:tcPr>
                <w:p w14:paraId="6F4AAA01">
                  <w:pPr>
                    <w:jc w:val="center"/>
                    <w:rPr>
                      <w:rFonts w:ascii="Times New Roman" w:hAnsi="Times New Roman"/>
                      <w:b w:val="0"/>
                      <w:bCs/>
                      <w:color w:val="auto"/>
                      <w:szCs w:val="21"/>
                      <w:highlight w:val="none"/>
                    </w:rPr>
                  </w:pPr>
                </w:p>
              </w:tc>
            </w:tr>
            <w:tr w14:paraId="3F59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5F00CA73">
                  <w:pPr>
                    <w:jc w:val="center"/>
                    <w:rPr>
                      <w:rFonts w:ascii="Times New Roman" w:hAnsi="Times New Roman"/>
                      <w:b w:val="0"/>
                      <w:bCs/>
                      <w:color w:val="auto"/>
                      <w:szCs w:val="21"/>
                      <w:highlight w:val="none"/>
                    </w:rPr>
                  </w:pPr>
                </w:p>
              </w:tc>
              <w:tc>
                <w:tcPr>
                  <w:tcW w:w="1340" w:type="pct"/>
                  <w:noWrap w:val="0"/>
                  <w:vAlign w:val="center"/>
                </w:tcPr>
                <w:p w14:paraId="5DAC1AC5">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1小时平均</w:t>
                  </w:r>
                </w:p>
              </w:tc>
              <w:tc>
                <w:tcPr>
                  <w:tcW w:w="1208" w:type="pct"/>
                  <w:noWrap w:val="0"/>
                  <w:vAlign w:val="center"/>
                </w:tcPr>
                <w:p w14:paraId="3956AF6D">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500</w:t>
                  </w:r>
                </w:p>
              </w:tc>
              <w:tc>
                <w:tcPr>
                  <w:tcW w:w="853" w:type="pct"/>
                  <w:noWrap w:val="0"/>
                  <w:vAlign w:val="center"/>
                </w:tcPr>
                <w:p w14:paraId="1A05516B">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150</w:t>
                  </w:r>
                </w:p>
              </w:tc>
              <w:tc>
                <w:tcPr>
                  <w:tcW w:w="800" w:type="pct"/>
                  <w:vMerge w:val="continue"/>
                  <w:noWrap w:val="0"/>
                  <w:vAlign w:val="center"/>
                </w:tcPr>
                <w:p w14:paraId="55A6B9DD">
                  <w:pPr>
                    <w:jc w:val="center"/>
                    <w:rPr>
                      <w:rFonts w:ascii="Times New Roman" w:hAnsi="Times New Roman"/>
                      <w:b w:val="0"/>
                      <w:bCs/>
                      <w:color w:val="auto"/>
                      <w:szCs w:val="21"/>
                      <w:highlight w:val="none"/>
                    </w:rPr>
                  </w:pPr>
                </w:p>
              </w:tc>
            </w:tr>
            <w:tr w14:paraId="4460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restart"/>
                  <w:noWrap w:val="0"/>
                  <w:vAlign w:val="center"/>
                </w:tcPr>
                <w:p w14:paraId="483405B8">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NO</w:t>
                  </w:r>
                  <w:r>
                    <w:rPr>
                      <w:rFonts w:ascii="Times New Roman" w:hAnsi="Times New Roman"/>
                      <w:b w:val="0"/>
                      <w:bCs/>
                      <w:color w:val="auto"/>
                      <w:sz w:val="21"/>
                      <w:szCs w:val="21"/>
                      <w:highlight w:val="none"/>
                      <w:vertAlign w:val="subscript"/>
                      <w:lang w:eastAsia="zh-CN"/>
                    </w:rPr>
                    <w:t>2</w:t>
                  </w:r>
                </w:p>
              </w:tc>
              <w:tc>
                <w:tcPr>
                  <w:tcW w:w="1340" w:type="pct"/>
                  <w:noWrap w:val="0"/>
                  <w:vAlign w:val="center"/>
                </w:tcPr>
                <w:p w14:paraId="16BB1954">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年平均</w:t>
                  </w:r>
                </w:p>
              </w:tc>
              <w:tc>
                <w:tcPr>
                  <w:tcW w:w="1208" w:type="pct"/>
                  <w:noWrap w:val="0"/>
                  <w:vAlign w:val="center"/>
                </w:tcPr>
                <w:p w14:paraId="444362BC">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40</w:t>
                  </w:r>
                </w:p>
              </w:tc>
              <w:tc>
                <w:tcPr>
                  <w:tcW w:w="853" w:type="pct"/>
                  <w:noWrap w:val="0"/>
                  <w:vAlign w:val="center"/>
                </w:tcPr>
                <w:p w14:paraId="51AB77F3">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30</w:t>
                  </w:r>
                </w:p>
              </w:tc>
              <w:tc>
                <w:tcPr>
                  <w:tcW w:w="800" w:type="pct"/>
                  <w:vMerge w:val="continue"/>
                  <w:noWrap w:val="0"/>
                  <w:vAlign w:val="center"/>
                </w:tcPr>
                <w:p w14:paraId="3D0AEBCD">
                  <w:pPr>
                    <w:jc w:val="center"/>
                    <w:rPr>
                      <w:rFonts w:ascii="Times New Roman" w:hAnsi="Times New Roman"/>
                      <w:b w:val="0"/>
                      <w:bCs/>
                      <w:color w:val="auto"/>
                      <w:szCs w:val="21"/>
                      <w:highlight w:val="none"/>
                    </w:rPr>
                  </w:pPr>
                </w:p>
              </w:tc>
            </w:tr>
            <w:tr w14:paraId="5528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57A7BEE1">
                  <w:pPr>
                    <w:jc w:val="center"/>
                    <w:rPr>
                      <w:rFonts w:ascii="Times New Roman" w:hAnsi="Times New Roman"/>
                      <w:b w:val="0"/>
                      <w:bCs/>
                      <w:color w:val="auto"/>
                      <w:szCs w:val="21"/>
                      <w:highlight w:val="none"/>
                    </w:rPr>
                  </w:pPr>
                </w:p>
              </w:tc>
              <w:tc>
                <w:tcPr>
                  <w:tcW w:w="1340" w:type="pct"/>
                  <w:noWrap w:val="0"/>
                  <w:vAlign w:val="center"/>
                </w:tcPr>
                <w:p w14:paraId="35397C66">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24小时平均</w:t>
                  </w:r>
                </w:p>
              </w:tc>
              <w:tc>
                <w:tcPr>
                  <w:tcW w:w="1208" w:type="pct"/>
                  <w:noWrap w:val="0"/>
                  <w:vAlign w:val="center"/>
                </w:tcPr>
                <w:p w14:paraId="3C904006">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80</w:t>
                  </w:r>
                </w:p>
              </w:tc>
              <w:tc>
                <w:tcPr>
                  <w:tcW w:w="853" w:type="pct"/>
                  <w:noWrap w:val="0"/>
                  <w:vAlign w:val="center"/>
                </w:tcPr>
                <w:p w14:paraId="2756E65A">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50</w:t>
                  </w:r>
                </w:p>
              </w:tc>
              <w:tc>
                <w:tcPr>
                  <w:tcW w:w="800" w:type="pct"/>
                  <w:vMerge w:val="continue"/>
                  <w:noWrap w:val="0"/>
                  <w:vAlign w:val="center"/>
                </w:tcPr>
                <w:p w14:paraId="656B4D45">
                  <w:pPr>
                    <w:jc w:val="center"/>
                    <w:rPr>
                      <w:rFonts w:ascii="Times New Roman" w:hAnsi="Times New Roman"/>
                      <w:b w:val="0"/>
                      <w:bCs/>
                      <w:color w:val="auto"/>
                      <w:szCs w:val="21"/>
                      <w:highlight w:val="none"/>
                    </w:rPr>
                  </w:pPr>
                </w:p>
              </w:tc>
            </w:tr>
            <w:tr w14:paraId="19D4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0CB9995D">
                  <w:pPr>
                    <w:jc w:val="center"/>
                    <w:rPr>
                      <w:rFonts w:ascii="Times New Roman" w:hAnsi="Times New Roman"/>
                      <w:b w:val="0"/>
                      <w:bCs/>
                      <w:color w:val="auto"/>
                      <w:szCs w:val="21"/>
                      <w:highlight w:val="none"/>
                    </w:rPr>
                  </w:pPr>
                </w:p>
              </w:tc>
              <w:tc>
                <w:tcPr>
                  <w:tcW w:w="1340" w:type="pct"/>
                  <w:noWrap w:val="0"/>
                  <w:vAlign w:val="center"/>
                </w:tcPr>
                <w:p w14:paraId="597D3D67">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1小时平均</w:t>
                  </w:r>
                </w:p>
              </w:tc>
              <w:tc>
                <w:tcPr>
                  <w:tcW w:w="1208" w:type="pct"/>
                  <w:noWrap w:val="0"/>
                  <w:vAlign w:val="center"/>
                </w:tcPr>
                <w:p w14:paraId="2198E083">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200</w:t>
                  </w:r>
                </w:p>
              </w:tc>
              <w:tc>
                <w:tcPr>
                  <w:tcW w:w="853" w:type="pct"/>
                  <w:noWrap w:val="0"/>
                  <w:vAlign w:val="center"/>
                </w:tcPr>
                <w:p w14:paraId="18FFD16B">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200</w:t>
                  </w:r>
                </w:p>
              </w:tc>
              <w:tc>
                <w:tcPr>
                  <w:tcW w:w="800" w:type="pct"/>
                  <w:vMerge w:val="continue"/>
                  <w:noWrap w:val="0"/>
                  <w:vAlign w:val="center"/>
                </w:tcPr>
                <w:p w14:paraId="6EA6411D">
                  <w:pPr>
                    <w:jc w:val="center"/>
                    <w:rPr>
                      <w:rFonts w:ascii="Times New Roman" w:hAnsi="Times New Roman"/>
                      <w:b w:val="0"/>
                      <w:bCs/>
                      <w:color w:val="auto"/>
                      <w:szCs w:val="21"/>
                      <w:highlight w:val="none"/>
                    </w:rPr>
                  </w:pPr>
                </w:p>
              </w:tc>
            </w:tr>
            <w:tr w14:paraId="6FED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restart"/>
                  <w:noWrap w:val="0"/>
                  <w:vAlign w:val="center"/>
                </w:tcPr>
                <w:p w14:paraId="19E0B9D3">
                  <w:pPr>
                    <w:jc w:val="center"/>
                    <w:rPr>
                      <w:rFonts w:ascii="Times New Roman" w:hAnsi="Times New Roman"/>
                      <w:b w:val="0"/>
                      <w:bCs/>
                      <w:color w:val="auto"/>
                      <w:szCs w:val="21"/>
                      <w:highlight w:val="none"/>
                    </w:rPr>
                  </w:pPr>
                  <w:r>
                    <w:rPr>
                      <w:rFonts w:ascii="Times New Roman" w:hAnsi="Times New Roman"/>
                      <w:b w:val="0"/>
                      <w:bCs/>
                      <w:color w:val="auto"/>
                      <w:szCs w:val="21"/>
                      <w:highlight w:val="none"/>
                    </w:rPr>
                    <w:t>NO</w:t>
                  </w:r>
                  <w:r>
                    <w:rPr>
                      <w:rFonts w:ascii="Times New Roman" w:hAnsi="Times New Roman"/>
                      <w:b w:val="0"/>
                      <w:bCs/>
                      <w:color w:val="auto"/>
                      <w:szCs w:val="21"/>
                      <w:highlight w:val="none"/>
                      <w:vertAlign w:val="subscript"/>
                    </w:rPr>
                    <w:t>x</w:t>
                  </w:r>
                </w:p>
              </w:tc>
              <w:tc>
                <w:tcPr>
                  <w:tcW w:w="1340" w:type="pct"/>
                  <w:noWrap w:val="0"/>
                  <w:vAlign w:val="center"/>
                </w:tcPr>
                <w:p w14:paraId="2A542C4D">
                  <w:pPr>
                    <w:adjustRightInd w:val="0"/>
                    <w:spacing w:line="280" w:lineRule="exact"/>
                    <w:jc w:val="center"/>
                    <w:rPr>
                      <w:rFonts w:ascii="Times New Roman" w:hAnsi="Times New Roman"/>
                      <w:b w:val="0"/>
                      <w:bCs/>
                      <w:color w:val="auto"/>
                      <w:szCs w:val="21"/>
                      <w:highlight w:val="none"/>
                    </w:rPr>
                  </w:pPr>
                  <w:r>
                    <w:rPr>
                      <w:rFonts w:ascii="Times New Roman" w:hAnsi="Times New Roman"/>
                      <w:b w:val="0"/>
                      <w:bCs/>
                      <w:color w:val="auto"/>
                      <w:szCs w:val="21"/>
                      <w:highlight w:val="none"/>
                    </w:rPr>
                    <w:t>年平均</w:t>
                  </w:r>
                </w:p>
              </w:tc>
              <w:tc>
                <w:tcPr>
                  <w:tcW w:w="1208" w:type="pct"/>
                  <w:noWrap w:val="0"/>
                  <w:vAlign w:val="center"/>
                </w:tcPr>
                <w:p w14:paraId="78526C35">
                  <w:pPr>
                    <w:adjustRightInd w:val="0"/>
                    <w:spacing w:line="280" w:lineRule="exact"/>
                    <w:jc w:val="center"/>
                    <w:rPr>
                      <w:rFonts w:ascii="Times New Roman" w:hAnsi="Times New Roman"/>
                      <w:b w:val="0"/>
                      <w:bCs/>
                      <w:color w:val="auto"/>
                      <w:szCs w:val="21"/>
                      <w:highlight w:val="none"/>
                    </w:rPr>
                  </w:pPr>
                  <w:r>
                    <w:rPr>
                      <w:rFonts w:ascii="Times New Roman" w:hAnsi="Times New Roman"/>
                      <w:b w:val="0"/>
                      <w:bCs/>
                      <w:color w:val="auto"/>
                      <w:szCs w:val="21"/>
                      <w:highlight w:val="none"/>
                    </w:rPr>
                    <w:t>50</w:t>
                  </w:r>
                </w:p>
              </w:tc>
              <w:tc>
                <w:tcPr>
                  <w:tcW w:w="853" w:type="pct"/>
                  <w:noWrap w:val="0"/>
                  <w:vAlign w:val="center"/>
                </w:tcPr>
                <w:p w14:paraId="35B79252">
                  <w:pPr>
                    <w:adjustRightInd w:val="0"/>
                    <w:spacing w:line="280" w:lineRule="exact"/>
                    <w:jc w:val="center"/>
                    <w:rPr>
                      <w:rFonts w:hint="default" w:ascii="Times New Roman" w:hAnsi="Times New Roman" w:eastAsia="宋体"/>
                      <w:b w:val="0"/>
                      <w:bCs/>
                      <w:color w:val="auto"/>
                      <w:szCs w:val="21"/>
                      <w:highlight w:val="none"/>
                      <w:vertAlign w:val="superscript"/>
                      <w:lang w:val="en-US" w:eastAsia="zh-CN"/>
                    </w:rPr>
                  </w:pPr>
                  <w:r>
                    <w:rPr>
                      <w:rFonts w:hint="eastAsia"/>
                      <w:b w:val="0"/>
                      <w:bCs/>
                      <w:color w:val="auto"/>
                      <w:szCs w:val="21"/>
                      <w:highlight w:val="none"/>
                      <w:lang w:val="en-US" w:eastAsia="zh-CN"/>
                    </w:rPr>
                    <w:t>40</w:t>
                  </w:r>
                </w:p>
              </w:tc>
              <w:tc>
                <w:tcPr>
                  <w:tcW w:w="800" w:type="pct"/>
                  <w:vMerge w:val="continue"/>
                  <w:noWrap w:val="0"/>
                  <w:vAlign w:val="center"/>
                </w:tcPr>
                <w:p w14:paraId="4771A515">
                  <w:pPr>
                    <w:jc w:val="center"/>
                    <w:rPr>
                      <w:rFonts w:ascii="Times New Roman" w:hAnsi="Times New Roman"/>
                      <w:b w:val="0"/>
                      <w:bCs/>
                      <w:color w:val="auto"/>
                      <w:szCs w:val="21"/>
                      <w:highlight w:val="none"/>
                    </w:rPr>
                  </w:pPr>
                </w:p>
              </w:tc>
            </w:tr>
            <w:tr w14:paraId="7AEB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4826DB37">
                  <w:pPr>
                    <w:jc w:val="center"/>
                    <w:rPr>
                      <w:rFonts w:ascii="Times New Roman" w:hAnsi="Times New Roman"/>
                      <w:b w:val="0"/>
                      <w:bCs/>
                      <w:color w:val="auto"/>
                      <w:szCs w:val="21"/>
                      <w:highlight w:val="none"/>
                    </w:rPr>
                  </w:pPr>
                </w:p>
              </w:tc>
              <w:tc>
                <w:tcPr>
                  <w:tcW w:w="1340" w:type="pct"/>
                  <w:noWrap w:val="0"/>
                  <w:vAlign w:val="center"/>
                </w:tcPr>
                <w:p w14:paraId="327A1B00">
                  <w:pPr>
                    <w:adjustRightInd w:val="0"/>
                    <w:spacing w:line="280" w:lineRule="exact"/>
                    <w:jc w:val="center"/>
                    <w:rPr>
                      <w:rFonts w:ascii="Times New Roman" w:hAnsi="Times New Roman"/>
                      <w:b w:val="0"/>
                      <w:bCs/>
                      <w:color w:val="auto"/>
                      <w:szCs w:val="21"/>
                      <w:highlight w:val="none"/>
                    </w:rPr>
                  </w:pPr>
                  <w:r>
                    <w:rPr>
                      <w:rFonts w:ascii="Times New Roman" w:hAnsi="Times New Roman"/>
                      <w:b w:val="0"/>
                      <w:bCs/>
                      <w:color w:val="auto"/>
                      <w:szCs w:val="21"/>
                      <w:highlight w:val="none"/>
                    </w:rPr>
                    <w:t>日平均</w:t>
                  </w:r>
                </w:p>
              </w:tc>
              <w:tc>
                <w:tcPr>
                  <w:tcW w:w="1208" w:type="pct"/>
                  <w:noWrap w:val="0"/>
                  <w:vAlign w:val="center"/>
                </w:tcPr>
                <w:p w14:paraId="0918F559">
                  <w:pPr>
                    <w:adjustRightInd w:val="0"/>
                    <w:spacing w:line="280" w:lineRule="exact"/>
                    <w:jc w:val="center"/>
                    <w:rPr>
                      <w:rFonts w:ascii="Times New Roman" w:hAnsi="Times New Roman"/>
                      <w:b w:val="0"/>
                      <w:bCs/>
                      <w:color w:val="auto"/>
                      <w:szCs w:val="21"/>
                      <w:highlight w:val="none"/>
                    </w:rPr>
                  </w:pPr>
                  <w:r>
                    <w:rPr>
                      <w:rFonts w:ascii="Times New Roman" w:hAnsi="Times New Roman"/>
                      <w:b w:val="0"/>
                      <w:bCs/>
                      <w:color w:val="auto"/>
                      <w:szCs w:val="21"/>
                      <w:highlight w:val="none"/>
                    </w:rPr>
                    <w:t>100</w:t>
                  </w:r>
                </w:p>
              </w:tc>
              <w:tc>
                <w:tcPr>
                  <w:tcW w:w="853" w:type="pct"/>
                  <w:noWrap w:val="0"/>
                  <w:vAlign w:val="center"/>
                </w:tcPr>
                <w:p w14:paraId="78B7FA20">
                  <w:pPr>
                    <w:adjustRightInd w:val="0"/>
                    <w:spacing w:line="280" w:lineRule="exact"/>
                    <w:jc w:val="center"/>
                    <w:rPr>
                      <w:rFonts w:hint="default" w:ascii="Times New Roman" w:hAnsi="Times New Roman" w:eastAsia="宋体"/>
                      <w:b w:val="0"/>
                      <w:bCs/>
                      <w:color w:val="auto"/>
                      <w:szCs w:val="21"/>
                      <w:highlight w:val="none"/>
                      <w:vertAlign w:val="superscript"/>
                      <w:lang w:val="en-US" w:eastAsia="zh-CN"/>
                    </w:rPr>
                  </w:pPr>
                  <w:r>
                    <w:rPr>
                      <w:rFonts w:hint="eastAsia"/>
                      <w:b w:val="0"/>
                      <w:bCs/>
                      <w:color w:val="auto"/>
                      <w:szCs w:val="21"/>
                      <w:highlight w:val="none"/>
                      <w:lang w:val="en-US" w:eastAsia="zh-CN"/>
                    </w:rPr>
                    <w:t>70</w:t>
                  </w:r>
                </w:p>
              </w:tc>
              <w:tc>
                <w:tcPr>
                  <w:tcW w:w="800" w:type="pct"/>
                  <w:vMerge w:val="continue"/>
                  <w:noWrap w:val="0"/>
                  <w:vAlign w:val="center"/>
                </w:tcPr>
                <w:p w14:paraId="67133B2D">
                  <w:pPr>
                    <w:jc w:val="center"/>
                    <w:rPr>
                      <w:rFonts w:ascii="Times New Roman" w:hAnsi="Times New Roman"/>
                      <w:b w:val="0"/>
                      <w:bCs/>
                      <w:color w:val="auto"/>
                      <w:szCs w:val="21"/>
                      <w:highlight w:val="none"/>
                    </w:rPr>
                  </w:pPr>
                </w:p>
              </w:tc>
            </w:tr>
            <w:tr w14:paraId="0503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7B390D82">
                  <w:pPr>
                    <w:jc w:val="center"/>
                    <w:rPr>
                      <w:rFonts w:ascii="Times New Roman" w:hAnsi="Times New Roman"/>
                      <w:b w:val="0"/>
                      <w:bCs/>
                      <w:color w:val="auto"/>
                      <w:szCs w:val="21"/>
                      <w:highlight w:val="none"/>
                    </w:rPr>
                  </w:pPr>
                </w:p>
              </w:tc>
              <w:tc>
                <w:tcPr>
                  <w:tcW w:w="1340" w:type="pct"/>
                  <w:noWrap w:val="0"/>
                  <w:vAlign w:val="center"/>
                </w:tcPr>
                <w:p w14:paraId="0BA04916">
                  <w:pPr>
                    <w:adjustRightInd w:val="0"/>
                    <w:spacing w:line="280" w:lineRule="exact"/>
                    <w:jc w:val="center"/>
                    <w:rPr>
                      <w:rFonts w:ascii="Times New Roman" w:hAnsi="Times New Roman"/>
                      <w:b w:val="0"/>
                      <w:bCs/>
                      <w:color w:val="auto"/>
                      <w:szCs w:val="21"/>
                      <w:highlight w:val="none"/>
                    </w:rPr>
                  </w:pPr>
                  <w:r>
                    <w:rPr>
                      <w:rFonts w:ascii="Times New Roman" w:hAnsi="Times New Roman"/>
                      <w:b w:val="0"/>
                      <w:bCs/>
                      <w:color w:val="auto"/>
                      <w:szCs w:val="21"/>
                      <w:highlight w:val="none"/>
                    </w:rPr>
                    <w:t>1小时平均</w:t>
                  </w:r>
                </w:p>
              </w:tc>
              <w:tc>
                <w:tcPr>
                  <w:tcW w:w="1208" w:type="pct"/>
                  <w:noWrap w:val="0"/>
                  <w:vAlign w:val="center"/>
                </w:tcPr>
                <w:p w14:paraId="6D0A6506">
                  <w:pPr>
                    <w:adjustRightInd w:val="0"/>
                    <w:spacing w:line="280" w:lineRule="exact"/>
                    <w:jc w:val="center"/>
                    <w:rPr>
                      <w:rFonts w:ascii="Times New Roman" w:hAnsi="Times New Roman"/>
                      <w:b w:val="0"/>
                      <w:bCs/>
                      <w:color w:val="auto"/>
                      <w:szCs w:val="21"/>
                      <w:highlight w:val="none"/>
                    </w:rPr>
                  </w:pPr>
                  <w:r>
                    <w:rPr>
                      <w:rFonts w:ascii="Times New Roman" w:hAnsi="Times New Roman"/>
                      <w:b w:val="0"/>
                      <w:bCs/>
                      <w:color w:val="auto"/>
                      <w:szCs w:val="21"/>
                      <w:highlight w:val="none"/>
                    </w:rPr>
                    <w:t>250</w:t>
                  </w:r>
                </w:p>
              </w:tc>
              <w:tc>
                <w:tcPr>
                  <w:tcW w:w="853" w:type="pct"/>
                  <w:noWrap w:val="0"/>
                  <w:vAlign w:val="center"/>
                </w:tcPr>
                <w:p w14:paraId="2CD301D6">
                  <w:pPr>
                    <w:adjustRightInd w:val="0"/>
                    <w:spacing w:line="280" w:lineRule="exact"/>
                    <w:jc w:val="center"/>
                    <w:rPr>
                      <w:rFonts w:hint="default" w:ascii="Times New Roman" w:hAnsi="Times New Roman" w:eastAsia="宋体"/>
                      <w:b w:val="0"/>
                      <w:bCs/>
                      <w:color w:val="auto"/>
                      <w:szCs w:val="21"/>
                      <w:highlight w:val="none"/>
                      <w:lang w:val="en-US" w:eastAsia="zh-CN"/>
                    </w:rPr>
                  </w:pPr>
                  <w:r>
                    <w:rPr>
                      <w:rFonts w:hint="eastAsia"/>
                      <w:b w:val="0"/>
                      <w:bCs/>
                      <w:color w:val="auto"/>
                      <w:szCs w:val="21"/>
                      <w:highlight w:val="none"/>
                      <w:lang w:val="en-US" w:eastAsia="zh-CN"/>
                    </w:rPr>
                    <w:t>250</w:t>
                  </w:r>
                </w:p>
              </w:tc>
              <w:tc>
                <w:tcPr>
                  <w:tcW w:w="800" w:type="pct"/>
                  <w:vMerge w:val="continue"/>
                  <w:noWrap w:val="0"/>
                  <w:vAlign w:val="center"/>
                </w:tcPr>
                <w:p w14:paraId="2C6B1D02">
                  <w:pPr>
                    <w:jc w:val="center"/>
                    <w:rPr>
                      <w:rFonts w:ascii="Times New Roman" w:hAnsi="Times New Roman"/>
                      <w:b w:val="0"/>
                      <w:bCs/>
                      <w:color w:val="auto"/>
                      <w:szCs w:val="21"/>
                      <w:highlight w:val="none"/>
                    </w:rPr>
                  </w:pPr>
                </w:p>
              </w:tc>
            </w:tr>
            <w:tr w14:paraId="1635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restart"/>
                  <w:noWrap w:val="0"/>
                  <w:vAlign w:val="center"/>
                </w:tcPr>
                <w:p w14:paraId="70411927">
                  <w:pPr>
                    <w:jc w:val="center"/>
                    <w:rPr>
                      <w:rFonts w:ascii="Times New Roman" w:hAnsi="Times New Roman"/>
                      <w:b w:val="0"/>
                      <w:bCs/>
                      <w:color w:val="auto"/>
                      <w:szCs w:val="21"/>
                      <w:highlight w:val="none"/>
                    </w:rPr>
                  </w:pPr>
                  <w:r>
                    <w:rPr>
                      <w:rFonts w:ascii="Times New Roman" w:hAnsi="Times New Roman"/>
                      <w:b w:val="0"/>
                      <w:bCs/>
                      <w:color w:val="auto"/>
                      <w:szCs w:val="21"/>
                      <w:highlight w:val="none"/>
                    </w:rPr>
                    <w:t>CO</w:t>
                  </w:r>
                </w:p>
              </w:tc>
              <w:tc>
                <w:tcPr>
                  <w:tcW w:w="1340" w:type="pct"/>
                  <w:noWrap w:val="0"/>
                  <w:vAlign w:val="center"/>
                </w:tcPr>
                <w:p w14:paraId="235B355E">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24小时平均</w:t>
                  </w:r>
                </w:p>
              </w:tc>
              <w:tc>
                <w:tcPr>
                  <w:tcW w:w="1208" w:type="pct"/>
                  <w:noWrap w:val="0"/>
                  <w:vAlign w:val="center"/>
                </w:tcPr>
                <w:p w14:paraId="376F8C2D">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4</w:t>
                  </w:r>
                </w:p>
              </w:tc>
              <w:tc>
                <w:tcPr>
                  <w:tcW w:w="853" w:type="pct"/>
                  <w:noWrap w:val="0"/>
                  <w:vAlign w:val="center"/>
                </w:tcPr>
                <w:p w14:paraId="77CE8625">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4</w:t>
                  </w:r>
                </w:p>
              </w:tc>
              <w:tc>
                <w:tcPr>
                  <w:tcW w:w="800" w:type="pct"/>
                  <w:vMerge w:val="restart"/>
                  <w:noWrap w:val="0"/>
                  <w:vAlign w:val="center"/>
                </w:tcPr>
                <w:p w14:paraId="4E94B77A">
                  <w:pPr>
                    <w:jc w:val="center"/>
                    <w:rPr>
                      <w:rFonts w:ascii="Times New Roman" w:hAnsi="Times New Roman"/>
                      <w:b w:val="0"/>
                      <w:bCs/>
                      <w:color w:val="auto"/>
                      <w:szCs w:val="21"/>
                      <w:highlight w:val="none"/>
                    </w:rPr>
                  </w:pPr>
                  <w:r>
                    <w:rPr>
                      <w:rFonts w:ascii="Times New Roman" w:hAnsi="Times New Roman"/>
                      <w:b w:val="0"/>
                      <w:bCs/>
                      <w:color w:val="auto"/>
                      <w:szCs w:val="21"/>
                      <w:highlight w:val="none"/>
                    </w:rPr>
                    <w:t>mg/m</w:t>
                  </w:r>
                  <w:r>
                    <w:rPr>
                      <w:rFonts w:ascii="Times New Roman" w:hAnsi="Times New Roman"/>
                      <w:b w:val="0"/>
                      <w:bCs/>
                      <w:color w:val="auto"/>
                      <w:szCs w:val="21"/>
                      <w:highlight w:val="none"/>
                      <w:vertAlign w:val="superscript"/>
                    </w:rPr>
                    <w:t>3</w:t>
                  </w:r>
                </w:p>
              </w:tc>
            </w:tr>
            <w:tr w14:paraId="693F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5F12F37F">
                  <w:pPr>
                    <w:jc w:val="center"/>
                    <w:rPr>
                      <w:rFonts w:ascii="Times New Roman" w:hAnsi="Times New Roman"/>
                      <w:b w:val="0"/>
                      <w:bCs/>
                      <w:color w:val="auto"/>
                      <w:szCs w:val="21"/>
                      <w:highlight w:val="none"/>
                    </w:rPr>
                  </w:pPr>
                </w:p>
              </w:tc>
              <w:tc>
                <w:tcPr>
                  <w:tcW w:w="1340" w:type="pct"/>
                  <w:noWrap w:val="0"/>
                  <w:vAlign w:val="center"/>
                </w:tcPr>
                <w:p w14:paraId="41F910D7">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1小时平均</w:t>
                  </w:r>
                </w:p>
              </w:tc>
              <w:tc>
                <w:tcPr>
                  <w:tcW w:w="1208" w:type="pct"/>
                  <w:noWrap w:val="0"/>
                  <w:vAlign w:val="center"/>
                </w:tcPr>
                <w:p w14:paraId="2D734102">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10</w:t>
                  </w:r>
                </w:p>
              </w:tc>
              <w:tc>
                <w:tcPr>
                  <w:tcW w:w="853" w:type="pct"/>
                  <w:noWrap w:val="0"/>
                  <w:vAlign w:val="center"/>
                </w:tcPr>
                <w:p w14:paraId="5373D04C">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10</w:t>
                  </w:r>
                </w:p>
              </w:tc>
              <w:tc>
                <w:tcPr>
                  <w:tcW w:w="800" w:type="pct"/>
                  <w:vMerge w:val="continue"/>
                  <w:noWrap w:val="0"/>
                  <w:vAlign w:val="center"/>
                </w:tcPr>
                <w:p w14:paraId="168AEA35">
                  <w:pPr>
                    <w:jc w:val="center"/>
                    <w:rPr>
                      <w:rFonts w:ascii="Times New Roman" w:hAnsi="Times New Roman"/>
                      <w:b w:val="0"/>
                      <w:bCs/>
                      <w:color w:val="auto"/>
                      <w:szCs w:val="21"/>
                      <w:highlight w:val="none"/>
                    </w:rPr>
                  </w:pPr>
                </w:p>
              </w:tc>
            </w:tr>
            <w:tr w14:paraId="314B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restart"/>
                  <w:noWrap w:val="0"/>
                  <w:vAlign w:val="center"/>
                </w:tcPr>
                <w:p w14:paraId="46C78105">
                  <w:pPr>
                    <w:jc w:val="center"/>
                    <w:rPr>
                      <w:rFonts w:ascii="Times New Roman" w:hAnsi="Times New Roman"/>
                      <w:b w:val="0"/>
                      <w:bCs/>
                      <w:color w:val="auto"/>
                      <w:szCs w:val="21"/>
                      <w:highlight w:val="none"/>
                    </w:rPr>
                  </w:pPr>
                  <w:r>
                    <w:rPr>
                      <w:rFonts w:ascii="Times New Roman" w:hAnsi="Times New Roman"/>
                      <w:b w:val="0"/>
                      <w:bCs/>
                      <w:color w:val="auto"/>
                      <w:szCs w:val="21"/>
                      <w:highlight w:val="none"/>
                    </w:rPr>
                    <w:t>O</w:t>
                  </w:r>
                  <w:r>
                    <w:rPr>
                      <w:rFonts w:ascii="Times New Roman" w:hAnsi="Times New Roman"/>
                      <w:b w:val="0"/>
                      <w:bCs/>
                      <w:color w:val="auto"/>
                      <w:szCs w:val="21"/>
                      <w:highlight w:val="none"/>
                      <w:vertAlign w:val="subscript"/>
                    </w:rPr>
                    <w:t>3</w:t>
                  </w:r>
                </w:p>
              </w:tc>
              <w:tc>
                <w:tcPr>
                  <w:tcW w:w="1340" w:type="pct"/>
                  <w:noWrap w:val="0"/>
                  <w:vAlign w:val="center"/>
                </w:tcPr>
                <w:p w14:paraId="63C65925">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日最大8小时平均</w:t>
                  </w:r>
                </w:p>
              </w:tc>
              <w:tc>
                <w:tcPr>
                  <w:tcW w:w="1208" w:type="pct"/>
                  <w:noWrap w:val="0"/>
                  <w:vAlign w:val="center"/>
                </w:tcPr>
                <w:p w14:paraId="255F53C7">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160</w:t>
                  </w:r>
                </w:p>
              </w:tc>
              <w:tc>
                <w:tcPr>
                  <w:tcW w:w="853" w:type="pct"/>
                  <w:noWrap w:val="0"/>
                  <w:vAlign w:val="center"/>
                </w:tcPr>
                <w:p w14:paraId="5AE2BC06">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160</w:t>
                  </w:r>
                </w:p>
              </w:tc>
              <w:tc>
                <w:tcPr>
                  <w:tcW w:w="800" w:type="pct"/>
                  <w:vMerge w:val="restart"/>
                  <w:noWrap w:val="0"/>
                  <w:vAlign w:val="center"/>
                </w:tcPr>
                <w:p w14:paraId="7DBF8F02">
                  <w:pPr>
                    <w:jc w:val="center"/>
                    <w:rPr>
                      <w:rFonts w:ascii="Times New Roman" w:hAnsi="Times New Roman"/>
                      <w:b w:val="0"/>
                      <w:bCs/>
                      <w:color w:val="auto"/>
                      <w:szCs w:val="21"/>
                      <w:highlight w:val="none"/>
                    </w:rPr>
                  </w:pPr>
                  <w:r>
                    <w:rPr>
                      <w:rFonts w:ascii="Times New Roman" w:hAnsi="Times New Roman"/>
                      <w:b w:val="0"/>
                      <w:bCs/>
                      <w:color w:val="auto"/>
                      <w:highlight w:val="none"/>
                    </w:rPr>
                    <w:t>μg/m</w:t>
                  </w:r>
                  <w:r>
                    <w:rPr>
                      <w:rFonts w:ascii="Times New Roman" w:hAnsi="Times New Roman"/>
                      <w:b w:val="0"/>
                      <w:bCs/>
                      <w:color w:val="auto"/>
                      <w:highlight w:val="none"/>
                      <w:vertAlign w:val="superscript"/>
                    </w:rPr>
                    <w:t>3</w:t>
                  </w:r>
                </w:p>
              </w:tc>
            </w:tr>
            <w:tr w14:paraId="407F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19210A43">
                  <w:pPr>
                    <w:jc w:val="center"/>
                    <w:rPr>
                      <w:rFonts w:ascii="Times New Roman" w:hAnsi="Times New Roman"/>
                      <w:b w:val="0"/>
                      <w:bCs/>
                      <w:color w:val="auto"/>
                      <w:szCs w:val="21"/>
                      <w:highlight w:val="none"/>
                    </w:rPr>
                  </w:pPr>
                </w:p>
              </w:tc>
              <w:tc>
                <w:tcPr>
                  <w:tcW w:w="1340" w:type="pct"/>
                  <w:noWrap w:val="0"/>
                  <w:vAlign w:val="center"/>
                </w:tcPr>
                <w:p w14:paraId="242D0F12">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1小时平均</w:t>
                  </w:r>
                </w:p>
              </w:tc>
              <w:tc>
                <w:tcPr>
                  <w:tcW w:w="1208" w:type="pct"/>
                  <w:noWrap w:val="0"/>
                  <w:vAlign w:val="center"/>
                </w:tcPr>
                <w:p w14:paraId="3B3AC818">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200</w:t>
                  </w:r>
                </w:p>
              </w:tc>
              <w:tc>
                <w:tcPr>
                  <w:tcW w:w="853" w:type="pct"/>
                  <w:noWrap w:val="0"/>
                  <w:vAlign w:val="center"/>
                </w:tcPr>
                <w:p w14:paraId="67170750">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200</w:t>
                  </w:r>
                </w:p>
              </w:tc>
              <w:tc>
                <w:tcPr>
                  <w:tcW w:w="800" w:type="pct"/>
                  <w:vMerge w:val="continue"/>
                  <w:noWrap w:val="0"/>
                  <w:vAlign w:val="center"/>
                </w:tcPr>
                <w:p w14:paraId="7BCBF7A4">
                  <w:pPr>
                    <w:jc w:val="center"/>
                    <w:rPr>
                      <w:rFonts w:ascii="Times New Roman" w:hAnsi="Times New Roman"/>
                      <w:b w:val="0"/>
                      <w:bCs/>
                      <w:color w:val="auto"/>
                      <w:szCs w:val="21"/>
                      <w:highlight w:val="none"/>
                    </w:rPr>
                  </w:pPr>
                </w:p>
              </w:tc>
            </w:tr>
            <w:tr w14:paraId="6631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restart"/>
                  <w:noWrap w:val="0"/>
                  <w:vAlign w:val="center"/>
                </w:tcPr>
                <w:p w14:paraId="7062B707">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PM</w:t>
                  </w:r>
                  <w:r>
                    <w:rPr>
                      <w:rFonts w:ascii="Times New Roman" w:hAnsi="Times New Roman"/>
                      <w:b w:val="0"/>
                      <w:bCs/>
                      <w:color w:val="auto"/>
                      <w:sz w:val="21"/>
                      <w:szCs w:val="21"/>
                      <w:highlight w:val="none"/>
                      <w:vertAlign w:val="subscript"/>
                      <w:lang w:eastAsia="zh-CN"/>
                    </w:rPr>
                    <w:t>10</w:t>
                  </w:r>
                </w:p>
              </w:tc>
              <w:tc>
                <w:tcPr>
                  <w:tcW w:w="1340" w:type="pct"/>
                  <w:noWrap w:val="0"/>
                  <w:vAlign w:val="center"/>
                </w:tcPr>
                <w:p w14:paraId="5400666B">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年平均</w:t>
                  </w:r>
                </w:p>
              </w:tc>
              <w:tc>
                <w:tcPr>
                  <w:tcW w:w="1208" w:type="pct"/>
                  <w:noWrap w:val="0"/>
                  <w:vAlign w:val="center"/>
                </w:tcPr>
                <w:p w14:paraId="65BD5D13">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60</w:t>
                  </w:r>
                </w:p>
              </w:tc>
              <w:tc>
                <w:tcPr>
                  <w:tcW w:w="853" w:type="pct"/>
                  <w:noWrap w:val="0"/>
                  <w:vAlign w:val="center"/>
                </w:tcPr>
                <w:p w14:paraId="6CDAD107">
                  <w:pPr>
                    <w:jc w:val="center"/>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50</w:t>
                  </w:r>
                </w:p>
              </w:tc>
              <w:tc>
                <w:tcPr>
                  <w:tcW w:w="800" w:type="pct"/>
                  <w:vMerge w:val="continue"/>
                  <w:noWrap w:val="0"/>
                  <w:vAlign w:val="center"/>
                </w:tcPr>
                <w:p w14:paraId="0C694338">
                  <w:pPr>
                    <w:jc w:val="center"/>
                    <w:rPr>
                      <w:rFonts w:ascii="Times New Roman" w:hAnsi="Times New Roman"/>
                      <w:b w:val="0"/>
                      <w:bCs/>
                      <w:color w:val="auto"/>
                      <w:szCs w:val="21"/>
                      <w:highlight w:val="none"/>
                    </w:rPr>
                  </w:pPr>
                </w:p>
              </w:tc>
            </w:tr>
            <w:tr w14:paraId="2253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46DA857C">
                  <w:pPr>
                    <w:jc w:val="center"/>
                    <w:rPr>
                      <w:rFonts w:ascii="Times New Roman" w:hAnsi="Times New Roman"/>
                      <w:b w:val="0"/>
                      <w:bCs/>
                      <w:color w:val="auto"/>
                      <w:szCs w:val="21"/>
                      <w:highlight w:val="none"/>
                    </w:rPr>
                  </w:pPr>
                </w:p>
              </w:tc>
              <w:tc>
                <w:tcPr>
                  <w:tcW w:w="1340" w:type="pct"/>
                  <w:noWrap w:val="0"/>
                  <w:vAlign w:val="center"/>
                </w:tcPr>
                <w:p w14:paraId="31152329">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24小时平均</w:t>
                  </w:r>
                </w:p>
              </w:tc>
              <w:tc>
                <w:tcPr>
                  <w:tcW w:w="1208" w:type="pct"/>
                  <w:noWrap w:val="0"/>
                  <w:vAlign w:val="center"/>
                </w:tcPr>
                <w:p w14:paraId="5071B0F3">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120</w:t>
                  </w:r>
                </w:p>
              </w:tc>
              <w:tc>
                <w:tcPr>
                  <w:tcW w:w="853" w:type="pct"/>
                  <w:noWrap w:val="0"/>
                  <w:vAlign w:val="center"/>
                </w:tcPr>
                <w:p w14:paraId="7C457238">
                  <w:pPr>
                    <w:jc w:val="center"/>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100</w:t>
                  </w:r>
                </w:p>
              </w:tc>
              <w:tc>
                <w:tcPr>
                  <w:tcW w:w="800" w:type="pct"/>
                  <w:vMerge w:val="continue"/>
                  <w:noWrap w:val="0"/>
                  <w:vAlign w:val="center"/>
                </w:tcPr>
                <w:p w14:paraId="3D51FAC5">
                  <w:pPr>
                    <w:jc w:val="center"/>
                    <w:rPr>
                      <w:rFonts w:ascii="Times New Roman" w:hAnsi="Times New Roman"/>
                      <w:b w:val="0"/>
                      <w:bCs/>
                      <w:color w:val="auto"/>
                      <w:szCs w:val="21"/>
                      <w:highlight w:val="none"/>
                    </w:rPr>
                  </w:pPr>
                </w:p>
              </w:tc>
            </w:tr>
            <w:tr w14:paraId="4625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restart"/>
                  <w:noWrap w:val="0"/>
                  <w:vAlign w:val="center"/>
                </w:tcPr>
                <w:p w14:paraId="5256FE03">
                  <w:pPr>
                    <w:jc w:val="center"/>
                    <w:rPr>
                      <w:rFonts w:ascii="Times New Roman" w:hAnsi="Times New Roman"/>
                      <w:b w:val="0"/>
                      <w:bCs/>
                      <w:color w:val="auto"/>
                      <w:szCs w:val="21"/>
                      <w:highlight w:val="none"/>
                      <w:lang w:eastAsia="zh-CN"/>
                    </w:rPr>
                  </w:pPr>
                  <w:r>
                    <w:rPr>
                      <w:rFonts w:ascii="Times New Roman" w:hAnsi="Times New Roman"/>
                      <w:b w:val="0"/>
                      <w:bCs/>
                      <w:color w:val="auto"/>
                      <w:sz w:val="21"/>
                      <w:szCs w:val="21"/>
                      <w:highlight w:val="none"/>
                      <w:lang w:eastAsia="zh-CN"/>
                    </w:rPr>
                    <w:t>PM</w:t>
                  </w:r>
                  <w:r>
                    <w:rPr>
                      <w:rFonts w:ascii="Times New Roman" w:hAnsi="Times New Roman"/>
                      <w:b w:val="0"/>
                      <w:bCs/>
                      <w:color w:val="auto"/>
                      <w:sz w:val="21"/>
                      <w:szCs w:val="21"/>
                      <w:highlight w:val="none"/>
                      <w:vertAlign w:val="subscript"/>
                      <w:lang w:eastAsia="zh-CN"/>
                    </w:rPr>
                    <w:t>2.5</w:t>
                  </w:r>
                </w:p>
              </w:tc>
              <w:tc>
                <w:tcPr>
                  <w:tcW w:w="1340" w:type="pct"/>
                  <w:noWrap w:val="0"/>
                  <w:vAlign w:val="center"/>
                </w:tcPr>
                <w:p w14:paraId="6F72C4A0">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年平均</w:t>
                  </w:r>
                </w:p>
              </w:tc>
              <w:tc>
                <w:tcPr>
                  <w:tcW w:w="1208" w:type="pct"/>
                  <w:noWrap w:val="0"/>
                  <w:vAlign w:val="center"/>
                </w:tcPr>
                <w:p w14:paraId="04BEDF9E">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30</w:t>
                  </w:r>
                </w:p>
              </w:tc>
              <w:tc>
                <w:tcPr>
                  <w:tcW w:w="853" w:type="pct"/>
                  <w:noWrap w:val="0"/>
                  <w:vAlign w:val="center"/>
                </w:tcPr>
                <w:p w14:paraId="30913FC5">
                  <w:pPr>
                    <w:jc w:val="center"/>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25</w:t>
                  </w:r>
                </w:p>
              </w:tc>
              <w:tc>
                <w:tcPr>
                  <w:tcW w:w="800" w:type="pct"/>
                  <w:vMerge w:val="continue"/>
                  <w:noWrap w:val="0"/>
                  <w:vAlign w:val="center"/>
                </w:tcPr>
                <w:p w14:paraId="1191A489">
                  <w:pPr>
                    <w:jc w:val="center"/>
                    <w:rPr>
                      <w:rFonts w:ascii="Times New Roman" w:hAnsi="Times New Roman"/>
                      <w:b w:val="0"/>
                      <w:bCs/>
                      <w:color w:val="auto"/>
                      <w:szCs w:val="21"/>
                      <w:highlight w:val="none"/>
                    </w:rPr>
                  </w:pPr>
                </w:p>
              </w:tc>
            </w:tr>
            <w:tr w14:paraId="32D2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0922B824">
                  <w:pPr>
                    <w:jc w:val="center"/>
                    <w:rPr>
                      <w:rFonts w:ascii="Times New Roman" w:hAnsi="Times New Roman"/>
                      <w:b w:val="0"/>
                      <w:bCs/>
                      <w:color w:val="auto"/>
                      <w:szCs w:val="21"/>
                      <w:highlight w:val="none"/>
                    </w:rPr>
                  </w:pPr>
                </w:p>
              </w:tc>
              <w:tc>
                <w:tcPr>
                  <w:tcW w:w="1340" w:type="pct"/>
                  <w:noWrap w:val="0"/>
                  <w:vAlign w:val="center"/>
                </w:tcPr>
                <w:p w14:paraId="1315211F">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24小时平均</w:t>
                  </w:r>
                </w:p>
              </w:tc>
              <w:tc>
                <w:tcPr>
                  <w:tcW w:w="1208" w:type="pct"/>
                  <w:noWrap w:val="0"/>
                  <w:vAlign w:val="center"/>
                </w:tcPr>
                <w:p w14:paraId="072DCCED">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60</w:t>
                  </w:r>
                </w:p>
              </w:tc>
              <w:tc>
                <w:tcPr>
                  <w:tcW w:w="853" w:type="pct"/>
                  <w:noWrap w:val="0"/>
                  <w:vAlign w:val="center"/>
                </w:tcPr>
                <w:p w14:paraId="7D80F19A">
                  <w:pPr>
                    <w:jc w:val="center"/>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50</w:t>
                  </w:r>
                </w:p>
              </w:tc>
              <w:tc>
                <w:tcPr>
                  <w:tcW w:w="800" w:type="pct"/>
                  <w:vMerge w:val="continue"/>
                  <w:noWrap w:val="0"/>
                  <w:vAlign w:val="center"/>
                </w:tcPr>
                <w:p w14:paraId="7148EFE1">
                  <w:pPr>
                    <w:jc w:val="center"/>
                    <w:rPr>
                      <w:rFonts w:ascii="Times New Roman" w:hAnsi="Times New Roman"/>
                      <w:b w:val="0"/>
                      <w:bCs/>
                      <w:color w:val="auto"/>
                      <w:szCs w:val="21"/>
                      <w:highlight w:val="none"/>
                    </w:rPr>
                  </w:pPr>
                </w:p>
              </w:tc>
            </w:tr>
            <w:tr w14:paraId="29DC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restart"/>
                  <w:noWrap w:val="0"/>
                  <w:vAlign w:val="center"/>
                </w:tcPr>
                <w:p w14:paraId="142F8CE8">
                  <w:pPr>
                    <w:jc w:val="center"/>
                    <w:rPr>
                      <w:rFonts w:ascii="Times New Roman" w:hAnsi="Times New Roman"/>
                      <w:b w:val="0"/>
                      <w:bCs/>
                      <w:color w:val="auto"/>
                      <w:szCs w:val="21"/>
                      <w:highlight w:val="none"/>
                    </w:rPr>
                  </w:pPr>
                  <w:r>
                    <w:rPr>
                      <w:rFonts w:ascii="Times New Roman" w:hAnsi="Times New Roman"/>
                      <w:b w:val="0"/>
                      <w:bCs/>
                      <w:color w:val="auto"/>
                      <w:szCs w:val="21"/>
                      <w:highlight w:val="none"/>
                    </w:rPr>
                    <w:t>TSP</w:t>
                  </w:r>
                </w:p>
              </w:tc>
              <w:tc>
                <w:tcPr>
                  <w:tcW w:w="1340" w:type="pct"/>
                  <w:noWrap w:val="0"/>
                  <w:vAlign w:val="center"/>
                </w:tcPr>
                <w:p w14:paraId="17123721">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年平均</w:t>
                  </w:r>
                </w:p>
              </w:tc>
              <w:tc>
                <w:tcPr>
                  <w:tcW w:w="1208" w:type="pct"/>
                  <w:noWrap w:val="0"/>
                  <w:vAlign w:val="center"/>
                </w:tcPr>
                <w:p w14:paraId="5B4CADEE">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200</w:t>
                  </w:r>
                </w:p>
              </w:tc>
              <w:tc>
                <w:tcPr>
                  <w:tcW w:w="853" w:type="pct"/>
                  <w:noWrap w:val="0"/>
                  <w:vAlign w:val="center"/>
                </w:tcPr>
                <w:p w14:paraId="75C699AA">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200</w:t>
                  </w:r>
                </w:p>
              </w:tc>
              <w:tc>
                <w:tcPr>
                  <w:tcW w:w="800" w:type="pct"/>
                  <w:vMerge w:val="continue"/>
                  <w:noWrap w:val="0"/>
                  <w:vAlign w:val="center"/>
                </w:tcPr>
                <w:p w14:paraId="68BB0A73">
                  <w:pPr>
                    <w:jc w:val="center"/>
                    <w:rPr>
                      <w:rFonts w:ascii="Times New Roman" w:hAnsi="Times New Roman"/>
                      <w:b w:val="0"/>
                      <w:bCs/>
                      <w:color w:val="auto"/>
                      <w:szCs w:val="21"/>
                      <w:highlight w:val="none"/>
                    </w:rPr>
                  </w:pPr>
                </w:p>
              </w:tc>
            </w:tr>
            <w:tr w14:paraId="0B2A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96" w:type="pct"/>
                  <w:vMerge w:val="continue"/>
                  <w:noWrap w:val="0"/>
                  <w:vAlign w:val="center"/>
                </w:tcPr>
                <w:p w14:paraId="04A383AF">
                  <w:pPr>
                    <w:jc w:val="center"/>
                    <w:rPr>
                      <w:rFonts w:ascii="Times New Roman" w:hAnsi="Times New Roman"/>
                      <w:b w:val="0"/>
                      <w:bCs/>
                      <w:color w:val="auto"/>
                      <w:szCs w:val="21"/>
                      <w:highlight w:val="none"/>
                    </w:rPr>
                  </w:pPr>
                </w:p>
              </w:tc>
              <w:tc>
                <w:tcPr>
                  <w:tcW w:w="1340" w:type="pct"/>
                  <w:noWrap w:val="0"/>
                  <w:vAlign w:val="center"/>
                </w:tcPr>
                <w:p w14:paraId="7EC4712D">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24小时平均</w:t>
                  </w:r>
                </w:p>
              </w:tc>
              <w:tc>
                <w:tcPr>
                  <w:tcW w:w="1208" w:type="pct"/>
                  <w:noWrap w:val="0"/>
                  <w:vAlign w:val="center"/>
                </w:tcPr>
                <w:p w14:paraId="56E17B5B">
                  <w:pPr>
                    <w:jc w:val="center"/>
                    <w:rPr>
                      <w:rFonts w:ascii="Times New Roman" w:hAnsi="Times New Roman"/>
                      <w:b w:val="0"/>
                      <w:bCs/>
                      <w:color w:val="auto"/>
                      <w:sz w:val="21"/>
                      <w:szCs w:val="21"/>
                      <w:highlight w:val="none"/>
                      <w:lang w:eastAsia="zh-CN"/>
                    </w:rPr>
                  </w:pPr>
                  <w:r>
                    <w:rPr>
                      <w:rFonts w:ascii="Times New Roman" w:hAnsi="Times New Roman"/>
                      <w:b w:val="0"/>
                      <w:bCs/>
                      <w:color w:val="auto"/>
                      <w:sz w:val="21"/>
                      <w:szCs w:val="21"/>
                      <w:highlight w:val="none"/>
                      <w:lang w:eastAsia="zh-CN"/>
                    </w:rPr>
                    <w:t>300</w:t>
                  </w:r>
                </w:p>
              </w:tc>
              <w:tc>
                <w:tcPr>
                  <w:tcW w:w="853" w:type="pct"/>
                  <w:noWrap w:val="0"/>
                  <w:vAlign w:val="center"/>
                </w:tcPr>
                <w:p w14:paraId="4DE86F75">
                  <w:pPr>
                    <w:jc w:val="center"/>
                    <w:rPr>
                      <w:rFonts w:hint="default" w:ascii="Times New Roman" w:hAnsi="Times New Roman"/>
                      <w:b w:val="0"/>
                      <w:bCs/>
                      <w:color w:val="auto"/>
                      <w:sz w:val="21"/>
                      <w:szCs w:val="21"/>
                      <w:highlight w:val="none"/>
                      <w:lang w:val="en-US" w:eastAsia="zh-CN"/>
                    </w:rPr>
                  </w:pPr>
                  <w:r>
                    <w:rPr>
                      <w:rFonts w:hint="eastAsia"/>
                      <w:b w:val="0"/>
                      <w:bCs/>
                      <w:color w:val="auto"/>
                      <w:sz w:val="21"/>
                      <w:szCs w:val="21"/>
                      <w:highlight w:val="none"/>
                      <w:lang w:val="en-US" w:eastAsia="zh-CN"/>
                    </w:rPr>
                    <w:t>300</w:t>
                  </w:r>
                </w:p>
              </w:tc>
              <w:tc>
                <w:tcPr>
                  <w:tcW w:w="800" w:type="pct"/>
                  <w:vMerge w:val="continue"/>
                  <w:noWrap w:val="0"/>
                  <w:vAlign w:val="center"/>
                </w:tcPr>
                <w:p w14:paraId="6C598E5C">
                  <w:pPr>
                    <w:jc w:val="center"/>
                    <w:rPr>
                      <w:rFonts w:ascii="Times New Roman" w:hAnsi="Times New Roman"/>
                      <w:b w:val="0"/>
                      <w:bCs/>
                      <w:color w:val="auto"/>
                      <w:szCs w:val="21"/>
                      <w:highlight w:val="none"/>
                    </w:rPr>
                  </w:pPr>
                </w:p>
              </w:tc>
            </w:tr>
            <w:tr w14:paraId="5429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000" w:type="pct"/>
                  <w:gridSpan w:val="5"/>
                  <w:noWrap w:val="0"/>
                  <w:vAlign w:val="center"/>
                </w:tcPr>
                <w:p w14:paraId="4D606F20">
                  <w:pPr>
                    <w:jc w:val="left"/>
                    <w:rPr>
                      <w:rFonts w:hint="eastAsia"/>
                      <w:b w:val="0"/>
                      <w:bCs/>
                      <w:color w:val="auto"/>
                      <w:szCs w:val="21"/>
                      <w:highlight w:val="none"/>
                      <w:lang w:val="en-US" w:eastAsia="zh-CN"/>
                    </w:rPr>
                  </w:pPr>
                  <w:r>
                    <w:rPr>
                      <w:rFonts w:hint="eastAsia"/>
                      <w:b w:val="0"/>
                      <w:bCs/>
                      <w:color w:val="auto"/>
                      <w:szCs w:val="21"/>
                      <w:highlight w:val="none"/>
                      <w:lang w:val="en-US" w:eastAsia="zh-CN"/>
                    </w:rPr>
                    <w:t>自本标准实施之日（2026年3月1日）起至2030年12月31日止，环境空气污染物基本项目实施过渡阶段浓度限值；自2031年1月1日起，在全国范围内实施基本项目浓度限值。</w:t>
                  </w:r>
                </w:p>
              </w:tc>
            </w:tr>
          </w:tbl>
          <w:p w14:paraId="6A29E897">
            <w:pPr>
              <w:spacing w:line="360" w:lineRule="auto"/>
              <w:ind w:firstLine="482" w:firstLineChars="200"/>
              <w:rPr>
                <w:rFonts w:ascii="Times New Roman" w:hAnsi="Times New Roman"/>
                <w:b/>
                <w:bCs/>
                <w:color w:val="auto"/>
                <w:sz w:val="24"/>
                <w:szCs w:val="22"/>
                <w:highlight w:val="none"/>
              </w:rPr>
            </w:pPr>
            <w:r>
              <w:rPr>
                <w:rFonts w:hint="eastAsia" w:ascii="Times New Roman" w:hAnsi="Times New Roman"/>
                <w:b/>
                <w:bCs/>
                <w:color w:val="auto"/>
                <w:sz w:val="24"/>
                <w:szCs w:val="22"/>
                <w:highlight w:val="none"/>
                <w:lang w:val="en-US" w:eastAsia="zh-CN"/>
              </w:rPr>
              <w:t>2、</w:t>
            </w:r>
            <w:r>
              <w:rPr>
                <w:rFonts w:ascii="Times New Roman" w:hAnsi="Times New Roman"/>
                <w:b/>
                <w:bCs/>
                <w:color w:val="auto"/>
                <w:sz w:val="24"/>
                <w:szCs w:val="22"/>
                <w:highlight w:val="none"/>
              </w:rPr>
              <w:t>环境空气质量现状</w:t>
            </w:r>
          </w:p>
          <w:p w14:paraId="1510C9AE">
            <w:pPr>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基本污染物环境质量现状</w:t>
            </w:r>
          </w:p>
          <w:p w14:paraId="7450F490">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根据《环境影响评价技术导则</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大气环境》（HJ2.2-2018）第6.2.1.1</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项目所在区域达标判定，优先选用国家或地方生态环境主管部门公开发布的评价基准年环境质量公告或环境质量公告中的数据或结论。</w:t>
            </w:r>
            <w:r>
              <w:rPr>
                <w:rFonts w:hint="eastAsia" w:ascii="Times New Roman" w:hAnsi="Times New Roman" w:cs="Times New Roman"/>
                <w:color w:val="auto"/>
                <w:sz w:val="24"/>
                <w:szCs w:val="24"/>
                <w:highlight w:val="none"/>
                <w:lang w:eastAsia="zh-CN"/>
              </w:rPr>
              <w:t>”</w:t>
            </w:r>
          </w:p>
          <w:p w14:paraId="4D4E8164">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根据</w:t>
            </w:r>
            <w:r>
              <w:rPr>
                <w:rFonts w:hint="eastAsia" w:ascii="Times New Roman" w:hAnsi="Times New Roman" w:eastAsia="宋体" w:cs="Times New Roman"/>
                <w:color w:val="auto"/>
                <w:sz w:val="24"/>
                <w:highlight w:val="none"/>
                <w:lang w:eastAsia="zh-CN"/>
              </w:rPr>
              <w:t>玉溪市生态环境局</w:t>
            </w:r>
            <w:r>
              <w:rPr>
                <w:rFonts w:hint="eastAsia" w:ascii="Times New Roman" w:hAnsi="Times New Roman" w:eastAsia="宋体" w:cs="Times New Roman"/>
                <w:color w:val="auto"/>
                <w:sz w:val="24"/>
                <w:highlight w:val="none"/>
              </w:rPr>
              <w:t>于2024年6月</w:t>
            </w:r>
            <w:r>
              <w:rPr>
                <w:rFonts w:hint="eastAsia"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rPr>
              <w:t>日发布的《202</w:t>
            </w:r>
            <w:r>
              <w:rPr>
                <w:rFonts w:hint="eastAsia" w:ascii="Times New Roman" w:hAnsi="Times New Roman" w:cs="Times New Roman"/>
                <w:color w:val="auto"/>
                <w:sz w:val="24"/>
                <w:highlight w:val="none"/>
                <w:lang w:val="en-US" w:eastAsia="zh-CN"/>
              </w:rPr>
              <w:t>4</w:t>
            </w:r>
            <w:r>
              <w:rPr>
                <w:rFonts w:hint="eastAsia" w:ascii="Times New Roman" w:hAnsi="Times New Roman" w:eastAsia="宋体" w:cs="Times New Roman"/>
                <w:color w:val="auto"/>
                <w:sz w:val="24"/>
                <w:highlight w:val="none"/>
              </w:rPr>
              <w:t>年度</w:t>
            </w:r>
            <w:r>
              <w:rPr>
                <w:rFonts w:hint="eastAsia" w:ascii="Times New Roman" w:hAnsi="Times New Roman" w:eastAsia="宋体" w:cs="Times New Roman"/>
                <w:color w:val="auto"/>
                <w:sz w:val="24"/>
                <w:highlight w:val="none"/>
                <w:lang w:val="en-US" w:eastAsia="zh-CN"/>
              </w:rPr>
              <w:t>玉溪</w:t>
            </w:r>
            <w:r>
              <w:rPr>
                <w:rFonts w:hint="eastAsia" w:ascii="Times New Roman" w:hAnsi="Times New Roman" w:eastAsia="宋体" w:cs="Times New Roman"/>
                <w:color w:val="auto"/>
                <w:sz w:val="24"/>
                <w:highlight w:val="none"/>
              </w:rPr>
              <w:t>市生态环境状况公报》，2024年，中心城区环境空气质量一级240天，二级124天，超标2天。与去年同期相比，一级天数增加29天，二级天数减少18天，超标天数减少了10天。其中，细颗粒物(PM</w:t>
            </w:r>
            <w:r>
              <w:rPr>
                <w:rFonts w:hint="eastAsia" w:ascii="Times New Roman" w:hAnsi="Times New Roman" w:cs="Times New Roman"/>
                <w:color w:val="auto"/>
                <w:sz w:val="24"/>
                <w:highlight w:val="none"/>
                <w:vertAlign w:val="subscript"/>
                <w:lang w:val="en-US" w:eastAsia="zh-CN"/>
              </w:rPr>
              <w:t>2.5</w:t>
            </w:r>
            <w:r>
              <w:rPr>
                <w:rFonts w:hint="eastAsia" w:ascii="Times New Roman" w:hAnsi="Times New Roman" w:eastAsia="宋体" w:cs="Times New Roman"/>
                <w:color w:val="auto"/>
                <w:sz w:val="24"/>
                <w:highlight w:val="none"/>
              </w:rPr>
              <w:t>)平均浓度为19.6ug/m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，中心城区环境空气质量优良天数比率为99.5%，较上年同期上升2.8个百分点</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rPr>
              <w:t>江川区、澄江市、通海县、华宁县、易门县、峨山县、新平县、元江县空气质量优良天数比率分别为99.4%</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rPr>
              <w:t>100%</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rPr>
              <w:t>99.4%</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rPr>
              <w:t>99.7%</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rPr>
              <w:t>99.7%</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rPr>
              <w:t>99.4%</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rPr>
              <w:t>99.7%</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rPr>
              <w:t>99.4%。</w:t>
            </w:r>
          </w:p>
          <w:p w14:paraId="6E42816C">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根据玉溪市环境空气自动监测站202</w:t>
            </w:r>
            <w:r>
              <w:rPr>
                <w:rFonts w:hint="eastAsia" w:ascii="Times New Roman" w:hAnsi="Times New Roman" w:cs="Times New Roman"/>
                <w:color w:val="auto"/>
                <w:sz w:val="24"/>
                <w:highlight w:val="none"/>
                <w:lang w:val="en-US" w:eastAsia="zh-CN"/>
              </w:rPr>
              <w:t>4</w:t>
            </w:r>
            <w:r>
              <w:rPr>
                <w:rFonts w:hint="eastAsia" w:ascii="Times New Roman" w:hAnsi="Times New Roman" w:eastAsia="宋体" w:cs="Times New Roman"/>
                <w:color w:val="auto"/>
                <w:sz w:val="24"/>
                <w:highlight w:val="none"/>
              </w:rPr>
              <w:t>年全年监测数据，玉溪市202</w:t>
            </w:r>
            <w:r>
              <w:rPr>
                <w:rFonts w:hint="eastAsia" w:ascii="Times New Roman" w:hAnsi="Times New Roman" w:cs="Times New Roman"/>
                <w:color w:val="auto"/>
                <w:sz w:val="24"/>
                <w:highlight w:val="none"/>
                <w:lang w:val="en-US" w:eastAsia="zh-CN"/>
              </w:rPr>
              <w:t>4</w:t>
            </w:r>
            <w:r>
              <w:rPr>
                <w:rFonts w:hint="eastAsia" w:ascii="Times New Roman" w:hAnsi="Times New Roman" w:eastAsia="宋体" w:cs="Times New Roman"/>
                <w:color w:val="auto"/>
                <w:sz w:val="24"/>
                <w:highlight w:val="none"/>
              </w:rPr>
              <w:t>年环境空气质量基本指标SO</w:t>
            </w:r>
            <w:r>
              <w:rPr>
                <w:rFonts w:hint="eastAsia" w:ascii="Times New Roman" w:hAnsi="Times New Roman" w:eastAsia="宋体" w:cs="Times New Roman"/>
                <w:color w:val="auto"/>
                <w:sz w:val="24"/>
                <w:highlight w:val="none"/>
                <w:vertAlign w:val="subscript"/>
              </w:rPr>
              <w:t>2</w:t>
            </w:r>
            <w:r>
              <w:rPr>
                <w:rFonts w:hint="eastAsia" w:ascii="Times New Roman" w:hAnsi="Times New Roman" w:eastAsia="宋体" w:cs="Times New Roman"/>
                <w:color w:val="auto"/>
                <w:sz w:val="24"/>
                <w:highlight w:val="none"/>
              </w:rPr>
              <w:t>、NO</w:t>
            </w:r>
            <w:r>
              <w:rPr>
                <w:rFonts w:hint="eastAsia" w:ascii="Times New Roman" w:hAnsi="Times New Roman" w:eastAsia="宋体" w:cs="Times New Roman"/>
                <w:color w:val="auto"/>
                <w:sz w:val="24"/>
                <w:highlight w:val="none"/>
                <w:vertAlign w:val="subscript"/>
              </w:rPr>
              <w:t>2</w:t>
            </w:r>
            <w:r>
              <w:rPr>
                <w:rFonts w:hint="eastAsia" w:ascii="Times New Roman" w:hAnsi="Times New Roman" w:eastAsia="宋体" w:cs="Times New Roman"/>
                <w:color w:val="auto"/>
                <w:sz w:val="24"/>
                <w:highlight w:val="none"/>
              </w:rPr>
              <w:t>、CO、</w:t>
            </w:r>
            <w:r>
              <w:rPr>
                <w:rFonts w:hint="eastAsia" w:ascii="Times New Roman" w:hAnsi="Times New Roman" w:eastAsia="宋体" w:cs="Times New Roman"/>
                <w:color w:val="auto"/>
                <w:sz w:val="24"/>
                <w:highlight w:val="none"/>
                <w:lang w:val="en-US" w:eastAsia="zh-CN"/>
              </w:rPr>
              <w:t>O</w:t>
            </w:r>
            <w:r>
              <w:rPr>
                <w:rFonts w:hint="eastAsia" w:ascii="Times New Roman" w:hAnsi="Times New Roman" w:eastAsia="宋体" w:cs="Times New Roman"/>
                <w:color w:val="auto"/>
                <w:sz w:val="24"/>
                <w:highlight w:val="none"/>
                <w:vertAlign w:val="subscript"/>
                <w:lang w:val="en-US" w:eastAsia="zh-CN"/>
              </w:rPr>
              <w:t>3</w:t>
            </w:r>
            <w:r>
              <w:rPr>
                <w:rFonts w:hint="eastAsia" w:ascii="Times New Roman" w:hAnsi="Times New Roman" w:eastAsia="宋体" w:cs="Times New Roman"/>
                <w:color w:val="auto"/>
                <w:sz w:val="24"/>
                <w:highlight w:val="none"/>
              </w:rPr>
              <w:t>、PM</w:t>
            </w:r>
            <w:r>
              <w:rPr>
                <w:rFonts w:hint="eastAsia" w:ascii="Times New Roman" w:hAnsi="Times New Roman" w:eastAsia="宋体" w:cs="Times New Roman"/>
                <w:color w:val="auto"/>
                <w:sz w:val="24"/>
                <w:highlight w:val="none"/>
                <w:vertAlign w:val="subscript"/>
                <w:lang w:val="en-US" w:eastAsia="zh-CN"/>
              </w:rPr>
              <w:t>10</w:t>
            </w:r>
            <w:r>
              <w:rPr>
                <w:rFonts w:hint="eastAsia" w:ascii="Times New Roman" w:hAnsi="Times New Roman" w:eastAsia="宋体" w:cs="Times New Roman"/>
                <w:color w:val="auto"/>
                <w:sz w:val="24"/>
                <w:highlight w:val="none"/>
              </w:rPr>
              <w:t>和PM</w:t>
            </w:r>
            <w:r>
              <w:rPr>
                <w:rFonts w:hint="eastAsia" w:ascii="Times New Roman" w:hAnsi="Times New Roman" w:eastAsia="宋体" w:cs="Times New Roman"/>
                <w:color w:val="auto"/>
                <w:sz w:val="24"/>
                <w:highlight w:val="none"/>
                <w:vertAlign w:val="subscript"/>
                <w:lang w:val="en-US" w:eastAsia="zh-CN"/>
              </w:rPr>
              <w:t>2.5</w:t>
            </w:r>
            <w:r>
              <w:rPr>
                <w:rFonts w:hint="eastAsia" w:ascii="Times New Roman" w:hAnsi="Times New Roman" w:eastAsia="宋体" w:cs="Times New Roman"/>
                <w:color w:val="auto"/>
                <w:sz w:val="24"/>
                <w:highlight w:val="none"/>
              </w:rPr>
              <w:t>年评价结果均</w:t>
            </w:r>
            <w:r>
              <w:rPr>
                <w:rFonts w:hint="eastAsia" w:ascii="Times New Roman" w:hAnsi="Times New Roman" w:eastAsia="宋体" w:cs="Times New Roman"/>
                <w:color w:val="auto"/>
                <w:sz w:val="24"/>
                <w:highlight w:val="none"/>
                <w:lang w:val="en-US" w:eastAsia="zh-CN"/>
              </w:rPr>
              <w:t>能</w:t>
            </w:r>
            <w:r>
              <w:rPr>
                <w:rFonts w:hint="eastAsia" w:ascii="Times New Roman" w:hAnsi="Times New Roman" w:eastAsia="宋体" w:cs="Times New Roman"/>
                <w:color w:val="auto"/>
                <w:sz w:val="24"/>
                <w:highlight w:val="none"/>
              </w:rPr>
              <w:t>达到《环境空气质量标准》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GB3095-2012</w:t>
            </w:r>
            <w:r>
              <w:rPr>
                <w:rFonts w:hint="eastAsia" w:ascii="Times New Roman" w:hAnsi="Times New Roman" w:eastAsia="宋体" w:cs="Times New Roman"/>
                <w:color w:val="auto"/>
                <w:sz w:val="24"/>
                <w:highlight w:val="none"/>
                <w:lang w:eastAsia="zh-CN"/>
              </w:rPr>
              <w:t>）及2018年修改单中的</w:t>
            </w:r>
            <w:r>
              <w:rPr>
                <w:rFonts w:hint="eastAsia" w:ascii="Times New Roman" w:hAnsi="Times New Roman" w:eastAsia="宋体" w:cs="Times New Roman"/>
                <w:color w:val="auto"/>
                <w:sz w:val="24"/>
                <w:highlight w:val="none"/>
              </w:rPr>
              <w:t>二级标准</w:t>
            </w:r>
            <w:r>
              <w:rPr>
                <w:rFonts w:hint="eastAsia" w:ascii="Times New Roman" w:hAnsi="Times New Roman" w:eastAsia="宋体" w:cs="Times New Roman"/>
                <w:color w:val="auto"/>
                <w:sz w:val="24"/>
                <w:highlight w:val="none"/>
                <w:lang w:val="en-US" w:eastAsia="zh-CN"/>
              </w:rPr>
              <w:t>限值</w:t>
            </w:r>
            <w:r>
              <w:rPr>
                <w:rFonts w:hint="eastAsia" w:ascii="Times New Roman" w:hAnsi="Times New Roman" w:eastAsia="宋体" w:cs="Times New Roman"/>
                <w:color w:val="auto"/>
                <w:sz w:val="24"/>
                <w:highlight w:val="none"/>
              </w:rPr>
              <w:t>要求</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具体详见下表</w:t>
            </w:r>
            <w:r>
              <w:rPr>
                <w:rFonts w:hint="eastAsia" w:ascii="Times New Roman" w:hAnsi="Times New Roman" w:eastAsia="宋体" w:cs="Times New Roman"/>
                <w:color w:val="auto"/>
                <w:sz w:val="24"/>
                <w:highlight w:val="none"/>
              </w:rPr>
              <w:t>。</w:t>
            </w:r>
          </w:p>
          <w:p w14:paraId="7C97B8D5">
            <w:pPr>
              <w:jc w:val="center"/>
              <w:rPr>
                <w:rFonts w:hint="default" w:ascii="Times New Roman" w:hAnsi="Times New Roman" w:eastAsia="宋体" w:cs="宋体"/>
                <w:b/>
                <w:color w:val="auto"/>
                <w:kern w:val="0"/>
                <w:sz w:val="24"/>
                <w:highlight w:val="none"/>
                <w:lang w:val="en-US" w:eastAsia="zh-CN"/>
              </w:rPr>
            </w:pPr>
            <w:r>
              <w:rPr>
                <w:rFonts w:hint="eastAsia" w:ascii="Times New Roman" w:hAnsi="Times New Roman" w:eastAsia="宋体" w:cs="宋体"/>
                <w:b/>
                <w:color w:val="auto"/>
                <w:kern w:val="0"/>
                <w:sz w:val="24"/>
                <w:highlight w:val="none"/>
                <w:lang w:val="en-US" w:eastAsia="zh-CN"/>
              </w:rPr>
              <w:t>表3.1-2   202</w:t>
            </w:r>
            <w:r>
              <w:rPr>
                <w:rFonts w:hint="eastAsia" w:ascii="Times New Roman" w:hAnsi="Times New Roman" w:cs="宋体"/>
                <w:b/>
                <w:color w:val="auto"/>
                <w:kern w:val="0"/>
                <w:sz w:val="24"/>
                <w:highlight w:val="none"/>
                <w:lang w:val="en-US" w:eastAsia="zh-CN"/>
              </w:rPr>
              <w:t>4</w:t>
            </w:r>
            <w:r>
              <w:rPr>
                <w:rFonts w:hint="eastAsia" w:ascii="Times New Roman" w:hAnsi="Times New Roman" w:eastAsia="宋体" w:cs="宋体"/>
                <w:b/>
                <w:color w:val="auto"/>
                <w:kern w:val="0"/>
                <w:sz w:val="24"/>
                <w:highlight w:val="none"/>
                <w:lang w:val="en-US" w:eastAsia="zh-CN"/>
              </w:rPr>
              <w:t>年玉溪市环境空气质量现状评价表</w:t>
            </w:r>
          </w:p>
          <w:tbl>
            <w:tblPr>
              <w:tblStyle w:val="36"/>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769"/>
              <w:gridCol w:w="1061"/>
              <w:gridCol w:w="1292"/>
              <w:gridCol w:w="1268"/>
              <w:gridCol w:w="767"/>
            </w:tblGrid>
            <w:tr w14:paraId="7931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7D7D7" w:themeFill="background1" w:themeFillShade="D8"/>
                  <w:noWrap w:val="0"/>
                  <w:vAlign w:val="center"/>
                </w:tcPr>
                <w:p w14:paraId="40A9BDB1">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污染物</w:t>
                  </w:r>
                </w:p>
              </w:tc>
              <w:tc>
                <w:tcPr>
                  <w:tcW w:w="3068" w:type="dxa"/>
                  <w:shd w:val="clear" w:color="auto" w:fill="D7D7D7" w:themeFill="background1" w:themeFillShade="D8"/>
                  <w:noWrap w:val="0"/>
                  <w:vAlign w:val="center"/>
                </w:tcPr>
                <w:p w14:paraId="42BD7178">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评价指标</w:t>
                  </w:r>
                </w:p>
              </w:tc>
              <w:tc>
                <w:tcPr>
                  <w:tcW w:w="1159" w:type="dxa"/>
                  <w:shd w:val="clear" w:color="auto" w:fill="D7D7D7" w:themeFill="background1" w:themeFillShade="D8"/>
                  <w:noWrap w:val="0"/>
                  <w:vAlign w:val="center"/>
                </w:tcPr>
                <w:p w14:paraId="337B50E7">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现状浓度（</w:t>
                  </w:r>
                  <w:r>
                    <w:rPr>
                      <w:rFonts w:ascii="Times New Roman" w:hAnsi="Times New Roman"/>
                      <w:b w:val="0"/>
                      <w:bCs/>
                      <w:color w:val="auto"/>
                      <w:sz w:val="21"/>
                      <w:szCs w:val="21"/>
                      <w:highlight w:val="none"/>
                    </w:rPr>
                    <w:t>μg/m</w:t>
                  </w:r>
                  <w:r>
                    <w:rPr>
                      <w:rFonts w:ascii="Times New Roman" w:hAnsi="Times New Roman"/>
                      <w:b w:val="0"/>
                      <w:bCs/>
                      <w:color w:val="auto"/>
                      <w:sz w:val="21"/>
                      <w:szCs w:val="21"/>
                      <w:highlight w:val="none"/>
                      <w:vertAlign w:val="superscript"/>
                    </w:rPr>
                    <w:t>3</w:t>
                  </w:r>
                  <w:r>
                    <w:rPr>
                      <w:rFonts w:hint="eastAsia" w:ascii="Times New Roman" w:hAnsi="Times New Roman" w:eastAsia="宋体" w:cs="Times New Roman"/>
                      <w:b w:val="0"/>
                      <w:bCs/>
                      <w:color w:val="auto"/>
                      <w:sz w:val="21"/>
                      <w:szCs w:val="21"/>
                      <w:highlight w:val="none"/>
                      <w:lang w:val="en-US" w:eastAsia="zh-CN"/>
                    </w:rPr>
                    <w:t>）</w:t>
                  </w:r>
                </w:p>
              </w:tc>
              <w:tc>
                <w:tcPr>
                  <w:tcW w:w="1418" w:type="dxa"/>
                  <w:shd w:val="clear" w:color="auto" w:fill="D7D7D7" w:themeFill="background1" w:themeFillShade="D8"/>
                  <w:noWrap w:val="0"/>
                  <w:vAlign w:val="center"/>
                </w:tcPr>
                <w:p w14:paraId="3858E562">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标准限值（</w:t>
                  </w:r>
                  <w:r>
                    <w:rPr>
                      <w:rFonts w:ascii="Times New Roman" w:hAnsi="Times New Roman"/>
                      <w:b w:val="0"/>
                      <w:bCs/>
                      <w:color w:val="auto"/>
                      <w:sz w:val="21"/>
                      <w:szCs w:val="21"/>
                      <w:highlight w:val="none"/>
                    </w:rPr>
                    <w:t>μg/m</w:t>
                  </w:r>
                  <w:r>
                    <w:rPr>
                      <w:rFonts w:ascii="Times New Roman" w:hAnsi="Times New Roman"/>
                      <w:b w:val="0"/>
                      <w:bCs/>
                      <w:color w:val="auto"/>
                      <w:sz w:val="21"/>
                      <w:szCs w:val="21"/>
                      <w:highlight w:val="none"/>
                      <w:vertAlign w:val="superscript"/>
                    </w:rPr>
                    <w:t>3</w:t>
                  </w:r>
                  <w:r>
                    <w:rPr>
                      <w:rFonts w:hint="eastAsia" w:ascii="Times New Roman" w:hAnsi="Times New Roman" w:eastAsia="宋体" w:cs="Times New Roman"/>
                      <w:b w:val="0"/>
                      <w:bCs/>
                      <w:color w:val="auto"/>
                      <w:sz w:val="21"/>
                      <w:szCs w:val="21"/>
                      <w:highlight w:val="none"/>
                      <w:lang w:val="en-US" w:eastAsia="zh-CN"/>
                    </w:rPr>
                    <w:t>）</w:t>
                  </w:r>
                </w:p>
              </w:tc>
              <w:tc>
                <w:tcPr>
                  <w:tcW w:w="1391" w:type="dxa"/>
                  <w:shd w:val="clear" w:color="auto" w:fill="D7D7D7" w:themeFill="background1" w:themeFillShade="D8"/>
                  <w:noWrap w:val="0"/>
                  <w:vAlign w:val="center"/>
                </w:tcPr>
                <w:p w14:paraId="29D30111">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占标率（%）</w:t>
                  </w:r>
                </w:p>
              </w:tc>
              <w:tc>
                <w:tcPr>
                  <w:tcW w:w="831" w:type="dxa"/>
                  <w:shd w:val="clear" w:color="auto" w:fill="D7D7D7" w:themeFill="background1" w:themeFillShade="D8"/>
                  <w:noWrap w:val="0"/>
                  <w:vAlign w:val="center"/>
                </w:tcPr>
                <w:p w14:paraId="374CF8AD">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达标情况</w:t>
                  </w:r>
                </w:p>
              </w:tc>
            </w:tr>
            <w:tr w14:paraId="4AFB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14:paraId="7E8D752B">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SO</w:t>
                  </w:r>
                  <w:r>
                    <w:rPr>
                      <w:rFonts w:hint="eastAsia" w:ascii="Times New Roman" w:hAnsi="Times New Roman" w:eastAsia="宋体" w:cs="Times New Roman"/>
                      <w:color w:val="auto"/>
                      <w:sz w:val="21"/>
                      <w:szCs w:val="21"/>
                      <w:highlight w:val="none"/>
                      <w:vertAlign w:val="subscript"/>
                    </w:rPr>
                    <w:t>2</w:t>
                  </w:r>
                </w:p>
              </w:tc>
              <w:tc>
                <w:tcPr>
                  <w:tcW w:w="3068" w:type="dxa"/>
                  <w:noWrap w:val="0"/>
                  <w:vAlign w:val="center"/>
                </w:tcPr>
                <w:p w14:paraId="69668983">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年平均质量浓度</w:t>
                  </w:r>
                </w:p>
              </w:tc>
              <w:tc>
                <w:tcPr>
                  <w:tcW w:w="1159" w:type="dxa"/>
                  <w:noWrap w:val="0"/>
                  <w:vAlign w:val="center"/>
                </w:tcPr>
                <w:p w14:paraId="47784735">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10.41</w:t>
                  </w:r>
                </w:p>
              </w:tc>
              <w:tc>
                <w:tcPr>
                  <w:tcW w:w="1418" w:type="dxa"/>
                  <w:noWrap w:val="0"/>
                  <w:vAlign w:val="center"/>
                </w:tcPr>
                <w:p w14:paraId="12D41C89">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60</w:t>
                  </w:r>
                </w:p>
              </w:tc>
              <w:tc>
                <w:tcPr>
                  <w:tcW w:w="1391" w:type="dxa"/>
                  <w:noWrap w:val="0"/>
                  <w:vAlign w:val="center"/>
                </w:tcPr>
                <w:p w14:paraId="39D3048F">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17.35</w:t>
                  </w:r>
                </w:p>
              </w:tc>
              <w:tc>
                <w:tcPr>
                  <w:tcW w:w="831" w:type="dxa"/>
                  <w:noWrap w:val="0"/>
                  <w:vAlign w:val="center"/>
                </w:tcPr>
                <w:p w14:paraId="3ACBDEEA">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14:paraId="45D1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14:paraId="6F0BB887">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NO</w:t>
                  </w:r>
                  <w:r>
                    <w:rPr>
                      <w:rFonts w:hint="eastAsia" w:ascii="Times New Roman" w:hAnsi="Times New Roman" w:eastAsia="宋体" w:cs="Times New Roman"/>
                      <w:color w:val="auto"/>
                      <w:sz w:val="21"/>
                      <w:szCs w:val="21"/>
                      <w:highlight w:val="none"/>
                      <w:vertAlign w:val="subscript"/>
                    </w:rPr>
                    <w:t>2</w:t>
                  </w:r>
                </w:p>
              </w:tc>
              <w:tc>
                <w:tcPr>
                  <w:tcW w:w="3068" w:type="dxa"/>
                  <w:noWrap w:val="0"/>
                  <w:vAlign w:val="center"/>
                </w:tcPr>
                <w:p w14:paraId="0ACDD269">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年平均质量浓度</w:t>
                  </w:r>
                </w:p>
              </w:tc>
              <w:tc>
                <w:tcPr>
                  <w:tcW w:w="1159" w:type="dxa"/>
                  <w:noWrap w:val="0"/>
                  <w:vAlign w:val="center"/>
                </w:tcPr>
                <w:p w14:paraId="1F047829">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18.32</w:t>
                  </w:r>
                </w:p>
              </w:tc>
              <w:tc>
                <w:tcPr>
                  <w:tcW w:w="1418" w:type="dxa"/>
                  <w:noWrap w:val="0"/>
                  <w:vAlign w:val="center"/>
                </w:tcPr>
                <w:p w14:paraId="1C403AFF">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w:t>
                  </w:r>
                </w:p>
              </w:tc>
              <w:tc>
                <w:tcPr>
                  <w:tcW w:w="1391" w:type="dxa"/>
                  <w:noWrap w:val="0"/>
                  <w:vAlign w:val="center"/>
                </w:tcPr>
                <w:p w14:paraId="79FF1F54">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45.80</w:t>
                  </w:r>
                </w:p>
              </w:tc>
              <w:tc>
                <w:tcPr>
                  <w:tcW w:w="831" w:type="dxa"/>
                  <w:noWrap w:val="0"/>
                  <w:vAlign w:val="center"/>
                </w:tcPr>
                <w:p w14:paraId="7C371351">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14:paraId="7A39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14:paraId="341163CC">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CO</w:t>
                  </w:r>
                </w:p>
              </w:tc>
              <w:tc>
                <w:tcPr>
                  <w:tcW w:w="3068" w:type="dxa"/>
                  <w:noWrap w:val="0"/>
                  <w:vAlign w:val="center"/>
                </w:tcPr>
                <w:p w14:paraId="7BF13591">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24h平均第95百分位浓度</w:t>
                  </w:r>
                </w:p>
              </w:tc>
              <w:tc>
                <w:tcPr>
                  <w:tcW w:w="1159" w:type="dxa"/>
                  <w:noWrap w:val="0"/>
                  <w:vAlign w:val="center"/>
                </w:tcPr>
                <w:p w14:paraId="5EA5B64C">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w:t>
                  </w:r>
                  <w:r>
                    <w:rPr>
                      <w:rFonts w:hint="eastAsia" w:ascii="Times New Roman" w:hAnsi="Times New Roman" w:cs="Times New Roman"/>
                      <w:b w:val="0"/>
                      <w:bCs/>
                      <w:color w:val="auto"/>
                      <w:sz w:val="21"/>
                      <w:szCs w:val="21"/>
                      <w:highlight w:val="none"/>
                      <w:lang w:val="en-US" w:eastAsia="zh-CN"/>
                    </w:rPr>
                    <w:t>2</w:t>
                  </w:r>
                  <w:r>
                    <w:rPr>
                      <w:rFonts w:hint="eastAsia" w:ascii="Times New Roman" w:hAnsi="Times New Roman" w:eastAsia="宋体" w:cs="Times New Roman"/>
                      <w:b w:val="0"/>
                      <w:bCs/>
                      <w:color w:val="auto"/>
                      <w:sz w:val="21"/>
                      <w:szCs w:val="21"/>
                      <w:highlight w:val="none"/>
                      <w:lang w:val="en-US" w:eastAsia="zh-CN"/>
                    </w:rPr>
                    <w:t>00</w:t>
                  </w:r>
                </w:p>
              </w:tc>
              <w:tc>
                <w:tcPr>
                  <w:tcW w:w="1418" w:type="dxa"/>
                  <w:noWrap w:val="0"/>
                  <w:vAlign w:val="center"/>
                </w:tcPr>
                <w:p w14:paraId="5A5A91DA">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4000</w:t>
                  </w:r>
                </w:p>
              </w:tc>
              <w:tc>
                <w:tcPr>
                  <w:tcW w:w="1391" w:type="dxa"/>
                  <w:noWrap w:val="0"/>
                  <w:vAlign w:val="center"/>
                </w:tcPr>
                <w:p w14:paraId="745D257C">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30.00</w:t>
                  </w:r>
                </w:p>
              </w:tc>
              <w:tc>
                <w:tcPr>
                  <w:tcW w:w="831" w:type="dxa"/>
                  <w:noWrap w:val="0"/>
                  <w:vAlign w:val="center"/>
                </w:tcPr>
                <w:p w14:paraId="43715061">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14:paraId="26DA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14:paraId="2B87EE1F">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O</w:t>
                  </w:r>
                  <w:r>
                    <w:rPr>
                      <w:rFonts w:hint="eastAsia" w:ascii="Times New Roman" w:hAnsi="Times New Roman" w:eastAsia="宋体" w:cs="Times New Roman"/>
                      <w:color w:val="auto"/>
                      <w:sz w:val="21"/>
                      <w:szCs w:val="21"/>
                      <w:highlight w:val="none"/>
                      <w:vertAlign w:val="subscript"/>
                      <w:lang w:val="en-US" w:eastAsia="zh-CN"/>
                    </w:rPr>
                    <w:t>3</w:t>
                  </w:r>
                </w:p>
              </w:tc>
              <w:tc>
                <w:tcPr>
                  <w:tcW w:w="3068" w:type="dxa"/>
                  <w:noWrap w:val="0"/>
                  <w:vAlign w:val="center"/>
                </w:tcPr>
                <w:p w14:paraId="3E9D0EE9">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日最大8h平均第90百分位浓度</w:t>
                  </w:r>
                </w:p>
              </w:tc>
              <w:tc>
                <w:tcPr>
                  <w:tcW w:w="1159" w:type="dxa"/>
                  <w:noWrap w:val="0"/>
                  <w:vAlign w:val="center"/>
                </w:tcPr>
                <w:p w14:paraId="54D4DB3D">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13</w:t>
                  </w:r>
                  <w:r>
                    <w:rPr>
                      <w:rFonts w:hint="eastAsia" w:ascii="Times New Roman" w:hAnsi="Times New Roman" w:cs="Times New Roman"/>
                      <w:b w:val="0"/>
                      <w:bCs/>
                      <w:color w:val="auto"/>
                      <w:sz w:val="21"/>
                      <w:szCs w:val="21"/>
                      <w:highlight w:val="none"/>
                      <w:lang w:val="en-US" w:eastAsia="zh-CN"/>
                    </w:rPr>
                    <w:t>4</w:t>
                  </w:r>
                </w:p>
              </w:tc>
              <w:tc>
                <w:tcPr>
                  <w:tcW w:w="1418" w:type="dxa"/>
                  <w:noWrap w:val="0"/>
                  <w:vAlign w:val="center"/>
                </w:tcPr>
                <w:p w14:paraId="2240EDBB">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160</w:t>
                  </w:r>
                </w:p>
              </w:tc>
              <w:tc>
                <w:tcPr>
                  <w:tcW w:w="1391" w:type="dxa"/>
                  <w:noWrap w:val="0"/>
                  <w:vAlign w:val="center"/>
                </w:tcPr>
                <w:p w14:paraId="3A29F539">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83.75</w:t>
                  </w:r>
                </w:p>
              </w:tc>
              <w:tc>
                <w:tcPr>
                  <w:tcW w:w="831" w:type="dxa"/>
                  <w:noWrap w:val="0"/>
                  <w:vAlign w:val="center"/>
                </w:tcPr>
                <w:p w14:paraId="7F721BD2">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14:paraId="7448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14:paraId="1E64F07C">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PM</w:t>
                  </w:r>
                  <w:r>
                    <w:rPr>
                      <w:rFonts w:hint="eastAsia" w:ascii="Times New Roman" w:hAnsi="Times New Roman" w:eastAsia="宋体" w:cs="Times New Roman"/>
                      <w:color w:val="auto"/>
                      <w:sz w:val="21"/>
                      <w:szCs w:val="21"/>
                      <w:highlight w:val="none"/>
                      <w:vertAlign w:val="subscript"/>
                      <w:lang w:val="en-US" w:eastAsia="zh-CN"/>
                    </w:rPr>
                    <w:t>10</w:t>
                  </w:r>
                </w:p>
              </w:tc>
              <w:tc>
                <w:tcPr>
                  <w:tcW w:w="3068" w:type="dxa"/>
                  <w:noWrap w:val="0"/>
                  <w:vAlign w:val="center"/>
                </w:tcPr>
                <w:p w14:paraId="594253E5">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年平均质量浓度</w:t>
                  </w:r>
                </w:p>
              </w:tc>
              <w:tc>
                <w:tcPr>
                  <w:tcW w:w="1159" w:type="dxa"/>
                  <w:noWrap w:val="0"/>
                  <w:vAlign w:val="center"/>
                </w:tcPr>
                <w:p w14:paraId="1044EE15">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32.66</w:t>
                  </w:r>
                </w:p>
              </w:tc>
              <w:tc>
                <w:tcPr>
                  <w:tcW w:w="1418" w:type="dxa"/>
                  <w:noWrap w:val="0"/>
                  <w:vAlign w:val="center"/>
                </w:tcPr>
                <w:p w14:paraId="33D36D4C">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70</w:t>
                  </w:r>
                </w:p>
              </w:tc>
              <w:tc>
                <w:tcPr>
                  <w:tcW w:w="1391" w:type="dxa"/>
                  <w:noWrap w:val="0"/>
                  <w:vAlign w:val="center"/>
                </w:tcPr>
                <w:p w14:paraId="4F8C7A2F">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46.66</w:t>
                  </w:r>
                </w:p>
              </w:tc>
              <w:tc>
                <w:tcPr>
                  <w:tcW w:w="831" w:type="dxa"/>
                  <w:noWrap w:val="0"/>
                  <w:vAlign w:val="center"/>
                </w:tcPr>
                <w:p w14:paraId="6230A85D">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14:paraId="3021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14:paraId="5FDE2159">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PM</w:t>
                  </w:r>
                  <w:r>
                    <w:rPr>
                      <w:rFonts w:hint="eastAsia" w:ascii="Times New Roman" w:hAnsi="Times New Roman" w:eastAsia="宋体" w:cs="Times New Roman"/>
                      <w:color w:val="auto"/>
                      <w:sz w:val="21"/>
                      <w:szCs w:val="21"/>
                      <w:highlight w:val="none"/>
                      <w:vertAlign w:val="subscript"/>
                      <w:lang w:val="en-US" w:eastAsia="zh-CN"/>
                    </w:rPr>
                    <w:t>2.5</w:t>
                  </w:r>
                </w:p>
              </w:tc>
              <w:tc>
                <w:tcPr>
                  <w:tcW w:w="3068" w:type="dxa"/>
                  <w:noWrap w:val="0"/>
                  <w:vAlign w:val="center"/>
                </w:tcPr>
                <w:p w14:paraId="227AA68B">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年平均质量浓度</w:t>
                  </w:r>
                </w:p>
              </w:tc>
              <w:tc>
                <w:tcPr>
                  <w:tcW w:w="1159" w:type="dxa"/>
                  <w:noWrap w:val="0"/>
                  <w:vAlign w:val="center"/>
                </w:tcPr>
                <w:p w14:paraId="3AE67FD1">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19.80</w:t>
                  </w:r>
                </w:p>
              </w:tc>
              <w:tc>
                <w:tcPr>
                  <w:tcW w:w="1418" w:type="dxa"/>
                  <w:noWrap w:val="0"/>
                  <w:vAlign w:val="center"/>
                </w:tcPr>
                <w:p w14:paraId="5C36CDD4">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35</w:t>
                  </w:r>
                </w:p>
              </w:tc>
              <w:tc>
                <w:tcPr>
                  <w:tcW w:w="1391" w:type="dxa"/>
                  <w:noWrap w:val="0"/>
                  <w:vAlign w:val="center"/>
                </w:tcPr>
                <w:p w14:paraId="74E11AEB">
                  <w:pPr>
                    <w:adjustRightInd w:val="0"/>
                    <w:snapToGrid w:val="0"/>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56.57</w:t>
                  </w:r>
                </w:p>
              </w:tc>
              <w:tc>
                <w:tcPr>
                  <w:tcW w:w="831" w:type="dxa"/>
                  <w:noWrap w:val="0"/>
                  <w:vAlign w:val="center"/>
                </w:tcPr>
                <w:p w14:paraId="29D18A85">
                  <w:pPr>
                    <w:adjustRightInd w:val="0"/>
                    <w:snapToGrid w:val="0"/>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bl>
          <w:p w14:paraId="049B8711">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由上表可知，</w:t>
            </w:r>
            <w:r>
              <w:rPr>
                <w:rFonts w:hint="eastAsia" w:ascii="Times New Roman" w:hAnsi="Times New Roman" w:eastAsia="宋体" w:cs="Times New Roman"/>
                <w:color w:val="auto"/>
                <w:sz w:val="24"/>
                <w:highlight w:val="none"/>
              </w:rPr>
              <w:t>项目区环境空气质量属</w:t>
            </w:r>
            <w:r>
              <w:rPr>
                <w:rFonts w:hint="eastAsia" w:ascii="Times New Roman" w:hAnsi="Times New Roman" w:eastAsia="宋体" w:cs="Times New Roman"/>
                <w:color w:val="auto"/>
                <w:sz w:val="24"/>
                <w:highlight w:val="none"/>
                <w:lang w:val="en-US" w:eastAsia="zh-CN"/>
              </w:rPr>
              <w:t>于</w:t>
            </w:r>
            <w:r>
              <w:rPr>
                <w:rFonts w:hint="eastAsia" w:ascii="Times New Roman" w:hAnsi="Times New Roman" w:eastAsia="宋体" w:cs="Times New Roman"/>
                <w:color w:val="auto"/>
                <w:sz w:val="24"/>
                <w:highlight w:val="none"/>
              </w:rPr>
              <w:t>达标区。</w:t>
            </w:r>
          </w:p>
          <w:p w14:paraId="1A747C16">
            <w:pPr>
              <w:spacing w:line="360" w:lineRule="auto"/>
              <w:ind w:firstLine="482" w:firstLineChars="200"/>
              <w:rPr>
                <w:rFonts w:hint="default" w:ascii="Times New Roman" w:hAnsi="Times New Roman" w:eastAsia="宋体"/>
                <w:b/>
                <w:bCs/>
                <w:color w:val="auto"/>
                <w:sz w:val="24"/>
                <w:highlight w:val="none"/>
                <w:lang w:val="en-US" w:eastAsia="zh-CN"/>
              </w:rPr>
            </w:pPr>
            <w:r>
              <w:rPr>
                <w:rFonts w:hint="eastAsia" w:ascii="Times New Roman" w:hAnsi="Times New Roman"/>
                <w:b/>
                <w:bCs/>
                <w:color w:val="auto"/>
                <w:sz w:val="24"/>
                <w:highlight w:val="none"/>
                <w:lang w:eastAsia="zh-CN"/>
              </w:rPr>
              <w:t>（</w:t>
            </w:r>
            <w:r>
              <w:rPr>
                <w:rFonts w:hint="eastAsia" w:ascii="Times New Roman" w:hAnsi="Times New Roman"/>
                <w:b/>
                <w:bCs/>
                <w:color w:val="auto"/>
                <w:sz w:val="24"/>
                <w:highlight w:val="none"/>
                <w:lang w:val="en-US" w:eastAsia="zh-CN"/>
              </w:rPr>
              <w:t>2</w:t>
            </w:r>
            <w:r>
              <w:rPr>
                <w:rFonts w:hint="eastAsia" w:ascii="Times New Roman" w:hAnsi="Times New Roman"/>
                <w:b/>
                <w:bCs/>
                <w:color w:val="auto"/>
                <w:sz w:val="24"/>
                <w:highlight w:val="none"/>
                <w:lang w:eastAsia="zh-CN"/>
              </w:rPr>
              <w:t>）</w:t>
            </w:r>
            <w:r>
              <w:rPr>
                <w:rFonts w:hint="eastAsia" w:ascii="Times New Roman" w:hAnsi="Times New Roman"/>
                <w:b/>
                <w:bCs/>
                <w:color w:val="auto"/>
                <w:sz w:val="24"/>
                <w:highlight w:val="none"/>
                <w:lang w:val="en-US" w:eastAsia="zh-CN"/>
              </w:rPr>
              <w:t>特征污染物</w:t>
            </w:r>
            <w:r>
              <w:rPr>
                <w:rFonts w:hint="eastAsia" w:ascii="Times New Roman" w:hAnsi="Times New Roman" w:eastAsia="宋体" w:cs="Times New Roman"/>
                <w:b/>
                <w:bCs/>
                <w:color w:val="auto"/>
                <w:sz w:val="24"/>
                <w:highlight w:val="none"/>
                <w:lang w:val="en-US" w:eastAsia="zh-CN"/>
              </w:rPr>
              <w:t>环境质量现状</w:t>
            </w:r>
          </w:p>
          <w:p w14:paraId="779E8915">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bCs/>
                <w:color w:val="auto"/>
                <w:sz w:val="24"/>
                <w:highlight w:val="none"/>
              </w:rPr>
              <w:t>项目特征污染物</w:t>
            </w:r>
            <w:r>
              <w:rPr>
                <w:rFonts w:hint="eastAsia" w:ascii="Times New Roman" w:hAnsi="Times New Roman"/>
                <w:bCs/>
                <w:color w:val="auto"/>
                <w:sz w:val="24"/>
                <w:highlight w:val="none"/>
                <w:lang w:val="en-US" w:eastAsia="zh-CN"/>
              </w:rPr>
              <w:t>为</w:t>
            </w:r>
            <w:r>
              <w:rPr>
                <w:rFonts w:hint="eastAsia" w:ascii="Times New Roman" w:hAnsi="Times New Roman"/>
                <w:bCs/>
                <w:color w:val="auto"/>
                <w:sz w:val="24"/>
                <w:highlight w:val="none"/>
              </w:rPr>
              <w:t>TSP</w:t>
            </w:r>
            <w:r>
              <w:rPr>
                <w:rFonts w:hint="eastAsia" w:ascii="Times New Roman" w:hAnsi="Times New Roman"/>
                <w:bCs/>
                <w:color w:val="auto"/>
                <w:sz w:val="24"/>
                <w:highlight w:val="none"/>
                <w:lang w:val="en-US" w:eastAsia="zh-CN"/>
              </w:rPr>
              <w:t>，引用《华裔智能高端门窗玻璃建设项目环境影响报告表》中</w:t>
            </w:r>
            <w:r>
              <w:rPr>
                <w:rFonts w:hint="eastAsia" w:ascii="Times New Roman" w:hAnsi="Times New Roman"/>
                <w:bCs/>
                <w:color w:val="auto"/>
                <w:sz w:val="24"/>
                <w:highlight w:val="none"/>
              </w:rPr>
              <w:t>云南</w:t>
            </w:r>
            <w:r>
              <w:rPr>
                <w:rFonts w:hint="eastAsia" w:ascii="Times New Roman" w:hAnsi="Times New Roman"/>
                <w:bCs/>
                <w:color w:val="auto"/>
                <w:sz w:val="24"/>
                <w:highlight w:val="none"/>
                <w:lang w:val="en-US" w:eastAsia="zh-CN"/>
              </w:rPr>
              <w:t>华恒环境科技</w:t>
            </w:r>
            <w:r>
              <w:rPr>
                <w:rFonts w:hint="eastAsia" w:ascii="Times New Roman" w:hAnsi="Times New Roman"/>
                <w:bCs/>
                <w:color w:val="auto"/>
                <w:sz w:val="24"/>
                <w:highlight w:val="none"/>
              </w:rPr>
              <w:t>有限公司</w:t>
            </w:r>
            <w:r>
              <w:rPr>
                <w:rFonts w:hint="eastAsia" w:ascii="Times New Roman" w:hAnsi="Times New Roman"/>
                <w:color w:val="auto"/>
                <w:sz w:val="24"/>
                <w:highlight w:val="none"/>
              </w:rPr>
              <w:t>于202</w:t>
            </w:r>
            <w:r>
              <w:rPr>
                <w:rFonts w:hint="eastAsia" w:ascii="Times New Roman" w:hAnsi="Times New Roman"/>
                <w:color w:val="auto"/>
                <w:sz w:val="24"/>
                <w:highlight w:val="none"/>
                <w:lang w:val="en-US" w:eastAsia="zh-CN"/>
              </w:rPr>
              <w:t>5</w:t>
            </w:r>
            <w:r>
              <w:rPr>
                <w:rFonts w:hint="eastAsia" w:ascii="Times New Roman" w:hAnsi="Times New Roman"/>
                <w:color w:val="auto"/>
                <w:sz w:val="24"/>
                <w:highlight w:val="none"/>
              </w:rPr>
              <w:t>年</w:t>
            </w:r>
            <w:r>
              <w:rPr>
                <w:rFonts w:hint="eastAsia" w:ascii="Times New Roman" w:hAnsi="Times New Roman"/>
                <w:color w:val="auto"/>
                <w:sz w:val="24"/>
                <w:highlight w:val="none"/>
                <w:lang w:val="en-US" w:eastAsia="zh-CN"/>
              </w:rPr>
              <w:t>3</w:t>
            </w:r>
            <w:r>
              <w:rPr>
                <w:rFonts w:hint="eastAsia" w:ascii="Times New Roman" w:hAnsi="Times New Roman"/>
                <w:color w:val="auto"/>
                <w:sz w:val="24"/>
                <w:highlight w:val="none"/>
              </w:rPr>
              <w:t>月</w:t>
            </w:r>
            <w:r>
              <w:rPr>
                <w:rFonts w:hint="eastAsia" w:ascii="Times New Roman" w:hAnsi="Times New Roman"/>
                <w:color w:val="auto"/>
                <w:sz w:val="24"/>
                <w:highlight w:val="none"/>
                <w:lang w:val="en-US" w:eastAsia="zh-CN"/>
              </w:rPr>
              <w:t>25</w:t>
            </w:r>
            <w:r>
              <w:rPr>
                <w:rFonts w:hint="eastAsia" w:ascii="Times New Roman" w:hAnsi="Times New Roman"/>
                <w:color w:val="auto"/>
                <w:sz w:val="24"/>
                <w:highlight w:val="none"/>
              </w:rPr>
              <w:t>日~202</w:t>
            </w:r>
            <w:r>
              <w:rPr>
                <w:rFonts w:hint="eastAsia" w:ascii="Times New Roman" w:hAnsi="Times New Roman"/>
                <w:color w:val="auto"/>
                <w:sz w:val="24"/>
                <w:highlight w:val="none"/>
                <w:lang w:val="en-US" w:eastAsia="zh-CN"/>
              </w:rPr>
              <w:t>5</w:t>
            </w:r>
            <w:r>
              <w:rPr>
                <w:rFonts w:hint="eastAsia" w:ascii="Times New Roman" w:hAnsi="Times New Roman"/>
                <w:color w:val="auto"/>
                <w:sz w:val="24"/>
                <w:highlight w:val="none"/>
              </w:rPr>
              <w:t>年</w:t>
            </w:r>
            <w:r>
              <w:rPr>
                <w:rFonts w:hint="eastAsia" w:ascii="Times New Roman" w:hAnsi="Times New Roman"/>
                <w:color w:val="auto"/>
                <w:sz w:val="24"/>
                <w:highlight w:val="none"/>
                <w:lang w:val="en-US" w:eastAsia="zh-CN"/>
              </w:rPr>
              <w:t>3</w:t>
            </w:r>
            <w:r>
              <w:rPr>
                <w:rFonts w:hint="eastAsia" w:ascii="Times New Roman" w:hAnsi="Times New Roman"/>
                <w:color w:val="auto"/>
                <w:sz w:val="24"/>
                <w:highlight w:val="none"/>
              </w:rPr>
              <w:t>月</w:t>
            </w:r>
            <w:r>
              <w:rPr>
                <w:rFonts w:hint="eastAsia" w:ascii="Times New Roman" w:hAnsi="Times New Roman"/>
                <w:color w:val="auto"/>
                <w:sz w:val="24"/>
                <w:highlight w:val="none"/>
                <w:lang w:val="en-US" w:eastAsia="zh-CN"/>
              </w:rPr>
              <w:t>28</w:t>
            </w:r>
            <w:r>
              <w:rPr>
                <w:rFonts w:hint="eastAsia" w:ascii="Times New Roman" w:hAnsi="Times New Roman"/>
                <w:color w:val="auto"/>
                <w:sz w:val="24"/>
                <w:highlight w:val="none"/>
              </w:rPr>
              <w:t>日的现状监测</w:t>
            </w:r>
            <w:r>
              <w:rPr>
                <w:rFonts w:hint="eastAsia" w:ascii="Times New Roman" w:hAnsi="Times New Roman"/>
                <w:color w:val="auto"/>
                <w:sz w:val="24"/>
                <w:highlight w:val="none"/>
                <w:lang w:val="en-US" w:eastAsia="zh-CN"/>
              </w:rPr>
              <w:t>数据</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该</w:t>
            </w:r>
            <w:r>
              <w:rPr>
                <w:rFonts w:hint="eastAsia" w:ascii="Times New Roman" w:hAnsi="Times New Roman"/>
                <w:bCs/>
                <w:color w:val="auto"/>
                <w:sz w:val="24"/>
                <w:highlight w:val="none"/>
                <w:lang w:val="en-US" w:eastAsia="zh-CN"/>
              </w:rPr>
              <w:t>监测点位位于本项目西南侧，直线距离约4.9km，</w:t>
            </w:r>
            <w:r>
              <w:rPr>
                <w:rFonts w:hint="default" w:ascii="Times New Roman" w:hAnsi="Times New Roman" w:eastAsia="宋体" w:cs="Times New Roman"/>
                <w:bCs/>
                <w:color w:val="auto"/>
                <w:sz w:val="24"/>
                <w:highlight w:val="none"/>
              </w:rPr>
              <w:t>本</w:t>
            </w:r>
            <w:r>
              <w:rPr>
                <w:rFonts w:hint="eastAsia" w:ascii="Times New Roman" w:hAnsi="Times New Roman" w:eastAsia="宋体" w:cs="Times New Roman"/>
                <w:bCs/>
                <w:color w:val="auto"/>
                <w:sz w:val="24"/>
                <w:highlight w:val="none"/>
                <w:lang w:val="en-US" w:eastAsia="zh-CN"/>
              </w:rPr>
              <w:t>次</w:t>
            </w:r>
            <w:r>
              <w:rPr>
                <w:rFonts w:hint="default" w:ascii="Times New Roman" w:hAnsi="Times New Roman" w:eastAsia="宋体" w:cs="Times New Roman"/>
                <w:bCs/>
                <w:color w:val="auto"/>
                <w:sz w:val="24"/>
                <w:highlight w:val="none"/>
              </w:rPr>
              <w:t>引用的</w:t>
            </w:r>
            <w:r>
              <w:rPr>
                <w:rFonts w:hint="eastAsia" w:ascii="Times New Roman" w:hAnsi="Times New Roman" w:eastAsia="宋体" w:cs="Times New Roman"/>
                <w:bCs/>
                <w:color w:val="auto"/>
                <w:sz w:val="24"/>
                <w:highlight w:val="none"/>
                <w:lang w:val="en-US" w:eastAsia="zh-CN"/>
              </w:rPr>
              <w:t>特征污染物TSP的</w:t>
            </w:r>
            <w:r>
              <w:rPr>
                <w:rFonts w:hint="default" w:ascii="Times New Roman" w:hAnsi="Times New Roman" w:eastAsia="宋体" w:cs="Times New Roman"/>
                <w:bCs/>
                <w:color w:val="auto"/>
                <w:sz w:val="24"/>
                <w:highlight w:val="none"/>
              </w:rPr>
              <w:t>监测数据在3年内，且监测点位与本项目在5km范围内，满足要求。</w:t>
            </w:r>
            <w:r>
              <w:rPr>
                <w:rFonts w:hint="eastAsia" w:ascii="Times New Roman" w:hAnsi="Times New Roman" w:eastAsia="宋体" w:cs="Times New Roman"/>
                <w:bCs/>
                <w:color w:val="auto"/>
                <w:sz w:val="24"/>
                <w:highlight w:val="none"/>
                <w:lang w:val="en-US" w:eastAsia="zh-CN"/>
              </w:rPr>
              <w:t>引用监测点位与本项目位置关系详见下图。</w:t>
            </w:r>
          </w:p>
          <w:p w14:paraId="28F688BD">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bCs/>
                <w:color w:val="auto"/>
                <w:sz w:val="24"/>
                <w:highlight w:val="none"/>
                <w:lang w:eastAsia="zh-CN"/>
              </w:rPr>
            </w:pPr>
            <w:r>
              <w:rPr>
                <w:rFonts w:hint="eastAsia" w:ascii="Times New Roman" w:hAnsi="Times New Roman"/>
                <w:bCs/>
                <w:color w:val="auto"/>
                <w:sz w:val="24"/>
                <w:highlight w:val="none"/>
                <w:lang w:val="en-US" w:eastAsia="zh-CN"/>
              </w:rPr>
              <w:t>具体</w:t>
            </w:r>
            <w:r>
              <w:rPr>
                <w:rFonts w:ascii="Times New Roman" w:hAnsi="Times New Roman"/>
                <w:bCs/>
                <w:color w:val="auto"/>
                <w:sz w:val="24"/>
                <w:highlight w:val="none"/>
              </w:rPr>
              <w:t>监测结果</w:t>
            </w:r>
            <w:r>
              <w:rPr>
                <w:rFonts w:hint="eastAsia" w:ascii="Times New Roman" w:hAnsi="Times New Roman"/>
                <w:bCs/>
                <w:color w:val="auto"/>
                <w:sz w:val="24"/>
                <w:highlight w:val="none"/>
                <w:lang w:val="en-US" w:eastAsia="zh-CN"/>
              </w:rPr>
              <w:t>详见</w:t>
            </w:r>
            <w:r>
              <w:rPr>
                <w:rFonts w:ascii="Times New Roman" w:hAnsi="Times New Roman"/>
                <w:bCs/>
                <w:color w:val="auto"/>
                <w:sz w:val="24"/>
                <w:highlight w:val="none"/>
              </w:rPr>
              <w:t>下表</w:t>
            </w:r>
            <w:r>
              <w:rPr>
                <w:rFonts w:hint="eastAsia" w:ascii="Times New Roman" w:hAnsi="Times New Roman"/>
                <w:bCs/>
                <w:color w:val="auto"/>
                <w:sz w:val="24"/>
                <w:highlight w:val="none"/>
                <w:lang w:eastAsia="zh-CN"/>
              </w:rPr>
              <w:t>。</w:t>
            </w:r>
          </w:p>
          <w:p w14:paraId="5DCA79EE">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bCs/>
                <w:color w:val="auto"/>
                <w:sz w:val="24"/>
                <w:highlight w:val="none"/>
                <w:lang w:eastAsia="zh-CN"/>
              </w:rPr>
            </w:pPr>
          </w:p>
          <w:p w14:paraId="6F903D5C">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bCs/>
                <w:color w:val="auto"/>
                <w:sz w:val="24"/>
                <w:highlight w:val="none"/>
                <w:lang w:eastAsia="zh-CN"/>
              </w:rPr>
            </w:pPr>
          </w:p>
          <w:p w14:paraId="2434E58F">
            <w:pPr>
              <w:jc w:val="center"/>
              <w:rPr>
                <w:rFonts w:hint="eastAsia" w:ascii="Times New Roman" w:hAnsi="Times New Roman" w:eastAsia="宋体" w:cs="宋体"/>
                <w:b/>
                <w:color w:val="auto"/>
                <w:kern w:val="0"/>
                <w:sz w:val="24"/>
                <w:highlight w:val="none"/>
                <w:lang w:val="en-US" w:eastAsia="zh-CN"/>
              </w:rPr>
            </w:pPr>
            <w:r>
              <w:rPr>
                <w:rFonts w:hint="eastAsia" w:ascii="Times New Roman" w:hAnsi="Times New Roman" w:eastAsia="宋体" w:cs="宋体"/>
                <w:b/>
                <w:color w:val="auto"/>
                <w:kern w:val="0"/>
                <w:sz w:val="24"/>
                <w:highlight w:val="none"/>
                <w:lang w:val="en-US" w:eastAsia="zh-CN"/>
              </w:rPr>
              <w:t>表3.1-3   特征污染物TSP环境质量现状监测结果表</w:t>
            </w:r>
          </w:p>
          <w:tbl>
            <w:tblPr>
              <w:tblStyle w:val="35"/>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1496"/>
              <w:gridCol w:w="1663"/>
              <w:gridCol w:w="1986"/>
              <w:gridCol w:w="969"/>
            </w:tblGrid>
            <w:tr w14:paraId="2929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pct"/>
                  <w:tcBorders>
                    <w:left w:val="single" w:color="auto" w:sz="8" w:space="0"/>
                  </w:tcBorders>
                  <w:shd w:val="clear" w:color="auto" w:fill="D7D7D7" w:themeFill="background1" w:themeFillShade="D8"/>
                  <w:noWrap w:val="0"/>
                  <w:vAlign w:val="center"/>
                </w:tcPr>
                <w:p w14:paraId="45258544">
                  <w:pPr>
                    <w:adjustRightInd w:val="0"/>
                    <w:snapToGrid w:val="0"/>
                    <w:jc w:val="center"/>
                    <w:rPr>
                      <w:rFonts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rPr>
                    <w:t>采样时间</w:t>
                  </w:r>
                </w:p>
              </w:tc>
              <w:tc>
                <w:tcPr>
                  <w:tcW w:w="912" w:type="pct"/>
                  <w:shd w:val="clear" w:color="auto" w:fill="D7D7D7" w:themeFill="background1" w:themeFillShade="D8"/>
                  <w:noWrap w:val="0"/>
                  <w:vAlign w:val="center"/>
                </w:tcPr>
                <w:p w14:paraId="1BCC852C">
                  <w:pPr>
                    <w:adjustRightInd w:val="0"/>
                    <w:snapToGrid w:val="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监测结果</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b w:val="0"/>
                      <w:bCs/>
                      <w:color w:val="auto"/>
                      <w:szCs w:val="21"/>
                      <w:highlight w:val="none"/>
                    </w:rPr>
                    <w:t>u</w:t>
                  </w:r>
                  <w:r>
                    <w:rPr>
                      <w:rFonts w:ascii="Times New Roman" w:hAnsi="Times New Roman"/>
                      <w:b w:val="0"/>
                      <w:bCs/>
                      <w:color w:val="auto"/>
                      <w:szCs w:val="21"/>
                      <w:highlight w:val="none"/>
                    </w:rPr>
                    <w:t>g/m</w:t>
                  </w:r>
                  <w:r>
                    <w:rPr>
                      <w:rFonts w:ascii="Times New Roman" w:hAnsi="Times New Roman"/>
                      <w:b w:val="0"/>
                      <w:bCs/>
                      <w:color w:val="auto"/>
                      <w:szCs w:val="21"/>
                      <w:highlight w:val="none"/>
                      <w:vertAlign w:val="superscript"/>
                    </w:rPr>
                    <w:t>3</w:t>
                  </w:r>
                  <w:r>
                    <w:rPr>
                      <w:rFonts w:hint="eastAsia" w:ascii="Times New Roman" w:hAnsi="Times New Roman" w:eastAsia="宋体" w:cs="Times New Roman"/>
                      <w:b w:val="0"/>
                      <w:bCs/>
                      <w:color w:val="auto"/>
                      <w:sz w:val="21"/>
                      <w:szCs w:val="21"/>
                      <w:highlight w:val="none"/>
                      <w:lang w:eastAsia="zh-CN"/>
                    </w:rPr>
                    <w:t>）</w:t>
                  </w:r>
                </w:p>
              </w:tc>
              <w:tc>
                <w:tcPr>
                  <w:tcW w:w="1014" w:type="pct"/>
                  <w:shd w:val="clear" w:color="auto" w:fill="D7D7D7" w:themeFill="background1" w:themeFillShade="D8"/>
                  <w:noWrap w:val="0"/>
                  <w:vAlign w:val="center"/>
                </w:tcPr>
                <w:p w14:paraId="2BD0785C">
                  <w:pPr>
                    <w:adjustRightInd w:val="0"/>
                    <w:snapToGrid w:val="0"/>
                    <w:jc w:val="center"/>
                    <w:rPr>
                      <w:rFonts w:hint="eastAsia" w:ascii="Times New Roman" w:hAnsi="Times New Roman" w:eastAsia="宋体" w:cs="Times New Roman"/>
                      <w:b w:val="0"/>
                      <w:bCs/>
                      <w:color w:val="auto"/>
                      <w:kern w:val="2"/>
                      <w:sz w:val="21"/>
                      <w:szCs w:val="21"/>
                      <w:highlight w:val="none"/>
                      <w:lang w:val="en-US" w:eastAsia="zh-CN" w:bidi="ar-SA"/>
                    </w:rPr>
                  </w:pPr>
                  <w:r>
                    <w:rPr>
                      <w:rFonts w:ascii="Times New Roman" w:hAnsi="Times New Roman" w:eastAsia="宋体" w:cs="Times New Roman"/>
                      <w:b w:val="0"/>
                      <w:bCs/>
                      <w:color w:val="auto"/>
                      <w:sz w:val="21"/>
                      <w:szCs w:val="21"/>
                      <w:highlight w:val="none"/>
                    </w:rPr>
                    <w:t>标准</w:t>
                  </w:r>
                  <w:r>
                    <w:rPr>
                      <w:rFonts w:hint="eastAsia" w:ascii="Times New Roman" w:hAnsi="Times New Roman" w:eastAsia="宋体" w:cs="Times New Roman"/>
                      <w:b w:val="0"/>
                      <w:bCs/>
                      <w:color w:val="auto"/>
                      <w:sz w:val="21"/>
                      <w:szCs w:val="21"/>
                      <w:highlight w:val="none"/>
                      <w:lang w:val="en-US" w:eastAsia="zh-CN"/>
                    </w:rPr>
                    <w:t>限</w:t>
                  </w:r>
                  <w:r>
                    <w:rPr>
                      <w:rFonts w:ascii="Times New Roman" w:hAnsi="Times New Roman" w:eastAsia="宋体" w:cs="Times New Roman"/>
                      <w:b w:val="0"/>
                      <w:bCs/>
                      <w:color w:val="auto"/>
                      <w:sz w:val="21"/>
                      <w:szCs w:val="21"/>
                      <w:highlight w:val="none"/>
                    </w:rPr>
                    <w:t>值</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b w:val="0"/>
                      <w:bCs/>
                      <w:color w:val="auto"/>
                      <w:szCs w:val="21"/>
                      <w:highlight w:val="none"/>
                    </w:rPr>
                    <w:t>u</w:t>
                  </w:r>
                  <w:r>
                    <w:rPr>
                      <w:rFonts w:ascii="Times New Roman" w:hAnsi="Times New Roman"/>
                      <w:b w:val="0"/>
                      <w:bCs/>
                      <w:color w:val="auto"/>
                      <w:szCs w:val="21"/>
                      <w:highlight w:val="none"/>
                    </w:rPr>
                    <w:t>g/m</w:t>
                  </w:r>
                  <w:r>
                    <w:rPr>
                      <w:rFonts w:ascii="Times New Roman" w:hAnsi="Times New Roman"/>
                      <w:b w:val="0"/>
                      <w:bCs/>
                      <w:color w:val="auto"/>
                      <w:szCs w:val="21"/>
                      <w:highlight w:val="none"/>
                      <w:vertAlign w:val="superscript"/>
                    </w:rPr>
                    <w:t>3</w:t>
                  </w:r>
                  <w:r>
                    <w:rPr>
                      <w:rFonts w:hint="eastAsia" w:ascii="Times New Roman" w:hAnsi="Times New Roman" w:eastAsia="宋体" w:cs="Times New Roman"/>
                      <w:b w:val="0"/>
                      <w:bCs/>
                      <w:color w:val="auto"/>
                      <w:sz w:val="21"/>
                      <w:szCs w:val="21"/>
                      <w:highlight w:val="none"/>
                      <w:lang w:eastAsia="zh-CN"/>
                    </w:rPr>
                    <w:t>）</w:t>
                  </w:r>
                </w:p>
              </w:tc>
              <w:tc>
                <w:tcPr>
                  <w:tcW w:w="1211" w:type="pct"/>
                  <w:shd w:val="clear" w:color="auto" w:fill="D7D7D7" w:themeFill="background1" w:themeFillShade="D8"/>
                  <w:noWrap w:val="0"/>
                  <w:vAlign w:val="center"/>
                </w:tcPr>
                <w:p w14:paraId="092668CC">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最大浓度占标率（%）</w:t>
                  </w:r>
                </w:p>
              </w:tc>
              <w:tc>
                <w:tcPr>
                  <w:tcW w:w="591" w:type="pct"/>
                  <w:shd w:val="clear" w:color="auto" w:fill="D7D7D7" w:themeFill="background1" w:themeFillShade="D8"/>
                  <w:noWrap w:val="0"/>
                  <w:vAlign w:val="center"/>
                </w:tcPr>
                <w:p w14:paraId="1E05A144">
                  <w:pPr>
                    <w:adjustRightInd w:val="0"/>
                    <w:snapToGrid w:val="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rPr>
                    <w:t>达标情况</w:t>
                  </w:r>
                </w:p>
              </w:tc>
            </w:tr>
            <w:tr w14:paraId="29B8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pct"/>
                  <w:tcBorders>
                    <w:left w:val="single" w:color="auto" w:sz="8" w:space="0"/>
                  </w:tcBorders>
                  <w:noWrap w:val="0"/>
                  <w:vAlign w:val="center"/>
                </w:tcPr>
                <w:p w14:paraId="76F1050E">
                  <w:pPr>
                    <w:adjustRightInd w:val="0"/>
                    <w:snapToGrid w:val="0"/>
                    <w:jc w:val="center"/>
                    <w:rPr>
                      <w:rFonts w:hint="default" w:ascii="Times New Roman" w:hAnsi="Times New Roman" w:eastAsia="宋体"/>
                      <w:b w:val="0"/>
                      <w:bCs/>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2025.3.25~2025.3.26</w:t>
                  </w:r>
                </w:p>
              </w:tc>
              <w:tc>
                <w:tcPr>
                  <w:tcW w:w="912" w:type="pct"/>
                  <w:noWrap w:val="0"/>
                  <w:vAlign w:val="center"/>
                </w:tcPr>
                <w:p w14:paraId="2293E0CE">
                  <w:pPr>
                    <w:adjustRightInd w:val="0"/>
                    <w:snapToGrid w:val="0"/>
                    <w:jc w:val="center"/>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80</w:t>
                  </w:r>
                </w:p>
              </w:tc>
              <w:tc>
                <w:tcPr>
                  <w:tcW w:w="1014" w:type="pct"/>
                  <w:vMerge w:val="restart"/>
                  <w:noWrap w:val="0"/>
                  <w:vAlign w:val="center"/>
                </w:tcPr>
                <w:p w14:paraId="656C0F83">
                  <w:pPr>
                    <w:adjustRightInd w:val="0"/>
                    <w:snapToGrid w:val="0"/>
                    <w:jc w:val="center"/>
                    <w:rPr>
                      <w:rFonts w:hint="default" w:ascii="Times New Roman" w:hAnsi="Times New Roman" w:eastAsia="宋体"/>
                      <w:b w:val="0"/>
                      <w:bCs/>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300</w:t>
                  </w:r>
                </w:p>
              </w:tc>
              <w:tc>
                <w:tcPr>
                  <w:tcW w:w="1211" w:type="pct"/>
                  <w:noWrap w:val="0"/>
                  <w:vAlign w:val="center"/>
                </w:tcPr>
                <w:p w14:paraId="5C8EDC07">
                  <w:pPr>
                    <w:adjustRightInd w:val="0"/>
                    <w:snapToGrid w:val="0"/>
                    <w:jc w:val="center"/>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26.67</w:t>
                  </w:r>
                </w:p>
              </w:tc>
              <w:tc>
                <w:tcPr>
                  <w:tcW w:w="591" w:type="pct"/>
                  <w:noWrap w:val="0"/>
                  <w:vAlign w:val="center"/>
                </w:tcPr>
                <w:p w14:paraId="6A183713">
                  <w:pPr>
                    <w:adjustRightInd w:val="0"/>
                    <w:snapToGrid w:val="0"/>
                    <w:jc w:val="center"/>
                    <w:rPr>
                      <w:rFonts w:ascii="Times New Roman" w:hAnsi="Times New Roman"/>
                      <w:b w:val="0"/>
                      <w:bCs/>
                      <w:color w:val="auto"/>
                      <w:sz w:val="21"/>
                      <w:szCs w:val="21"/>
                      <w:highlight w:val="none"/>
                    </w:rPr>
                  </w:pPr>
                  <w:r>
                    <w:rPr>
                      <w:rFonts w:hint="eastAsia" w:ascii="Times New Roman" w:hAnsi="Times New Roman"/>
                      <w:b w:val="0"/>
                      <w:bCs/>
                      <w:color w:val="auto"/>
                      <w:sz w:val="21"/>
                      <w:szCs w:val="21"/>
                      <w:highlight w:val="none"/>
                    </w:rPr>
                    <w:t>达标</w:t>
                  </w:r>
                </w:p>
              </w:tc>
            </w:tr>
            <w:tr w14:paraId="271B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pct"/>
                  <w:tcBorders>
                    <w:left w:val="single" w:color="auto" w:sz="8" w:space="0"/>
                  </w:tcBorders>
                  <w:noWrap w:val="0"/>
                  <w:vAlign w:val="center"/>
                </w:tcPr>
                <w:p w14:paraId="2766DBB3">
                  <w:pPr>
                    <w:adjustRightInd w:val="0"/>
                    <w:snapToGrid w:val="0"/>
                    <w:jc w:val="center"/>
                    <w:rPr>
                      <w:rFonts w:hint="default" w:ascii="Times New Roman" w:hAnsi="Times New Roman"/>
                      <w:b w:val="0"/>
                      <w:bCs/>
                      <w:color w:val="auto"/>
                      <w:sz w:val="21"/>
                      <w:szCs w:val="21"/>
                      <w:highlight w:val="none"/>
                      <w:lang w:val="en-US"/>
                    </w:rPr>
                  </w:pPr>
                  <w:r>
                    <w:rPr>
                      <w:rFonts w:hint="eastAsia" w:ascii="Times New Roman" w:hAnsi="Times New Roman"/>
                      <w:b w:val="0"/>
                      <w:bCs/>
                      <w:color w:val="auto"/>
                      <w:sz w:val="21"/>
                      <w:szCs w:val="21"/>
                      <w:highlight w:val="none"/>
                      <w:lang w:val="en-US" w:eastAsia="zh-CN"/>
                    </w:rPr>
                    <w:t>2025.3.26~2025.3.27</w:t>
                  </w:r>
                </w:p>
              </w:tc>
              <w:tc>
                <w:tcPr>
                  <w:tcW w:w="912" w:type="pct"/>
                  <w:noWrap w:val="0"/>
                  <w:vAlign w:val="center"/>
                </w:tcPr>
                <w:p w14:paraId="14889B09">
                  <w:pPr>
                    <w:adjustRightInd w:val="0"/>
                    <w:snapToGrid w:val="0"/>
                    <w:jc w:val="center"/>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70</w:t>
                  </w:r>
                </w:p>
              </w:tc>
              <w:tc>
                <w:tcPr>
                  <w:tcW w:w="1014" w:type="pct"/>
                  <w:vMerge w:val="continue"/>
                  <w:noWrap w:val="0"/>
                  <w:vAlign w:val="center"/>
                </w:tcPr>
                <w:p w14:paraId="66CA3E53">
                  <w:pPr>
                    <w:adjustRightInd w:val="0"/>
                    <w:snapToGrid w:val="0"/>
                    <w:jc w:val="center"/>
                    <w:rPr>
                      <w:rFonts w:hint="default" w:ascii="Times New Roman" w:hAnsi="Times New Roman" w:eastAsia="宋体"/>
                      <w:b w:val="0"/>
                      <w:bCs/>
                      <w:color w:val="auto"/>
                      <w:sz w:val="21"/>
                      <w:szCs w:val="21"/>
                      <w:highlight w:val="none"/>
                      <w:lang w:val="en-US" w:eastAsia="zh-CN"/>
                    </w:rPr>
                  </w:pPr>
                </w:p>
              </w:tc>
              <w:tc>
                <w:tcPr>
                  <w:tcW w:w="1211" w:type="pct"/>
                  <w:noWrap w:val="0"/>
                  <w:vAlign w:val="center"/>
                </w:tcPr>
                <w:p w14:paraId="380CD5F2">
                  <w:pPr>
                    <w:adjustRightInd w:val="0"/>
                    <w:snapToGrid w:val="0"/>
                    <w:jc w:val="center"/>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23.34</w:t>
                  </w:r>
                </w:p>
              </w:tc>
              <w:tc>
                <w:tcPr>
                  <w:tcW w:w="591" w:type="pct"/>
                  <w:noWrap w:val="0"/>
                  <w:vAlign w:val="center"/>
                </w:tcPr>
                <w:p w14:paraId="300F4D1D">
                  <w:pPr>
                    <w:adjustRightInd w:val="0"/>
                    <w:snapToGrid w:val="0"/>
                    <w:jc w:val="center"/>
                    <w:rPr>
                      <w:rFonts w:hint="eastAsia" w:ascii="Times New Roman" w:hAnsi="Times New Roman"/>
                      <w:b w:val="0"/>
                      <w:bCs/>
                      <w:color w:val="auto"/>
                      <w:sz w:val="21"/>
                      <w:szCs w:val="21"/>
                      <w:highlight w:val="none"/>
                    </w:rPr>
                  </w:pPr>
                  <w:r>
                    <w:rPr>
                      <w:rFonts w:hint="eastAsia" w:ascii="Times New Roman" w:hAnsi="Times New Roman"/>
                      <w:b w:val="0"/>
                      <w:bCs/>
                      <w:color w:val="auto"/>
                      <w:sz w:val="21"/>
                      <w:szCs w:val="21"/>
                      <w:highlight w:val="none"/>
                    </w:rPr>
                    <w:t>达标</w:t>
                  </w:r>
                </w:p>
              </w:tc>
            </w:tr>
            <w:tr w14:paraId="7E6B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pct"/>
                  <w:tcBorders>
                    <w:left w:val="single" w:color="auto" w:sz="8" w:space="0"/>
                  </w:tcBorders>
                  <w:noWrap w:val="0"/>
                  <w:vAlign w:val="center"/>
                </w:tcPr>
                <w:p w14:paraId="68F4813F">
                  <w:pPr>
                    <w:adjustRightInd w:val="0"/>
                    <w:snapToGrid w:val="0"/>
                    <w:jc w:val="center"/>
                    <w:rPr>
                      <w:rFonts w:hint="default" w:ascii="Times New Roman" w:hAnsi="Times New Roman"/>
                      <w:b w:val="0"/>
                      <w:bCs/>
                      <w:color w:val="auto"/>
                      <w:sz w:val="21"/>
                      <w:szCs w:val="21"/>
                      <w:highlight w:val="none"/>
                      <w:lang w:val="en-US"/>
                    </w:rPr>
                  </w:pPr>
                  <w:r>
                    <w:rPr>
                      <w:rFonts w:hint="eastAsia" w:ascii="Times New Roman" w:hAnsi="Times New Roman"/>
                      <w:b w:val="0"/>
                      <w:bCs/>
                      <w:color w:val="auto"/>
                      <w:sz w:val="21"/>
                      <w:szCs w:val="21"/>
                      <w:highlight w:val="none"/>
                      <w:lang w:val="en-US" w:eastAsia="zh-CN"/>
                    </w:rPr>
                    <w:t>2025.3.27~2025.3.28</w:t>
                  </w:r>
                </w:p>
              </w:tc>
              <w:tc>
                <w:tcPr>
                  <w:tcW w:w="912" w:type="pct"/>
                  <w:noWrap w:val="0"/>
                  <w:vAlign w:val="center"/>
                </w:tcPr>
                <w:p w14:paraId="7FFDFBE0">
                  <w:pPr>
                    <w:adjustRightInd w:val="0"/>
                    <w:snapToGrid w:val="0"/>
                    <w:jc w:val="center"/>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75</w:t>
                  </w:r>
                </w:p>
              </w:tc>
              <w:tc>
                <w:tcPr>
                  <w:tcW w:w="1014" w:type="pct"/>
                  <w:vMerge w:val="continue"/>
                  <w:noWrap w:val="0"/>
                  <w:vAlign w:val="center"/>
                </w:tcPr>
                <w:p w14:paraId="6ECCC850">
                  <w:pPr>
                    <w:adjustRightInd w:val="0"/>
                    <w:snapToGrid w:val="0"/>
                    <w:jc w:val="center"/>
                    <w:rPr>
                      <w:rFonts w:hint="default" w:ascii="Times New Roman" w:hAnsi="Times New Roman" w:eastAsia="宋体"/>
                      <w:b w:val="0"/>
                      <w:bCs/>
                      <w:color w:val="auto"/>
                      <w:sz w:val="21"/>
                      <w:szCs w:val="21"/>
                      <w:highlight w:val="none"/>
                      <w:lang w:val="en-US" w:eastAsia="zh-CN"/>
                    </w:rPr>
                  </w:pPr>
                </w:p>
              </w:tc>
              <w:tc>
                <w:tcPr>
                  <w:tcW w:w="1211" w:type="pct"/>
                  <w:noWrap w:val="0"/>
                  <w:vAlign w:val="center"/>
                </w:tcPr>
                <w:p w14:paraId="46ED1781">
                  <w:pPr>
                    <w:adjustRightInd w:val="0"/>
                    <w:snapToGrid w:val="0"/>
                    <w:jc w:val="center"/>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25.00</w:t>
                  </w:r>
                </w:p>
              </w:tc>
              <w:tc>
                <w:tcPr>
                  <w:tcW w:w="591" w:type="pct"/>
                  <w:noWrap w:val="0"/>
                  <w:vAlign w:val="center"/>
                </w:tcPr>
                <w:p w14:paraId="045DF766">
                  <w:pPr>
                    <w:adjustRightInd w:val="0"/>
                    <w:snapToGrid w:val="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b w:val="0"/>
                      <w:bCs/>
                      <w:color w:val="auto"/>
                      <w:sz w:val="21"/>
                      <w:szCs w:val="21"/>
                      <w:highlight w:val="none"/>
                      <w:lang w:val="en-US" w:eastAsia="zh-CN"/>
                    </w:rPr>
                    <w:t>达标</w:t>
                  </w:r>
                </w:p>
              </w:tc>
            </w:tr>
          </w:tbl>
          <w:p w14:paraId="19DFAA40">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2"/>
              <w:textAlignment w:val="auto"/>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由</w:t>
            </w:r>
            <w:r>
              <w:rPr>
                <w:rFonts w:hint="eastAsia" w:ascii="Times New Roman" w:hAnsi="Times New Roman" w:eastAsia="宋体" w:cs="Times New Roman"/>
                <w:bCs/>
                <w:color w:val="auto"/>
                <w:sz w:val="24"/>
                <w:highlight w:val="none"/>
                <w:lang w:val="en-US" w:eastAsia="zh-CN"/>
              </w:rPr>
              <w:t>上</w:t>
            </w:r>
            <w:r>
              <w:rPr>
                <w:rFonts w:ascii="Times New Roman" w:hAnsi="Times New Roman" w:eastAsia="宋体" w:cs="Times New Roman"/>
                <w:bCs/>
                <w:color w:val="auto"/>
                <w:sz w:val="24"/>
                <w:highlight w:val="none"/>
              </w:rPr>
              <w:t>表可</w:t>
            </w:r>
            <w:r>
              <w:rPr>
                <w:rFonts w:hint="eastAsia" w:ascii="Times New Roman" w:hAnsi="Times New Roman" w:eastAsia="宋体" w:cs="Times New Roman"/>
                <w:bCs/>
                <w:color w:val="auto"/>
                <w:sz w:val="24"/>
                <w:highlight w:val="none"/>
                <w:lang w:val="en-US" w:eastAsia="zh-CN"/>
              </w:rPr>
              <w:t>知</w:t>
            </w: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项目区</w:t>
            </w:r>
            <w:r>
              <w:rPr>
                <w:rFonts w:ascii="Times New Roman" w:hAnsi="Times New Roman" w:eastAsia="宋体" w:cs="Times New Roman"/>
                <w:bCs/>
                <w:color w:val="auto"/>
                <w:sz w:val="24"/>
                <w:highlight w:val="none"/>
              </w:rPr>
              <w:t>TSP能</w:t>
            </w:r>
            <w:r>
              <w:rPr>
                <w:rFonts w:hint="eastAsia" w:ascii="Times New Roman" w:hAnsi="Times New Roman" w:eastAsia="宋体" w:cs="Times New Roman"/>
                <w:bCs/>
                <w:color w:val="auto"/>
                <w:sz w:val="24"/>
                <w:highlight w:val="none"/>
                <w:lang w:val="en-US" w:eastAsia="zh-CN"/>
              </w:rPr>
              <w:t>够达</w:t>
            </w:r>
            <w:r>
              <w:rPr>
                <w:rFonts w:ascii="Times New Roman" w:hAnsi="Times New Roman" w:eastAsia="宋体" w:cs="Times New Roman"/>
                <w:bCs/>
                <w:color w:val="auto"/>
                <w:sz w:val="24"/>
                <w:highlight w:val="none"/>
              </w:rPr>
              <w:t>到</w:t>
            </w:r>
            <w:r>
              <w:rPr>
                <w:rFonts w:hint="eastAsia" w:ascii="Times New Roman" w:hAnsi="Times New Roman" w:eastAsia="宋体"/>
                <w:color w:val="auto"/>
                <w:sz w:val="24"/>
              </w:rPr>
              <w:t>《环境空气质量标准》（GB3095-2012）及2018年修改单中的二级标准限值要求</w:t>
            </w:r>
            <w:r>
              <w:rPr>
                <w:rFonts w:hint="eastAsia" w:ascii="Times New Roman" w:hAnsi="Times New Roman" w:eastAsia="宋体" w:cs="Times New Roman"/>
                <w:bCs/>
                <w:color w:val="auto"/>
                <w:sz w:val="24"/>
                <w:highlight w:val="none"/>
              </w:rPr>
              <w:t>。</w:t>
            </w:r>
          </w:p>
          <w:p w14:paraId="4E6F0632">
            <w:pPr>
              <w:spacing w:line="360" w:lineRule="auto"/>
              <w:jc w:val="center"/>
              <w:rPr>
                <w:rFonts w:hint="eastAsia" w:ascii="Times New Roman" w:hAnsi="Times New Roman" w:eastAsia="宋体" w:cs="宋体"/>
                <w:b/>
                <w:bCs/>
                <w:color w:val="auto"/>
                <w:sz w:val="24"/>
                <w:highlight w:val="none"/>
                <w:lang w:eastAsia="zh-CN"/>
              </w:rPr>
            </w:pPr>
            <w:r>
              <w:rPr>
                <w:rFonts w:ascii="Times New Roman" w:hAnsi="Times New Roman"/>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2214880</wp:posOffset>
                      </wp:positionH>
                      <wp:positionV relativeFrom="paragraph">
                        <wp:posOffset>2219960</wp:posOffset>
                      </wp:positionV>
                      <wp:extent cx="546735" cy="280035"/>
                      <wp:effectExtent l="5080" t="4445" r="19685" b="20320"/>
                      <wp:wrapNone/>
                      <wp:docPr id="7" name="文本框 7"/>
                      <wp:cNvGraphicFramePr/>
                      <a:graphic xmlns:a="http://schemas.openxmlformats.org/drawingml/2006/main">
                        <a:graphicData uri="http://schemas.microsoft.com/office/word/2010/wordprocessingShape">
                          <wps:wsp>
                            <wps:cNvSpPr txBox="1"/>
                            <wps:spPr>
                              <a:xfrm>
                                <a:off x="3821430" y="2413000"/>
                                <a:ext cx="54673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189B90">
                                  <w:pPr>
                                    <w:rPr>
                                      <w:rFonts w:hint="default" w:eastAsia="宋体"/>
                                      <w:lang w:val="en-US" w:eastAsia="zh-CN"/>
                                    </w:rPr>
                                  </w:pPr>
                                  <w:r>
                                    <w:rPr>
                                      <w:rFonts w:hint="eastAsia"/>
                                      <w:lang w:val="en-US" w:eastAsia="zh-CN"/>
                                    </w:rPr>
                                    <w:t>4.9km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174.8pt;height:22.05pt;width:43.05pt;z-index:251660288;mso-width-relative:page;mso-height-relative:page;" fillcolor="#FFFFFF [3201]" filled="t" stroked="t" coordsize="21600,21600" o:gfxdata="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wXtftcAAAALAQAADwAAAAAAAAABACAAAAAiAAAAZHJzL2Rvd25yZXYueG1sUEsBAhQAFAAA&#10;AAgAh07iQEpkVCBiAgAAwgQAAA4AAAAAAAAAAQAgAAAAJgEAAGRycy9lMm9Eb2MueG1sUEsFBgAA&#10;AAAGAAYAWQEAAPoFAAAAAA==&#10;">
                      <v:fill on="t" focussize="0,0"/>
                      <v:stroke weight="0.5pt" color="#000000 [3204]" joinstyle="round"/>
                      <v:imagedata o:title=""/>
                      <o:lock v:ext="edit" aspectratio="f"/>
                      <v:textbox>
                        <w:txbxContent>
                          <w:p w14:paraId="7C189B90">
                            <w:pPr>
                              <w:rPr>
                                <w:rFonts w:hint="default" w:eastAsia="宋体"/>
                                <w:lang w:val="en-US" w:eastAsia="zh-CN"/>
                              </w:rPr>
                            </w:pPr>
                            <w:r>
                              <w:rPr>
                                <w:rFonts w:hint="eastAsia"/>
                                <w:lang w:val="en-US" w:eastAsia="zh-CN"/>
                              </w:rPr>
                              <w:t>4.9km</w:t>
                            </w:r>
                          </w:p>
                        </w:txbxContent>
                      </v:textbox>
                    </v:shape>
                  </w:pict>
                </mc:Fallback>
              </mc:AlternateContent>
            </w:r>
            <w:r>
              <w:rPr>
                <w:rFonts w:ascii="Times New Roman" w:hAnsi="Times New Roman"/>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1906905</wp:posOffset>
                      </wp:positionH>
                      <wp:positionV relativeFrom="paragraph">
                        <wp:posOffset>300355</wp:posOffset>
                      </wp:positionV>
                      <wp:extent cx="1041400" cy="4133215"/>
                      <wp:effectExtent l="31115" t="0" r="32385" b="635"/>
                      <wp:wrapNone/>
                      <wp:docPr id="6" name="直接箭头连接符 6"/>
                      <wp:cNvGraphicFramePr/>
                      <a:graphic xmlns:a="http://schemas.openxmlformats.org/drawingml/2006/main">
                        <a:graphicData uri="http://schemas.microsoft.com/office/word/2010/wordprocessingShape">
                          <wps:wsp>
                            <wps:cNvCnPr/>
                            <wps:spPr>
                              <a:xfrm>
                                <a:off x="3211195" y="1227455"/>
                                <a:ext cx="1041400" cy="413321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0.15pt;margin-top:23.65pt;height:325.45pt;width:82pt;z-index:251659264;mso-width-relative:page;mso-height-relative:page;" filled="f" stroked="t" coordsize="21600,21600" o:gfxdata="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3X2nvaAAAACgEAAA8AAAAA&#10;AAAAAQAgAAAAIgAAAGRycy9kb3ducmV2LnhtbFBLAQIUABQAAAAIAIdO4kBNSH8tEgIAAPMDAAAO&#10;AAAAAAAAAAEAIAAAACkBAABkcnMvZTJvRG9jLnhtbFBLBQYAAAAABgAGAFkBAACtBQAAAAA=&#10;">
                      <v:fill on="f" focussize="0,0"/>
                      <v:stroke weight="2pt" color="#FF0000 [3204]" joinstyle="round" startarrow="open" endarrow="open"/>
                      <v:imagedata o:title=""/>
                      <o:lock v:ext="edit" aspectratio="f"/>
                    </v:shape>
                  </w:pict>
                </mc:Fallback>
              </mc:AlternateContent>
            </w:r>
            <w:r>
              <w:rPr>
                <w:rFonts w:hint="eastAsia" w:ascii="Times New Roman" w:hAnsi="Times New Roman" w:eastAsia="宋体" w:cs="宋体"/>
                <w:b/>
                <w:bCs/>
                <w:color w:val="auto"/>
                <w:sz w:val="24"/>
                <w:highlight w:val="none"/>
                <w:lang w:eastAsia="zh-CN"/>
              </w:rPr>
              <w:drawing>
                <wp:inline distT="0" distB="0" distL="114300" distR="114300">
                  <wp:extent cx="4197985" cy="4658995"/>
                  <wp:effectExtent l="0" t="0" r="12065" b="8255"/>
                  <wp:docPr id="5" name="图片 5" descr="ScreenShot_2026-01-27_212507_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6-01-27_212507_923"/>
                          <pic:cNvPicPr>
                            <a:picLocks noChangeAspect="1"/>
                          </pic:cNvPicPr>
                        </pic:nvPicPr>
                        <pic:blipFill>
                          <a:blip r:embed="rId15"/>
                          <a:stretch>
                            <a:fillRect/>
                          </a:stretch>
                        </pic:blipFill>
                        <pic:spPr>
                          <a:xfrm>
                            <a:off x="0" y="0"/>
                            <a:ext cx="4197985" cy="4658995"/>
                          </a:xfrm>
                          <a:prstGeom prst="rect">
                            <a:avLst/>
                          </a:prstGeom>
                        </pic:spPr>
                      </pic:pic>
                    </a:graphicData>
                  </a:graphic>
                </wp:inline>
              </w:drawing>
            </w:r>
          </w:p>
          <w:p w14:paraId="1774735C">
            <w:pPr>
              <w:jc w:val="center"/>
              <w:rPr>
                <w:rFonts w:hint="eastAsia" w:ascii="Times New Roman" w:hAnsi="Times New Roman" w:eastAsia="宋体" w:cs="宋体"/>
                <w:b/>
                <w:color w:val="auto"/>
                <w:kern w:val="0"/>
                <w:sz w:val="24"/>
                <w:highlight w:val="none"/>
                <w:lang w:val="en-US" w:eastAsia="zh-CN"/>
              </w:rPr>
            </w:pPr>
            <w:r>
              <w:rPr>
                <w:rFonts w:hint="eastAsia" w:ascii="Times New Roman" w:hAnsi="Times New Roman" w:eastAsia="宋体" w:cs="宋体"/>
                <w:b/>
                <w:color w:val="auto"/>
                <w:kern w:val="0"/>
                <w:sz w:val="24"/>
                <w:highlight w:val="none"/>
                <w:lang w:val="en-US" w:eastAsia="zh-CN"/>
              </w:rPr>
              <w:t>图3.1-1   引用的TSP监测点位与本项目位置关系示意图</w:t>
            </w:r>
          </w:p>
          <w:p w14:paraId="2F14660F">
            <w:pPr>
              <w:spacing w:line="360" w:lineRule="auto"/>
              <w:rPr>
                <w:rFonts w:hint="eastAsia"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二、地表水环境</w:t>
            </w:r>
          </w:p>
          <w:p w14:paraId="0CA63941">
            <w:pPr>
              <w:spacing w:line="360" w:lineRule="auto"/>
              <w:ind w:firstLine="482" w:firstLineChars="200"/>
              <w:jc w:val="left"/>
              <w:rPr>
                <w:rFonts w:hint="default" w:ascii="Times New Roman" w:hAnsi="Times New Roman" w:eastAsia="宋体"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地表水环境质量标准</w:t>
            </w:r>
          </w:p>
          <w:p w14:paraId="075116EA">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bCs/>
                <w:color w:val="auto"/>
                <w:sz w:val="24"/>
                <w:highlight w:val="none"/>
                <w:lang w:val="zh-CN"/>
              </w:rPr>
              <w:t>项目</w:t>
            </w:r>
            <w:r>
              <w:rPr>
                <w:rFonts w:hint="default" w:ascii="Times New Roman" w:hAnsi="Times New Roman" w:cs="Times New Roman"/>
                <w:bCs/>
                <w:color w:val="auto"/>
                <w:sz w:val="24"/>
                <w:highlight w:val="none"/>
                <w:lang w:val="en-US" w:eastAsia="zh-CN"/>
              </w:rPr>
              <w:t>区最近的</w:t>
            </w:r>
            <w:r>
              <w:rPr>
                <w:rFonts w:hint="default" w:ascii="Times New Roman" w:hAnsi="Times New Roman" w:cs="Times New Roman"/>
                <w:bCs/>
                <w:color w:val="auto"/>
                <w:sz w:val="24"/>
                <w:highlight w:val="none"/>
                <w:lang w:val="zh-CN"/>
              </w:rPr>
              <w:t>地表径流为</w:t>
            </w:r>
            <w:r>
              <w:rPr>
                <w:rFonts w:hint="eastAsia" w:ascii="Times New Roman" w:hAnsi="Times New Roman" w:cs="Times New Roman"/>
                <w:bCs/>
                <w:color w:val="auto"/>
                <w:sz w:val="24"/>
                <w:highlight w:val="none"/>
                <w:lang w:val="en-US" w:eastAsia="zh-CN"/>
              </w:rPr>
              <w:t>西南</w:t>
            </w:r>
            <w:r>
              <w:rPr>
                <w:rFonts w:hint="default" w:ascii="Times New Roman" w:hAnsi="Times New Roman" w:cs="Times New Roman"/>
                <w:bCs/>
                <w:color w:val="auto"/>
                <w:sz w:val="24"/>
                <w:highlight w:val="none"/>
                <w:lang w:val="en-US" w:eastAsia="zh-CN"/>
              </w:rPr>
              <w:t>侧</w:t>
            </w:r>
            <w:r>
              <w:rPr>
                <w:rFonts w:hint="eastAsia" w:ascii="Times New Roman" w:hAnsi="Times New Roman" w:cs="Times New Roman"/>
                <w:bCs/>
                <w:color w:val="auto"/>
                <w:sz w:val="24"/>
                <w:highlight w:val="none"/>
                <w:lang w:val="en-US" w:eastAsia="zh-CN"/>
              </w:rPr>
              <w:t>2080</w:t>
            </w:r>
            <w:r>
              <w:rPr>
                <w:rFonts w:hint="default" w:ascii="Times New Roman" w:hAnsi="Times New Roman" w:cs="Times New Roman"/>
                <w:bCs/>
                <w:color w:val="auto"/>
                <w:sz w:val="24"/>
                <w:highlight w:val="none"/>
                <w:lang w:val="zh-CN"/>
              </w:rPr>
              <w:t>m处的</w:t>
            </w:r>
            <w:r>
              <w:rPr>
                <w:rFonts w:hint="eastAsia" w:ascii="Times New Roman" w:hAnsi="Times New Roman" w:cs="Times New Roman"/>
                <w:bCs/>
                <w:color w:val="auto"/>
                <w:sz w:val="24"/>
                <w:highlight w:val="none"/>
                <w:lang w:val="en-US" w:eastAsia="zh-CN"/>
              </w:rPr>
              <w:t>大沙河</w:t>
            </w:r>
            <w:r>
              <w:rPr>
                <w:rFonts w:hint="default"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en-US" w:eastAsia="zh-CN"/>
              </w:rPr>
              <w:t>大沙河流入石邑小河，最终于峨山小街由义村附近汇入峨山大河，即曲江。曲江属于珠江流域，</w:t>
            </w:r>
            <w:r>
              <w:rPr>
                <w:rFonts w:hint="default" w:ascii="Times New Roman" w:hAnsi="Times New Roman" w:eastAsia="宋体" w:cs="Times New Roman"/>
                <w:color w:val="auto"/>
                <w:sz w:val="24"/>
                <w:szCs w:val="24"/>
                <w:highlight w:val="none"/>
              </w:rPr>
              <w:t>根据</w:t>
            </w:r>
            <w:r>
              <w:rPr>
                <w:rFonts w:hint="default" w:ascii="Times New Roman" w:hAnsi="Times New Roman" w:cs="Times New Roman"/>
                <w:color w:val="auto"/>
                <w:sz w:val="24"/>
                <w:szCs w:val="24"/>
                <w:highlight w:val="none"/>
              </w:rPr>
              <w:t>《云南省水功能区划》（</w:t>
            </w:r>
            <w:r>
              <w:rPr>
                <w:rFonts w:hint="default" w:ascii="Times New Roman" w:hAnsi="Times New Roman" w:cs="Times New Roman"/>
                <w:color w:val="auto"/>
                <w:sz w:val="24"/>
                <w:szCs w:val="24"/>
                <w:highlight w:val="none"/>
                <w:lang w:val="en-US" w:eastAsia="zh-CN"/>
              </w:rPr>
              <w:t>2014</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修订</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，曲江（</w:t>
            </w:r>
            <w:r>
              <w:rPr>
                <w:rFonts w:hint="eastAsia" w:ascii="Times New Roman" w:hAnsi="Times New Roman" w:eastAsia="宋体" w:cs="Times New Roman"/>
                <w:color w:val="auto"/>
                <w:sz w:val="24"/>
                <w:szCs w:val="24"/>
                <w:highlight w:val="none"/>
                <w:lang w:val="en-US" w:eastAsia="zh-CN"/>
              </w:rPr>
              <w:t>红塔</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峨山工业、农业用水区</w:t>
            </w:r>
            <w:r>
              <w:rPr>
                <w:rFonts w:hint="default" w:ascii="Times New Roman" w:hAnsi="Times New Roman" w:eastAsia="宋体" w:cs="Times New Roman"/>
                <w:color w:val="auto"/>
                <w:sz w:val="24"/>
                <w:szCs w:val="24"/>
                <w:highlight w:val="none"/>
              </w:rPr>
              <w:t>）2030年水质为Ⅲ类，执行《地表水环境质量标准》（GB3838-2002）Ⅲ类标准</w:t>
            </w:r>
            <w:r>
              <w:rPr>
                <w:rFonts w:hint="eastAsia" w:ascii="Times New Roman" w:hAnsi="Times New Roman" w:eastAsia="宋体" w:cs="Times New Roman"/>
                <w:color w:val="auto"/>
                <w:sz w:val="24"/>
                <w:szCs w:val="24"/>
                <w:highlight w:val="none"/>
                <w:lang w:eastAsia="zh-CN"/>
              </w:rPr>
              <w:t>，</w:t>
            </w:r>
            <w:r>
              <w:rPr>
                <w:rFonts w:ascii="Times New Roman" w:hAnsi="Times New Roman"/>
                <w:color w:val="auto"/>
                <w:sz w:val="24"/>
                <w:highlight w:val="none"/>
              </w:rPr>
              <w:t>具体标准值见下表</w:t>
            </w:r>
            <w:r>
              <w:rPr>
                <w:rFonts w:hint="eastAsia" w:ascii="Times New Roman" w:hAnsi="Times New Roman" w:eastAsia="宋体" w:cs="Times New Roman"/>
                <w:color w:val="auto"/>
                <w:sz w:val="24"/>
                <w:szCs w:val="24"/>
                <w:highlight w:val="none"/>
                <w:lang w:eastAsia="zh-CN"/>
              </w:rPr>
              <w:t>。</w:t>
            </w:r>
          </w:p>
          <w:p w14:paraId="44130556">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表3</w:t>
            </w:r>
            <w:r>
              <w:rPr>
                <w:rFonts w:hint="eastAsia"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w:t>
            </w:r>
            <w:r>
              <w:rPr>
                <w:rFonts w:hint="eastAsia" w:ascii="Times New Roman" w:hAnsi="Times New Roman"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 xml:space="preserve"> 《地表水环境质量标准》（摘录）    单位：mg/L（pH除外）</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4039"/>
              <w:gridCol w:w="3080"/>
            </w:tblGrid>
            <w:tr w14:paraId="2A41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shd w:val="clear" w:color="auto" w:fill="D7D7D7" w:themeFill="background1" w:themeFillShade="D8"/>
                  <w:noWrap w:val="0"/>
                  <w:vAlign w:val="center"/>
                </w:tcPr>
                <w:p w14:paraId="52AF93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cs="Times New Roman"/>
                      <w:color w:val="auto"/>
                      <w:sz w:val="21"/>
                      <w:highlight w:val="none"/>
                      <w:lang w:eastAsia="zh-CN"/>
                    </w:rPr>
                    <w:t>序号</w:t>
                  </w:r>
                </w:p>
              </w:tc>
              <w:tc>
                <w:tcPr>
                  <w:tcW w:w="2441" w:type="pct"/>
                  <w:shd w:val="clear" w:color="auto" w:fill="D7D7D7" w:themeFill="background1" w:themeFillShade="D8"/>
                  <w:noWrap w:val="0"/>
                  <w:vAlign w:val="center"/>
                </w:tcPr>
                <w:p w14:paraId="1EEFF5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项目</w:t>
                  </w:r>
                </w:p>
              </w:tc>
              <w:tc>
                <w:tcPr>
                  <w:tcW w:w="1861" w:type="pct"/>
                  <w:shd w:val="clear" w:color="auto" w:fill="D7D7D7" w:themeFill="background1" w:themeFillShade="D8"/>
                  <w:noWrap w:val="0"/>
                  <w:vAlign w:val="center"/>
                </w:tcPr>
                <w:p w14:paraId="7C7959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Ⅲ类标准值（单位mg/L）</w:t>
                  </w:r>
                </w:p>
              </w:tc>
            </w:tr>
            <w:tr w14:paraId="63FA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30A738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2441" w:type="pct"/>
                  <w:noWrap w:val="0"/>
                  <w:vAlign w:val="center"/>
                </w:tcPr>
                <w:p w14:paraId="4C10D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xml:space="preserve">pH值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（无量纲）</w:t>
                  </w:r>
                </w:p>
              </w:tc>
              <w:tc>
                <w:tcPr>
                  <w:tcW w:w="1861" w:type="pct"/>
                  <w:noWrap w:val="0"/>
                  <w:vAlign w:val="center"/>
                </w:tcPr>
                <w:p w14:paraId="6F2F5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highlight w:val="none"/>
                    </w:rPr>
                  </w:pPr>
                  <w:r>
                    <w:rPr>
                      <w:rFonts w:hint="default" w:ascii="Times New Roman" w:hAnsi="Times New Roman" w:eastAsia="宋体" w:cs="Times New Roman"/>
                      <w:bCs/>
                      <w:color w:val="auto"/>
                      <w:sz w:val="21"/>
                      <w:highlight w:val="none"/>
                    </w:rPr>
                    <w:t>6-9</w:t>
                  </w:r>
                </w:p>
              </w:tc>
            </w:tr>
            <w:tr w14:paraId="4479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F12C0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2</w:t>
                  </w:r>
                </w:p>
              </w:tc>
              <w:tc>
                <w:tcPr>
                  <w:tcW w:w="2441" w:type="pct"/>
                  <w:noWrap w:val="0"/>
                  <w:vAlign w:val="center"/>
                </w:tcPr>
                <w:p w14:paraId="39446F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 xml:space="preserve">溶解氧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val="en-US" w:eastAsia="zh-CN"/>
                    </w:rPr>
                    <w:t xml:space="preserve">            ≥</w:t>
                  </w:r>
                </w:p>
              </w:tc>
              <w:tc>
                <w:tcPr>
                  <w:tcW w:w="1861" w:type="pct"/>
                  <w:noWrap w:val="0"/>
                  <w:vAlign w:val="center"/>
                </w:tcPr>
                <w:p w14:paraId="64B6F6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highlight w:val="none"/>
                      <w:lang w:val="en-US" w:eastAsia="zh-CN"/>
                    </w:rPr>
                  </w:pPr>
                  <w:r>
                    <w:rPr>
                      <w:rFonts w:hint="eastAsia" w:ascii="Times New Roman" w:hAnsi="Times New Roman" w:eastAsia="宋体" w:cs="Times New Roman"/>
                      <w:bCs/>
                      <w:color w:val="auto"/>
                      <w:sz w:val="21"/>
                      <w:highlight w:val="none"/>
                      <w:lang w:val="en-US" w:eastAsia="zh-CN"/>
                    </w:rPr>
                    <w:t>5.0</w:t>
                  </w:r>
                </w:p>
              </w:tc>
            </w:tr>
            <w:tr w14:paraId="39AE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F88FA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3</w:t>
                  </w:r>
                </w:p>
              </w:tc>
              <w:tc>
                <w:tcPr>
                  <w:tcW w:w="2441" w:type="pct"/>
                  <w:noWrap w:val="0"/>
                  <w:vAlign w:val="center"/>
                </w:tcPr>
                <w:p w14:paraId="5D7EE8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高锰酸盐指数</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A7DD2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highlight w:val="none"/>
                      <w:lang w:val="en-US" w:eastAsia="zh-CN"/>
                    </w:rPr>
                  </w:pPr>
                  <w:r>
                    <w:rPr>
                      <w:rFonts w:hint="eastAsia" w:ascii="Times New Roman" w:hAnsi="Times New Roman" w:cs="Times New Roman"/>
                      <w:bCs/>
                      <w:color w:val="auto"/>
                      <w:sz w:val="21"/>
                      <w:highlight w:val="none"/>
                      <w:lang w:val="en-US" w:eastAsia="zh-CN"/>
                    </w:rPr>
                    <w:t>6.0</w:t>
                  </w:r>
                </w:p>
              </w:tc>
            </w:tr>
            <w:tr w14:paraId="073F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25C2D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4</w:t>
                  </w:r>
                </w:p>
              </w:tc>
              <w:tc>
                <w:tcPr>
                  <w:tcW w:w="2441" w:type="pct"/>
                  <w:noWrap w:val="0"/>
                  <w:vAlign w:val="center"/>
                </w:tcPr>
                <w:p w14:paraId="220364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xml:space="preserve">化学需氧量（COD）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CAB7D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w:t>
                  </w:r>
                  <w:r>
                    <w:rPr>
                      <w:rFonts w:hint="default" w:ascii="Times New Roman" w:hAnsi="Times New Roman" w:eastAsia="宋体" w:cs="Times New Roman"/>
                      <w:color w:val="auto"/>
                      <w:sz w:val="21"/>
                      <w:highlight w:val="none"/>
                    </w:rPr>
                    <w:t>0</w:t>
                  </w:r>
                  <w:r>
                    <w:rPr>
                      <w:rFonts w:hint="default" w:ascii="Times New Roman" w:hAnsi="Times New Roman" w:eastAsia="宋体" w:cs="Times New Roman"/>
                      <w:color w:val="auto"/>
                      <w:sz w:val="21"/>
                      <w:highlight w:val="none"/>
                      <w:lang w:val="en-US" w:eastAsia="zh-CN"/>
                    </w:rPr>
                    <w:t>.0</w:t>
                  </w:r>
                </w:p>
              </w:tc>
            </w:tr>
            <w:tr w14:paraId="7D43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45530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5</w:t>
                  </w:r>
                </w:p>
              </w:tc>
              <w:tc>
                <w:tcPr>
                  <w:tcW w:w="2441" w:type="pct"/>
                  <w:noWrap w:val="0"/>
                  <w:vAlign w:val="center"/>
                </w:tcPr>
                <w:p w14:paraId="538E3C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五日生化需氧量（BOD</w:t>
                  </w:r>
                  <w:r>
                    <w:rPr>
                      <w:rFonts w:hint="default" w:ascii="Times New Roman" w:hAnsi="Times New Roman" w:eastAsia="宋体" w:cs="Times New Roman"/>
                      <w:color w:val="auto"/>
                      <w:sz w:val="21"/>
                      <w:highlight w:val="none"/>
                      <w:vertAlign w:val="subscript"/>
                    </w:rPr>
                    <w:t>5</w:t>
                  </w:r>
                  <w:r>
                    <w:rPr>
                      <w:rFonts w:hint="default" w:ascii="Times New Roman" w:hAnsi="Times New Roman" w:eastAsia="宋体" w:cs="Times New Roman"/>
                      <w:color w:val="auto"/>
                      <w:sz w:val="21"/>
                      <w:highlight w:val="none"/>
                    </w:rPr>
                    <w:t>）</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3AD789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w:t>
                  </w:r>
                  <w:r>
                    <w:rPr>
                      <w:rFonts w:hint="default" w:ascii="Times New Roman" w:hAnsi="Times New Roman" w:eastAsia="宋体" w:cs="Times New Roman"/>
                      <w:color w:val="auto"/>
                      <w:sz w:val="21"/>
                      <w:highlight w:val="none"/>
                      <w:lang w:val="en-US" w:eastAsia="zh-CN"/>
                    </w:rPr>
                    <w:t>.0</w:t>
                  </w:r>
                </w:p>
              </w:tc>
            </w:tr>
            <w:tr w14:paraId="1ACE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479AA0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6</w:t>
                  </w:r>
                </w:p>
              </w:tc>
              <w:tc>
                <w:tcPr>
                  <w:tcW w:w="2441" w:type="pct"/>
                  <w:noWrap w:val="0"/>
                  <w:vAlign w:val="center"/>
                </w:tcPr>
                <w:p w14:paraId="147328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氨氮（NH</w:t>
                  </w:r>
                  <w:r>
                    <w:rPr>
                      <w:rFonts w:hint="default" w:ascii="Times New Roman" w:hAnsi="Times New Roman" w:eastAsia="宋体" w:cs="Times New Roman"/>
                      <w:color w:val="auto"/>
                      <w:sz w:val="21"/>
                      <w:highlight w:val="none"/>
                      <w:vertAlign w:val="subscript"/>
                    </w:rPr>
                    <w:t>3</w:t>
                  </w:r>
                  <w:r>
                    <w:rPr>
                      <w:rFonts w:hint="default" w:ascii="Times New Roman" w:hAnsi="Times New Roman" w:eastAsia="宋体" w:cs="Times New Roman"/>
                      <w:color w:val="auto"/>
                      <w:sz w:val="21"/>
                      <w:highlight w:val="none"/>
                    </w:rPr>
                    <w:t xml:space="preserve">-N）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44A558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lang w:val="en-US" w:eastAsia="zh-CN"/>
                    </w:rPr>
                    <w:t>0</w:t>
                  </w:r>
                </w:p>
              </w:tc>
            </w:tr>
            <w:tr w14:paraId="4D0B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7E979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7</w:t>
                  </w:r>
                </w:p>
              </w:tc>
              <w:tc>
                <w:tcPr>
                  <w:tcW w:w="2441" w:type="pct"/>
                  <w:noWrap w:val="0"/>
                  <w:vAlign w:val="center"/>
                </w:tcPr>
                <w:p w14:paraId="2210E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总磷（以P计）                ≤</w:t>
                  </w:r>
                </w:p>
              </w:tc>
              <w:tc>
                <w:tcPr>
                  <w:tcW w:w="1861" w:type="pct"/>
                  <w:noWrap w:val="0"/>
                  <w:vAlign w:val="center"/>
                </w:tcPr>
                <w:p w14:paraId="59F58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lang w:val="en-US" w:eastAsia="zh-CN"/>
                    </w:rPr>
                    <w:t>2</w:t>
                  </w:r>
                </w:p>
              </w:tc>
            </w:tr>
            <w:tr w14:paraId="1F38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665CA6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8</w:t>
                  </w:r>
                </w:p>
              </w:tc>
              <w:tc>
                <w:tcPr>
                  <w:tcW w:w="2441" w:type="pct"/>
                  <w:noWrap w:val="0"/>
                  <w:vAlign w:val="center"/>
                </w:tcPr>
                <w:p w14:paraId="725178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eastAsia="zh-CN"/>
                    </w:rPr>
                    <w:t>铜</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5F079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1.0</w:t>
                  </w:r>
                </w:p>
              </w:tc>
            </w:tr>
            <w:tr w14:paraId="7BD6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7BDDE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9</w:t>
                  </w:r>
                </w:p>
              </w:tc>
              <w:tc>
                <w:tcPr>
                  <w:tcW w:w="2441" w:type="pct"/>
                  <w:noWrap w:val="0"/>
                  <w:vAlign w:val="center"/>
                </w:tcPr>
                <w:p w14:paraId="175CF8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cs="Times New Roman"/>
                      <w:color w:val="auto"/>
                      <w:sz w:val="21"/>
                      <w:highlight w:val="none"/>
                      <w:lang w:eastAsia="zh-CN"/>
                    </w:rPr>
                    <w:t>锌</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C8EB7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1.0</w:t>
                  </w:r>
                </w:p>
              </w:tc>
            </w:tr>
            <w:tr w14:paraId="3E51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F91D5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10</w:t>
                  </w:r>
                </w:p>
              </w:tc>
              <w:tc>
                <w:tcPr>
                  <w:tcW w:w="2441" w:type="pct"/>
                  <w:noWrap w:val="0"/>
                  <w:vAlign w:val="center"/>
                </w:tcPr>
                <w:p w14:paraId="7A873D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氟化物（以</w:t>
                  </w:r>
                  <w:r>
                    <w:rPr>
                      <w:rFonts w:hint="eastAsia" w:ascii="Times New Roman" w:hAnsi="Times New Roman" w:cs="Times New Roman"/>
                      <w:color w:val="auto"/>
                      <w:sz w:val="21"/>
                      <w:highlight w:val="none"/>
                      <w:lang w:val="en-US" w:eastAsia="zh-CN"/>
                    </w:rPr>
                    <w:t>F</w:t>
                  </w:r>
                  <w:r>
                    <w:rPr>
                      <w:rFonts w:hint="eastAsia" w:ascii="Times New Roman" w:hAnsi="Times New Roman" w:cs="Times New Roman"/>
                      <w:color w:val="auto"/>
                      <w:sz w:val="21"/>
                      <w:highlight w:val="none"/>
                      <w:vertAlign w:val="superscript"/>
                      <w:lang w:val="en-US" w:eastAsia="zh-CN"/>
                    </w:rPr>
                    <w:t>-</w:t>
                  </w:r>
                  <w:r>
                    <w:rPr>
                      <w:rFonts w:hint="eastAsia" w:ascii="Times New Roman" w:hAnsi="Times New Roman" w:cs="Times New Roman"/>
                      <w:color w:val="auto"/>
                      <w:sz w:val="21"/>
                      <w:highlight w:val="none"/>
                      <w:lang w:val="en-US" w:eastAsia="zh-CN"/>
                    </w:rPr>
                    <w:t>计</w:t>
                  </w:r>
                  <w:r>
                    <w:rPr>
                      <w:rFonts w:hint="eastAsia" w:ascii="Times New Roman" w:hAnsi="Times New Roman" w:cs="Times New Roman"/>
                      <w:color w:val="auto"/>
                      <w:sz w:val="21"/>
                      <w:highlight w:val="none"/>
                      <w:lang w:eastAsia="zh-CN"/>
                    </w:rPr>
                    <w:t>）</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15C26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1.0</w:t>
                  </w:r>
                </w:p>
              </w:tc>
            </w:tr>
            <w:tr w14:paraId="3D94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BEE11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11</w:t>
                  </w:r>
                </w:p>
              </w:tc>
              <w:tc>
                <w:tcPr>
                  <w:tcW w:w="2441" w:type="pct"/>
                  <w:noWrap w:val="0"/>
                  <w:vAlign w:val="center"/>
                </w:tcPr>
                <w:p w14:paraId="13895D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硒</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CF29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0.01</w:t>
                  </w:r>
                </w:p>
              </w:tc>
            </w:tr>
            <w:tr w14:paraId="08AD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0DEB85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12</w:t>
                  </w:r>
                </w:p>
              </w:tc>
              <w:tc>
                <w:tcPr>
                  <w:tcW w:w="2441" w:type="pct"/>
                  <w:noWrap w:val="0"/>
                  <w:vAlign w:val="center"/>
                </w:tcPr>
                <w:p w14:paraId="51ECFF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default" w:ascii="Times New Roman" w:hAnsi="Times New Roman" w:eastAsia="宋体" w:cs="Times New Roman"/>
                      <w:color w:val="auto"/>
                      <w:sz w:val="21"/>
                      <w:highlight w:val="none"/>
                    </w:rPr>
                    <w:t>砷                            ≤</w:t>
                  </w:r>
                </w:p>
              </w:tc>
              <w:tc>
                <w:tcPr>
                  <w:tcW w:w="1861" w:type="pct"/>
                  <w:noWrap w:val="0"/>
                  <w:vAlign w:val="center"/>
                </w:tcPr>
                <w:p w14:paraId="2ED260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rPr>
                    <w:t>0.05</w:t>
                  </w:r>
                </w:p>
              </w:tc>
            </w:tr>
            <w:tr w14:paraId="7BD4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45B250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13</w:t>
                  </w:r>
                </w:p>
              </w:tc>
              <w:tc>
                <w:tcPr>
                  <w:tcW w:w="2441" w:type="pct"/>
                  <w:noWrap w:val="0"/>
                  <w:vAlign w:val="center"/>
                </w:tcPr>
                <w:p w14:paraId="290399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default" w:ascii="Times New Roman" w:hAnsi="Times New Roman" w:eastAsia="宋体" w:cs="Times New Roman"/>
                      <w:color w:val="auto"/>
                      <w:sz w:val="21"/>
                      <w:highlight w:val="none"/>
                    </w:rPr>
                    <w:t xml:space="preserve">汞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5A5E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default"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lang w:val="en-US" w:eastAsia="zh-CN"/>
                    </w:rPr>
                    <w:t>0</w:t>
                  </w:r>
                  <w:r>
                    <w:rPr>
                      <w:rFonts w:hint="default" w:ascii="Times New Roman" w:hAnsi="Times New Roman" w:eastAsia="宋体" w:cs="Times New Roman"/>
                      <w:color w:val="auto"/>
                      <w:sz w:val="21"/>
                      <w:highlight w:val="none"/>
                    </w:rPr>
                    <w:t>1</w:t>
                  </w:r>
                </w:p>
              </w:tc>
            </w:tr>
            <w:tr w14:paraId="53F7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073B2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14</w:t>
                  </w:r>
                </w:p>
              </w:tc>
              <w:tc>
                <w:tcPr>
                  <w:tcW w:w="2441" w:type="pct"/>
                  <w:noWrap w:val="0"/>
                  <w:vAlign w:val="center"/>
                </w:tcPr>
                <w:p w14:paraId="312655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镉</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7920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0.005</w:t>
                  </w:r>
                </w:p>
              </w:tc>
            </w:tr>
            <w:tr w14:paraId="40CF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65AB65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15</w:t>
                  </w:r>
                </w:p>
              </w:tc>
              <w:tc>
                <w:tcPr>
                  <w:tcW w:w="2441" w:type="pct"/>
                  <w:noWrap w:val="0"/>
                  <w:vAlign w:val="center"/>
                </w:tcPr>
                <w:p w14:paraId="40C616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cs="Times New Roman"/>
                      <w:color w:val="auto"/>
                      <w:sz w:val="21"/>
                      <w:highlight w:val="none"/>
                      <w:lang w:eastAsia="zh-CN"/>
                    </w:rPr>
                    <w:t>铬（六价）</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81C5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w:t>
                  </w:r>
                </w:p>
              </w:tc>
            </w:tr>
            <w:tr w14:paraId="23EB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01E10B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16</w:t>
                  </w:r>
                </w:p>
              </w:tc>
              <w:tc>
                <w:tcPr>
                  <w:tcW w:w="2441" w:type="pct"/>
                  <w:noWrap w:val="0"/>
                  <w:vAlign w:val="center"/>
                </w:tcPr>
                <w:p w14:paraId="47F0C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cs="Times New Roman"/>
                      <w:color w:val="auto"/>
                      <w:sz w:val="21"/>
                      <w:highlight w:val="none"/>
                      <w:lang w:eastAsia="zh-CN"/>
                    </w:rPr>
                    <w:t>铅</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336D57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w:t>
                  </w:r>
                </w:p>
              </w:tc>
            </w:tr>
            <w:tr w14:paraId="251E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BA403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17</w:t>
                  </w:r>
                </w:p>
              </w:tc>
              <w:tc>
                <w:tcPr>
                  <w:tcW w:w="2441" w:type="pct"/>
                  <w:noWrap w:val="0"/>
                  <w:vAlign w:val="center"/>
                </w:tcPr>
                <w:p w14:paraId="294E6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氰化物</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4310F8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0.02</w:t>
                  </w:r>
                </w:p>
              </w:tc>
            </w:tr>
            <w:tr w14:paraId="14C3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2A9A4B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18</w:t>
                  </w:r>
                </w:p>
              </w:tc>
              <w:tc>
                <w:tcPr>
                  <w:tcW w:w="2441" w:type="pct"/>
                  <w:noWrap w:val="0"/>
                  <w:vAlign w:val="center"/>
                </w:tcPr>
                <w:p w14:paraId="482C47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挥发酚</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1CB2C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w:t>
                  </w:r>
                </w:p>
              </w:tc>
            </w:tr>
            <w:tr w14:paraId="22B6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07D979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19</w:t>
                  </w:r>
                </w:p>
              </w:tc>
              <w:tc>
                <w:tcPr>
                  <w:tcW w:w="2441" w:type="pct"/>
                  <w:noWrap w:val="0"/>
                  <w:vAlign w:val="center"/>
                </w:tcPr>
                <w:p w14:paraId="5BEDC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xml:space="preserve">石油类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3C89C0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lang w:val="en-US" w:eastAsia="zh-CN"/>
                    </w:rPr>
                    <w:t>0</w:t>
                  </w:r>
                  <w:r>
                    <w:rPr>
                      <w:rFonts w:hint="default" w:ascii="Times New Roman" w:hAnsi="Times New Roman" w:eastAsia="宋体" w:cs="Times New Roman"/>
                      <w:color w:val="auto"/>
                      <w:sz w:val="21"/>
                      <w:highlight w:val="none"/>
                    </w:rPr>
                    <w:t>5</w:t>
                  </w:r>
                </w:p>
              </w:tc>
            </w:tr>
            <w:tr w14:paraId="32D3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EF952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20</w:t>
                  </w:r>
                </w:p>
              </w:tc>
              <w:tc>
                <w:tcPr>
                  <w:tcW w:w="2441" w:type="pct"/>
                  <w:noWrap w:val="0"/>
                  <w:vAlign w:val="center"/>
                </w:tcPr>
                <w:p w14:paraId="45BA39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阴离子表面活性剂</w:t>
                  </w:r>
                  <w:r>
                    <w:rPr>
                      <w:rFonts w:hint="default" w:ascii="Times New Roman" w:hAnsi="Times New Roman" w:eastAsia="宋体" w:cs="Times New Roman"/>
                      <w:color w:val="auto"/>
                      <w:sz w:val="21"/>
                      <w:highlight w:val="none"/>
                    </w:rPr>
                    <w:t xml:space="preserve">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65F73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w:t>
                  </w:r>
                  <w:r>
                    <w:rPr>
                      <w:rFonts w:hint="eastAsia" w:ascii="Times New Roman" w:hAnsi="Times New Roman" w:eastAsia="宋体" w:cs="Times New Roman"/>
                      <w:color w:val="auto"/>
                      <w:sz w:val="21"/>
                      <w:highlight w:val="none"/>
                      <w:lang w:val="en-US" w:eastAsia="zh-CN"/>
                    </w:rPr>
                    <w:t>2</w:t>
                  </w:r>
                </w:p>
              </w:tc>
            </w:tr>
            <w:tr w14:paraId="69BA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58E0B6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21</w:t>
                  </w:r>
                </w:p>
              </w:tc>
              <w:tc>
                <w:tcPr>
                  <w:tcW w:w="2441" w:type="pct"/>
                  <w:noWrap w:val="0"/>
                  <w:vAlign w:val="center"/>
                </w:tcPr>
                <w:p w14:paraId="041F9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eastAsia="zh-CN"/>
                    </w:rPr>
                  </w:pPr>
                  <w:r>
                    <w:rPr>
                      <w:rFonts w:hint="eastAsia" w:ascii="Times New Roman" w:hAnsi="Times New Roman" w:cs="Times New Roman"/>
                      <w:color w:val="auto"/>
                      <w:sz w:val="21"/>
                      <w:highlight w:val="none"/>
                      <w:lang w:eastAsia="zh-CN"/>
                    </w:rPr>
                    <w:t>硫化物</w:t>
                  </w:r>
                  <w:r>
                    <w:rPr>
                      <w:rFonts w:hint="default" w:ascii="Times New Roman" w:hAnsi="Times New Roman" w:eastAsia="宋体" w:cs="Times New Roman"/>
                      <w:color w:val="auto"/>
                      <w:sz w:val="21"/>
                      <w:highlight w:val="none"/>
                    </w:rPr>
                    <w:t xml:space="preserve">               </w:t>
                  </w:r>
                  <w:r>
                    <w:rPr>
                      <w:rFonts w:hint="eastAsia" w:ascii="Times New Roman" w:hAnsi="Times New Roman"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8A4D8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0.2</w:t>
                  </w:r>
                </w:p>
              </w:tc>
            </w:tr>
            <w:tr w14:paraId="23D8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7FBB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22</w:t>
                  </w:r>
                </w:p>
              </w:tc>
              <w:tc>
                <w:tcPr>
                  <w:tcW w:w="2441" w:type="pct"/>
                  <w:noWrap w:val="0"/>
                  <w:vAlign w:val="center"/>
                </w:tcPr>
                <w:p w14:paraId="33CBD7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粪大肠菌群（个</w:t>
                  </w:r>
                  <w:r>
                    <w:rPr>
                      <w:rFonts w:hint="default" w:ascii="Times New Roman" w:hAnsi="Times New Roman" w:eastAsia="宋体" w:cs="Times New Roman"/>
                      <w:color w:val="auto"/>
                      <w:sz w:val="21"/>
                      <w:highlight w:val="none"/>
                      <w:lang w:val="en-US" w:eastAsia="zh-CN"/>
                    </w:rPr>
                    <w:t>/L</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 xml:space="preserve">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BBE8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w:t>
                  </w:r>
                  <w:r>
                    <w:rPr>
                      <w:rFonts w:hint="default" w:ascii="Times New Roman" w:hAnsi="Times New Roman" w:eastAsia="宋体" w:cs="Times New Roman"/>
                      <w:color w:val="auto"/>
                      <w:sz w:val="21"/>
                      <w:highlight w:val="none"/>
                    </w:rPr>
                    <w:t>0000</w:t>
                  </w:r>
                  <w:r>
                    <w:rPr>
                      <w:rFonts w:hint="default" w:ascii="Times New Roman" w:hAnsi="Times New Roman" w:eastAsia="宋体" w:cs="Times New Roman"/>
                      <w:color w:val="auto"/>
                      <w:sz w:val="21"/>
                      <w:highlight w:val="none"/>
                      <w:lang w:val="en-US" w:eastAsia="zh-CN"/>
                    </w:rPr>
                    <w:t>.0</w:t>
                  </w:r>
                </w:p>
              </w:tc>
            </w:tr>
          </w:tbl>
          <w:p w14:paraId="647CB087">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（2）地表水环境质量现状</w:t>
            </w:r>
          </w:p>
          <w:p w14:paraId="52302C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根据《环境影响评价技术导则地表水环境》（</w:t>
            </w:r>
            <w:r>
              <w:rPr>
                <w:rFonts w:hint="default" w:ascii="Times New Roman" w:hAnsi="Times New Roman" w:eastAsia="宋体" w:cs="Times New Roman"/>
                <w:color w:val="auto"/>
                <w:sz w:val="24"/>
                <w:szCs w:val="24"/>
                <w:highlight w:val="none"/>
              </w:rPr>
              <w:t>HJ2.3-2018</w:t>
            </w:r>
            <w:r>
              <w:rPr>
                <w:rFonts w:hint="eastAsia"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rPr>
              <w:t>6.6.3</w:t>
            </w:r>
            <w:r>
              <w:rPr>
                <w:rFonts w:hint="eastAsia" w:ascii="Times New Roman" w:hAnsi="Times New Roman" w:eastAsia="宋体" w:cs="Times New Roman"/>
                <w:color w:val="auto"/>
                <w:sz w:val="24"/>
                <w:szCs w:val="24"/>
                <w:highlight w:val="none"/>
              </w:rPr>
              <w:t>水环境质量现状调查”中的规定，在进行水环境质量现状调查时应优先采用国务院生态环境主管部门统一发布的水环境状况信息。</w:t>
            </w:r>
            <w:r>
              <w:rPr>
                <w:rFonts w:hint="eastAsia" w:ascii="Times New Roman" w:hAnsi="Times New Roman" w:eastAsia="宋体" w:cs="Times New Roman"/>
                <w:bCs/>
                <w:color w:val="auto"/>
                <w:sz w:val="24"/>
                <w:highlight w:val="none"/>
                <w:lang w:val="en-US" w:eastAsia="zh-CN"/>
              </w:rPr>
              <w:t>项目区下游最近的国控断面为曲江</w:t>
            </w:r>
            <w:r>
              <w:rPr>
                <w:rFonts w:hint="eastAsia" w:ascii="Times New Roman" w:hAnsi="Times New Roman" w:eastAsia="宋体"/>
                <w:color w:val="auto"/>
                <w:sz w:val="24"/>
                <w:szCs w:val="24"/>
                <w:highlight w:val="none"/>
              </w:rPr>
              <w:t>永昌桥断面</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s="Times New Roman"/>
                <w:bCs/>
                <w:color w:val="auto"/>
                <w:sz w:val="24"/>
                <w:highlight w:val="none"/>
                <w:lang w:val="en-US" w:eastAsia="zh-CN"/>
              </w:rPr>
              <w:t>根据</w:t>
            </w:r>
            <w:r>
              <w:rPr>
                <w:rFonts w:hint="eastAsia" w:ascii="Times New Roman" w:hAnsi="Times New Roman" w:eastAsia="宋体" w:cs="Times New Roman"/>
                <w:bCs/>
                <w:color w:val="auto"/>
                <w:sz w:val="24"/>
                <w:highlight w:val="none"/>
                <w:lang w:eastAsia="zh-CN"/>
              </w:rPr>
              <w:t>玉溪市生态环境局</w:t>
            </w:r>
            <w:r>
              <w:rPr>
                <w:rFonts w:hint="eastAsia" w:ascii="Times New Roman" w:hAnsi="Times New Roman" w:eastAsia="宋体" w:cs="Times New Roman"/>
                <w:bCs/>
                <w:color w:val="auto"/>
                <w:sz w:val="24"/>
                <w:highlight w:val="none"/>
              </w:rPr>
              <w:t>202</w:t>
            </w:r>
            <w:r>
              <w:rPr>
                <w:rFonts w:hint="eastAsia" w:ascii="Times New Roman" w:hAnsi="Times New Roman" w:eastAsia="宋体" w:cs="Times New Roman"/>
                <w:bCs/>
                <w:color w:val="auto"/>
                <w:sz w:val="24"/>
                <w:highlight w:val="none"/>
                <w:lang w:val="en-US" w:eastAsia="zh-CN"/>
              </w:rPr>
              <w:t>5</w:t>
            </w:r>
            <w:r>
              <w:rPr>
                <w:rFonts w:hint="eastAsia" w:ascii="Times New Roman" w:hAnsi="Times New Roman" w:eastAsia="宋体" w:cs="Times New Roman"/>
                <w:bCs/>
                <w:color w:val="auto"/>
                <w:sz w:val="24"/>
                <w:highlight w:val="none"/>
              </w:rPr>
              <w:t>年6月发布的《202</w:t>
            </w:r>
            <w:r>
              <w:rPr>
                <w:rFonts w:hint="eastAsia" w:ascii="Times New Roman" w:hAnsi="Times New Roman"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rPr>
              <w:t>年度</w:t>
            </w:r>
            <w:r>
              <w:rPr>
                <w:rFonts w:hint="eastAsia" w:ascii="Times New Roman" w:hAnsi="Times New Roman" w:eastAsia="宋体" w:cs="Times New Roman"/>
                <w:bCs/>
                <w:color w:val="auto"/>
                <w:sz w:val="24"/>
                <w:highlight w:val="none"/>
                <w:lang w:val="en-US" w:eastAsia="zh-CN"/>
              </w:rPr>
              <w:t>玉溪</w:t>
            </w:r>
            <w:r>
              <w:rPr>
                <w:rFonts w:hint="eastAsia" w:ascii="Times New Roman" w:hAnsi="Times New Roman" w:eastAsia="宋体" w:cs="Times New Roman"/>
                <w:bCs/>
                <w:color w:val="auto"/>
                <w:sz w:val="24"/>
                <w:highlight w:val="none"/>
              </w:rPr>
              <w:t>市生态环境状况公报》，</w:t>
            </w:r>
            <w:r>
              <w:rPr>
                <w:rFonts w:hint="eastAsia" w:ascii="Times New Roman" w:hAnsi="Times New Roman" w:eastAsia="宋体" w:cs="Times New Roman"/>
                <w:bCs/>
                <w:color w:val="auto"/>
                <w:sz w:val="24"/>
                <w:highlight w:val="none"/>
                <w:lang w:val="en-US" w:eastAsia="zh-CN"/>
              </w:rPr>
              <w:t>永昌桥</w:t>
            </w:r>
            <w:r>
              <w:rPr>
                <w:rFonts w:hint="eastAsia" w:ascii="Times New Roman" w:hAnsi="Times New Roman" w:eastAsia="宋体" w:cs="Times New Roman"/>
                <w:bCs/>
                <w:color w:val="auto"/>
                <w:sz w:val="24"/>
                <w:highlight w:val="none"/>
              </w:rPr>
              <w:t>断面202</w:t>
            </w:r>
            <w:r>
              <w:rPr>
                <w:rFonts w:hint="eastAsia" w:ascii="Times New Roman" w:hAnsi="Times New Roman"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rPr>
              <w:t>年水质类别为Ⅲ类，满足水环境功能要求</w:t>
            </w:r>
            <w:r>
              <w:rPr>
                <w:rFonts w:hint="eastAsia" w:ascii="Times New Roman" w:hAnsi="Times New Roman" w:eastAsia="宋体" w:cs="Times New Roman"/>
                <w:bCs/>
                <w:color w:val="auto"/>
                <w:sz w:val="24"/>
                <w:highlight w:val="none"/>
                <w:lang w:eastAsia="zh-CN"/>
              </w:rPr>
              <w:t>，</w:t>
            </w:r>
            <w:r>
              <w:rPr>
                <w:rFonts w:hint="eastAsia" w:ascii="Times New Roman" w:hAnsi="Times New Roman" w:cs="Times New Roman"/>
                <w:color w:val="auto"/>
                <w:sz w:val="24"/>
                <w:highlight w:val="none"/>
                <w:lang w:val="en-US" w:eastAsia="zh-CN"/>
              </w:rPr>
              <w:t>区域地表水属于达标水体</w:t>
            </w:r>
            <w:r>
              <w:rPr>
                <w:rFonts w:hint="eastAsia" w:ascii="Times New Roman" w:hAnsi="Times New Roman" w:eastAsia="宋体" w:cs="Times New Roman"/>
                <w:bCs/>
                <w:color w:val="auto"/>
                <w:sz w:val="24"/>
                <w:highlight w:val="none"/>
              </w:rPr>
              <w:t>。</w:t>
            </w:r>
          </w:p>
          <w:p w14:paraId="4F6294F0">
            <w:pPr>
              <w:adjustRightInd w:val="0"/>
              <w:snapToGrid w:val="0"/>
              <w:spacing w:line="360" w:lineRule="auto"/>
              <w:rPr>
                <w:rFonts w:hint="eastAsia"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三、声环境</w:t>
            </w:r>
          </w:p>
          <w:p w14:paraId="59B3C62F">
            <w:pPr>
              <w:spacing w:line="360" w:lineRule="auto"/>
              <w:ind w:firstLine="482" w:firstLineChars="200"/>
              <w:rPr>
                <w:rFonts w:hint="eastAsia" w:ascii="Times New Roman" w:hAnsi="Times New Roman" w:eastAsia="宋体" w:cs="宋体"/>
                <w:b/>
                <w:bCs/>
                <w:color w:val="auto"/>
                <w:sz w:val="24"/>
                <w:highlight w:val="none"/>
              </w:rPr>
            </w:pPr>
            <w:r>
              <w:rPr>
                <w:rFonts w:hint="eastAsia" w:ascii="Times New Roman" w:hAnsi="Times New Roman" w:cs="宋体"/>
                <w:b/>
                <w:bCs/>
                <w:color w:val="auto"/>
                <w:sz w:val="24"/>
                <w:highlight w:val="none"/>
                <w:lang w:val="en-US" w:eastAsia="zh-CN"/>
              </w:rPr>
              <w:t>1、</w:t>
            </w:r>
            <w:r>
              <w:rPr>
                <w:rFonts w:hint="eastAsia" w:ascii="Times New Roman" w:hAnsi="Times New Roman" w:eastAsia="宋体" w:cs="宋体"/>
                <w:b/>
                <w:bCs/>
                <w:color w:val="auto"/>
                <w:sz w:val="24"/>
                <w:highlight w:val="none"/>
              </w:rPr>
              <w:t>声环境质量执行标准</w:t>
            </w:r>
          </w:p>
          <w:p w14:paraId="17C66AC8">
            <w:pPr>
              <w:spacing w:line="360" w:lineRule="auto"/>
              <w:ind w:firstLine="480" w:firstLineChars="200"/>
              <w:rPr>
                <w:rFonts w:hint="eastAsia" w:ascii="Times New Roman" w:hAnsi="Times New Roman" w:eastAsia="宋体" w:cs="宋体"/>
                <w:color w:val="auto"/>
                <w:sz w:val="24"/>
                <w:highlight w:val="none"/>
              </w:rPr>
            </w:pPr>
            <w:r>
              <w:rPr>
                <w:rFonts w:ascii="Times New Roman" w:hAnsi="Times New Roman"/>
                <w:bCs/>
                <w:color w:val="auto"/>
                <w:sz w:val="24"/>
                <w:highlight w:val="none"/>
              </w:rPr>
              <w:t>本项目位于</w:t>
            </w:r>
            <w:r>
              <w:rPr>
                <w:rFonts w:hint="eastAsia" w:ascii="Times New Roman" w:hAnsi="Times New Roman" w:eastAsia="宋体" w:cs="Times New Roman"/>
                <w:color w:val="auto"/>
                <w:sz w:val="24"/>
                <w:szCs w:val="24"/>
                <w:highlight w:val="none"/>
                <w:lang w:val="en-US" w:eastAsia="zh-CN"/>
              </w:rPr>
              <w:t>云南红塔产业园区研和片区大坡头原武警教导队地块</w:t>
            </w:r>
            <w:r>
              <w:rPr>
                <w:rFonts w:hint="eastAsia" w:ascii="Times New Roman" w:hAnsi="Times New Roman"/>
                <w:bCs/>
                <w:color w:val="auto"/>
                <w:sz w:val="24"/>
                <w:highlight w:val="none"/>
                <w:lang w:val="zh-CN"/>
              </w:rPr>
              <w:t>，属于红塔工业园区研和片区地块二</w:t>
            </w:r>
            <w:r>
              <w:rPr>
                <w:rFonts w:ascii="Times New Roman" w:hAnsi="Times New Roman"/>
                <w:bCs/>
                <w:color w:val="auto"/>
                <w:sz w:val="24"/>
                <w:highlight w:val="none"/>
              </w:rPr>
              <w:t>，</w:t>
            </w:r>
            <w:r>
              <w:rPr>
                <w:rFonts w:hint="eastAsia" w:ascii="Times New Roman" w:hAnsi="Times New Roman" w:eastAsia="宋体" w:cs="Times New Roman"/>
                <w:color w:val="auto"/>
                <w:sz w:val="24"/>
                <w:szCs w:val="24"/>
                <w:highlight w:val="none"/>
                <w:lang w:val="en-US" w:eastAsia="zh-CN"/>
              </w:rPr>
              <w:t>根据《云南红塔产业园区总体规划修编（</w:t>
            </w:r>
            <w:r>
              <w:rPr>
                <w:rFonts w:hint="default" w:ascii="Times New Roman" w:hAnsi="Times New Roman" w:eastAsia="宋体" w:cs="Times New Roman"/>
                <w:color w:val="auto"/>
                <w:sz w:val="24"/>
                <w:szCs w:val="24"/>
                <w:highlight w:val="none"/>
                <w:lang w:val="en-US" w:eastAsia="zh-CN"/>
              </w:rPr>
              <w:t>2021-2035</w:t>
            </w:r>
            <w:r>
              <w:rPr>
                <w:rFonts w:hint="eastAsia" w:ascii="Times New Roman" w:hAnsi="Times New Roman" w:eastAsia="宋体" w:cs="Times New Roman"/>
                <w:color w:val="auto"/>
                <w:sz w:val="24"/>
                <w:szCs w:val="24"/>
                <w:highlight w:val="none"/>
                <w:lang w:val="en-US" w:eastAsia="zh-CN"/>
              </w:rPr>
              <w:t>年）环境影响报告书》，</w:t>
            </w:r>
            <w:r>
              <w:rPr>
                <w:rFonts w:hint="eastAsia" w:ascii="Times New Roman" w:hAnsi="Times New Roman"/>
                <w:bCs/>
                <w:color w:val="auto"/>
                <w:sz w:val="24"/>
                <w:highlight w:val="none"/>
                <w:lang w:val="en-US" w:eastAsia="zh-CN"/>
              </w:rPr>
              <w:t>项目所在区域属于3类声环境功能区，</w:t>
            </w:r>
            <w:r>
              <w:rPr>
                <w:rFonts w:ascii="Times New Roman" w:hAnsi="Times New Roman"/>
                <w:bCs/>
                <w:color w:val="auto"/>
                <w:sz w:val="24"/>
                <w:highlight w:val="none"/>
              </w:rPr>
              <w:t>执行《声环境质量标准》（GB3096-2008）</w:t>
            </w:r>
            <w:r>
              <w:rPr>
                <w:rFonts w:hint="eastAsia" w:ascii="Times New Roman" w:hAnsi="Times New Roman"/>
                <w:bCs/>
                <w:color w:val="auto"/>
                <w:sz w:val="24"/>
                <w:highlight w:val="none"/>
                <w:lang w:val="en-US" w:eastAsia="zh-CN"/>
              </w:rPr>
              <w:t>3</w:t>
            </w:r>
            <w:r>
              <w:rPr>
                <w:rFonts w:ascii="Times New Roman" w:hAnsi="Times New Roman"/>
                <w:bCs/>
                <w:color w:val="auto"/>
                <w:sz w:val="24"/>
                <w:highlight w:val="none"/>
              </w:rPr>
              <w:t>类标准限值</w:t>
            </w:r>
            <w:r>
              <w:rPr>
                <w:rFonts w:hint="eastAsia" w:ascii="Times New Roman" w:hAnsi="Times New Roman"/>
                <w:bCs/>
                <w:color w:val="auto"/>
                <w:sz w:val="24"/>
                <w:highlight w:val="none"/>
                <w:lang w:eastAsia="zh-CN"/>
              </w:rPr>
              <w:t>，</w:t>
            </w:r>
            <w:r>
              <w:rPr>
                <w:rFonts w:hint="eastAsia" w:ascii="Times New Roman" w:hAnsi="Times New Roman"/>
                <w:bCs/>
                <w:color w:val="auto"/>
                <w:sz w:val="24"/>
                <w:highlight w:val="none"/>
              </w:rPr>
              <w:t>声环境质量标准值如下表</w:t>
            </w:r>
            <w:r>
              <w:rPr>
                <w:rFonts w:hint="eastAsia" w:ascii="Times New Roman" w:hAnsi="Times New Roman" w:eastAsia="宋体" w:cs="宋体"/>
                <w:color w:val="auto"/>
                <w:sz w:val="24"/>
                <w:highlight w:val="none"/>
              </w:rPr>
              <w:t>。</w:t>
            </w:r>
          </w:p>
          <w:p w14:paraId="38A0396B">
            <w:pPr>
              <w:keepNext w:val="0"/>
              <w:keepLines w:val="0"/>
              <w:pageBreakBefore w:val="0"/>
              <w:widowControl w:val="0"/>
              <w:kinsoku/>
              <w:wordWrap/>
              <w:overflowPunct/>
              <w:topLinePunct w:val="0"/>
              <w:autoSpaceDE/>
              <w:autoSpaceDN/>
              <w:bidi w:val="0"/>
              <w:adjustRightInd w:val="0"/>
              <w:snapToGrid w:val="0"/>
              <w:spacing w:line="360" w:lineRule="auto"/>
              <w:ind w:firstLine="200" w:firstLineChars="200"/>
              <w:textAlignment w:val="auto"/>
              <w:rPr>
                <w:rFonts w:hint="eastAsia" w:ascii="Times New Roman" w:hAnsi="Times New Roman" w:eastAsia="宋体" w:cs="宋体"/>
                <w:color w:val="auto"/>
                <w:sz w:val="10"/>
                <w:szCs w:val="10"/>
                <w:highlight w:val="none"/>
              </w:rPr>
            </w:pPr>
          </w:p>
          <w:p w14:paraId="75197AA0">
            <w:pPr>
              <w:jc w:val="center"/>
              <w:rPr>
                <w:rFonts w:hint="eastAsia" w:ascii="Times New Roman" w:hAnsi="Times New Roman" w:eastAsia="宋体" w:cs="宋体"/>
                <w:b/>
                <w:color w:val="auto"/>
                <w:kern w:val="0"/>
                <w:sz w:val="24"/>
                <w:highlight w:val="none"/>
              </w:rPr>
            </w:pPr>
            <w:r>
              <w:rPr>
                <w:rFonts w:hint="eastAsia" w:ascii="Times New Roman" w:hAnsi="Times New Roman" w:eastAsia="宋体" w:cs="宋体"/>
                <w:b/>
                <w:color w:val="auto"/>
                <w:kern w:val="0"/>
                <w:sz w:val="24"/>
                <w:highlight w:val="none"/>
              </w:rPr>
              <w:t>表3.1-</w:t>
            </w:r>
            <w:r>
              <w:rPr>
                <w:rFonts w:hint="eastAsia" w:ascii="Times New Roman" w:hAnsi="Times New Roman" w:cs="宋体"/>
                <w:b/>
                <w:color w:val="auto"/>
                <w:kern w:val="0"/>
                <w:sz w:val="24"/>
                <w:highlight w:val="none"/>
                <w:lang w:val="en-US" w:eastAsia="zh-CN"/>
              </w:rPr>
              <w:t xml:space="preserve">5    </w:t>
            </w:r>
            <w:r>
              <w:rPr>
                <w:rFonts w:hint="eastAsia" w:ascii="Times New Roman" w:hAnsi="Times New Roman" w:eastAsia="宋体" w:cs="宋体"/>
                <w:b/>
                <w:color w:val="auto"/>
                <w:kern w:val="0"/>
                <w:sz w:val="24"/>
                <w:highlight w:val="none"/>
              </w:rPr>
              <w:t>声环境质量标准</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2547"/>
              <w:gridCol w:w="2091"/>
              <w:gridCol w:w="2094"/>
            </w:tblGrid>
            <w:tr w14:paraId="35F6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409" w:type="dxa"/>
                  <w:vMerge w:val="restart"/>
                  <w:tcBorders>
                    <w:top w:val="single" w:color="auto" w:sz="4" w:space="0"/>
                    <w:left w:val="single" w:color="auto" w:sz="4" w:space="0"/>
                    <w:bottom w:val="single" w:color="auto" w:sz="4" w:space="0"/>
                    <w:right w:val="single" w:color="auto" w:sz="4" w:space="0"/>
                  </w:tcBorders>
                  <w:shd w:val="clear" w:color="auto" w:fill="D9D9D9"/>
                  <w:noWrap w:val="0"/>
                  <w:vAlign w:val="center"/>
                </w:tcPr>
                <w:p w14:paraId="21C05C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类别</w:t>
                  </w:r>
                </w:p>
              </w:tc>
              <w:tc>
                <w:tcPr>
                  <w:tcW w:w="2340" w:type="dxa"/>
                  <w:vMerge w:val="restart"/>
                  <w:tcBorders>
                    <w:top w:val="single" w:color="auto" w:sz="4" w:space="0"/>
                    <w:left w:val="single" w:color="auto" w:sz="4" w:space="0"/>
                    <w:bottom w:val="single" w:color="auto" w:sz="4" w:space="0"/>
                    <w:right w:val="single" w:color="auto" w:sz="4" w:space="0"/>
                  </w:tcBorders>
                  <w:shd w:val="clear" w:color="auto" w:fill="D9D9D9"/>
                  <w:noWrap w:val="0"/>
                  <w:vAlign w:val="center"/>
                </w:tcPr>
                <w:p w14:paraId="51CD55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适用区域</w:t>
                  </w:r>
                </w:p>
              </w:tc>
              <w:tc>
                <w:tcPr>
                  <w:tcW w:w="3844" w:type="dxa"/>
                  <w:gridSpan w:val="2"/>
                  <w:tcBorders>
                    <w:top w:val="single" w:color="auto" w:sz="4" w:space="0"/>
                    <w:left w:val="single" w:color="auto" w:sz="4" w:space="0"/>
                    <w:bottom w:val="single" w:color="auto" w:sz="4" w:space="0"/>
                    <w:right w:val="single" w:color="auto" w:sz="4" w:space="0"/>
                  </w:tcBorders>
                  <w:shd w:val="clear" w:color="auto" w:fill="D9D9D9"/>
                  <w:noWrap w:val="0"/>
                  <w:vAlign w:val="center"/>
                </w:tcPr>
                <w:p w14:paraId="441EA3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等效声级[dB(A)]</w:t>
                  </w:r>
                </w:p>
              </w:tc>
            </w:tr>
            <w:tr w14:paraId="3AAB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409" w:type="dxa"/>
                  <w:vMerge w:val="continue"/>
                  <w:tcBorders>
                    <w:top w:val="single" w:color="auto" w:sz="4" w:space="0"/>
                    <w:left w:val="single" w:color="auto" w:sz="4" w:space="0"/>
                    <w:bottom w:val="single" w:color="auto" w:sz="4" w:space="0"/>
                    <w:right w:val="single" w:color="auto" w:sz="4" w:space="0"/>
                  </w:tcBorders>
                  <w:shd w:val="clear" w:color="auto" w:fill="D9D9D9"/>
                  <w:noWrap w:val="0"/>
                  <w:vAlign w:val="center"/>
                </w:tcPr>
                <w:p w14:paraId="1D33FD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highlight w:val="none"/>
                    </w:rPr>
                  </w:pPr>
                </w:p>
              </w:tc>
              <w:tc>
                <w:tcPr>
                  <w:tcW w:w="2340" w:type="dxa"/>
                  <w:vMerge w:val="continue"/>
                  <w:tcBorders>
                    <w:top w:val="single" w:color="auto" w:sz="4" w:space="0"/>
                    <w:left w:val="single" w:color="auto" w:sz="4" w:space="0"/>
                    <w:bottom w:val="single" w:color="auto" w:sz="4" w:space="0"/>
                    <w:right w:val="single" w:color="auto" w:sz="4" w:space="0"/>
                  </w:tcBorders>
                  <w:shd w:val="clear" w:color="auto" w:fill="D9D9D9"/>
                  <w:noWrap w:val="0"/>
                  <w:vAlign w:val="center"/>
                </w:tcPr>
                <w:p w14:paraId="47D546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highlight w:val="none"/>
                    </w:rPr>
                  </w:pPr>
                </w:p>
              </w:tc>
              <w:tc>
                <w:tcPr>
                  <w:tcW w:w="1921"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6E8517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昼间</w:t>
                  </w:r>
                </w:p>
              </w:tc>
              <w:tc>
                <w:tcPr>
                  <w:tcW w:w="1923"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1AD22C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夜间</w:t>
                  </w:r>
                </w:p>
              </w:tc>
            </w:tr>
            <w:tr w14:paraId="2EC2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409" w:type="dxa"/>
                  <w:tcBorders>
                    <w:top w:val="single" w:color="auto" w:sz="4" w:space="0"/>
                    <w:left w:val="single" w:color="auto" w:sz="4" w:space="0"/>
                    <w:bottom w:val="single" w:color="auto" w:sz="4" w:space="0"/>
                    <w:right w:val="single" w:color="auto" w:sz="4" w:space="0"/>
                  </w:tcBorders>
                  <w:noWrap w:val="0"/>
                  <w:vAlign w:val="center"/>
                </w:tcPr>
                <w:p w14:paraId="3AFD8F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类</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58744F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项目区</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901A6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65</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49BAF5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55</w:t>
                  </w:r>
                </w:p>
              </w:tc>
            </w:tr>
          </w:tbl>
          <w:p w14:paraId="7945A567">
            <w:pPr>
              <w:spacing w:line="360" w:lineRule="auto"/>
              <w:ind w:firstLine="482" w:firstLineChars="200"/>
              <w:rPr>
                <w:rFonts w:hint="eastAsia" w:ascii="Times New Roman" w:hAnsi="Times New Roman" w:eastAsia="宋体" w:cs="宋体"/>
                <w:b/>
                <w:bCs/>
                <w:color w:val="auto"/>
                <w:sz w:val="24"/>
                <w:highlight w:val="none"/>
              </w:rPr>
            </w:pPr>
            <w:r>
              <w:rPr>
                <w:rFonts w:hint="eastAsia" w:ascii="Times New Roman" w:hAnsi="Times New Roman" w:cs="宋体"/>
                <w:b/>
                <w:bCs/>
                <w:color w:val="auto"/>
                <w:sz w:val="24"/>
                <w:highlight w:val="none"/>
                <w:lang w:val="en-US" w:eastAsia="zh-CN"/>
              </w:rPr>
              <w:t>2、</w:t>
            </w:r>
            <w:r>
              <w:rPr>
                <w:rFonts w:hint="eastAsia" w:ascii="Times New Roman" w:hAnsi="Times New Roman" w:eastAsia="宋体" w:cs="宋体"/>
                <w:b/>
                <w:bCs/>
                <w:color w:val="auto"/>
                <w:sz w:val="24"/>
                <w:highlight w:val="none"/>
              </w:rPr>
              <w:t>声环境质量现状</w:t>
            </w:r>
          </w:p>
          <w:p w14:paraId="7D5BF129">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根据《建设项目环境影响报告表编制技术指南（污染影响类）（试行）》相关内容，项目厂界外50m范围内无声环境敏感目标</w:t>
            </w:r>
            <w:r>
              <w:rPr>
                <w:rFonts w:ascii="Times New Roman" w:hAnsi="Times New Roman"/>
                <w:bCs/>
                <w:color w:val="auto"/>
                <w:sz w:val="24"/>
                <w:highlight w:val="none"/>
              </w:rPr>
              <w:t>故</w:t>
            </w:r>
            <w:r>
              <w:rPr>
                <w:rFonts w:hint="eastAsia" w:ascii="Times New Roman" w:hAnsi="Times New Roman"/>
                <w:bCs/>
                <w:color w:val="auto"/>
                <w:sz w:val="24"/>
                <w:highlight w:val="none"/>
                <w:lang w:val="en-US" w:eastAsia="zh-CN"/>
              </w:rPr>
              <w:t>无需对</w:t>
            </w:r>
            <w:r>
              <w:rPr>
                <w:rFonts w:ascii="Times New Roman" w:hAnsi="Times New Roman"/>
                <w:bCs/>
                <w:color w:val="auto"/>
                <w:sz w:val="24"/>
                <w:highlight w:val="none"/>
              </w:rPr>
              <w:t>声环境质量现状进行监测</w:t>
            </w:r>
            <w:r>
              <w:rPr>
                <w:rFonts w:hint="eastAsia" w:ascii="Times New Roman" w:hAnsi="Times New Roman" w:eastAsia="宋体" w:cs="宋体"/>
                <w:color w:val="auto"/>
                <w:sz w:val="24"/>
                <w:highlight w:val="none"/>
              </w:rPr>
              <w:t>。</w:t>
            </w:r>
          </w:p>
          <w:p w14:paraId="7571E3F6">
            <w:pPr>
              <w:spacing w:line="360" w:lineRule="auto"/>
              <w:rPr>
                <w:rFonts w:hint="eastAsia"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四、生态环境</w:t>
            </w:r>
          </w:p>
          <w:p w14:paraId="000B4CAC">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Times New Roman"/>
                <w:color w:val="auto"/>
                <w:sz w:val="24"/>
                <w:szCs w:val="24"/>
                <w:highlight w:val="none"/>
              </w:rPr>
              <w:t>项目厂址位于</w:t>
            </w:r>
            <w:r>
              <w:rPr>
                <w:rFonts w:hint="eastAsia" w:ascii="Times New Roman" w:hAnsi="Times New Roman" w:eastAsia="宋体" w:cs="Times New Roman"/>
                <w:color w:val="auto"/>
                <w:sz w:val="24"/>
                <w:szCs w:val="24"/>
                <w:highlight w:val="none"/>
                <w:lang w:val="en-US" w:eastAsia="zh-CN"/>
              </w:rPr>
              <w:t>红塔工业园区研和片区</w:t>
            </w:r>
            <w:r>
              <w:rPr>
                <w:rFonts w:hint="eastAsia" w:ascii="Times New Roman" w:hAnsi="Times New Roman" w:eastAsia="宋体" w:cs="Times New Roman"/>
                <w:color w:val="auto"/>
                <w:sz w:val="24"/>
                <w:szCs w:val="24"/>
                <w:highlight w:val="none"/>
              </w:rPr>
              <w:t>，根据现场踏勘，该工业园区已成为开发程度较高的</w:t>
            </w:r>
            <w:r>
              <w:rPr>
                <w:rFonts w:hint="eastAsia" w:ascii="Times New Roman" w:hAnsi="Times New Roman" w:eastAsia="宋体" w:cs="Times New Roman"/>
                <w:color w:val="auto"/>
                <w:sz w:val="24"/>
                <w:szCs w:val="24"/>
                <w:highlight w:val="none"/>
                <w:lang w:val="en-US" w:eastAsia="zh-CN"/>
              </w:rPr>
              <w:t>工业聚集区</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项目租用的场地为闲置空地，占地范围</w:t>
            </w:r>
            <w:r>
              <w:rPr>
                <w:rFonts w:hint="eastAsia" w:ascii="Times New Roman" w:hAnsi="Times New Roman" w:eastAsia="宋体" w:cs="Times New Roman"/>
                <w:color w:val="auto"/>
                <w:sz w:val="24"/>
                <w:szCs w:val="24"/>
                <w:highlight w:val="none"/>
              </w:rPr>
              <w:t>内已不存在原生植被，未发现国家、云南省规定需要保护的植物、动物分布</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无珍稀濒危物种，无当地特有物种，无古树名木分布。</w:t>
            </w:r>
            <w:r>
              <w:rPr>
                <w:rFonts w:hint="eastAsia" w:ascii="Times New Roman" w:hAnsi="Times New Roman" w:eastAsia="宋体" w:cs="Times New Roman"/>
                <w:color w:val="auto"/>
                <w:sz w:val="24"/>
                <w:szCs w:val="24"/>
                <w:highlight w:val="none"/>
                <w:lang w:val="en-US" w:eastAsia="zh-CN"/>
              </w:rPr>
              <w:t>项目所在区域</w:t>
            </w:r>
            <w:r>
              <w:rPr>
                <w:rFonts w:hint="eastAsia" w:ascii="Times New Roman" w:hAnsi="Times New Roman" w:eastAsia="宋体" w:cs="Times New Roman"/>
                <w:color w:val="auto"/>
                <w:sz w:val="24"/>
                <w:szCs w:val="24"/>
                <w:highlight w:val="none"/>
              </w:rPr>
              <w:t>生态环境状况一般</w:t>
            </w:r>
            <w:r>
              <w:rPr>
                <w:rFonts w:hint="eastAsia" w:ascii="Times New Roman" w:hAnsi="Times New Roman" w:eastAsia="宋体" w:cs="宋体"/>
                <w:color w:val="auto"/>
                <w:sz w:val="24"/>
                <w:highlight w:val="none"/>
              </w:rPr>
              <w:t>。</w:t>
            </w:r>
          </w:p>
          <w:p w14:paraId="7D83E44B">
            <w:pPr>
              <w:tabs>
                <w:tab w:val="left" w:pos="4830"/>
              </w:tabs>
              <w:spacing w:line="360" w:lineRule="auto"/>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五</w:t>
            </w:r>
            <w:r>
              <w:rPr>
                <w:rFonts w:hint="default" w:ascii="Times New Roman" w:hAnsi="Times New Roman" w:cs="Times New Roman"/>
                <w:b/>
                <w:color w:val="auto"/>
                <w:sz w:val="24"/>
                <w:highlight w:val="none"/>
              </w:rPr>
              <w:t>、地下水、土壤环境</w:t>
            </w:r>
          </w:p>
          <w:p w14:paraId="7E287802">
            <w:pPr>
              <w:spacing w:line="360" w:lineRule="auto"/>
              <w:ind w:firstLine="480" w:firstLineChars="200"/>
              <w:rPr>
                <w:rFonts w:hint="eastAsia" w:ascii="Times New Roman" w:hAnsi="Times New Roman" w:eastAsia="宋体" w:cs="宋体"/>
                <w:color w:val="auto"/>
                <w:sz w:val="24"/>
                <w:highlight w:val="none"/>
                <w:lang w:eastAsia="zh-CN"/>
              </w:rPr>
            </w:pPr>
            <w:r>
              <w:rPr>
                <w:rFonts w:hint="default" w:ascii="Times New Roman" w:hAnsi="Times New Roman" w:eastAsia="宋体" w:cs="Times New Roman"/>
                <w:color w:val="auto"/>
                <w:sz w:val="24"/>
                <w:szCs w:val="24"/>
                <w:highlight w:val="none"/>
                <w:lang w:val="en-US" w:eastAsia="zh-CN"/>
              </w:rPr>
              <w:t>根据《关于印发&lt;建设项目环境影响报告表&gt;内容、格式及编制技术指南的通知》（环办环评〔2020〕33号）</w:t>
            </w:r>
            <w:r>
              <w:rPr>
                <w:rFonts w:hint="eastAsia" w:ascii="Times New Roman" w:hAnsi="Times New Roman" w:eastAsia="宋体" w:cs="Times New Roman"/>
                <w:color w:val="auto"/>
                <w:sz w:val="24"/>
                <w:szCs w:val="24"/>
                <w:highlight w:val="none"/>
                <w:lang w:val="en-US" w:eastAsia="zh-CN"/>
              </w:rPr>
              <w:t>中区域环境质量现状：地下水、土壤</w:t>
            </w:r>
            <w:r>
              <w:rPr>
                <w:rFonts w:hint="default" w:ascii="Times New Roman" w:hAnsi="Times New Roman" w:eastAsia="宋体" w:cs="Times New Roman"/>
                <w:color w:val="auto"/>
                <w:sz w:val="24"/>
                <w:szCs w:val="24"/>
                <w:highlight w:val="none"/>
                <w:lang w:val="en-US" w:eastAsia="zh-CN"/>
              </w:rPr>
              <w:t>原则上不开展环境质量现状调查。</w:t>
            </w: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位于红塔工业园区研和片区，用地性质为工业用地，</w:t>
            </w:r>
            <w:r>
              <w:rPr>
                <w:rFonts w:hint="default" w:ascii="Times New Roman" w:hAnsi="Times New Roman" w:eastAsia="宋体" w:cs="Times New Roman"/>
                <w:color w:val="auto"/>
                <w:sz w:val="24"/>
                <w:szCs w:val="24"/>
                <w:highlight w:val="none"/>
              </w:rPr>
              <w:t>厂界外500m范围内不涉及集中式饮用水水源和热水、矿泉水、温泉等特殊地下水资源。</w:t>
            </w:r>
            <w:r>
              <w:rPr>
                <w:rFonts w:hint="eastAsia" w:ascii="Times New Roman" w:hAnsi="Times New Roman" w:eastAsia="宋体" w:cs="Times New Roman"/>
                <w:color w:val="auto"/>
                <w:sz w:val="24"/>
                <w:szCs w:val="24"/>
                <w:highlight w:val="none"/>
                <w:lang w:val="en-US" w:eastAsia="zh-CN"/>
              </w:rPr>
              <w:t>项目运营期</w:t>
            </w:r>
            <w:r>
              <w:rPr>
                <w:rFonts w:hint="default" w:ascii="Times New Roman" w:hAnsi="Times New Roman" w:eastAsia="宋体" w:cs="Times New Roman"/>
                <w:color w:val="auto"/>
                <w:sz w:val="24"/>
                <w:szCs w:val="24"/>
                <w:highlight w:val="none"/>
                <w:lang w:val="en-US" w:eastAsia="zh-CN"/>
              </w:rPr>
              <w:t>对土壤和地下水</w:t>
            </w:r>
            <w:r>
              <w:rPr>
                <w:rFonts w:hint="eastAsia" w:ascii="Times New Roman" w:hAnsi="Times New Roman" w:eastAsia="宋体" w:cs="Times New Roman"/>
                <w:color w:val="auto"/>
                <w:sz w:val="24"/>
                <w:szCs w:val="24"/>
                <w:highlight w:val="none"/>
                <w:lang w:val="en-US" w:eastAsia="zh-CN"/>
              </w:rPr>
              <w:t>污染途径</w:t>
            </w:r>
            <w:r>
              <w:rPr>
                <w:rFonts w:hint="default" w:ascii="Times New Roman" w:hAnsi="Times New Roman" w:eastAsia="宋体" w:cs="Times New Roman"/>
                <w:color w:val="auto"/>
                <w:sz w:val="24"/>
                <w:szCs w:val="24"/>
                <w:highlight w:val="none"/>
                <w:lang w:val="en-US" w:eastAsia="zh-CN"/>
              </w:rPr>
              <w:t>为废</w:t>
            </w:r>
            <w:r>
              <w:rPr>
                <w:rFonts w:hint="eastAsia" w:ascii="Times New Roman" w:hAnsi="Times New Roman" w:eastAsia="宋体" w:cs="Times New Roman"/>
                <w:color w:val="auto"/>
                <w:sz w:val="24"/>
                <w:szCs w:val="24"/>
                <w:highlight w:val="none"/>
                <w:lang w:val="en-US" w:eastAsia="zh-CN"/>
              </w:rPr>
              <w:t>润滑油</w:t>
            </w:r>
            <w:r>
              <w:rPr>
                <w:rFonts w:hint="default" w:ascii="Times New Roman" w:hAnsi="Times New Roman" w:eastAsia="宋体" w:cs="Times New Roman"/>
                <w:color w:val="auto"/>
                <w:sz w:val="24"/>
                <w:szCs w:val="24"/>
                <w:highlight w:val="none"/>
                <w:lang w:val="en-US" w:eastAsia="zh-CN"/>
              </w:rPr>
              <w:t>，产生的废</w:t>
            </w:r>
            <w:r>
              <w:rPr>
                <w:rFonts w:hint="eastAsia" w:ascii="Times New Roman" w:hAnsi="Times New Roman" w:eastAsia="宋体" w:cs="Times New Roman"/>
                <w:color w:val="auto"/>
                <w:sz w:val="24"/>
                <w:szCs w:val="24"/>
                <w:highlight w:val="none"/>
                <w:lang w:val="en-US" w:eastAsia="zh-CN"/>
              </w:rPr>
              <w:t>润滑油</w:t>
            </w:r>
            <w:r>
              <w:rPr>
                <w:rFonts w:hint="default" w:ascii="Times New Roman" w:hAnsi="Times New Roman" w:eastAsia="宋体" w:cs="Times New Roman"/>
                <w:color w:val="auto"/>
                <w:sz w:val="24"/>
                <w:szCs w:val="24"/>
                <w:highlight w:val="none"/>
                <w:lang w:val="en-US" w:eastAsia="zh-CN"/>
              </w:rPr>
              <w:t>暂存</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危废暂存间内</w:t>
            </w:r>
            <w:r>
              <w:rPr>
                <w:rFonts w:hint="eastAsia" w:ascii="Times New Roman" w:hAnsi="Times New Roman" w:eastAsia="宋体" w:cs="Times New Roman"/>
                <w:color w:val="auto"/>
                <w:sz w:val="24"/>
                <w:szCs w:val="24"/>
                <w:highlight w:val="none"/>
                <w:lang w:val="en-US" w:eastAsia="zh-CN"/>
              </w:rPr>
              <w:t>再委托有资质的单位转运处置。</w:t>
            </w:r>
            <w:r>
              <w:rPr>
                <w:rFonts w:hint="default" w:ascii="Times New Roman" w:hAnsi="Times New Roman" w:eastAsia="宋体" w:cs="Times New Roman"/>
                <w:color w:val="auto"/>
                <w:sz w:val="24"/>
                <w:szCs w:val="24"/>
                <w:highlight w:val="none"/>
                <w:lang w:val="en-US" w:eastAsia="zh-CN"/>
              </w:rPr>
              <w:t>危废暂存间进行重点防渗处理，渗透系数≤10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cm/s，废</w:t>
            </w:r>
            <w:r>
              <w:rPr>
                <w:rFonts w:hint="eastAsia" w:ascii="Times New Roman" w:hAnsi="Times New Roman" w:eastAsia="宋体" w:cs="Times New Roman"/>
                <w:color w:val="auto"/>
                <w:sz w:val="24"/>
                <w:szCs w:val="24"/>
                <w:highlight w:val="none"/>
                <w:lang w:val="en-US" w:eastAsia="zh-CN"/>
              </w:rPr>
              <w:t>润滑油</w:t>
            </w:r>
            <w:r>
              <w:rPr>
                <w:rFonts w:hint="default" w:ascii="Times New Roman" w:hAnsi="Times New Roman" w:eastAsia="宋体" w:cs="Times New Roman"/>
                <w:color w:val="auto"/>
                <w:sz w:val="24"/>
                <w:szCs w:val="24"/>
                <w:highlight w:val="none"/>
                <w:lang w:val="en-US" w:eastAsia="zh-CN"/>
              </w:rPr>
              <w:t>对地下水和土壤环境影响较小</w:t>
            </w:r>
            <w:r>
              <w:rPr>
                <w:rFonts w:hint="eastAsia" w:ascii="Times New Roman" w:hAnsi="Times New Roman" w:eastAsia="宋体" w:cs="Times New Roman"/>
                <w:color w:val="auto"/>
                <w:sz w:val="24"/>
                <w:szCs w:val="24"/>
                <w:highlight w:val="none"/>
                <w:lang w:val="en-US" w:eastAsia="zh-CN"/>
              </w:rPr>
              <w:t>，本次环评</w:t>
            </w:r>
            <w:r>
              <w:rPr>
                <w:rFonts w:hint="default" w:ascii="Times New Roman" w:hAnsi="Times New Roman" w:eastAsia="宋体" w:cs="Times New Roman"/>
                <w:color w:val="auto"/>
                <w:sz w:val="24"/>
                <w:szCs w:val="24"/>
                <w:highlight w:val="none"/>
                <w:lang w:val="en-US" w:eastAsia="zh-CN"/>
              </w:rPr>
              <w:t>未开展地下水及土壤环境质量现状调查</w:t>
            </w:r>
            <w:r>
              <w:rPr>
                <w:rFonts w:hint="eastAsia" w:ascii="Times New Roman" w:hAnsi="Times New Roman" w:cs="Times New Roman"/>
                <w:color w:val="auto"/>
                <w:sz w:val="24"/>
                <w:highlight w:val="none"/>
                <w:lang w:eastAsia="zh-CN"/>
              </w:rPr>
              <w:t>。</w:t>
            </w:r>
          </w:p>
        </w:tc>
      </w:tr>
      <w:tr w14:paraId="44E3F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87" w:type="dxa"/>
            <w:noWrap w:val="0"/>
            <w:vAlign w:val="center"/>
          </w:tcPr>
          <w:p w14:paraId="7694BE3B">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环境</w:t>
            </w:r>
          </w:p>
          <w:p w14:paraId="1D51B75E">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保护</w:t>
            </w:r>
          </w:p>
          <w:p w14:paraId="75C3F0AA">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目标</w:t>
            </w:r>
          </w:p>
        </w:tc>
        <w:tc>
          <w:tcPr>
            <w:tcW w:w="8500" w:type="dxa"/>
            <w:noWrap w:val="0"/>
            <w:vAlign w:val="center"/>
          </w:tcPr>
          <w:p w14:paraId="493C44A3">
            <w:pPr>
              <w:adjustRightInd w:val="0"/>
              <w:snapToGrid w:val="0"/>
              <w:spacing w:line="360" w:lineRule="auto"/>
              <w:ind w:firstLine="480" w:firstLineChars="20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项目主要环境保护目标如下：</w:t>
            </w:r>
          </w:p>
          <w:p w14:paraId="2E3B94D0">
            <w:pPr>
              <w:adjustRightInd w:val="0"/>
              <w:snapToGrid w:val="0"/>
              <w:spacing w:line="360" w:lineRule="auto"/>
              <w:ind w:firstLine="480" w:firstLineChars="20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（1）环境空气保护目标</w:t>
            </w:r>
          </w:p>
          <w:p w14:paraId="2DDF0777">
            <w:pPr>
              <w:adjustRightInd w:val="0"/>
              <w:snapToGrid w:val="0"/>
              <w:spacing w:line="360" w:lineRule="auto"/>
              <w:ind w:firstLine="480" w:firstLineChars="20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项目</w:t>
            </w:r>
            <w:r>
              <w:rPr>
                <w:rFonts w:hint="eastAsia" w:ascii="Times New Roman" w:hAnsi="Times New Roman" w:cs="宋体"/>
                <w:color w:val="auto"/>
                <w:sz w:val="24"/>
                <w:highlight w:val="none"/>
                <w:lang w:val="en-US" w:eastAsia="zh-CN"/>
              </w:rPr>
              <w:t>厂界外</w:t>
            </w:r>
            <w:r>
              <w:rPr>
                <w:rFonts w:hint="eastAsia" w:ascii="Times New Roman" w:hAnsi="Times New Roman" w:eastAsia="宋体" w:cs="宋体"/>
                <w:color w:val="auto"/>
                <w:sz w:val="24"/>
                <w:highlight w:val="none"/>
                <w:lang w:val="zh-CN"/>
              </w:rPr>
              <w:t>500m范围无</w:t>
            </w:r>
            <w:r>
              <w:rPr>
                <w:rFonts w:hint="eastAsia" w:ascii="Times New Roman" w:hAnsi="Times New Roman" w:cs="宋体"/>
                <w:color w:val="auto"/>
                <w:sz w:val="24"/>
                <w:highlight w:val="none"/>
                <w:lang w:val="en-US" w:eastAsia="zh-CN"/>
              </w:rPr>
              <w:t>自然保护区、</w:t>
            </w:r>
            <w:r>
              <w:rPr>
                <w:rFonts w:hint="eastAsia" w:ascii="Times New Roman" w:hAnsi="Times New Roman" w:eastAsia="宋体" w:cs="宋体"/>
                <w:color w:val="auto"/>
                <w:sz w:val="24"/>
                <w:highlight w:val="none"/>
                <w:lang w:val="zh-CN"/>
              </w:rPr>
              <w:t>风景名胜区、文化和自然遗产地</w:t>
            </w:r>
            <w:r>
              <w:rPr>
                <w:rFonts w:hint="eastAsia" w:ascii="Times New Roman" w:hAnsi="Times New Roman" w:cs="宋体"/>
                <w:color w:val="auto"/>
                <w:sz w:val="24"/>
                <w:highlight w:val="none"/>
                <w:lang w:val="zh-CN"/>
              </w:rPr>
              <w:t>、</w:t>
            </w:r>
            <w:r>
              <w:rPr>
                <w:rFonts w:hint="eastAsia" w:ascii="Times New Roman" w:hAnsi="Times New Roman" w:cs="宋体"/>
                <w:color w:val="auto"/>
                <w:sz w:val="24"/>
                <w:highlight w:val="none"/>
                <w:lang w:val="en-US" w:eastAsia="zh-CN"/>
              </w:rPr>
              <w:t>村庄</w:t>
            </w:r>
            <w:r>
              <w:rPr>
                <w:rFonts w:hint="eastAsia" w:ascii="Times New Roman" w:hAnsi="Times New Roman" w:eastAsia="宋体" w:cs="宋体"/>
                <w:color w:val="auto"/>
                <w:sz w:val="24"/>
                <w:highlight w:val="none"/>
                <w:lang w:val="zh-CN"/>
              </w:rPr>
              <w:t>等分布。</w:t>
            </w:r>
          </w:p>
          <w:p w14:paraId="65712523">
            <w:pPr>
              <w:adjustRightInd w:val="0"/>
              <w:snapToGrid w:val="0"/>
              <w:spacing w:line="360" w:lineRule="auto"/>
              <w:ind w:firstLine="480" w:firstLineChars="20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（2）地表水保护目标</w:t>
            </w:r>
          </w:p>
          <w:p w14:paraId="4D24E3F0">
            <w:pPr>
              <w:adjustRightInd w:val="0"/>
              <w:snapToGrid w:val="0"/>
              <w:spacing w:line="360" w:lineRule="auto"/>
              <w:ind w:firstLine="480" w:firstLineChars="20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rPr>
              <w:t>项目最近地表水保护目标为</w:t>
            </w:r>
            <w:r>
              <w:rPr>
                <w:rFonts w:hint="eastAsia" w:ascii="Times New Roman" w:hAnsi="Times New Roman" w:cs="宋体"/>
                <w:color w:val="auto"/>
                <w:sz w:val="24"/>
                <w:highlight w:val="none"/>
                <w:lang w:val="en-US" w:eastAsia="zh-CN"/>
              </w:rPr>
              <w:t>大沙河、石邑小河和曲江</w:t>
            </w:r>
            <w:r>
              <w:rPr>
                <w:rFonts w:hint="eastAsia" w:ascii="Times New Roman" w:hAnsi="Times New Roman" w:eastAsia="宋体" w:cs="宋体"/>
                <w:color w:val="auto"/>
                <w:sz w:val="24"/>
                <w:highlight w:val="none"/>
              </w:rPr>
              <w:t>，按《地表水环境质量标准》（GB3838-2002）中Ⅲ类水标准保护。</w:t>
            </w:r>
          </w:p>
          <w:p w14:paraId="3DA9A1B6">
            <w:pPr>
              <w:adjustRightInd w:val="0"/>
              <w:snapToGrid w:val="0"/>
              <w:spacing w:line="360" w:lineRule="auto"/>
              <w:ind w:firstLine="480" w:firstLineChars="20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（3）声环境</w:t>
            </w:r>
          </w:p>
          <w:p w14:paraId="2DFFF033">
            <w:pPr>
              <w:adjustRightInd w:val="0"/>
              <w:snapToGrid w:val="0"/>
              <w:spacing w:line="360" w:lineRule="auto"/>
              <w:ind w:firstLine="480" w:firstLineChars="20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声环境影响范围为各厂界外50m范围内的噪声敏感区，声环境质量按《声环境质量标准》（GB3096-2008）</w:t>
            </w:r>
            <w:r>
              <w:rPr>
                <w:rFonts w:hint="eastAsia" w:ascii="Times New Roman" w:hAnsi="Times New Roman" w:cs="宋体"/>
                <w:color w:val="auto"/>
                <w:sz w:val="24"/>
                <w:highlight w:val="none"/>
                <w:lang w:val="en-US" w:eastAsia="zh-CN"/>
              </w:rPr>
              <w:t>3</w:t>
            </w:r>
            <w:r>
              <w:rPr>
                <w:rFonts w:hint="eastAsia" w:ascii="Times New Roman" w:hAnsi="Times New Roman" w:eastAsia="宋体" w:cs="宋体"/>
                <w:color w:val="auto"/>
                <w:sz w:val="24"/>
                <w:highlight w:val="none"/>
                <w:lang w:val="zh-CN"/>
              </w:rPr>
              <w:t>类标准保护。项目区周边50m范围内无人群</w:t>
            </w:r>
            <w:r>
              <w:rPr>
                <w:rFonts w:hint="eastAsia" w:cs="宋体"/>
                <w:color w:val="auto"/>
                <w:sz w:val="24"/>
                <w:highlight w:val="none"/>
                <w:lang w:val="zh-CN"/>
              </w:rPr>
              <w:t>集中</w:t>
            </w:r>
            <w:r>
              <w:rPr>
                <w:rFonts w:hint="eastAsia" w:ascii="Times New Roman" w:hAnsi="Times New Roman" w:eastAsia="宋体" w:cs="宋体"/>
                <w:color w:val="auto"/>
                <w:sz w:val="24"/>
                <w:highlight w:val="none"/>
                <w:lang w:val="zh-CN"/>
              </w:rPr>
              <w:t>居住区分布。</w:t>
            </w:r>
          </w:p>
          <w:p w14:paraId="5BCE60F5">
            <w:pPr>
              <w:pStyle w:val="70"/>
              <w:ind w:firstLine="48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（4）地下水保护目标</w:t>
            </w:r>
          </w:p>
          <w:p w14:paraId="2849E51F">
            <w:pPr>
              <w:pStyle w:val="70"/>
              <w:ind w:firstLine="48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项目厂界外500米范围内无地下水集中式饮用水水源和热水、矿泉水、温泉等特殊地下水资源。</w:t>
            </w:r>
          </w:p>
          <w:p w14:paraId="5ACC61D8">
            <w:pPr>
              <w:pStyle w:val="70"/>
              <w:ind w:firstLine="48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（5）生态环境保护目标</w:t>
            </w:r>
          </w:p>
          <w:p w14:paraId="0F6ACF8B">
            <w:pPr>
              <w:pStyle w:val="70"/>
              <w:ind w:firstLine="48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根据现场踏勘情况，项目所在区域不涉及《环境影响评价技术导则生态环境》（HJ19-2022）中的特殊生态敏感区、重要生态敏感区等生态环境保护目标。</w:t>
            </w:r>
          </w:p>
          <w:p w14:paraId="3C8BD66E">
            <w:pPr>
              <w:adjustRightInd w:val="0"/>
              <w:snapToGrid w:val="0"/>
              <w:spacing w:line="360" w:lineRule="auto"/>
              <w:ind w:firstLine="480" w:firstLineChars="200"/>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t>根据调查了解，项目涉及的环境保护目标见下表。</w:t>
            </w:r>
          </w:p>
          <w:p w14:paraId="0DDA1526">
            <w:pPr>
              <w:pStyle w:val="66"/>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表3.2-1项目保护目标一览表</w:t>
            </w:r>
          </w:p>
          <w:tbl>
            <w:tblPr>
              <w:tblStyle w:val="35"/>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822"/>
              <w:gridCol w:w="1242"/>
              <w:gridCol w:w="1095"/>
              <w:gridCol w:w="1077"/>
              <w:gridCol w:w="1408"/>
              <w:gridCol w:w="860"/>
              <w:gridCol w:w="1168"/>
            </w:tblGrid>
            <w:tr w14:paraId="4C90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3" w:type="dxa"/>
                  <w:vMerge w:val="restart"/>
                  <w:shd w:val="clear" w:color="auto" w:fill="D9D9D9"/>
                  <w:noWrap w:val="0"/>
                  <w:vAlign w:val="center"/>
                </w:tcPr>
                <w:p w14:paraId="3EED3208">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保护对象</w:t>
                  </w:r>
                </w:p>
              </w:tc>
              <w:tc>
                <w:tcPr>
                  <w:tcW w:w="822" w:type="dxa"/>
                  <w:vMerge w:val="restart"/>
                  <w:shd w:val="clear" w:color="auto" w:fill="D9D9D9"/>
                  <w:noWrap w:val="0"/>
                  <w:vAlign w:val="center"/>
                </w:tcPr>
                <w:p w14:paraId="5FFE1C57">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名称</w:t>
                  </w:r>
                </w:p>
              </w:tc>
              <w:tc>
                <w:tcPr>
                  <w:tcW w:w="2337" w:type="dxa"/>
                  <w:gridSpan w:val="2"/>
                  <w:shd w:val="clear" w:color="auto" w:fill="D9D9D9"/>
                  <w:noWrap w:val="0"/>
                  <w:vAlign w:val="center"/>
                </w:tcPr>
                <w:p w14:paraId="266AC08B">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坐标/m</w:t>
                  </w:r>
                </w:p>
              </w:tc>
              <w:tc>
                <w:tcPr>
                  <w:tcW w:w="1077" w:type="dxa"/>
                  <w:vMerge w:val="restart"/>
                  <w:shd w:val="clear" w:color="auto" w:fill="D9D9D9"/>
                  <w:noWrap w:val="0"/>
                  <w:vAlign w:val="center"/>
                </w:tcPr>
                <w:p w14:paraId="74D2A051">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保护内容</w:t>
                  </w:r>
                </w:p>
              </w:tc>
              <w:tc>
                <w:tcPr>
                  <w:tcW w:w="1408" w:type="dxa"/>
                  <w:vMerge w:val="restart"/>
                  <w:shd w:val="clear" w:color="auto" w:fill="D9D9D9"/>
                  <w:noWrap w:val="0"/>
                  <w:vAlign w:val="center"/>
                </w:tcPr>
                <w:p w14:paraId="5C2516AB">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环境功能区</w:t>
                  </w:r>
                </w:p>
              </w:tc>
              <w:tc>
                <w:tcPr>
                  <w:tcW w:w="860" w:type="dxa"/>
                  <w:vMerge w:val="restart"/>
                  <w:shd w:val="clear" w:color="auto" w:fill="D9D9D9"/>
                  <w:noWrap w:val="0"/>
                  <w:vAlign w:val="center"/>
                </w:tcPr>
                <w:p w14:paraId="65ECBFAC">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相对厂址方位</w:t>
                  </w:r>
                </w:p>
              </w:tc>
              <w:tc>
                <w:tcPr>
                  <w:tcW w:w="1168" w:type="dxa"/>
                  <w:vMerge w:val="restart"/>
                  <w:shd w:val="clear" w:color="auto" w:fill="D9D9D9"/>
                  <w:noWrap w:val="0"/>
                  <w:vAlign w:val="center"/>
                </w:tcPr>
                <w:p w14:paraId="48121C49">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相对厂界距离/m</w:t>
                  </w:r>
                </w:p>
              </w:tc>
            </w:tr>
            <w:tr w14:paraId="6313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3" w:type="dxa"/>
                  <w:vMerge w:val="continue"/>
                  <w:shd w:val="clear" w:color="auto" w:fill="D9D9D9"/>
                  <w:noWrap w:val="0"/>
                  <w:vAlign w:val="center"/>
                </w:tcPr>
                <w:p w14:paraId="7F67126A">
                  <w:pPr>
                    <w:pStyle w:val="72"/>
                    <w:jc w:val="center"/>
                    <w:rPr>
                      <w:rFonts w:hint="eastAsia" w:ascii="Times New Roman" w:hAnsi="Times New Roman" w:eastAsia="宋体" w:cs="宋体"/>
                      <w:color w:val="auto"/>
                      <w:sz w:val="21"/>
                      <w:highlight w:val="none"/>
                      <w:lang w:val="zh-CN"/>
                    </w:rPr>
                  </w:pPr>
                </w:p>
              </w:tc>
              <w:tc>
                <w:tcPr>
                  <w:tcW w:w="822" w:type="dxa"/>
                  <w:vMerge w:val="continue"/>
                  <w:shd w:val="clear" w:color="auto" w:fill="D9D9D9"/>
                  <w:noWrap w:val="0"/>
                  <w:vAlign w:val="center"/>
                </w:tcPr>
                <w:p w14:paraId="509DB94B">
                  <w:pPr>
                    <w:pStyle w:val="72"/>
                    <w:jc w:val="center"/>
                    <w:rPr>
                      <w:rFonts w:hint="eastAsia" w:ascii="Times New Roman" w:hAnsi="Times New Roman" w:eastAsia="宋体" w:cs="宋体"/>
                      <w:color w:val="auto"/>
                      <w:sz w:val="21"/>
                      <w:highlight w:val="none"/>
                      <w:lang w:val="zh-CN"/>
                    </w:rPr>
                  </w:pPr>
                </w:p>
              </w:tc>
              <w:tc>
                <w:tcPr>
                  <w:tcW w:w="1242" w:type="dxa"/>
                  <w:shd w:val="clear" w:color="auto" w:fill="D9D9D9"/>
                  <w:noWrap w:val="0"/>
                  <w:vAlign w:val="center"/>
                </w:tcPr>
                <w:p w14:paraId="44EE026B">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X</w:t>
                  </w:r>
                </w:p>
              </w:tc>
              <w:tc>
                <w:tcPr>
                  <w:tcW w:w="1095" w:type="dxa"/>
                  <w:shd w:val="clear" w:color="auto" w:fill="D9D9D9"/>
                  <w:noWrap w:val="0"/>
                  <w:vAlign w:val="center"/>
                </w:tcPr>
                <w:p w14:paraId="47B47187">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Y</w:t>
                  </w:r>
                </w:p>
              </w:tc>
              <w:tc>
                <w:tcPr>
                  <w:tcW w:w="1077" w:type="dxa"/>
                  <w:vMerge w:val="continue"/>
                  <w:shd w:val="clear" w:color="auto" w:fill="D9D9D9"/>
                  <w:noWrap w:val="0"/>
                  <w:vAlign w:val="center"/>
                </w:tcPr>
                <w:p w14:paraId="7D297375">
                  <w:pPr>
                    <w:pStyle w:val="72"/>
                    <w:jc w:val="center"/>
                    <w:rPr>
                      <w:rFonts w:hint="eastAsia" w:ascii="Times New Roman" w:hAnsi="Times New Roman" w:eastAsia="宋体" w:cs="宋体"/>
                      <w:color w:val="auto"/>
                      <w:sz w:val="21"/>
                      <w:highlight w:val="none"/>
                      <w:lang w:val="zh-CN"/>
                    </w:rPr>
                  </w:pPr>
                </w:p>
              </w:tc>
              <w:tc>
                <w:tcPr>
                  <w:tcW w:w="1408" w:type="dxa"/>
                  <w:vMerge w:val="continue"/>
                  <w:shd w:val="clear" w:color="auto" w:fill="D9D9D9"/>
                  <w:noWrap w:val="0"/>
                  <w:vAlign w:val="center"/>
                </w:tcPr>
                <w:p w14:paraId="65C30CEC">
                  <w:pPr>
                    <w:pStyle w:val="72"/>
                    <w:jc w:val="center"/>
                    <w:rPr>
                      <w:rFonts w:hint="eastAsia" w:ascii="Times New Roman" w:hAnsi="Times New Roman" w:eastAsia="宋体" w:cs="宋体"/>
                      <w:color w:val="auto"/>
                      <w:sz w:val="21"/>
                      <w:highlight w:val="none"/>
                      <w:lang w:val="zh-CN"/>
                    </w:rPr>
                  </w:pPr>
                </w:p>
              </w:tc>
              <w:tc>
                <w:tcPr>
                  <w:tcW w:w="860" w:type="dxa"/>
                  <w:vMerge w:val="continue"/>
                  <w:shd w:val="clear" w:color="auto" w:fill="D9D9D9"/>
                  <w:noWrap w:val="0"/>
                  <w:vAlign w:val="center"/>
                </w:tcPr>
                <w:p w14:paraId="46B3CBA5">
                  <w:pPr>
                    <w:pStyle w:val="72"/>
                    <w:jc w:val="center"/>
                    <w:rPr>
                      <w:rFonts w:hint="eastAsia" w:ascii="Times New Roman" w:hAnsi="Times New Roman" w:eastAsia="宋体" w:cs="宋体"/>
                      <w:color w:val="auto"/>
                      <w:sz w:val="21"/>
                      <w:highlight w:val="none"/>
                      <w:lang w:val="zh-CN"/>
                    </w:rPr>
                  </w:pPr>
                </w:p>
              </w:tc>
              <w:tc>
                <w:tcPr>
                  <w:tcW w:w="1168" w:type="dxa"/>
                  <w:vMerge w:val="continue"/>
                  <w:shd w:val="clear" w:color="auto" w:fill="D9D9D9"/>
                  <w:noWrap w:val="0"/>
                  <w:vAlign w:val="center"/>
                </w:tcPr>
                <w:p w14:paraId="3A370FFA">
                  <w:pPr>
                    <w:pStyle w:val="72"/>
                    <w:jc w:val="center"/>
                    <w:rPr>
                      <w:rFonts w:hint="eastAsia" w:ascii="Times New Roman" w:hAnsi="Times New Roman" w:eastAsia="宋体" w:cs="宋体"/>
                      <w:color w:val="auto"/>
                      <w:sz w:val="21"/>
                      <w:highlight w:val="none"/>
                      <w:lang w:val="zh-CN"/>
                    </w:rPr>
                  </w:pPr>
                </w:p>
              </w:tc>
            </w:tr>
            <w:tr w14:paraId="00AF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43" w:type="dxa"/>
                  <w:shd w:val="clear" w:color="auto" w:fill="auto"/>
                  <w:noWrap w:val="0"/>
                  <w:vAlign w:val="center"/>
                </w:tcPr>
                <w:p w14:paraId="44FF77DB">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环境空气</w:t>
                  </w:r>
                </w:p>
              </w:tc>
              <w:tc>
                <w:tcPr>
                  <w:tcW w:w="7672" w:type="dxa"/>
                  <w:gridSpan w:val="7"/>
                  <w:shd w:val="clear" w:color="auto" w:fill="auto"/>
                  <w:noWrap w:val="0"/>
                  <w:vAlign w:val="center"/>
                </w:tcPr>
                <w:p w14:paraId="7ACB2B25">
                  <w:pPr>
                    <w:pStyle w:val="72"/>
                    <w:jc w:val="center"/>
                    <w:rPr>
                      <w:rFonts w:hint="default" w:ascii="Times New Roman" w:hAnsi="Times New Roman" w:eastAsia="宋体" w:cs="宋体"/>
                      <w:color w:val="auto"/>
                      <w:sz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本项目厂界外5</w:t>
                  </w:r>
                  <w:r>
                    <w:rPr>
                      <w:rFonts w:hint="eastAsia" w:ascii="Times New Roman" w:hAnsi="Times New Roman"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0米范围内无大气环境保护目标</w:t>
                  </w:r>
                </w:p>
              </w:tc>
            </w:tr>
            <w:tr w14:paraId="48E4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3" w:type="dxa"/>
                  <w:shd w:val="clear" w:color="auto" w:fill="auto"/>
                  <w:noWrap w:val="0"/>
                  <w:vAlign w:val="center"/>
                </w:tcPr>
                <w:p w14:paraId="0465F585">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en-US" w:eastAsia="zh-CN"/>
                    </w:rPr>
                    <w:t>声环境</w:t>
                  </w:r>
                </w:p>
              </w:tc>
              <w:tc>
                <w:tcPr>
                  <w:tcW w:w="7672" w:type="dxa"/>
                  <w:gridSpan w:val="7"/>
                  <w:shd w:val="clear" w:color="auto" w:fill="auto"/>
                  <w:noWrap w:val="0"/>
                  <w:vAlign w:val="center"/>
                </w:tcPr>
                <w:p w14:paraId="23995CD9">
                  <w:pPr>
                    <w:pStyle w:val="72"/>
                    <w:jc w:val="center"/>
                    <w:rPr>
                      <w:rFonts w:hint="default" w:ascii="Times New Roman" w:hAnsi="Times New Roman" w:eastAsia="宋体" w:cs="宋体"/>
                      <w:color w:val="auto"/>
                      <w:sz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本项目厂界外50米范围内无声环境保护目标</w:t>
                  </w:r>
                </w:p>
              </w:tc>
            </w:tr>
            <w:tr w14:paraId="3DA7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43" w:type="dxa"/>
                  <w:vMerge w:val="restart"/>
                  <w:noWrap w:val="0"/>
                  <w:vAlign w:val="center"/>
                </w:tcPr>
                <w:p w14:paraId="5E2622BE">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地面水</w:t>
                  </w:r>
                </w:p>
              </w:tc>
              <w:tc>
                <w:tcPr>
                  <w:tcW w:w="822" w:type="dxa"/>
                  <w:noWrap w:val="0"/>
                  <w:vAlign w:val="center"/>
                </w:tcPr>
                <w:p w14:paraId="3C7ABD27">
                  <w:pPr>
                    <w:pStyle w:val="72"/>
                    <w:jc w:val="center"/>
                    <w:rPr>
                      <w:rFonts w:hint="eastAsia" w:ascii="Times New Roman" w:hAnsi="Times New Roman" w:eastAsia="宋体" w:cs="宋体"/>
                      <w:color w:val="auto"/>
                      <w:sz w:val="21"/>
                      <w:highlight w:val="none"/>
                      <w:lang w:val="zh-CN" w:eastAsia="zh-CN"/>
                    </w:rPr>
                  </w:pPr>
                  <w:r>
                    <w:rPr>
                      <w:rFonts w:hint="eastAsia" w:ascii="Times New Roman" w:hAnsi="Times New Roman" w:cs="宋体"/>
                      <w:color w:val="auto"/>
                      <w:sz w:val="21"/>
                      <w:highlight w:val="none"/>
                      <w:lang w:val="en-US" w:eastAsia="zh-CN"/>
                    </w:rPr>
                    <w:t>大沙河</w:t>
                  </w:r>
                </w:p>
              </w:tc>
              <w:tc>
                <w:tcPr>
                  <w:tcW w:w="1242" w:type="dxa"/>
                  <w:noWrap w:val="0"/>
                  <w:vAlign w:val="center"/>
                </w:tcPr>
                <w:p w14:paraId="2CD7A4C2">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w:t>
                  </w:r>
                </w:p>
              </w:tc>
              <w:tc>
                <w:tcPr>
                  <w:tcW w:w="1095" w:type="dxa"/>
                  <w:noWrap w:val="0"/>
                  <w:vAlign w:val="center"/>
                </w:tcPr>
                <w:p w14:paraId="5EF735AC">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w:t>
                  </w:r>
                </w:p>
              </w:tc>
              <w:tc>
                <w:tcPr>
                  <w:tcW w:w="1077" w:type="dxa"/>
                  <w:vMerge w:val="restart"/>
                  <w:noWrap w:val="0"/>
                  <w:vAlign w:val="center"/>
                </w:tcPr>
                <w:p w14:paraId="346145AE">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一般河流</w:t>
                  </w:r>
                </w:p>
              </w:tc>
              <w:tc>
                <w:tcPr>
                  <w:tcW w:w="1408" w:type="dxa"/>
                  <w:vMerge w:val="restart"/>
                  <w:noWrap w:val="0"/>
                  <w:vAlign w:val="center"/>
                </w:tcPr>
                <w:p w14:paraId="3AFEEFAF">
                  <w:pPr>
                    <w:pStyle w:val="72"/>
                    <w:jc w:val="center"/>
                    <w:rPr>
                      <w:rFonts w:hint="eastAsia" w:ascii="Times New Roman" w:hAnsi="Times New Roman" w:eastAsia="宋体" w:cs="宋体"/>
                      <w:color w:val="auto"/>
                      <w:kern w:val="0"/>
                      <w:sz w:val="21"/>
                      <w:highlight w:val="none"/>
                    </w:rPr>
                  </w:pPr>
                  <w:r>
                    <w:rPr>
                      <w:rFonts w:hint="eastAsia" w:ascii="Times New Roman" w:hAnsi="Times New Roman" w:eastAsia="宋体" w:cs="宋体"/>
                      <w:color w:val="auto"/>
                      <w:kern w:val="0"/>
                      <w:sz w:val="21"/>
                      <w:highlight w:val="none"/>
                    </w:rPr>
                    <w:t>《地表水环境质量标准》（GB3838-2002）Ⅲ类</w:t>
                  </w:r>
                </w:p>
              </w:tc>
              <w:tc>
                <w:tcPr>
                  <w:tcW w:w="860" w:type="dxa"/>
                  <w:noWrap w:val="0"/>
                  <w:vAlign w:val="center"/>
                </w:tcPr>
                <w:p w14:paraId="50CB5A36">
                  <w:pPr>
                    <w:pStyle w:val="72"/>
                    <w:jc w:val="center"/>
                    <w:rPr>
                      <w:rFonts w:hint="default" w:ascii="Times New Roman" w:hAnsi="Times New Roman" w:eastAsia="宋体" w:cs="宋体"/>
                      <w:color w:val="auto"/>
                      <w:spacing w:val="-4"/>
                      <w:kern w:val="0"/>
                      <w:sz w:val="21"/>
                      <w:highlight w:val="none"/>
                      <w:lang w:val="en-US" w:eastAsia="zh-CN"/>
                    </w:rPr>
                  </w:pPr>
                  <w:r>
                    <w:rPr>
                      <w:rFonts w:hint="eastAsia" w:ascii="Times New Roman" w:hAnsi="Times New Roman" w:cs="宋体"/>
                      <w:color w:val="auto"/>
                      <w:spacing w:val="-4"/>
                      <w:kern w:val="0"/>
                      <w:sz w:val="21"/>
                      <w:highlight w:val="none"/>
                      <w:lang w:val="en-US" w:eastAsia="zh-CN"/>
                    </w:rPr>
                    <w:t>西南</w:t>
                  </w:r>
                </w:p>
              </w:tc>
              <w:tc>
                <w:tcPr>
                  <w:tcW w:w="1168" w:type="dxa"/>
                  <w:noWrap w:val="0"/>
                  <w:vAlign w:val="center"/>
                </w:tcPr>
                <w:p w14:paraId="4363D200">
                  <w:pPr>
                    <w:pStyle w:val="72"/>
                    <w:jc w:val="center"/>
                    <w:rPr>
                      <w:rFonts w:hint="default" w:ascii="Times New Roman" w:hAnsi="Times New Roman" w:eastAsia="宋体" w:cs="宋体"/>
                      <w:color w:val="auto"/>
                      <w:sz w:val="21"/>
                      <w:highlight w:val="none"/>
                      <w:lang w:val="en-US" w:eastAsia="zh-CN"/>
                    </w:rPr>
                  </w:pPr>
                  <w:r>
                    <w:rPr>
                      <w:rFonts w:hint="eastAsia" w:ascii="Times New Roman" w:hAnsi="Times New Roman" w:cs="宋体"/>
                      <w:color w:val="auto"/>
                      <w:sz w:val="21"/>
                      <w:highlight w:val="none"/>
                      <w:lang w:val="en-US" w:eastAsia="zh-CN"/>
                    </w:rPr>
                    <w:t>2080</w:t>
                  </w:r>
                </w:p>
              </w:tc>
            </w:tr>
            <w:tr w14:paraId="5CE8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43" w:type="dxa"/>
                  <w:vMerge w:val="continue"/>
                  <w:noWrap w:val="0"/>
                  <w:vAlign w:val="center"/>
                </w:tcPr>
                <w:p w14:paraId="6274929B">
                  <w:pPr>
                    <w:pStyle w:val="72"/>
                    <w:jc w:val="center"/>
                    <w:rPr>
                      <w:rFonts w:hint="eastAsia" w:ascii="Times New Roman" w:hAnsi="Times New Roman" w:eastAsia="宋体" w:cs="宋体"/>
                      <w:color w:val="auto"/>
                      <w:sz w:val="21"/>
                      <w:highlight w:val="none"/>
                      <w:lang w:val="zh-CN"/>
                    </w:rPr>
                  </w:pPr>
                </w:p>
              </w:tc>
              <w:tc>
                <w:tcPr>
                  <w:tcW w:w="822" w:type="dxa"/>
                  <w:noWrap w:val="0"/>
                  <w:vAlign w:val="center"/>
                </w:tcPr>
                <w:p w14:paraId="3B1C219E">
                  <w:pPr>
                    <w:pStyle w:val="72"/>
                    <w:jc w:val="center"/>
                    <w:rPr>
                      <w:rFonts w:hint="default" w:ascii="Times New Roman" w:hAnsi="Times New Roman" w:eastAsia="宋体" w:cs="宋体"/>
                      <w:color w:val="auto"/>
                      <w:sz w:val="21"/>
                      <w:highlight w:val="none"/>
                      <w:lang w:val="en-US" w:eastAsia="zh-CN"/>
                    </w:rPr>
                  </w:pPr>
                  <w:r>
                    <w:rPr>
                      <w:rFonts w:hint="eastAsia" w:ascii="Times New Roman" w:hAnsi="Times New Roman" w:cs="宋体"/>
                      <w:color w:val="auto"/>
                      <w:sz w:val="21"/>
                      <w:highlight w:val="none"/>
                      <w:lang w:val="en-US" w:eastAsia="zh-CN"/>
                    </w:rPr>
                    <w:t>石邑小河</w:t>
                  </w:r>
                </w:p>
              </w:tc>
              <w:tc>
                <w:tcPr>
                  <w:tcW w:w="1242" w:type="dxa"/>
                  <w:noWrap w:val="0"/>
                  <w:vAlign w:val="center"/>
                </w:tcPr>
                <w:p w14:paraId="1CC5185D">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w:t>
                  </w:r>
                </w:p>
              </w:tc>
              <w:tc>
                <w:tcPr>
                  <w:tcW w:w="1095" w:type="dxa"/>
                  <w:noWrap w:val="0"/>
                  <w:vAlign w:val="center"/>
                </w:tcPr>
                <w:p w14:paraId="1B99F156">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w:t>
                  </w:r>
                </w:p>
              </w:tc>
              <w:tc>
                <w:tcPr>
                  <w:tcW w:w="1077" w:type="dxa"/>
                  <w:vMerge w:val="continue"/>
                  <w:noWrap w:val="0"/>
                  <w:vAlign w:val="center"/>
                </w:tcPr>
                <w:p w14:paraId="45908706">
                  <w:pPr>
                    <w:pStyle w:val="72"/>
                    <w:jc w:val="center"/>
                    <w:rPr>
                      <w:rFonts w:hint="eastAsia" w:ascii="Times New Roman" w:hAnsi="Times New Roman" w:eastAsia="宋体" w:cs="宋体"/>
                      <w:color w:val="auto"/>
                      <w:sz w:val="21"/>
                      <w:highlight w:val="none"/>
                      <w:lang w:val="zh-CN"/>
                    </w:rPr>
                  </w:pPr>
                </w:p>
              </w:tc>
              <w:tc>
                <w:tcPr>
                  <w:tcW w:w="1408" w:type="dxa"/>
                  <w:vMerge w:val="continue"/>
                  <w:noWrap w:val="0"/>
                  <w:vAlign w:val="center"/>
                </w:tcPr>
                <w:p w14:paraId="11E0A25E">
                  <w:pPr>
                    <w:pStyle w:val="72"/>
                    <w:jc w:val="center"/>
                    <w:rPr>
                      <w:rFonts w:hint="eastAsia" w:ascii="Times New Roman" w:hAnsi="Times New Roman" w:eastAsia="宋体" w:cs="宋体"/>
                      <w:color w:val="auto"/>
                      <w:kern w:val="0"/>
                      <w:sz w:val="21"/>
                      <w:highlight w:val="none"/>
                    </w:rPr>
                  </w:pPr>
                </w:p>
              </w:tc>
              <w:tc>
                <w:tcPr>
                  <w:tcW w:w="860" w:type="dxa"/>
                  <w:noWrap w:val="0"/>
                  <w:vAlign w:val="center"/>
                </w:tcPr>
                <w:p w14:paraId="45BF9A0D">
                  <w:pPr>
                    <w:pStyle w:val="72"/>
                    <w:jc w:val="center"/>
                    <w:rPr>
                      <w:rFonts w:hint="default" w:ascii="Times New Roman" w:hAnsi="Times New Roman" w:eastAsia="宋体" w:cs="宋体"/>
                      <w:color w:val="auto"/>
                      <w:spacing w:val="-4"/>
                      <w:kern w:val="0"/>
                      <w:sz w:val="21"/>
                      <w:highlight w:val="none"/>
                      <w:lang w:val="en-US" w:eastAsia="zh-CN"/>
                    </w:rPr>
                  </w:pPr>
                  <w:r>
                    <w:rPr>
                      <w:rFonts w:hint="eastAsia" w:ascii="Times New Roman" w:hAnsi="Times New Roman" w:cs="宋体"/>
                      <w:color w:val="auto"/>
                      <w:spacing w:val="-4"/>
                      <w:kern w:val="0"/>
                      <w:sz w:val="21"/>
                      <w:highlight w:val="none"/>
                      <w:lang w:val="en-US" w:eastAsia="zh-CN"/>
                    </w:rPr>
                    <w:t>西南</w:t>
                  </w:r>
                </w:p>
              </w:tc>
              <w:tc>
                <w:tcPr>
                  <w:tcW w:w="1168" w:type="dxa"/>
                  <w:noWrap w:val="0"/>
                  <w:vAlign w:val="center"/>
                </w:tcPr>
                <w:p w14:paraId="2F2C86E1">
                  <w:pPr>
                    <w:pStyle w:val="72"/>
                    <w:jc w:val="center"/>
                    <w:rPr>
                      <w:rFonts w:hint="default" w:ascii="Times New Roman" w:hAnsi="Times New Roman" w:eastAsia="宋体" w:cs="宋体"/>
                      <w:color w:val="auto"/>
                      <w:sz w:val="21"/>
                      <w:highlight w:val="none"/>
                      <w:lang w:val="en-US" w:eastAsia="zh-CN"/>
                    </w:rPr>
                  </w:pPr>
                  <w:r>
                    <w:rPr>
                      <w:rFonts w:hint="eastAsia" w:ascii="Times New Roman" w:hAnsi="Times New Roman" w:cs="宋体"/>
                      <w:color w:val="auto"/>
                      <w:sz w:val="21"/>
                      <w:highlight w:val="none"/>
                      <w:lang w:val="en-US" w:eastAsia="zh-CN"/>
                    </w:rPr>
                    <w:t>7650</w:t>
                  </w:r>
                </w:p>
              </w:tc>
            </w:tr>
            <w:tr w14:paraId="210D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43" w:type="dxa"/>
                  <w:vMerge w:val="continue"/>
                  <w:noWrap w:val="0"/>
                  <w:vAlign w:val="center"/>
                </w:tcPr>
                <w:p w14:paraId="267F412B">
                  <w:pPr>
                    <w:pStyle w:val="72"/>
                    <w:jc w:val="center"/>
                    <w:rPr>
                      <w:rFonts w:hint="eastAsia" w:ascii="Times New Roman" w:hAnsi="Times New Roman" w:eastAsia="宋体" w:cs="宋体"/>
                      <w:color w:val="auto"/>
                      <w:sz w:val="21"/>
                      <w:highlight w:val="none"/>
                      <w:lang w:val="zh-CN"/>
                    </w:rPr>
                  </w:pPr>
                </w:p>
              </w:tc>
              <w:tc>
                <w:tcPr>
                  <w:tcW w:w="822" w:type="dxa"/>
                  <w:noWrap w:val="0"/>
                  <w:vAlign w:val="center"/>
                </w:tcPr>
                <w:p w14:paraId="62C27BB2">
                  <w:pPr>
                    <w:pStyle w:val="72"/>
                    <w:jc w:val="center"/>
                    <w:rPr>
                      <w:rFonts w:hint="default" w:ascii="Times New Roman" w:hAnsi="Times New Roman" w:eastAsia="宋体" w:cs="宋体"/>
                      <w:color w:val="auto"/>
                      <w:sz w:val="21"/>
                      <w:highlight w:val="none"/>
                      <w:lang w:val="en-US" w:eastAsia="zh-CN"/>
                    </w:rPr>
                  </w:pPr>
                  <w:r>
                    <w:rPr>
                      <w:rFonts w:hint="eastAsia" w:ascii="Times New Roman" w:hAnsi="Times New Roman" w:cs="宋体"/>
                      <w:color w:val="auto"/>
                      <w:sz w:val="21"/>
                      <w:highlight w:val="none"/>
                      <w:lang w:val="en-US" w:eastAsia="zh-CN"/>
                    </w:rPr>
                    <w:t>曲江</w:t>
                  </w:r>
                </w:p>
              </w:tc>
              <w:tc>
                <w:tcPr>
                  <w:tcW w:w="1242" w:type="dxa"/>
                  <w:noWrap w:val="0"/>
                  <w:vAlign w:val="center"/>
                </w:tcPr>
                <w:p w14:paraId="6202F845">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w:t>
                  </w:r>
                </w:p>
              </w:tc>
              <w:tc>
                <w:tcPr>
                  <w:tcW w:w="1095" w:type="dxa"/>
                  <w:noWrap w:val="0"/>
                  <w:vAlign w:val="center"/>
                </w:tcPr>
                <w:p w14:paraId="3471335D">
                  <w:pPr>
                    <w:pStyle w:val="72"/>
                    <w:jc w:val="center"/>
                    <w:rPr>
                      <w:rFonts w:hint="eastAsia" w:ascii="Times New Roman" w:hAnsi="Times New Roman" w:eastAsia="宋体" w:cs="宋体"/>
                      <w:color w:val="auto"/>
                      <w:sz w:val="21"/>
                      <w:highlight w:val="none"/>
                      <w:lang w:val="zh-CN"/>
                    </w:rPr>
                  </w:pPr>
                  <w:r>
                    <w:rPr>
                      <w:rFonts w:hint="eastAsia" w:ascii="Times New Roman" w:hAnsi="Times New Roman" w:eastAsia="宋体" w:cs="宋体"/>
                      <w:color w:val="auto"/>
                      <w:sz w:val="21"/>
                      <w:highlight w:val="none"/>
                      <w:lang w:val="zh-CN"/>
                    </w:rPr>
                    <w:t>——</w:t>
                  </w:r>
                </w:p>
              </w:tc>
              <w:tc>
                <w:tcPr>
                  <w:tcW w:w="1077" w:type="dxa"/>
                  <w:vMerge w:val="continue"/>
                  <w:noWrap w:val="0"/>
                  <w:vAlign w:val="center"/>
                </w:tcPr>
                <w:p w14:paraId="03F0C245">
                  <w:pPr>
                    <w:pStyle w:val="72"/>
                    <w:jc w:val="center"/>
                    <w:rPr>
                      <w:rFonts w:hint="eastAsia" w:ascii="Times New Roman" w:hAnsi="Times New Roman" w:eastAsia="宋体" w:cs="宋体"/>
                      <w:color w:val="auto"/>
                      <w:sz w:val="21"/>
                      <w:highlight w:val="none"/>
                      <w:lang w:val="zh-CN"/>
                    </w:rPr>
                  </w:pPr>
                </w:p>
              </w:tc>
              <w:tc>
                <w:tcPr>
                  <w:tcW w:w="1408" w:type="dxa"/>
                  <w:vMerge w:val="continue"/>
                  <w:noWrap w:val="0"/>
                  <w:vAlign w:val="center"/>
                </w:tcPr>
                <w:p w14:paraId="6E09CAEB">
                  <w:pPr>
                    <w:pStyle w:val="72"/>
                    <w:jc w:val="center"/>
                    <w:rPr>
                      <w:rFonts w:hint="eastAsia" w:ascii="Times New Roman" w:hAnsi="Times New Roman" w:eastAsia="宋体" w:cs="宋体"/>
                      <w:color w:val="auto"/>
                      <w:kern w:val="0"/>
                      <w:sz w:val="21"/>
                      <w:highlight w:val="none"/>
                    </w:rPr>
                  </w:pPr>
                </w:p>
              </w:tc>
              <w:tc>
                <w:tcPr>
                  <w:tcW w:w="860" w:type="dxa"/>
                  <w:noWrap w:val="0"/>
                  <w:vAlign w:val="center"/>
                </w:tcPr>
                <w:p w14:paraId="453A8E13">
                  <w:pPr>
                    <w:pStyle w:val="72"/>
                    <w:jc w:val="center"/>
                    <w:rPr>
                      <w:rFonts w:hint="default" w:ascii="Times New Roman" w:hAnsi="Times New Roman" w:eastAsia="宋体" w:cs="宋体"/>
                      <w:color w:val="auto"/>
                      <w:spacing w:val="-4"/>
                      <w:kern w:val="0"/>
                      <w:sz w:val="21"/>
                      <w:highlight w:val="none"/>
                      <w:lang w:val="en-US" w:eastAsia="zh-CN"/>
                    </w:rPr>
                  </w:pPr>
                  <w:r>
                    <w:rPr>
                      <w:rFonts w:hint="eastAsia" w:ascii="Times New Roman" w:hAnsi="Times New Roman" w:cs="宋体"/>
                      <w:color w:val="auto"/>
                      <w:spacing w:val="-4"/>
                      <w:kern w:val="0"/>
                      <w:sz w:val="21"/>
                      <w:highlight w:val="none"/>
                      <w:lang w:val="en-US" w:eastAsia="zh-CN"/>
                    </w:rPr>
                    <w:t>西南</w:t>
                  </w:r>
                </w:p>
              </w:tc>
              <w:tc>
                <w:tcPr>
                  <w:tcW w:w="1168" w:type="dxa"/>
                  <w:noWrap w:val="0"/>
                  <w:vAlign w:val="center"/>
                </w:tcPr>
                <w:p w14:paraId="0C60A89B">
                  <w:pPr>
                    <w:pStyle w:val="72"/>
                    <w:jc w:val="center"/>
                    <w:rPr>
                      <w:rFonts w:hint="default" w:ascii="Times New Roman" w:hAnsi="Times New Roman" w:eastAsia="宋体" w:cs="宋体"/>
                      <w:color w:val="auto"/>
                      <w:sz w:val="21"/>
                      <w:highlight w:val="none"/>
                      <w:lang w:val="en-US" w:eastAsia="zh-CN"/>
                    </w:rPr>
                  </w:pPr>
                  <w:r>
                    <w:rPr>
                      <w:rFonts w:hint="eastAsia" w:ascii="Times New Roman" w:hAnsi="Times New Roman" w:cs="宋体"/>
                      <w:color w:val="auto"/>
                      <w:sz w:val="21"/>
                      <w:highlight w:val="none"/>
                      <w:lang w:val="en-US" w:eastAsia="zh-CN"/>
                    </w:rPr>
                    <w:t>10500</w:t>
                  </w:r>
                </w:p>
              </w:tc>
            </w:tr>
            <w:tr w14:paraId="550C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3" w:type="dxa"/>
                  <w:noWrap w:val="0"/>
                  <w:vAlign w:val="center"/>
                </w:tcPr>
                <w:p w14:paraId="1F056339">
                  <w:pPr>
                    <w:pStyle w:val="72"/>
                    <w:jc w:val="center"/>
                    <w:rPr>
                      <w:rFonts w:hint="eastAsia" w:ascii="Times New Roman" w:hAnsi="Times New Roman" w:eastAsia="宋体" w:cs="宋体"/>
                      <w:color w:val="auto"/>
                      <w:sz w:val="21"/>
                      <w:highlight w:val="none"/>
                      <w:lang w:val="en-US" w:eastAsia="zh-CN"/>
                    </w:rPr>
                  </w:pPr>
                  <w:r>
                    <w:rPr>
                      <w:rFonts w:hint="eastAsia" w:ascii="Times New Roman" w:hAnsi="Times New Roman" w:eastAsia="宋体" w:cs="宋体"/>
                      <w:color w:val="auto"/>
                      <w:sz w:val="21"/>
                      <w:highlight w:val="none"/>
                      <w:lang w:val="en-US" w:eastAsia="zh-CN"/>
                    </w:rPr>
                    <w:t>地下水</w:t>
                  </w:r>
                </w:p>
              </w:tc>
              <w:tc>
                <w:tcPr>
                  <w:tcW w:w="7672" w:type="dxa"/>
                  <w:gridSpan w:val="7"/>
                  <w:noWrap w:val="0"/>
                  <w:vAlign w:val="center"/>
                </w:tcPr>
                <w:p w14:paraId="12DDA18E">
                  <w:pPr>
                    <w:pStyle w:val="72"/>
                    <w:jc w:val="center"/>
                    <w:rPr>
                      <w:rFonts w:hint="eastAsia" w:ascii="Times New Roman" w:hAnsi="Times New Roman" w:eastAsia="宋体" w:cs="宋体"/>
                      <w:color w:val="auto"/>
                      <w:sz w:val="21"/>
                      <w:highlight w:val="none"/>
                    </w:rPr>
                  </w:pPr>
                  <w:r>
                    <w:rPr>
                      <w:rFonts w:hint="default" w:ascii="Times New Roman" w:hAnsi="Times New Roman" w:eastAsia="宋体" w:cs="Times New Roman"/>
                      <w:color w:val="auto"/>
                      <w:sz w:val="21"/>
                      <w:szCs w:val="21"/>
                      <w:highlight w:val="none"/>
                    </w:rPr>
                    <w:t>项目厂界外500米范围内不存在地下水集中式饮用水水源和热水、矿泉水、温泉等特殊地下水资源</w:t>
                  </w:r>
                </w:p>
              </w:tc>
            </w:tr>
            <w:tr w14:paraId="090F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3" w:type="dxa"/>
                  <w:noWrap w:val="0"/>
                  <w:vAlign w:val="center"/>
                </w:tcPr>
                <w:p w14:paraId="526F6EAD">
                  <w:pPr>
                    <w:pStyle w:val="72"/>
                    <w:jc w:val="center"/>
                    <w:rPr>
                      <w:rFonts w:hint="default" w:ascii="Times New Roman" w:hAnsi="Times New Roman" w:eastAsia="宋体" w:cs="宋体"/>
                      <w:color w:val="auto"/>
                      <w:sz w:val="21"/>
                      <w:highlight w:val="none"/>
                      <w:lang w:val="en-US" w:eastAsia="zh-CN"/>
                    </w:rPr>
                  </w:pPr>
                  <w:r>
                    <w:rPr>
                      <w:rFonts w:hint="eastAsia" w:ascii="Times New Roman" w:hAnsi="Times New Roman" w:eastAsia="宋体" w:cs="宋体"/>
                      <w:color w:val="auto"/>
                      <w:sz w:val="21"/>
                      <w:highlight w:val="none"/>
                      <w:lang w:val="en-US" w:eastAsia="zh-CN"/>
                    </w:rPr>
                    <w:t>生态</w:t>
                  </w:r>
                </w:p>
              </w:tc>
              <w:tc>
                <w:tcPr>
                  <w:tcW w:w="7672" w:type="dxa"/>
                  <w:gridSpan w:val="7"/>
                  <w:noWrap w:val="0"/>
                  <w:vAlign w:val="center"/>
                </w:tcPr>
                <w:p w14:paraId="5936BBF3">
                  <w:pPr>
                    <w:pStyle w:val="72"/>
                    <w:jc w:val="center"/>
                    <w:rPr>
                      <w:rFonts w:hint="eastAsia" w:ascii="Times New Roman" w:hAnsi="Times New Roman" w:eastAsia="宋体" w:cs="宋体"/>
                      <w:color w:val="auto"/>
                      <w:sz w:val="21"/>
                      <w:highlight w:val="none"/>
                    </w:rPr>
                  </w:pPr>
                  <w:r>
                    <w:rPr>
                      <w:rFonts w:hint="default" w:ascii="Times New Roman" w:hAnsi="Times New Roman" w:eastAsia="宋体" w:cs="Times New Roman"/>
                      <w:color w:val="auto"/>
                      <w:sz w:val="21"/>
                      <w:szCs w:val="21"/>
                      <w:highlight w:val="none"/>
                    </w:rPr>
                    <w:t>本项目位于云南红塔产业园区研和片区</w:t>
                  </w:r>
                  <w:r>
                    <w:rPr>
                      <w:rFonts w:hint="eastAsia" w:ascii="Times New Roman" w:hAnsi="Times New Roman" w:cs="Times New Roman"/>
                      <w:color w:val="auto"/>
                      <w:sz w:val="21"/>
                      <w:szCs w:val="21"/>
                      <w:highlight w:val="none"/>
                      <w:lang w:val="en-US" w:eastAsia="zh-CN"/>
                    </w:rPr>
                    <w:t>二地块</w:t>
                  </w:r>
                  <w:r>
                    <w:rPr>
                      <w:rFonts w:hint="default" w:ascii="Times New Roman" w:hAnsi="Times New Roman" w:eastAsia="宋体" w:cs="Times New Roman"/>
                      <w:color w:val="auto"/>
                      <w:sz w:val="21"/>
                      <w:szCs w:val="21"/>
                      <w:highlight w:val="none"/>
                    </w:rPr>
                    <w:t>，云南红塔产业园区研和片区</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厂界外</w:t>
                  </w:r>
                  <w:r>
                    <w:rPr>
                      <w:rFonts w:hint="eastAsia"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米范围内物种、种群、生物群落、生境、生态系统以及自然景观、自然遗迹等。</w:t>
                  </w:r>
                </w:p>
              </w:tc>
            </w:tr>
          </w:tbl>
          <w:p w14:paraId="4A04B2AB">
            <w:pPr>
              <w:adjustRightInd w:val="0"/>
              <w:snapToGrid w:val="0"/>
              <w:jc w:val="left"/>
              <w:rPr>
                <w:rFonts w:hint="eastAsia" w:ascii="Times New Roman" w:hAnsi="Times New Roman" w:eastAsia="宋体" w:cs="宋体"/>
                <w:color w:val="auto"/>
                <w:kern w:val="0"/>
                <w:sz w:val="10"/>
                <w:szCs w:val="10"/>
                <w:highlight w:val="none"/>
              </w:rPr>
            </w:pPr>
          </w:p>
          <w:p w14:paraId="0A7AD73E">
            <w:pPr>
              <w:pStyle w:val="70"/>
              <w:ind w:firstLine="0" w:firstLineChars="0"/>
              <w:rPr>
                <w:rFonts w:hint="eastAsia" w:ascii="Times New Roman" w:hAnsi="Times New Roman" w:eastAsia="宋体" w:cs="宋体"/>
                <w:color w:val="auto"/>
                <w:sz w:val="10"/>
                <w:szCs w:val="10"/>
                <w:highlight w:val="none"/>
              </w:rPr>
            </w:pPr>
          </w:p>
        </w:tc>
      </w:tr>
      <w:tr w14:paraId="6C0C0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87" w:type="dxa"/>
            <w:noWrap w:val="0"/>
            <w:tcMar>
              <w:left w:w="28" w:type="dxa"/>
              <w:right w:w="28" w:type="dxa"/>
            </w:tcMar>
            <w:vAlign w:val="center"/>
          </w:tcPr>
          <w:p w14:paraId="38AB8157">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污染</w:t>
            </w:r>
          </w:p>
          <w:p w14:paraId="356EAA3D">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物排</w:t>
            </w:r>
          </w:p>
          <w:p w14:paraId="43FA5DD7">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放控</w:t>
            </w:r>
          </w:p>
          <w:p w14:paraId="4FE1624B">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制标</w:t>
            </w:r>
          </w:p>
          <w:p w14:paraId="6A791F57">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准</w:t>
            </w:r>
          </w:p>
        </w:tc>
        <w:tc>
          <w:tcPr>
            <w:tcW w:w="8500" w:type="dxa"/>
            <w:noWrap w:val="0"/>
            <w:vAlign w:val="center"/>
          </w:tcPr>
          <w:p w14:paraId="3B58969A">
            <w:pPr>
              <w:pStyle w:val="83"/>
              <w:tabs>
                <w:tab w:val="left" w:pos="4830"/>
              </w:tabs>
              <w:spacing w:line="360" w:lineRule="auto"/>
              <w:ind w:firstLine="482"/>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1、废气排放控制标准</w:t>
            </w:r>
          </w:p>
          <w:p w14:paraId="269E91FB">
            <w:pPr>
              <w:pStyle w:val="83"/>
              <w:tabs>
                <w:tab w:val="left" w:pos="4830"/>
              </w:tabs>
              <w:spacing w:line="360" w:lineRule="auto"/>
              <w:ind w:firstLine="482"/>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（1）施工期</w:t>
            </w:r>
          </w:p>
          <w:p w14:paraId="7D4C5B50">
            <w:pPr>
              <w:tabs>
                <w:tab w:val="left" w:pos="4830"/>
              </w:tabs>
              <w:spacing w:line="360" w:lineRule="auto"/>
              <w:ind w:firstLine="484" w:firstLineChars="20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施工期粉尘执行《大气污染物综合排放标准》（GB16297-1996）无组织排放限值，标准限值见下表。</w:t>
            </w:r>
          </w:p>
          <w:p w14:paraId="7CE8E7FB">
            <w:pPr>
              <w:pStyle w:val="66"/>
              <w:rPr>
                <w:rFonts w:hint="default" w:ascii="Times New Roman" w:hAnsi="Times New Roman" w:eastAsia="宋体" w:cs="宋体"/>
                <w:color w:val="auto"/>
                <w:highlight w:val="none"/>
              </w:rPr>
            </w:pPr>
            <w:r>
              <w:rPr>
                <w:rFonts w:hint="default"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3.3-1</w:t>
            </w:r>
            <w:r>
              <w:rPr>
                <w:rFonts w:hint="default" w:ascii="Times New Roman" w:hAnsi="Times New Roman" w:eastAsia="宋体" w:cs="宋体"/>
                <w:color w:val="auto"/>
                <w:highlight w:val="none"/>
              </w:rPr>
              <w:t xml:space="preserve"> 《大气污染物综合排放标准》无组织标准限值 单位：mg/m</w:t>
            </w:r>
            <w:r>
              <w:rPr>
                <w:rFonts w:hint="default" w:ascii="Times New Roman" w:hAnsi="Times New Roman" w:eastAsia="宋体" w:cs="宋体"/>
                <w:color w:val="auto"/>
                <w:highlight w:val="none"/>
                <w:vertAlign w:val="superscript"/>
              </w:rPr>
              <w:t>3</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1"/>
              <w:gridCol w:w="4031"/>
            </w:tblGrid>
            <w:tr w14:paraId="5BF1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3" w:type="pct"/>
                  <w:shd w:val="clear" w:color="auto" w:fill="D7D7D7" w:themeFill="background1" w:themeFillShade="D8"/>
                  <w:vAlign w:val="center"/>
                </w:tcPr>
                <w:p w14:paraId="47FD11C6">
                  <w:pPr>
                    <w:keepNext w:val="0"/>
                    <w:keepLines w:val="0"/>
                    <w:pageBreakBefore w:val="0"/>
                    <w:widowControl w:val="0"/>
                    <w:tabs>
                      <w:tab w:val="left" w:pos="483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项目</w:t>
                  </w:r>
                </w:p>
              </w:tc>
              <w:tc>
                <w:tcPr>
                  <w:tcW w:w="2436" w:type="pct"/>
                  <w:shd w:val="clear" w:color="auto" w:fill="D7D7D7" w:themeFill="background1" w:themeFillShade="D8"/>
                  <w:vAlign w:val="center"/>
                </w:tcPr>
                <w:p w14:paraId="058A44B6">
                  <w:pPr>
                    <w:keepNext w:val="0"/>
                    <w:keepLines w:val="0"/>
                    <w:pageBreakBefore w:val="0"/>
                    <w:widowControl w:val="0"/>
                    <w:tabs>
                      <w:tab w:val="left" w:pos="483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无组织排放监控浓度限值</w:t>
                  </w:r>
                </w:p>
              </w:tc>
            </w:tr>
            <w:tr w14:paraId="06C1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3" w:type="pct"/>
                  <w:vAlign w:val="center"/>
                </w:tcPr>
                <w:p w14:paraId="4C1025BE">
                  <w:pPr>
                    <w:keepNext w:val="0"/>
                    <w:keepLines w:val="0"/>
                    <w:pageBreakBefore w:val="0"/>
                    <w:widowControl w:val="0"/>
                    <w:tabs>
                      <w:tab w:val="left" w:pos="483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2436" w:type="pct"/>
                  <w:vAlign w:val="center"/>
                </w:tcPr>
                <w:p w14:paraId="445D7013">
                  <w:pPr>
                    <w:keepNext w:val="0"/>
                    <w:keepLines w:val="0"/>
                    <w:pageBreakBefore w:val="0"/>
                    <w:widowControl w:val="0"/>
                    <w:tabs>
                      <w:tab w:val="left" w:pos="483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r>
          </w:tbl>
          <w:p w14:paraId="6DA21A00">
            <w:pPr>
              <w:tabs>
                <w:tab w:val="left" w:pos="4830"/>
              </w:tabs>
              <w:spacing w:line="360" w:lineRule="auto"/>
              <w:ind w:firstLine="487" w:firstLineChars="202"/>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（2）运营期</w:t>
            </w:r>
          </w:p>
          <w:p w14:paraId="260915FB">
            <w:p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①颗粒物</w:t>
            </w:r>
          </w:p>
          <w:p w14:paraId="48DCAF8E">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color w:val="auto"/>
                <w:kern w:val="0"/>
                <w:sz w:val="24"/>
                <w:highlight w:val="none"/>
                <w:lang w:eastAsia="zh-CN"/>
              </w:rPr>
            </w:pPr>
            <w:r>
              <w:rPr>
                <w:rFonts w:hint="default" w:ascii="Times New Roman" w:hAnsi="Times New Roman" w:eastAsia="宋体" w:cs="Times New Roman"/>
                <w:bCs/>
                <w:color w:val="auto"/>
                <w:sz w:val="24"/>
                <w:highlight w:val="none"/>
              </w:rPr>
              <w:t>本项目</w:t>
            </w:r>
            <w:r>
              <w:rPr>
                <w:rFonts w:hint="eastAsia" w:ascii="Times New Roman" w:hAnsi="Times New Roman" w:eastAsia="宋体" w:cs="Times New Roman"/>
                <w:bCs/>
                <w:color w:val="auto"/>
                <w:sz w:val="24"/>
                <w:highlight w:val="none"/>
                <w:lang w:val="en-US" w:eastAsia="zh-CN"/>
              </w:rPr>
              <w:t>废气主要污染物为铁矿石破碎、筛分产生的粉尘</w:t>
            </w:r>
            <w:r>
              <w:rPr>
                <w:rFonts w:hint="default" w:ascii="Times New Roman" w:hAnsi="Times New Roman" w:eastAsia="宋体" w:cs="Times New Roman"/>
                <w:bCs/>
                <w:color w:val="auto"/>
                <w:sz w:val="24"/>
                <w:highlight w:val="none"/>
              </w:rPr>
              <w:t>，有组织</w:t>
            </w:r>
            <w:r>
              <w:rPr>
                <w:rFonts w:hint="eastAsia" w:ascii="Times New Roman" w:hAnsi="Times New Roman" w:eastAsia="宋体" w:cs="Times New Roman"/>
                <w:bCs/>
                <w:color w:val="auto"/>
                <w:sz w:val="24"/>
                <w:highlight w:val="none"/>
                <w:lang w:val="en-US" w:eastAsia="zh-CN"/>
              </w:rPr>
              <w:t>和厂界无组织</w:t>
            </w:r>
            <w:r>
              <w:rPr>
                <w:rFonts w:hint="default" w:ascii="Times New Roman" w:hAnsi="Times New Roman" w:eastAsia="宋体" w:cs="Times New Roman"/>
                <w:bCs/>
                <w:color w:val="auto"/>
                <w:sz w:val="24"/>
                <w:highlight w:val="none"/>
              </w:rPr>
              <w:t>颗粒物执行《</w:t>
            </w:r>
            <w:r>
              <w:rPr>
                <w:rFonts w:hint="eastAsia" w:ascii="Times New Roman" w:hAnsi="Times New Roman" w:eastAsia="宋体" w:cs="Times New Roman"/>
                <w:bCs/>
                <w:color w:val="auto"/>
                <w:sz w:val="24"/>
                <w:highlight w:val="none"/>
                <w:lang w:val="en-US" w:eastAsia="zh-CN"/>
              </w:rPr>
              <w:t>铁矿采选工业污染物</w:t>
            </w:r>
            <w:r>
              <w:rPr>
                <w:rFonts w:hint="default" w:ascii="Times New Roman" w:hAnsi="Times New Roman" w:eastAsia="宋体" w:cs="Times New Roman"/>
                <w:bCs/>
                <w:color w:val="auto"/>
                <w:sz w:val="24"/>
                <w:highlight w:val="none"/>
              </w:rPr>
              <w:t>排放标准》（GB</w:t>
            </w:r>
            <w:r>
              <w:rPr>
                <w:rFonts w:hint="eastAsia" w:ascii="Times New Roman" w:hAnsi="Times New Roman" w:eastAsia="宋体" w:cs="Times New Roman"/>
                <w:bCs/>
                <w:color w:val="auto"/>
                <w:sz w:val="24"/>
                <w:highlight w:val="none"/>
                <w:lang w:val="en-US" w:eastAsia="zh-CN"/>
              </w:rPr>
              <w:t>28661</w:t>
            </w:r>
            <w:r>
              <w:rPr>
                <w:rFonts w:hint="default"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2012</w:t>
            </w:r>
            <w:r>
              <w:rPr>
                <w:rFonts w:hint="default"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表5、表7浓度限值</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具体</w:t>
            </w:r>
            <w:r>
              <w:rPr>
                <w:rFonts w:ascii="Times New Roman" w:hAnsi="Times New Roman"/>
                <w:color w:val="auto"/>
                <w:kern w:val="0"/>
                <w:sz w:val="24"/>
                <w:highlight w:val="none"/>
              </w:rPr>
              <w:t>标准限值详见下表</w:t>
            </w:r>
            <w:r>
              <w:rPr>
                <w:rFonts w:hint="eastAsia" w:ascii="Times New Roman" w:hAnsi="Times New Roman"/>
                <w:color w:val="auto"/>
                <w:kern w:val="0"/>
                <w:sz w:val="24"/>
                <w:highlight w:val="none"/>
                <w:lang w:eastAsia="zh-CN"/>
              </w:rPr>
              <w:t>。</w:t>
            </w:r>
          </w:p>
          <w:p w14:paraId="2FBD096B">
            <w:pPr>
              <w:pStyle w:val="66"/>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表3.3-2   运营期废气排放限值</w:t>
            </w:r>
          </w:p>
          <w:tbl>
            <w:tblPr>
              <w:tblStyle w:val="3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120"/>
              <w:gridCol w:w="2282"/>
              <w:gridCol w:w="1585"/>
              <w:gridCol w:w="2051"/>
            </w:tblGrid>
            <w:tr w14:paraId="1519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3" w:type="pct"/>
                  <w:shd w:val="clear" w:color="auto" w:fill="D7D7D7" w:themeFill="background1" w:themeFillShade="D8"/>
                  <w:noWrap w:val="0"/>
                  <w:vAlign w:val="center"/>
                </w:tcPr>
                <w:p w14:paraId="6847A9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排放类型</w:t>
                  </w:r>
                </w:p>
              </w:tc>
              <w:tc>
                <w:tcPr>
                  <w:tcW w:w="677" w:type="pct"/>
                  <w:shd w:val="clear" w:color="auto" w:fill="D7D7D7" w:themeFill="background1" w:themeFillShade="D8"/>
                  <w:noWrap w:val="0"/>
                  <w:vAlign w:val="center"/>
                </w:tcPr>
                <w:p w14:paraId="74E63E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污染物</w:t>
                  </w:r>
                </w:p>
              </w:tc>
              <w:tc>
                <w:tcPr>
                  <w:tcW w:w="1380" w:type="pct"/>
                  <w:shd w:val="clear" w:color="auto" w:fill="D7D7D7" w:themeFill="background1" w:themeFillShade="D8"/>
                  <w:noWrap w:val="0"/>
                  <w:vAlign w:val="center"/>
                </w:tcPr>
                <w:p w14:paraId="2993A5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生产工序或设施</w:t>
                  </w:r>
                </w:p>
              </w:tc>
              <w:tc>
                <w:tcPr>
                  <w:tcW w:w="958" w:type="pct"/>
                  <w:shd w:val="clear" w:color="auto" w:fill="D7D7D7" w:themeFill="background1" w:themeFillShade="D8"/>
                  <w:noWrap w:val="0"/>
                  <w:vAlign w:val="center"/>
                </w:tcPr>
                <w:p w14:paraId="22265E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排放浓度限值（mg/m</w:t>
                  </w:r>
                  <w:r>
                    <w:rPr>
                      <w:rFonts w:hint="eastAsia" w:ascii="Times New Roman" w:hAnsi="Times New Roman" w:eastAsia="宋体" w:cs="Times New Roman"/>
                      <w:bCs/>
                      <w:color w:val="auto"/>
                      <w:sz w:val="21"/>
                      <w:szCs w:val="21"/>
                      <w:highlight w:val="none"/>
                      <w:vertAlign w:val="superscript"/>
                      <w:lang w:val="en-US" w:eastAsia="zh-CN"/>
                    </w:rPr>
                    <w:t>3</w:t>
                  </w:r>
                  <w:r>
                    <w:rPr>
                      <w:rFonts w:hint="eastAsia" w:ascii="Times New Roman" w:hAnsi="Times New Roman" w:eastAsia="宋体" w:cs="Times New Roman"/>
                      <w:bCs/>
                      <w:color w:val="auto"/>
                      <w:sz w:val="21"/>
                      <w:szCs w:val="21"/>
                      <w:highlight w:val="none"/>
                      <w:lang w:val="en-US" w:eastAsia="zh-CN"/>
                    </w:rPr>
                    <w:t>）</w:t>
                  </w:r>
                </w:p>
              </w:tc>
              <w:tc>
                <w:tcPr>
                  <w:tcW w:w="1240" w:type="pct"/>
                  <w:shd w:val="clear" w:color="auto" w:fill="D7D7D7" w:themeFill="background1" w:themeFillShade="D8"/>
                  <w:noWrap w:val="0"/>
                  <w:vAlign w:val="center"/>
                </w:tcPr>
                <w:p w14:paraId="6C2564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污染物排放监控位置</w:t>
                  </w:r>
                </w:p>
              </w:tc>
            </w:tr>
            <w:tr w14:paraId="0040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3" w:type="pct"/>
                  <w:noWrap w:val="0"/>
                  <w:vAlign w:val="center"/>
                </w:tcPr>
                <w:p w14:paraId="5A9B4F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有组织废气</w:t>
                  </w:r>
                </w:p>
              </w:tc>
              <w:tc>
                <w:tcPr>
                  <w:tcW w:w="677" w:type="pct"/>
                  <w:noWrap w:val="0"/>
                  <w:vAlign w:val="center"/>
                </w:tcPr>
                <w:p w14:paraId="5297CC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颗粒物</w:t>
                  </w:r>
                </w:p>
              </w:tc>
              <w:tc>
                <w:tcPr>
                  <w:tcW w:w="1380" w:type="pct"/>
                  <w:noWrap w:val="0"/>
                  <w:vAlign w:val="center"/>
                </w:tcPr>
                <w:p w14:paraId="201869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选矿厂的矿石运输、转载、矿仓、破碎、筛分</w:t>
                  </w:r>
                </w:p>
              </w:tc>
              <w:tc>
                <w:tcPr>
                  <w:tcW w:w="958" w:type="pct"/>
                  <w:noWrap w:val="0"/>
                  <w:vAlign w:val="center"/>
                </w:tcPr>
                <w:p w14:paraId="014AC7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1240" w:type="pct"/>
                  <w:noWrap w:val="0"/>
                  <w:vAlign w:val="center"/>
                </w:tcPr>
                <w:p w14:paraId="643976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车间或生产设施排气筒</w:t>
                  </w:r>
                </w:p>
              </w:tc>
            </w:tr>
            <w:tr w14:paraId="3DE7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3" w:type="pct"/>
                  <w:noWrap w:val="0"/>
                  <w:vAlign w:val="center"/>
                </w:tcPr>
                <w:p w14:paraId="30A868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无组织废气</w:t>
                  </w:r>
                </w:p>
              </w:tc>
              <w:tc>
                <w:tcPr>
                  <w:tcW w:w="677" w:type="pct"/>
                  <w:noWrap w:val="0"/>
                  <w:vAlign w:val="center"/>
                </w:tcPr>
                <w:p w14:paraId="268232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颗粒物</w:t>
                  </w:r>
                </w:p>
              </w:tc>
              <w:tc>
                <w:tcPr>
                  <w:tcW w:w="1380" w:type="pct"/>
                  <w:noWrap w:val="0"/>
                  <w:vAlign w:val="center"/>
                </w:tcPr>
                <w:p w14:paraId="3AF0370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选矿厂、排土场、废石场、尾矿库</w:t>
                  </w:r>
                </w:p>
              </w:tc>
              <w:tc>
                <w:tcPr>
                  <w:tcW w:w="958" w:type="pct"/>
                  <w:noWrap w:val="0"/>
                  <w:vAlign w:val="center"/>
                </w:tcPr>
                <w:p w14:paraId="29CDD8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w:t>
                  </w:r>
                </w:p>
              </w:tc>
              <w:tc>
                <w:tcPr>
                  <w:tcW w:w="1240" w:type="pct"/>
                  <w:noWrap w:val="0"/>
                  <w:vAlign w:val="center"/>
                </w:tcPr>
                <w:p w14:paraId="361181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厂界</w:t>
                  </w:r>
                </w:p>
              </w:tc>
            </w:tr>
          </w:tbl>
          <w:p w14:paraId="6D3F4FB2">
            <w:pPr>
              <w:tabs>
                <w:tab w:val="left" w:pos="4830"/>
                <w:tab w:val="left" w:pos="8515"/>
              </w:tabs>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②食堂油烟</w:t>
            </w:r>
          </w:p>
          <w:p w14:paraId="6DC77477">
            <w:pPr>
              <w:tabs>
                <w:tab w:val="left" w:pos="4830"/>
              </w:tabs>
              <w:spacing w:line="360" w:lineRule="auto"/>
              <w:ind w:firstLine="484" w:firstLineChars="202"/>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厂区设有1个员工食堂，设置有1个灶头，食堂属小型规模，油烟排放执行《饮食业油烟排放标准》（GB18483-2001）小型标准限值。标准值见下表</w:t>
            </w:r>
            <w:r>
              <w:rPr>
                <w:rFonts w:hint="default" w:ascii="Times New Roman" w:hAnsi="Times New Roman" w:eastAsia="宋体" w:cs="Times New Roman"/>
                <w:color w:val="auto"/>
                <w:sz w:val="24"/>
                <w:highlight w:val="none"/>
                <w:lang w:val="en-US" w:eastAsia="zh-CN"/>
              </w:rPr>
              <w:t>。</w:t>
            </w:r>
          </w:p>
          <w:p w14:paraId="1EC2B2D2">
            <w:pPr>
              <w:pStyle w:val="66"/>
              <w:rPr>
                <w:rFonts w:hint="default" w:ascii="Times New Roman" w:hAnsi="Times New Roman" w:eastAsia="宋体" w:cs="宋体"/>
                <w:color w:val="auto"/>
                <w:highlight w:val="none"/>
              </w:rPr>
            </w:pPr>
            <w:r>
              <w:rPr>
                <w:rFonts w:hint="default"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3.3-3</w:t>
            </w:r>
            <w:r>
              <w:rPr>
                <w:rFonts w:hint="default" w:ascii="Times New Roman" w:hAnsi="Times New Roman" w:eastAsia="宋体" w:cs="宋体"/>
                <w:color w:val="auto"/>
                <w:highlight w:val="none"/>
              </w:rPr>
              <w:t xml:space="preserve">   饮食业油烟排放标准</w:t>
            </w:r>
          </w:p>
          <w:tbl>
            <w:tblPr>
              <w:tblStyle w:val="35"/>
              <w:tblW w:w="4995"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6"/>
              <w:gridCol w:w="1431"/>
              <w:gridCol w:w="2916"/>
              <w:gridCol w:w="3023"/>
            </w:tblGrid>
            <w:tr w14:paraId="5A214F6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tcBorders>
                    <w:top w:val="single" w:color="000000" w:sz="4" w:space="0"/>
                    <w:left w:val="single" w:color="000000" w:sz="4" w:space="0"/>
                    <w:bottom w:val="single" w:color="000000" w:sz="4" w:space="0"/>
                    <w:right w:val="single" w:color="000000" w:sz="4" w:space="0"/>
                    <w:tl2br w:val="nil"/>
                  </w:tcBorders>
                  <w:shd w:val="clear" w:color="auto" w:fill="D7D7D7" w:themeFill="background1" w:themeFillShade="D8"/>
                  <w:vAlign w:val="center"/>
                </w:tcPr>
                <w:p w14:paraId="10402ABD">
                  <w:pPr>
                    <w:adjustRightInd w:val="0"/>
                    <w:snapToGrid w:val="0"/>
                    <w:spacing w:line="240" w:lineRule="auto"/>
                    <w:ind w:firstLine="0" w:firstLineChars="0"/>
                    <w:jc w:val="center"/>
                    <w:textAlignment w:val="center"/>
                    <w:rPr>
                      <w:rFonts w:ascii="Times New Roman" w:hAnsi="Times New Roman" w:eastAsia="Times New Roman" w:cs="Times New Roman"/>
                      <w:b w:val="0"/>
                      <w:color w:val="auto"/>
                      <w:sz w:val="21"/>
                      <w:highlight w:val="none"/>
                    </w:rPr>
                  </w:pPr>
                  <w:r>
                    <w:rPr>
                      <w:rFonts w:ascii="Times New Roman" w:hAnsi="Times New Roman" w:cs="Times New Roman"/>
                      <w:b w:val="0"/>
                      <w:color w:val="auto"/>
                      <w:sz w:val="21"/>
                      <w:highlight w:val="none"/>
                    </w:rPr>
                    <w:t>规模</w:t>
                  </w:r>
                </w:p>
              </w:tc>
              <w:tc>
                <w:tcPr>
                  <w:tcW w:w="86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1F6F91C1">
                  <w:pPr>
                    <w:adjustRightInd w:val="0"/>
                    <w:snapToGrid w:val="0"/>
                    <w:spacing w:line="240" w:lineRule="auto"/>
                    <w:ind w:firstLine="0" w:firstLineChars="0"/>
                    <w:jc w:val="center"/>
                    <w:textAlignment w:val="center"/>
                    <w:rPr>
                      <w:rFonts w:ascii="Times New Roman" w:hAnsi="Times New Roman" w:eastAsia="Times New Roman" w:cs="Times New Roman"/>
                      <w:b w:val="0"/>
                      <w:color w:val="auto"/>
                      <w:sz w:val="21"/>
                      <w:highlight w:val="none"/>
                    </w:rPr>
                  </w:pPr>
                  <w:r>
                    <w:rPr>
                      <w:rFonts w:ascii="Times New Roman" w:hAnsi="Times New Roman" w:cs="Times New Roman"/>
                      <w:b w:val="0"/>
                      <w:color w:val="auto"/>
                      <w:sz w:val="21"/>
                      <w:highlight w:val="none"/>
                    </w:rPr>
                    <w:t>基准灶头数</w:t>
                  </w:r>
                </w:p>
              </w:tc>
              <w:tc>
                <w:tcPr>
                  <w:tcW w:w="176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0824F979">
                  <w:pPr>
                    <w:adjustRightInd w:val="0"/>
                    <w:snapToGrid w:val="0"/>
                    <w:spacing w:line="240" w:lineRule="auto"/>
                    <w:ind w:firstLine="0" w:firstLineChars="0"/>
                    <w:jc w:val="center"/>
                    <w:textAlignment w:val="center"/>
                    <w:rPr>
                      <w:rFonts w:ascii="Times New Roman" w:hAnsi="Times New Roman" w:eastAsia="Times New Roman" w:cs="Times New Roman"/>
                      <w:b w:val="0"/>
                      <w:color w:val="auto"/>
                      <w:sz w:val="21"/>
                      <w:highlight w:val="none"/>
                    </w:rPr>
                  </w:pPr>
                  <w:r>
                    <w:rPr>
                      <w:rFonts w:ascii="Times New Roman" w:hAnsi="Times New Roman" w:cs="Times New Roman"/>
                      <w:b w:val="0"/>
                      <w:color w:val="auto"/>
                      <w:sz w:val="21"/>
                      <w:highlight w:val="none"/>
                    </w:rPr>
                    <w:t>最高允许排放浓度</w:t>
                  </w:r>
                  <w:r>
                    <w:rPr>
                      <w:rFonts w:ascii="Times New Roman" w:hAnsi="Times New Roman" w:cs="Times New Roman"/>
                      <w:b w:val="0"/>
                      <w:bCs/>
                      <w:color w:val="auto"/>
                      <w:sz w:val="21"/>
                      <w:highlight w:val="none"/>
                    </w:rPr>
                    <w:t>(mg/m</w:t>
                  </w:r>
                  <w:r>
                    <w:rPr>
                      <w:rFonts w:ascii="Times New Roman" w:hAnsi="Times New Roman" w:cs="Times New Roman"/>
                      <w:b w:val="0"/>
                      <w:bCs/>
                      <w:color w:val="auto"/>
                      <w:sz w:val="14"/>
                      <w:szCs w:val="14"/>
                      <w:highlight w:val="none"/>
                    </w:rPr>
                    <w:t>3</w:t>
                  </w:r>
                  <w:r>
                    <w:rPr>
                      <w:rFonts w:ascii="Times New Roman" w:hAnsi="Times New Roman" w:cs="Times New Roman"/>
                      <w:b w:val="0"/>
                      <w:bCs/>
                      <w:color w:val="auto"/>
                      <w:sz w:val="21"/>
                      <w:highlight w:val="none"/>
                    </w:rPr>
                    <w:t>)</w:t>
                  </w:r>
                </w:p>
              </w:tc>
              <w:tc>
                <w:tcPr>
                  <w:tcW w:w="1826"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76C08F6B">
                  <w:pPr>
                    <w:adjustRightInd w:val="0"/>
                    <w:snapToGrid w:val="0"/>
                    <w:spacing w:line="240" w:lineRule="auto"/>
                    <w:ind w:firstLine="0" w:firstLineChars="0"/>
                    <w:jc w:val="center"/>
                    <w:textAlignment w:val="center"/>
                    <w:rPr>
                      <w:rFonts w:ascii="Times New Roman" w:hAnsi="Times New Roman" w:eastAsia="Times New Roman" w:cs="Times New Roman"/>
                      <w:b w:val="0"/>
                      <w:color w:val="auto"/>
                      <w:sz w:val="21"/>
                      <w:highlight w:val="none"/>
                    </w:rPr>
                  </w:pPr>
                  <w:r>
                    <w:rPr>
                      <w:rFonts w:ascii="Times New Roman" w:hAnsi="Times New Roman" w:cs="Times New Roman"/>
                      <w:b w:val="0"/>
                      <w:color w:val="auto"/>
                      <w:sz w:val="21"/>
                      <w:highlight w:val="none"/>
                    </w:rPr>
                    <w:t>净化设施最低去除效率</w:t>
                  </w:r>
                  <w:r>
                    <w:rPr>
                      <w:rFonts w:ascii="Times New Roman" w:hAnsi="Times New Roman" w:cs="Times New Roman"/>
                      <w:b w:val="0"/>
                      <w:bCs/>
                      <w:color w:val="auto"/>
                      <w:sz w:val="21"/>
                      <w:highlight w:val="none"/>
                    </w:rPr>
                    <w:t>(%)</w:t>
                  </w:r>
                </w:p>
              </w:tc>
            </w:tr>
            <w:tr w14:paraId="68BBC23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0852A">
                  <w:pPr>
                    <w:adjustRightInd w:val="0"/>
                    <w:snapToGrid w:val="0"/>
                    <w:spacing w:line="240" w:lineRule="auto"/>
                    <w:ind w:firstLine="0" w:firstLineChars="0"/>
                    <w:jc w:val="center"/>
                    <w:textAlignment w:val="center"/>
                    <w:rPr>
                      <w:rFonts w:ascii="Times New Roman" w:hAnsi="Times New Roman" w:eastAsia="Times New Roman" w:cs="Times New Roman"/>
                      <w:b w:val="0"/>
                      <w:color w:val="auto"/>
                      <w:sz w:val="21"/>
                      <w:highlight w:val="none"/>
                    </w:rPr>
                  </w:pPr>
                  <w:r>
                    <w:rPr>
                      <w:rFonts w:hint="eastAsia" w:ascii="Times New Roman" w:hAnsi="Times New Roman" w:cs="Times New Roman"/>
                      <w:b w:val="0"/>
                      <w:color w:val="auto"/>
                      <w:sz w:val="21"/>
                      <w:highlight w:val="none"/>
                      <w:lang w:val="en-US" w:eastAsia="zh-CN"/>
                    </w:rPr>
                    <w:t>小</w:t>
                  </w:r>
                  <w:r>
                    <w:rPr>
                      <w:rFonts w:ascii="Times New Roman" w:hAnsi="Times New Roman" w:cs="Times New Roman"/>
                      <w:b w:val="0"/>
                      <w:color w:val="auto"/>
                      <w:sz w:val="21"/>
                      <w:highlight w:val="none"/>
                    </w:rPr>
                    <w:t>型</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DB22">
                  <w:pPr>
                    <w:adjustRightInd w:val="0"/>
                    <w:snapToGrid w:val="0"/>
                    <w:spacing w:line="240" w:lineRule="auto"/>
                    <w:ind w:firstLine="0" w:firstLineChars="0"/>
                    <w:jc w:val="center"/>
                    <w:textAlignment w:val="center"/>
                    <w:rPr>
                      <w:rFonts w:hint="default" w:ascii="Times New Roman" w:hAnsi="Times New Roman" w:eastAsia="宋体" w:cs="Times New Roman"/>
                      <w:b w:val="0"/>
                      <w:color w:val="auto"/>
                      <w:sz w:val="21"/>
                      <w:highlight w:val="none"/>
                      <w:lang w:val="en-US" w:eastAsia="zh-CN"/>
                    </w:rPr>
                  </w:pPr>
                  <w:r>
                    <w:rPr>
                      <w:rFonts w:hint="eastAsia" w:ascii="Times New Roman" w:hAnsi="Times New Roman" w:eastAsia="宋体" w:cs="Times New Roman"/>
                      <w:b w:val="0"/>
                      <w:color w:val="auto"/>
                      <w:sz w:val="21"/>
                      <w:highlight w:val="none"/>
                      <w:lang w:val="en-US" w:eastAsia="zh-CN"/>
                    </w:rPr>
                    <w:t>≥1，＜3</w:t>
                  </w:r>
                </w:p>
              </w:tc>
              <w:tc>
                <w:tcPr>
                  <w:tcW w:w="1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408C4">
                  <w:pPr>
                    <w:adjustRightInd w:val="0"/>
                    <w:snapToGrid w:val="0"/>
                    <w:spacing w:line="240" w:lineRule="auto"/>
                    <w:ind w:firstLine="0" w:firstLineChars="0"/>
                    <w:jc w:val="center"/>
                    <w:textAlignment w:val="center"/>
                    <w:rPr>
                      <w:rFonts w:ascii="Times New Roman" w:hAnsi="Times New Roman" w:eastAsia="Times New Roman" w:cs="Times New Roman"/>
                      <w:b w:val="0"/>
                      <w:color w:val="auto"/>
                      <w:sz w:val="21"/>
                      <w:highlight w:val="none"/>
                    </w:rPr>
                  </w:pPr>
                  <w:r>
                    <w:rPr>
                      <w:rFonts w:ascii="Times New Roman" w:hAnsi="Times New Roman" w:eastAsia="Times New Roman" w:cs="Times New Roman"/>
                      <w:b w:val="0"/>
                      <w:color w:val="auto"/>
                      <w:sz w:val="21"/>
                      <w:highlight w:val="none"/>
                    </w:rPr>
                    <w:t>2.0</w:t>
                  </w:r>
                </w:p>
              </w:tc>
              <w:tc>
                <w:tcPr>
                  <w:tcW w:w="1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C0672">
                  <w:pPr>
                    <w:adjustRightInd w:val="0"/>
                    <w:snapToGrid w:val="0"/>
                    <w:spacing w:line="240" w:lineRule="auto"/>
                    <w:ind w:firstLine="0" w:firstLineChars="0"/>
                    <w:jc w:val="center"/>
                    <w:textAlignment w:val="center"/>
                    <w:rPr>
                      <w:rFonts w:hint="default" w:ascii="Times New Roman" w:hAnsi="Times New Roman" w:eastAsia="宋体" w:cs="Times New Roman"/>
                      <w:b w:val="0"/>
                      <w:color w:val="auto"/>
                      <w:sz w:val="21"/>
                      <w:highlight w:val="none"/>
                      <w:lang w:val="en-US" w:eastAsia="zh-CN"/>
                    </w:rPr>
                  </w:pPr>
                  <w:r>
                    <w:rPr>
                      <w:rFonts w:hint="eastAsia" w:ascii="Times New Roman" w:hAnsi="Times New Roman" w:eastAsia="宋体" w:cs="Times New Roman"/>
                      <w:b w:val="0"/>
                      <w:color w:val="auto"/>
                      <w:sz w:val="21"/>
                      <w:highlight w:val="none"/>
                      <w:lang w:val="en-US" w:eastAsia="zh-CN"/>
                    </w:rPr>
                    <w:t>60</w:t>
                  </w:r>
                </w:p>
              </w:tc>
            </w:tr>
          </w:tbl>
          <w:p w14:paraId="14AE4690">
            <w:pPr>
              <w:tabs>
                <w:tab w:val="left" w:pos="4830"/>
                <w:tab w:val="left" w:pos="8515"/>
              </w:tabs>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2、废水排放标准</w:t>
            </w:r>
          </w:p>
          <w:p w14:paraId="2888B29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（1）施工期</w:t>
            </w:r>
          </w:p>
          <w:p w14:paraId="4CFD3D0D">
            <w:pPr>
              <w:tabs>
                <w:tab w:val="left" w:pos="4830"/>
              </w:tabs>
              <w:spacing w:line="360" w:lineRule="auto"/>
              <w:ind w:firstLine="484" w:firstLineChars="202"/>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施工期废水主要为员工盥洗废水，主要污染物为SS，经临时沉淀池沉淀后用于洒水降尘，不外排，不设置排放标准</w:t>
            </w:r>
            <w:r>
              <w:rPr>
                <w:rFonts w:hint="eastAsia" w:ascii="Times New Roman" w:hAnsi="Times New Roman" w:eastAsia="宋体" w:cs="Times New Roman"/>
                <w:color w:val="auto"/>
                <w:sz w:val="24"/>
                <w:highlight w:val="none"/>
                <w:lang w:val="en-US" w:eastAsia="zh-CN"/>
              </w:rPr>
              <w:t>。</w:t>
            </w:r>
          </w:p>
          <w:p w14:paraId="6624064E">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）运营期</w:t>
            </w:r>
          </w:p>
          <w:p w14:paraId="03DF7E2A">
            <w:pPr>
              <w:tabs>
                <w:tab w:val="left" w:pos="4830"/>
              </w:tabs>
              <w:spacing w:line="360" w:lineRule="auto"/>
              <w:ind w:firstLine="484" w:firstLineChars="202"/>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项目运营期间，食堂废水经隔油池处理后与其他生活污水进入化粪池预处理，然后进入一体化污水处理设备处理，处理</w:t>
            </w:r>
            <w:r>
              <w:rPr>
                <w:rFonts w:hint="eastAsia" w:cs="Times New Roman"/>
                <w:color w:val="auto"/>
                <w:sz w:val="24"/>
                <w:highlight w:val="none"/>
                <w:lang w:val="en-US" w:eastAsia="zh-CN"/>
              </w:rPr>
              <w:t>达到</w:t>
            </w:r>
            <w:r>
              <w:rPr>
                <w:rFonts w:hint="default" w:ascii="Times New Roman" w:hAnsi="Times New Roman" w:eastAsia="宋体" w:cs="Times New Roman"/>
                <w:color w:val="auto"/>
                <w:sz w:val="24"/>
                <w:highlight w:val="none"/>
                <w:lang w:val="en-US" w:eastAsia="zh-CN"/>
              </w:rPr>
              <w:t>《城市污水再生利用城市杂用水水质》（GB/T18920-2020）中的城市绿化标准后，晴天回用于厂区绿化，雨天暂存于中水池中。具体限值详见</w:t>
            </w:r>
            <w:r>
              <w:rPr>
                <w:rFonts w:hint="eastAsia" w:ascii="Times New Roman" w:hAnsi="Times New Roman" w:cs="Times New Roman"/>
                <w:color w:val="auto"/>
                <w:sz w:val="24"/>
                <w:highlight w:val="none"/>
                <w:lang w:val="en-US" w:eastAsia="zh-CN"/>
              </w:rPr>
              <w:t>细小</w:t>
            </w:r>
            <w:r>
              <w:rPr>
                <w:rFonts w:hint="default" w:ascii="Times New Roman" w:hAnsi="Times New Roman" w:eastAsia="宋体" w:cs="Times New Roman"/>
                <w:color w:val="auto"/>
                <w:sz w:val="24"/>
                <w:highlight w:val="none"/>
                <w:lang w:val="en-US" w:eastAsia="zh-CN"/>
              </w:rPr>
              <w:t>。</w:t>
            </w:r>
          </w:p>
          <w:p w14:paraId="58611D59">
            <w:pPr>
              <w:tabs>
                <w:tab w:val="left" w:pos="4830"/>
              </w:tabs>
              <w:spacing w:line="360" w:lineRule="auto"/>
              <w:ind w:firstLine="484" w:firstLineChars="202"/>
              <w:rPr>
                <w:rFonts w:hint="default" w:ascii="Times New Roman" w:hAnsi="Times New Roman" w:eastAsia="宋体" w:cs="Times New Roman"/>
                <w:color w:val="auto"/>
                <w:sz w:val="24"/>
                <w:highlight w:val="none"/>
                <w:lang w:val="en-US" w:eastAsia="zh-CN"/>
              </w:rPr>
            </w:pPr>
          </w:p>
          <w:p w14:paraId="2310F825">
            <w:pPr>
              <w:tabs>
                <w:tab w:val="left" w:pos="4830"/>
              </w:tabs>
              <w:spacing w:line="360" w:lineRule="auto"/>
              <w:ind w:firstLine="484" w:firstLineChars="202"/>
              <w:rPr>
                <w:rFonts w:hint="default" w:ascii="Times New Roman" w:hAnsi="Times New Roman" w:eastAsia="宋体" w:cs="Times New Roman"/>
                <w:color w:val="auto"/>
                <w:sz w:val="24"/>
                <w:highlight w:val="none"/>
                <w:lang w:val="en-US" w:eastAsia="zh-CN"/>
              </w:rPr>
            </w:pPr>
          </w:p>
          <w:p w14:paraId="3EF4F917">
            <w:pPr>
              <w:tabs>
                <w:tab w:val="left" w:pos="4830"/>
              </w:tabs>
              <w:spacing w:line="360" w:lineRule="auto"/>
              <w:ind w:firstLine="484" w:firstLineChars="202"/>
              <w:rPr>
                <w:rFonts w:hint="default" w:ascii="Times New Roman" w:hAnsi="Times New Roman" w:eastAsia="宋体" w:cs="Times New Roman"/>
                <w:color w:val="auto"/>
                <w:sz w:val="24"/>
                <w:highlight w:val="none"/>
                <w:lang w:val="en-US" w:eastAsia="zh-CN"/>
              </w:rPr>
            </w:pPr>
          </w:p>
          <w:p w14:paraId="5BB0D6A4">
            <w:pPr>
              <w:tabs>
                <w:tab w:val="left" w:pos="4830"/>
              </w:tabs>
              <w:spacing w:line="360" w:lineRule="auto"/>
              <w:ind w:firstLine="484" w:firstLineChars="202"/>
              <w:rPr>
                <w:rFonts w:hint="default" w:ascii="Times New Roman" w:hAnsi="Times New Roman" w:eastAsia="宋体" w:cs="Times New Roman"/>
                <w:color w:val="auto"/>
                <w:sz w:val="24"/>
                <w:highlight w:val="none"/>
                <w:lang w:val="en-US" w:eastAsia="zh-CN"/>
              </w:rPr>
            </w:pPr>
          </w:p>
          <w:p w14:paraId="5230E931">
            <w:pPr>
              <w:tabs>
                <w:tab w:val="left" w:pos="4830"/>
              </w:tabs>
              <w:spacing w:line="360" w:lineRule="auto"/>
              <w:ind w:firstLine="484" w:firstLineChars="202"/>
              <w:rPr>
                <w:rFonts w:hint="default" w:ascii="Times New Roman" w:hAnsi="Times New Roman" w:eastAsia="宋体" w:cs="Times New Roman"/>
                <w:color w:val="auto"/>
                <w:sz w:val="24"/>
                <w:highlight w:val="none"/>
                <w:lang w:val="en-US" w:eastAsia="zh-CN"/>
              </w:rPr>
            </w:pPr>
          </w:p>
          <w:p w14:paraId="403D052D">
            <w:pPr>
              <w:tabs>
                <w:tab w:val="left" w:pos="4830"/>
              </w:tabs>
              <w:spacing w:line="360" w:lineRule="auto"/>
              <w:ind w:firstLine="484" w:firstLineChars="202"/>
              <w:rPr>
                <w:rFonts w:hint="default" w:ascii="Times New Roman" w:hAnsi="Times New Roman" w:eastAsia="宋体" w:cs="Times New Roman"/>
                <w:color w:val="auto"/>
                <w:sz w:val="24"/>
                <w:highlight w:val="none"/>
                <w:lang w:val="en-US" w:eastAsia="zh-CN"/>
              </w:rPr>
            </w:pPr>
          </w:p>
          <w:p w14:paraId="37D3D567">
            <w:pPr>
              <w:pStyle w:val="66"/>
              <w:rPr>
                <w:rFonts w:hint="eastAsia" w:ascii="Times New Roman" w:hAnsi="Times New Roman" w:eastAsia="宋体" w:cs="宋体"/>
                <w:color w:val="auto"/>
                <w:highlight w:val="none"/>
              </w:rPr>
            </w:pPr>
            <w:r>
              <w:rPr>
                <w:rFonts w:hint="default"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3.3-4</w:t>
            </w:r>
            <w:r>
              <w:rPr>
                <w:rFonts w:hint="default" w:ascii="Times New Roman" w:hAnsi="Times New Roman" w:eastAsia="宋体" w:cs="宋体"/>
                <w:color w:val="auto"/>
                <w:highlight w:val="none"/>
              </w:rPr>
              <w:t xml:space="preserve">  </w:t>
            </w:r>
            <w:r>
              <w:rPr>
                <w:rFonts w:hint="eastAsia" w:ascii="Times New Roman" w:hAnsi="Times New Roman" w:eastAsia="宋体" w:cs="宋体"/>
                <w:color w:val="auto"/>
                <w:highlight w:val="none"/>
              </w:rPr>
              <w:t>城市污水再生利用 城市杂用水水质</w:t>
            </w:r>
          </w:p>
          <w:tbl>
            <w:tblPr>
              <w:tblStyle w:val="3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3806"/>
              <w:gridCol w:w="2868"/>
            </w:tblGrid>
            <w:tr w14:paraId="5DEE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shd w:val="clear" w:color="auto" w:fill="D7D7D7" w:themeFill="background1" w:themeFillShade="D8"/>
                  <w:noWrap w:val="0"/>
                  <w:vAlign w:val="center"/>
                </w:tcPr>
                <w:p w14:paraId="20D21F14">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序号</w:t>
                  </w:r>
                </w:p>
              </w:tc>
              <w:tc>
                <w:tcPr>
                  <w:tcW w:w="2323" w:type="pct"/>
                  <w:shd w:val="clear" w:color="auto" w:fill="D7D7D7" w:themeFill="background1" w:themeFillShade="D8"/>
                  <w:noWrap w:val="0"/>
                  <w:vAlign w:val="center"/>
                </w:tcPr>
                <w:p w14:paraId="1A3F4103">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w:t>
                  </w:r>
                </w:p>
              </w:tc>
              <w:tc>
                <w:tcPr>
                  <w:tcW w:w="1750" w:type="pct"/>
                  <w:shd w:val="clear" w:color="auto" w:fill="D7D7D7" w:themeFill="background1" w:themeFillShade="D8"/>
                  <w:noWrap w:val="0"/>
                  <w:vAlign w:val="center"/>
                </w:tcPr>
                <w:p w14:paraId="6E9E0C82">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城市绿化</w:t>
                  </w:r>
                </w:p>
              </w:tc>
            </w:tr>
            <w:tr w14:paraId="569E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69CE5AE4">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2323" w:type="pct"/>
                  <w:noWrap w:val="0"/>
                  <w:vAlign w:val="center"/>
                </w:tcPr>
                <w:p w14:paraId="6C0F26A7">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pH</w:t>
                  </w:r>
                </w:p>
              </w:tc>
              <w:tc>
                <w:tcPr>
                  <w:tcW w:w="1750" w:type="pct"/>
                  <w:noWrap w:val="0"/>
                  <w:vAlign w:val="center"/>
                </w:tcPr>
                <w:p w14:paraId="68C954CE">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6.0-9.0</w:t>
                  </w:r>
                </w:p>
              </w:tc>
            </w:tr>
            <w:tr w14:paraId="58F0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7A1BCB8B">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2323" w:type="pct"/>
                  <w:noWrap w:val="0"/>
                  <w:vAlign w:val="center"/>
                </w:tcPr>
                <w:p w14:paraId="4AA911BE">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色度，铂钴色度单位             ≤</w:t>
                  </w:r>
                </w:p>
              </w:tc>
              <w:tc>
                <w:tcPr>
                  <w:tcW w:w="1750" w:type="pct"/>
                  <w:noWrap w:val="0"/>
                  <w:vAlign w:val="center"/>
                </w:tcPr>
                <w:p w14:paraId="50ED9708">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w:t>
                  </w:r>
                </w:p>
              </w:tc>
            </w:tr>
            <w:tr w14:paraId="1DFC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1484D483">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2323" w:type="pct"/>
                  <w:noWrap w:val="0"/>
                  <w:vAlign w:val="center"/>
                </w:tcPr>
                <w:p w14:paraId="2E993965">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嗅</w:t>
                  </w:r>
                </w:p>
              </w:tc>
              <w:tc>
                <w:tcPr>
                  <w:tcW w:w="1750" w:type="pct"/>
                  <w:noWrap w:val="0"/>
                  <w:vAlign w:val="center"/>
                </w:tcPr>
                <w:p w14:paraId="6DB49287">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无不快感</w:t>
                  </w:r>
                </w:p>
              </w:tc>
            </w:tr>
            <w:tr w14:paraId="7C22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3BBDD3FD">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2323" w:type="pct"/>
                  <w:noWrap w:val="0"/>
                  <w:vAlign w:val="center"/>
                </w:tcPr>
                <w:p w14:paraId="32311E60">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浊度/NTU</w:t>
                  </w:r>
                </w:p>
              </w:tc>
              <w:tc>
                <w:tcPr>
                  <w:tcW w:w="1750" w:type="pct"/>
                  <w:noWrap w:val="0"/>
                  <w:vAlign w:val="center"/>
                </w:tcPr>
                <w:p w14:paraId="0D4A9E57">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r>
            <w:tr w14:paraId="721E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09E80C4E">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2323" w:type="pct"/>
                  <w:noWrap w:val="0"/>
                  <w:vAlign w:val="center"/>
                </w:tcPr>
                <w:p w14:paraId="07838CA3">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五日生化需氧量（BOD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）/（mg/L） ≤</w:t>
                  </w:r>
                </w:p>
              </w:tc>
              <w:tc>
                <w:tcPr>
                  <w:tcW w:w="1750" w:type="pct"/>
                  <w:noWrap w:val="0"/>
                  <w:vAlign w:val="center"/>
                </w:tcPr>
                <w:p w14:paraId="05ACA5EC">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r>
            <w:tr w14:paraId="4640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241B88F0">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p>
              </w:tc>
              <w:tc>
                <w:tcPr>
                  <w:tcW w:w="2323" w:type="pct"/>
                  <w:noWrap w:val="0"/>
                  <w:vAlign w:val="center"/>
                </w:tcPr>
                <w:p w14:paraId="336A103F">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氨氮/（mg/L）                  ≤</w:t>
                  </w:r>
                </w:p>
              </w:tc>
              <w:tc>
                <w:tcPr>
                  <w:tcW w:w="1750" w:type="pct"/>
                  <w:noWrap w:val="0"/>
                  <w:vAlign w:val="center"/>
                </w:tcPr>
                <w:p w14:paraId="69CFA5BA">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r>
            <w:tr w14:paraId="36B9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682CA5C2">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2323" w:type="pct"/>
                  <w:noWrap w:val="0"/>
                  <w:vAlign w:val="center"/>
                </w:tcPr>
                <w:p w14:paraId="4C30E89B">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阴离子表面活性剂/（mg/L）        ≤</w:t>
                  </w:r>
                </w:p>
              </w:tc>
              <w:tc>
                <w:tcPr>
                  <w:tcW w:w="1750" w:type="pct"/>
                  <w:noWrap w:val="0"/>
                  <w:vAlign w:val="center"/>
                </w:tcPr>
                <w:p w14:paraId="5F98F058">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0.5</w:t>
                  </w:r>
                </w:p>
              </w:tc>
            </w:tr>
            <w:tr w14:paraId="2915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0829F8C8">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2323" w:type="pct"/>
                  <w:noWrap w:val="0"/>
                  <w:vAlign w:val="center"/>
                </w:tcPr>
                <w:p w14:paraId="3B9C4EFF">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铁/（mg/L）                    ≤</w:t>
                  </w:r>
                </w:p>
              </w:tc>
              <w:tc>
                <w:tcPr>
                  <w:tcW w:w="1750" w:type="pct"/>
                  <w:noWrap w:val="0"/>
                  <w:vAlign w:val="center"/>
                </w:tcPr>
                <w:p w14:paraId="472F41BE">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14:paraId="2FC8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5CE058F3">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w:t>
                  </w:r>
                </w:p>
              </w:tc>
              <w:tc>
                <w:tcPr>
                  <w:tcW w:w="2323" w:type="pct"/>
                  <w:noWrap w:val="0"/>
                  <w:vAlign w:val="center"/>
                </w:tcPr>
                <w:p w14:paraId="1BA3F3DA">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锰（mg/L）                     ≤</w:t>
                  </w:r>
                </w:p>
              </w:tc>
              <w:tc>
                <w:tcPr>
                  <w:tcW w:w="1750" w:type="pct"/>
                  <w:noWrap w:val="0"/>
                  <w:vAlign w:val="center"/>
                </w:tcPr>
                <w:p w14:paraId="28A4B704">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14:paraId="376C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0D4A2EC6">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2323" w:type="pct"/>
                  <w:noWrap w:val="0"/>
                  <w:vAlign w:val="center"/>
                </w:tcPr>
                <w:p w14:paraId="31620B63">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溶解性总固体（mg/L）           ≤</w:t>
                  </w:r>
                </w:p>
              </w:tc>
              <w:tc>
                <w:tcPr>
                  <w:tcW w:w="1750" w:type="pct"/>
                  <w:noWrap w:val="0"/>
                  <w:vAlign w:val="center"/>
                </w:tcPr>
                <w:p w14:paraId="7F4D26E8">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1000（2000）</w:t>
                  </w:r>
                  <w:r>
                    <w:rPr>
                      <w:rFonts w:hint="default" w:ascii="Times New Roman" w:hAnsi="Times New Roman" w:eastAsia="宋体" w:cs="Times New Roman"/>
                      <w:bCs/>
                      <w:color w:val="auto"/>
                      <w:sz w:val="21"/>
                      <w:szCs w:val="21"/>
                      <w:highlight w:val="none"/>
                      <w:vertAlign w:val="superscript"/>
                    </w:rPr>
                    <w:t>a</w:t>
                  </w:r>
                </w:p>
              </w:tc>
            </w:tr>
            <w:tr w14:paraId="442A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4EBDC259">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w:t>
                  </w:r>
                </w:p>
              </w:tc>
              <w:tc>
                <w:tcPr>
                  <w:tcW w:w="2323" w:type="pct"/>
                  <w:noWrap w:val="0"/>
                  <w:vAlign w:val="center"/>
                </w:tcPr>
                <w:p w14:paraId="3541D6CD">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溶解氧（mg/L）                  ≥</w:t>
                  </w:r>
                </w:p>
              </w:tc>
              <w:tc>
                <w:tcPr>
                  <w:tcW w:w="1750" w:type="pct"/>
                  <w:noWrap w:val="0"/>
                  <w:vAlign w:val="center"/>
                </w:tcPr>
                <w:p w14:paraId="77188348">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w:t>
                  </w:r>
                </w:p>
              </w:tc>
            </w:tr>
            <w:tr w14:paraId="68F2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70BAD4A7">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12</w:t>
                  </w:r>
                </w:p>
              </w:tc>
              <w:tc>
                <w:tcPr>
                  <w:tcW w:w="2323" w:type="pct"/>
                  <w:noWrap w:val="0"/>
                  <w:vAlign w:val="center"/>
                </w:tcPr>
                <w:p w14:paraId="078C15A4">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总氯（mg/L）                   ≥</w:t>
                  </w:r>
                </w:p>
              </w:tc>
              <w:tc>
                <w:tcPr>
                  <w:tcW w:w="1750" w:type="pct"/>
                  <w:noWrap w:val="0"/>
                  <w:vAlign w:val="center"/>
                </w:tcPr>
                <w:p w14:paraId="30EE4CF8">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1.0（出厂），0.2</w:t>
                  </w:r>
                  <w:r>
                    <w:rPr>
                      <w:rFonts w:hint="default" w:ascii="Times New Roman" w:hAnsi="Times New Roman" w:eastAsia="宋体" w:cs="Times New Roman"/>
                      <w:bCs/>
                      <w:color w:val="auto"/>
                      <w:sz w:val="21"/>
                      <w:szCs w:val="21"/>
                      <w:highlight w:val="none"/>
                      <w:vertAlign w:val="superscript"/>
                    </w:rPr>
                    <w:t>b</w:t>
                  </w:r>
                  <w:r>
                    <w:rPr>
                      <w:rFonts w:hint="default" w:ascii="Times New Roman" w:hAnsi="Times New Roman" w:eastAsia="宋体" w:cs="Times New Roman"/>
                      <w:bCs/>
                      <w:color w:val="auto"/>
                      <w:sz w:val="21"/>
                      <w:szCs w:val="21"/>
                      <w:highlight w:val="none"/>
                    </w:rPr>
                    <w:t>（管网末端）</w:t>
                  </w:r>
                </w:p>
              </w:tc>
            </w:tr>
            <w:tr w14:paraId="47D4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noWrap w:val="0"/>
                  <w:vAlign w:val="center"/>
                </w:tcPr>
                <w:p w14:paraId="7832646C">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13</w:t>
                  </w:r>
                </w:p>
              </w:tc>
              <w:tc>
                <w:tcPr>
                  <w:tcW w:w="2323" w:type="pct"/>
                  <w:noWrap w:val="0"/>
                  <w:vAlign w:val="center"/>
                </w:tcPr>
                <w:p w14:paraId="18EE5934">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大肠埃希氏菌/（MPN/100mL或CFU/100mL）</w:t>
                  </w:r>
                </w:p>
              </w:tc>
              <w:tc>
                <w:tcPr>
                  <w:tcW w:w="1750" w:type="pct"/>
                  <w:noWrap w:val="0"/>
                  <w:vAlign w:val="center"/>
                </w:tcPr>
                <w:p w14:paraId="1B8B93E3">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无</w:t>
                  </w:r>
                  <w:r>
                    <w:rPr>
                      <w:rFonts w:hint="default" w:ascii="Times New Roman" w:hAnsi="Times New Roman" w:eastAsia="宋体" w:cs="Times New Roman"/>
                      <w:bCs/>
                      <w:color w:val="auto"/>
                      <w:sz w:val="21"/>
                      <w:szCs w:val="21"/>
                      <w:highlight w:val="none"/>
                      <w:vertAlign w:val="superscript"/>
                    </w:rPr>
                    <w:t>c</w:t>
                  </w:r>
                </w:p>
              </w:tc>
            </w:tr>
            <w:tr w14:paraId="049F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3"/>
                  <w:noWrap w:val="0"/>
                  <w:vAlign w:val="center"/>
                </w:tcPr>
                <w:p w14:paraId="7B3FB726">
                  <w:pPr>
                    <w:pStyle w:val="7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w:t>
                  </w:r>
                  <w:r>
                    <w:rPr>
                      <w:rFonts w:hint="default" w:ascii="Times New Roman" w:hAnsi="Times New Roman" w:eastAsia="宋体" w:cs="Times New Roman"/>
                      <w:bCs/>
                      <w:color w:val="auto"/>
                      <w:spacing w:val="4"/>
                      <w:kern w:val="24"/>
                      <w:sz w:val="21"/>
                      <w:szCs w:val="21"/>
                      <w:highlight w:val="none"/>
                    </w:rPr>
                    <w:t>“——”表示对此项无要求。</w:t>
                  </w:r>
                </w:p>
                <w:p w14:paraId="50433CA0">
                  <w:pPr>
                    <w:pStyle w:val="44"/>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firstLine="0"/>
                    <w:jc w:val="left"/>
                    <w:textAlignment w:val="auto"/>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rPr>
                    <w:t>括号内指标值为沿海及本地水源中溶解性总固体含量较高区域的指标。</w:t>
                  </w:r>
                </w:p>
                <w:p w14:paraId="6487CF84">
                  <w:pPr>
                    <w:pStyle w:val="44"/>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firstLine="0"/>
                    <w:jc w:val="left"/>
                    <w:textAlignment w:val="auto"/>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rPr>
                    <w:t>用于城市绿化时，不应超过2.5mg/L。</w:t>
                  </w:r>
                </w:p>
                <w:p w14:paraId="75EAF3FD">
                  <w:pPr>
                    <w:pStyle w:val="44"/>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firstLine="0"/>
                    <w:jc w:val="left"/>
                    <w:textAlignment w:val="auto"/>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rPr>
                    <w:t>大肠埃希氏菌不应检出。</w:t>
                  </w:r>
                </w:p>
              </w:tc>
            </w:tr>
          </w:tbl>
          <w:p w14:paraId="70761F24">
            <w:pPr>
              <w:tabs>
                <w:tab w:val="left" w:pos="4830"/>
                <w:tab w:val="left" w:pos="8515"/>
              </w:tabs>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3、噪声排放标准</w:t>
            </w:r>
          </w:p>
          <w:p w14:paraId="57DEA22F">
            <w:pPr>
              <w:spacing w:line="360" w:lineRule="auto"/>
              <w:ind w:firstLine="482" w:firstLineChars="200"/>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（1）施工噪声</w:t>
            </w:r>
          </w:p>
          <w:p w14:paraId="373F9757">
            <w:pPr>
              <w:spacing w:line="360" w:lineRule="auto"/>
              <w:ind w:firstLine="480" w:firstLineChars="200"/>
              <w:rPr>
                <w:rFonts w:hint="eastAsia" w:ascii="Times New Roman" w:hAnsi="Times New Roman" w:eastAsia="宋体" w:cs="宋体"/>
                <w:b/>
                <w:bCs/>
                <w:color w:val="auto"/>
                <w:sz w:val="24"/>
                <w:highlight w:val="none"/>
                <w:lang w:eastAsia="zh-CN"/>
              </w:rPr>
            </w:pPr>
            <w:r>
              <w:rPr>
                <w:rFonts w:ascii="Times New Roman" w:hAnsi="Times New Roman" w:eastAsia="宋体" w:cs="Times New Roman"/>
                <w:color w:val="auto"/>
                <w:sz w:val="24"/>
                <w:highlight w:val="none"/>
                <w:lang w:val="zh-CN"/>
              </w:rPr>
              <w:t>项目施工期施工场地噪声执行</w:t>
            </w:r>
            <w:r>
              <w:rPr>
                <w:rFonts w:hint="eastAsia" w:ascii="Times New Roman" w:hAnsi="Times New Roman" w:cs="Times New Roman"/>
                <w:color w:val="auto"/>
                <w:sz w:val="24"/>
                <w:highlight w:val="none"/>
                <w:lang w:val="zh-CN"/>
              </w:rPr>
              <w:t>《建筑施工噪声排放标准》（GB12523-2025）</w:t>
            </w:r>
            <w:r>
              <w:rPr>
                <w:rFonts w:ascii="Times New Roman" w:hAnsi="Times New Roman" w:eastAsia="宋体" w:cs="Times New Roman"/>
                <w:color w:val="auto"/>
                <w:sz w:val="24"/>
                <w:highlight w:val="none"/>
                <w:lang w:val="zh-CN"/>
              </w:rPr>
              <w:t>表1标准</w:t>
            </w:r>
            <w:r>
              <w:rPr>
                <w:rFonts w:hint="eastAsia" w:ascii="Times New Roman" w:hAnsi="Times New Roman" w:eastAsia="宋体" w:cs="宋体"/>
                <w:color w:val="auto"/>
                <w:sz w:val="24"/>
                <w:highlight w:val="none"/>
              </w:rPr>
              <w:t>，具体数值见下表：</w:t>
            </w:r>
          </w:p>
          <w:p w14:paraId="40C71F8E">
            <w:pPr>
              <w:adjustRightInd w:val="0"/>
              <w:snapToGrid w:val="0"/>
              <w:spacing w:after="158" w:afterLines="50"/>
              <w:jc w:val="center"/>
              <w:rPr>
                <w:rFonts w:hint="eastAsia" w:ascii="Times New Roman" w:hAnsi="Times New Roman" w:eastAsia="宋体" w:cs="宋体"/>
                <w:b/>
                <w:bCs/>
                <w:color w:val="auto"/>
                <w:spacing w:val="4"/>
                <w:kern w:val="0"/>
                <w:sz w:val="24"/>
                <w:highlight w:val="none"/>
              </w:rPr>
            </w:pPr>
            <w:r>
              <w:rPr>
                <w:rFonts w:hint="eastAsia" w:ascii="Times New Roman" w:hAnsi="Times New Roman" w:eastAsia="宋体" w:cs="宋体"/>
                <w:b/>
                <w:bCs/>
                <w:color w:val="auto"/>
                <w:spacing w:val="4"/>
                <w:kern w:val="0"/>
                <w:sz w:val="24"/>
                <w:highlight w:val="none"/>
              </w:rPr>
              <w:t>表3.3-</w:t>
            </w:r>
            <w:r>
              <w:rPr>
                <w:rFonts w:hint="eastAsia" w:ascii="Times New Roman" w:hAnsi="Times New Roman" w:cs="宋体"/>
                <w:b/>
                <w:bCs/>
                <w:color w:val="auto"/>
                <w:spacing w:val="4"/>
                <w:kern w:val="0"/>
                <w:sz w:val="24"/>
                <w:highlight w:val="none"/>
                <w:lang w:val="en-US" w:eastAsia="zh-CN"/>
              </w:rPr>
              <w:t>5</w:t>
            </w:r>
            <w:r>
              <w:rPr>
                <w:rFonts w:hint="eastAsia" w:ascii="Times New Roman" w:hAnsi="Times New Roman" w:eastAsia="宋体" w:cs="宋体"/>
                <w:b/>
                <w:bCs/>
                <w:color w:val="auto"/>
                <w:spacing w:val="4"/>
                <w:kern w:val="0"/>
                <w:sz w:val="24"/>
                <w:highlight w:val="none"/>
                <w:lang w:val="en-US" w:eastAsia="zh-CN"/>
              </w:rPr>
              <w:t xml:space="preserve">   </w:t>
            </w:r>
            <w:r>
              <w:rPr>
                <w:rFonts w:hint="eastAsia" w:ascii="Times New Roman" w:hAnsi="Times New Roman" w:eastAsia="宋体" w:cs="宋体"/>
                <w:b/>
                <w:bCs/>
                <w:color w:val="auto"/>
                <w:spacing w:val="4"/>
                <w:kern w:val="0"/>
                <w:sz w:val="24"/>
                <w:highlight w:val="none"/>
              </w:rPr>
              <w:t>建筑施工场界环境噪声排放值限单位：dB（A）</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2"/>
              <w:gridCol w:w="4134"/>
            </w:tblGrid>
            <w:tr w14:paraId="1035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25" w:type="dxa"/>
                  <w:shd w:val="clear" w:color="auto" w:fill="D9D9D9"/>
                  <w:noWrap w:val="0"/>
                  <w:vAlign w:val="top"/>
                </w:tcPr>
                <w:p w14:paraId="780DB40E">
                  <w:pPr>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昼间</w:t>
                  </w:r>
                </w:p>
              </w:tc>
              <w:tc>
                <w:tcPr>
                  <w:tcW w:w="3526" w:type="dxa"/>
                  <w:shd w:val="clear" w:color="auto" w:fill="D9D9D9"/>
                  <w:noWrap w:val="0"/>
                  <w:vAlign w:val="top"/>
                </w:tcPr>
                <w:p w14:paraId="1AE709D0">
                  <w:pPr>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夜间</w:t>
                  </w:r>
                </w:p>
              </w:tc>
            </w:tr>
            <w:tr w14:paraId="63D2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5" w:type="dxa"/>
                  <w:noWrap w:val="0"/>
                  <w:vAlign w:val="top"/>
                </w:tcPr>
                <w:p w14:paraId="2EE72A31">
                  <w:pPr>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70</w:t>
                  </w:r>
                </w:p>
              </w:tc>
              <w:tc>
                <w:tcPr>
                  <w:tcW w:w="3526" w:type="dxa"/>
                  <w:noWrap w:val="0"/>
                  <w:vAlign w:val="top"/>
                </w:tcPr>
                <w:p w14:paraId="7635E352">
                  <w:pPr>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55</w:t>
                  </w:r>
                </w:p>
              </w:tc>
            </w:tr>
          </w:tbl>
          <w:p w14:paraId="451547CE">
            <w:pPr>
              <w:tabs>
                <w:tab w:val="left" w:pos="4500"/>
                <w:tab w:val="left" w:pos="4680"/>
              </w:tabs>
              <w:adjustRightInd w:val="0"/>
              <w:snapToGrid w:val="0"/>
              <w:spacing w:before="158" w:beforeLines="50" w:line="360" w:lineRule="auto"/>
              <w:ind w:firstLine="482" w:firstLineChars="200"/>
              <w:rPr>
                <w:rFonts w:hint="eastAsia"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（2）运营期噪声</w:t>
            </w:r>
          </w:p>
          <w:p w14:paraId="60C9BDE4">
            <w:pPr>
              <w:tabs>
                <w:tab w:val="left" w:pos="4500"/>
                <w:tab w:val="left" w:pos="4680"/>
              </w:tabs>
              <w:snapToGrid w:val="0"/>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本项目厂界执行《工业企业厂界环境噪声排放标准》（GB12348-2008）中</w:t>
            </w:r>
            <w:r>
              <w:rPr>
                <w:rFonts w:hint="eastAsia" w:ascii="Times New Roman" w:hAnsi="Times New Roman" w:eastAsia="宋体" w:cs="宋体"/>
                <w:color w:val="auto"/>
                <w:sz w:val="24"/>
                <w:highlight w:val="none"/>
                <w:lang w:val="en-US" w:eastAsia="zh-CN"/>
              </w:rPr>
              <w:t>3</w:t>
            </w:r>
            <w:r>
              <w:rPr>
                <w:rFonts w:hint="eastAsia" w:ascii="Times New Roman" w:hAnsi="Times New Roman" w:eastAsia="宋体" w:cs="宋体"/>
                <w:color w:val="auto"/>
                <w:sz w:val="24"/>
                <w:highlight w:val="none"/>
              </w:rPr>
              <w:t>类标准</w:t>
            </w:r>
            <w:r>
              <w:rPr>
                <w:rFonts w:hint="eastAsia" w:ascii="Times New Roman" w:hAnsi="Times New Roman" w:eastAsia="宋体" w:cs="宋体"/>
                <w:color w:val="auto"/>
                <w:sz w:val="24"/>
                <w:highlight w:val="none"/>
                <w:lang w:eastAsia="zh-CN"/>
              </w:rPr>
              <w:t>，</w:t>
            </w:r>
            <w:r>
              <w:rPr>
                <w:rFonts w:hint="eastAsia" w:ascii="Times New Roman" w:hAnsi="Times New Roman" w:eastAsia="宋体" w:cs="宋体"/>
                <w:color w:val="auto"/>
                <w:sz w:val="24"/>
                <w:highlight w:val="none"/>
              </w:rPr>
              <w:t>标准值如下表。</w:t>
            </w:r>
          </w:p>
          <w:p w14:paraId="4EAB0247">
            <w:pPr>
              <w:pStyle w:val="66"/>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表3.3-</w:t>
            </w:r>
            <w:r>
              <w:rPr>
                <w:rFonts w:hint="eastAsia" w:ascii="Times New Roman" w:hAnsi="Times New Roman" w:eastAsia="宋体" w:cs="宋体"/>
                <w:color w:val="auto"/>
                <w:highlight w:val="none"/>
                <w:lang w:val="en-US" w:eastAsia="zh-CN"/>
              </w:rPr>
              <w:t xml:space="preserve">6   </w:t>
            </w:r>
            <w:r>
              <w:rPr>
                <w:rFonts w:hint="eastAsia" w:ascii="Times New Roman" w:hAnsi="Times New Roman" w:eastAsia="宋体" w:cs="宋体"/>
                <w:color w:val="auto"/>
                <w:highlight w:val="none"/>
              </w:rPr>
              <w:t>工业企业厂界环境噪声排放标准</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089"/>
              <w:gridCol w:w="1966"/>
              <w:gridCol w:w="1969"/>
            </w:tblGrid>
            <w:tr w14:paraId="0D12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restart"/>
                  <w:shd w:val="clear" w:color="auto" w:fill="D9D9D9"/>
                  <w:noWrap w:val="0"/>
                  <w:vAlign w:val="center"/>
                </w:tcPr>
                <w:p w14:paraId="792C95CA">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类别</w:t>
                  </w:r>
                </w:p>
              </w:tc>
              <w:tc>
                <w:tcPr>
                  <w:tcW w:w="3056" w:type="dxa"/>
                  <w:vMerge w:val="restart"/>
                  <w:shd w:val="clear" w:color="auto" w:fill="D9D9D9"/>
                  <w:noWrap w:val="0"/>
                  <w:vAlign w:val="center"/>
                </w:tcPr>
                <w:p w14:paraId="7A922020">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适用区域</w:t>
                  </w:r>
                </w:p>
              </w:tc>
              <w:tc>
                <w:tcPr>
                  <w:tcW w:w="3893" w:type="dxa"/>
                  <w:gridSpan w:val="2"/>
                  <w:shd w:val="clear" w:color="auto" w:fill="D9D9D9"/>
                  <w:noWrap w:val="0"/>
                  <w:vAlign w:val="center"/>
                </w:tcPr>
                <w:p w14:paraId="0C1AEB64">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等效声级[dB（A）]</w:t>
                  </w:r>
                </w:p>
              </w:tc>
            </w:tr>
            <w:tr w14:paraId="32D0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shd w:val="clear" w:color="auto" w:fill="D9D9D9"/>
                  <w:noWrap w:val="0"/>
                  <w:vAlign w:val="center"/>
                </w:tcPr>
                <w:p w14:paraId="618C170A">
                  <w:pPr>
                    <w:snapToGrid w:val="0"/>
                    <w:jc w:val="center"/>
                    <w:rPr>
                      <w:rFonts w:hint="eastAsia" w:ascii="Times New Roman" w:hAnsi="Times New Roman" w:eastAsia="宋体" w:cs="宋体"/>
                      <w:color w:val="auto"/>
                      <w:szCs w:val="21"/>
                      <w:highlight w:val="none"/>
                    </w:rPr>
                  </w:pPr>
                </w:p>
              </w:tc>
              <w:tc>
                <w:tcPr>
                  <w:tcW w:w="3056" w:type="dxa"/>
                  <w:vMerge w:val="continue"/>
                  <w:shd w:val="clear" w:color="auto" w:fill="D9D9D9"/>
                  <w:noWrap w:val="0"/>
                  <w:vAlign w:val="center"/>
                </w:tcPr>
                <w:p w14:paraId="17FEFB21">
                  <w:pPr>
                    <w:snapToGrid w:val="0"/>
                    <w:jc w:val="center"/>
                    <w:rPr>
                      <w:rFonts w:hint="eastAsia" w:ascii="Times New Roman" w:hAnsi="Times New Roman" w:eastAsia="宋体" w:cs="宋体"/>
                      <w:color w:val="auto"/>
                      <w:szCs w:val="21"/>
                      <w:highlight w:val="none"/>
                    </w:rPr>
                  </w:pPr>
                </w:p>
              </w:tc>
              <w:tc>
                <w:tcPr>
                  <w:tcW w:w="1945" w:type="dxa"/>
                  <w:shd w:val="clear" w:color="auto" w:fill="D9D9D9"/>
                  <w:noWrap w:val="0"/>
                  <w:vAlign w:val="center"/>
                </w:tcPr>
                <w:p w14:paraId="4DA8C304">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昼间</w:t>
                  </w:r>
                </w:p>
              </w:tc>
              <w:tc>
                <w:tcPr>
                  <w:tcW w:w="1948" w:type="dxa"/>
                  <w:shd w:val="clear" w:color="auto" w:fill="D9D9D9"/>
                  <w:noWrap w:val="0"/>
                  <w:vAlign w:val="center"/>
                </w:tcPr>
                <w:p w14:paraId="7111843C">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夜间</w:t>
                  </w:r>
                </w:p>
              </w:tc>
            </w:tr>
            <w:tr w14:paraId="2F3C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noWrap w:val="0"/>
                  <w:vAlign w:val="center"/>
                </w:tcPr>
                <w:p w14:paraId="6655B0FB">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3</w:t>
                  </w:r>
                  <w:r>
                    <w:rPr>
                      <w:rFonts w:hint="eastAsia" w:ascii="Times New Roman" w:hAnsi="Times New Roman" w:eastAsia="宋体" w:cs="宋体"/>
                      <w:color w:val="auto"/>
                      <w:szCs w:val="21"/>
                      <w:highlight w:val="none"/>
                    </w:rPr>
                    <w:t>类</w:t>
                  </w:r>
                </w:p>
              </w:tc>
              <w:tc>
                <w:tcPr>
                  <w:tcW w:w="3056" w:type="dxa"/>
                  <w:noWrap w:val="0"/>
                  <w:vAlign w:val="center"/>
                </w:tcPr>
                <w:p w14:paraId="35F4736E">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东、南、西、北厂界</w:t>
                  </w:r>
                </w:p>
              </w:tc>
              <w:tc>
                <w:tcPr>
                  <w:tcW w:w="1945" w:type="dxa"/>
                  <w:noWrap w:val="0"/>
                  <w:vAlign w:val="center"/>
                </w:tcPr>
                <w:p w14:paraId="5C48EA0E">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65</w:t>
                  </w:r>
                </w:p>
              </w:tc>
              <w:tc>
                <w:tcPr>
                  <w:tcW w:w="1948" w:type="dxa"/>
                  <w:noWrap w:val="0"/>
                  <w:vAlign w:val="center"/>
                </w:tcPr>
                <w:p w14:paraId="7A2AA701">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55</w:t>
                  </w:r>
                </w:p>
              </w:tc>
            </w:tr>
          </w:tbl>
          <w:p w14:paraId="1DD2EA2C">
            <w:pPr>
              <w:keepNext w:val="0"/>
              <w:keepLines w:val="0"/>
              <w:pageBreakBefore w:val="0"/>
              <w:widowControl w:val="0"/>
              <w:tabs>
                <w:tab w:val="left" w:pos="4830"/>
                <w:tab w:val="left" w:pos="8515"/>
              </w:tabs>
              <w:kinsoku/>
              <w:wordWrap/>
              <w:overflowPunct/>
              <w:topLinePunct w:val="0"/>
              <w:autoSpaceDE/>
              <w:autoSpaceDN/>
              <w:bidi w:val="0"/>
              <w:adjustRightInd w:val="0"/>
              <w:snapToGrid w:val="0"/>
              <w:spacing w:before="160" w:beforeLines="50"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4、固体废物控制标准</w:t>
            </w:r>
          </w:p>
          <w:p w14:paraId="4C406FDD">
            <w:pPr>
              <w:tabs>
                <w:tab w:val="left" w:pos="4500"/>
                <w:tab w:val="left" w:pos="4680"/>
              </w:tabs>
              <w:snapToGrid w:val="0"/>
              <w:spacing w:line="360" w:lineRule="auto"/>
              <w:ind w:firstLine="480" w:firstLineChars="200"/>
              <w:rPr>
                <w:rFonts w:ascii="Times New Roman" w:hAnsi="Times New Roman" w:eastAsia="宋体" w:cs="Times New Roman"/>
                <w:color w:val="auto"/>
                <w:sz w:val="24"/>
                <w:highlight w:val="none"/>
              </w:rPr>
            </w:pP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val="en-US" w:eastAsia="zh-CN"/>
              </w:rPr>
              <w:t>1</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一般固废暂存及处置：</w:t>
            </w:r>
            <w:r>
              <w:rPr>
                <w:rFonts w:hint="default" w:ascii="Times New Roman" w:hAnsi="Times New Roman" w:eastAsia="宋体" w:cs="Times New Roman"/>
                <w:bCs/>
                <w:color w:val="auto"/>
                <w:sz w:val="24"/>
                <w:highlight w:val="none"/>
              </w:rPr>
              <w:t>执行《一般工业固体废物贮存和填埋污染控制标准》（GB18599-2020）及《固体废物分类分类与代码</w:t>
            </w:r>
            <w:r>
              <w:rPr>
                <w:rFonts w:hint="eastAsia" w:ascii="Times New Roman" w:hAnsi="Times New Roman" w:eastAsia="宋体" w:cs="Times New Roman"/>
                <w:bCs/>
                <w:color w:val="auto"/>
                <w:sz w:val="24"/>
                <w:highlight w:val="none"/>
                <w:lang w:val="en-US" w:eastAsia="zh-CN"/>
              </w:rPr>
              <w:t>目录</w:t>
            </w:r>
            <w:r>
              <w:rPr>
                <w:rFonts w:hint="eastAsia" w:eastAsia="宋体" w:cs="Times New Roman"/>
                <w:bCs/>
                <w:color w:val="auto"/>
                <w:sz w:val="24"/>
                <w:highlight w:val="none"/>
                <w:lang w:val="en-US" w:eastAsia="zh-CN"/>
              </w:rPr>
              <w:t>2024</w:t>
            </w:r>
            <w:r>
              <w:rPr>
                <w:rFonts w:hint="default" w:ascii="Times New Roman" w:hAnsi="Times New Roman" w:eastAsia="宋体" w:cs="Times New Roman"/>
                <w:bCs/>
                <w:color w:val="auto"/>
                <w:sz w:val="24"/>
                <w:highlight w:val="none"/>
              </w:rPr>
              <w:t>》。</w:t>
            </w:r>
          </w:p>
          <w:p w14:paraId="55B35B52">
            <w:pPr>
              <w:tabs>
                <w:tab w:val="left" w:pos="4500"/>
                <w:tab w:val="left" w:pos="4680"/>
              </w:tabs>
              <w:snapToGrid w:val="0"/>
              <w:spacing w:line="360" w:lineRule="auto"/>
              <w:ind w:firstLine="480" w:firstLineChars="200"/>
              <w:rPr>
                <w:rFonts w:hint="eastAsia" w:ascii="Times New Roman" w:hAnsi="Times New Roman"/>
                <w:color w:val="auto"/>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危险废物收集、暂存、转移及处置：危险废物按《</w:t>
            </w:r>
            <w:r>
              <w:rPr>
                <w:rFonts w:hint="eastAsia" w:ascii="Times New Roman" w:hAnsi="Times New Roman" w:eastAsia="宋体" w:cs="Times New Roman"/>
                <w:color w:val="auto"/>
                <w:sz w:val="24"/>
                <w:highlight w:val="none"/>
                <w:lang w:eastAsia="zh-CN"/>
              </w:rPr>
              <w:t>国家危险废物名录（2025年版）</w:t>
            </w:r>
            <w:r>
              <w:rPr>
                <w:rFonts w:ascii="Times New Roman" w:hAnsi="Times New Roman" w:eastAsia="宋体" w:cs="Times New Roman"/>
                <w:color w:val="auto"/>
                <w:sz w:val="24"/>
                <w:highlight w:val="none"/>
              </w:rPr>
              <w:t>》进行分类；危险废物暂存及处置执行《危险废物贮存污染控制标准》（GB18597-20</w:t>
            </w:r>
            <w:r>
              <w:rPr>
                <w:rFonts w:hint="eastAsia" w:ascii="Times New Roman" w:hAnsi="Times New Roman" w:eastAsia="宋体" w:cs="Times New Roman"/>
                <w:color w:val="auto"/>
                <w:sz w:val="24"/>
                <w:highlight w:val="none"/>
              </w:rPr>
              <w:t>23</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标准</w:t>
            </w:r>
            <w:r>
              <w:rPr>
                <w:rFonts w:hint="default" w:ascii="Times New Roman" w:hAnsi="Times New Roman" w:eastAsia="宋体" w:cs="宋体"/>
                <w:color w:val="auto"/>
                <w:sz w:val="24"/>
                <w:highlight w:val="none"/>
              </w:rPr>
              <w:t>。</w:t>
            </w:r>
          </w:p>
        </w:tc>
      </w:tr>
      <w:tr w14:paraId="4FB9E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noWrap w:val="0"/>
            <w:tcMar>
              <w:left w:w="28" w:type="dxa"/>
              <w:right w:w="28" w:type="dxa"/>
            </w:tcMar>
            <w:vAlign w:val="center"/>
          </w:tcPr>
          <w:p w14:paraId="5F5E74EE">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总量</w:t>
            </w:r>
          </w:p>
          <w:p w14:paraId="79934CAF">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控制</w:t>
            </w:r>
          </w:p>
          <w:p w14:paraId="4B075B1F">
            <w:pPr>
              <w:adjustRightInd w:val="0"/>
              <w:snapToGrid w:val="0"/>
              <w:jc w:val="center"/>
              <w:rPr>
                <w:rFonts w:hint="eastAsia"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指标</w:t>
            </w:r>
          </w:p>
        </w:tc>
        <w:tc>
          <w:tcPr>
            <w:tcW w:w="8500" w:type="dxa"/>
            <w:noWrap w:val="0"/>
            <w:vAlign w:val="center"/>
          </w:tcPr>
          <w:p w14:paraId="011F39D1">
            <w:pPr>
              <w:spacing w:line="360" w:lineRule="auto"/>
              <w:ind w:firstLine="480" w:firstLineChars="200"/>
              <w:rPr>
                <w:rFonts w:hint="eastAsia" w:ascii="Times New Roman" w:hAnsi="Times New Roman"/>
                <w:bCs/>
                <w:color w:val="auto"/>
                <w:sz w:val="24"/>
                <w:highlight w:val="none"/>
              </w:rPr>
            </w:pPr>
            <w:r>
              <w:rPr>
                <w:rFonts w:hint="eastAsia" w:ascii="Times New Roman" w:hAnsi="Times New Roman"/>
                <w:bCs/>
                <w:color w:val="auto"/>
                <w:sz w:val="24"/>
                <w:highlight w:val="none"/>
              </w:rPr>
              <w:t>本项目废气中主要污染物为</w:t>
            </w:r>
            <w:r>
              <w:rPr>
                <w:rFonts w:hint="eastAsia" w:ascii="Times New Roman" w:hAnsi="Times New Roman"/>
                <w:bCs/>
                <w:color w:val="auto"/>
                <w:sz w:val="24"/>
                <w:highlight w:val="none"/>
                <w:lang w:val="en-US" w:eastAsia="zh-CN"/>
              </w:rPr>
              <w:t>颗粒物</w:t>
            </w:r>
            <w:r>
              <w:rPr>
                <w:rFonts w:hint="eastAsia" w:ascii="Times New Roman" w:hAnsi="Times New Roman"/>
                <w:bCs/>
                <w:color w:val="auto"/>
                <w:sz w:val="24"/>
                <w:highlight w:val="none"/>
              </w:rPr>
              <w:t>，根据《国务院关于印发“十四五”节能减排综合性工作方案的通知》（国发〔2021〕33号），“十四五”期间国家对化学需氧量、氨氮、氮氧化物以及挥发性有机物等主要污染物试行排放量控制计划管理：</w:t>
            </w:r>
          </w:p>
          <w:p w14:paraId="730964FD">
            <w:pPr>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rPr>
              <w:t>废气</w:t>
            </w:r>
          </w:p>
          <w:p w14:paraId="403B7DD8">
            <w:pPr>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cs="Times New Roman"/>
                <w:color w:val="auto"/>
                <w:sz w:val="24"/>
                <w:szCs w:val="24"/>
                <w:highlight w:val="none"/>
                <w:lang w:val="en-US" w:eastAsia="zh-CN"/>
              </w:rPr>
              <w:t>本项目运营期</w:t>
            </w:r>
            <w:r>
              <w:rPr>
                <w:rFonts w:hint="default" w:ascii="Times New Roman" w:hAnsi="Times New Roman" w:cs="Times New Roman"/>
                <w:color w:val="auto"/>
                <w:sz w:val="24"/>
                <w:szCs w:val="24"/>
                <w:highlight w:val="none"/>
              </w:rPr>
              <w:t>废气</w:t>
            </w:r>
            <w:r>
              <w:rPr>
                <w:rFonts w:hint="eastAsia" w:ascii="Times New Roman" w:hAnsi="Times New Roman" w:cs="Times New Roman"/>
                <w:color w:val="auto"/>
                <w:sz w:val="24"/>
                <w:szCs w:val="24"/>
                <w:highlight w:val="none"/>
                <w:lang w:val="en-US" w:eastAsia="zh-CN"/>
              </w:rPr>
              <w:t>排放</w:t>
            </w:r>
            <w:r>
              <w:rPr>
                <w:rFonts w:hint="default" w:ascii="Times New Roman" w:hAnsi="Times New Roman" w:cs="Times New Roman"/>
                <w:color w:val="auto"/>
                <w:sz w:val="24"/>
                <w:szCs w:val="24"/>
                <w:highlight w:val="none"/>
              </w:rPr>
              <w:t>量</w:t>
            </w:r>
            <w:r>
              <w:rPr>
                <w:rFonts w:hint="eastAsia" w:ascii="Times New Roman" w:hAnsi="Times New Roman" w:cs="Times New Roman"/>
                <w:color w:val="auto"/>
                <w:sz w:val="24"/>
                <w:szCs w:val="24"/>
                <w:highlight w:val="none"/>
                <w:lang w:val="en-US" w:eastAsia="zh-CN"/>
              </w:rPr>
              <w:t>为</w:t>
            </w:r>
            <w:r>
              <w:rPr>
                <w:rFonts w:hint="eastAsia" w:cs="Times New Roman"/>
                <w:color w:val="auto"/>
                <w:sz w:val="24"/>
                <w:szCs w:val="24"/>
                <w:highlight w:val="none"/>
                <w:lang w:val="en-US" w:eastAsia="zh-CN"/>
              </w:rPr>
              <w:t>60000</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/a，颗粒物排放量</w:t>
            </w:r>
            <w:r>
              <w:rPr>
                <w:rFonts w:hint="eastAsia" w:cs="Times New Roman"/>
                <w:color w:val="auto"/>
                <w:sz w:val="24"/>
                <w:szCs w:val="24"/>
                <w:highlight w:val="none"/>
                <w:lang w:val="en-US" w:eastAsia="zh-CN"/>
              </w:rPr>
              <w:t>46.9821</w:t>
            </w:r>
            <w:r>
              <w:rPr>
                <w:rFonts w:hint="default"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其中</w:t>
            </w:r>
            <w:r>
              <w:rPr>
                <w:rFonts w:hint="default" w:ascii="Times New Roman" w:hAnsi="Times New Roman" w:cs="Times New Roman"/>
                <w:color w:val="auto"/>
                <w:sz w:val="24"/>
                <w:szCs w:val="24"/>
                <w:highlight w:val="none"/>
              </w:rPr>
              <w:t>有组织</w:t>
            </w:r>
            <w:r>
              <w:rPr>
                <w:rFonts w:hint="eastAsia" w:cs="Times New Roman"/>
                <w:color w:val="auto"/>
                <w:sz w:val="24"/>
                <w:szCs w:val="24"/>
                <w:highlight w:val="none"/>
                <w:lang w:val="en-US" w:eastAsia="zh-CN"/>
              </w:rPr>
              <w:t>8.9</w:t>
            </w:r>
            <w:r>
              <w:rPr>
                <w:rFonts w:hint="eastAsia" w:ascii="Times New Roman" w:hAnsi="Times New Roman" w:cs="Times New Roman"/>
                <w:color w:val="auto"/>
                <w:sz w:val="24"/>
                <w:szCs w:val="24"/>
                <w:highlight w:val="none"/>
                <w:lang w:val="en-US" w:eastAsia="zh-CN"/>
              </w:rPr>
              <w:t>28</w:t>
            </w:r>
            <w:r>
              <w:rPr>
                <w:rFonts w:hint="default" w:ascii="Times New Roman" w:hAnsi="Times New Roman" w:cs="Times New Roman"/>
                <w:color w:val="auto"/>
                <w:sz w:val="24"/>
                <w:szCs w:val="24"/>
                <w:highlight w:val="none"/>
              </w:rPr>
              <w:t>t/a，无组织</w:t>
            </w:r>
            <w:r>
              <w:rPr>
                <w:rFonts w:hint="eastAsia" w:cs="Times New Roman"/>
                <w:color w:val="auto"/>
                <w:sz w:val="24"/>
                <w:szCs w:val="24"/>
                <w:highlight w:val="none"/>
                <w:lang w:val="en-US" w:eastAsia="zh-CN"/>
              </w:rPr>
              <w:t>38.0541</w:t>
            </w:r>
            <w:r>
              <w:rPr>
                <w:rFonts w:hint="default" w:ascii="Times New Roman" w:hAnsi="Times New Roman" w:cs="Times New Roman"/>
                <w:color w:val="auto"/>
                <w:sz w:val="24"/>
                <w:szCs w:val="24"/>
                <w:highlight w:val="none"/>
              </w:rPr>
              <w:t>t/a）。</w:t>
            </w:r>
            <w:r>
              <w:rPr>
                <w:rFonts w:hint="default" w:ascii="Times New Roman" w:hAnsi="Times New Roman" w:eastAsia="宋体" w:cs="Times New Roman"/>
                <w:b w:val="0"/>
                <w:bCs w:val="0"/>
                <w:color w:val="auto"/>
                <w:sz w:val="24"/>
                <w:szCs w:val="24"/>
                <w:highlight w:val="none"/>
              </w:rPr>
              <w:t>国家“十四五”大气总量控制指标为二氧化硫、氮氧化物和VOCs，本项目大气污染物为颗粒物，不属于十四五大气总量控制指标，</w:t>
            </w:r>
            <w:r>
              <w:rPr>
                <w:rFonts w:hint="eastAsia" w:ascii="Times New Roman" w:hAnsi="Times New Roman" w:eastAsia="宋体" w:cs="Times New Roman"/>
                <w:b w:val="0"/>
                <w:bCs w:val="0"/>
                <w:color w:val="auto"/>
                <w:sz w:val="24"/>
                <w:szCs w:val="24"/>
                <w:highlight w:val="none"/>
                <w:lang w:val="en-US" w:eastAsia="zh-CN"/>
              </w:rPr>
              <w:t>故</w:t>
            </w:r>
            <w:r>
              <w:rPr>
                <w:rFonts w:hint="default" w:ascii="Times New Roman" w:hAnsi="Times New Roman" w:eastAsia="宋体" w:cs="Times New Roman"/>
                <w:b w:val="0"/>
                <w:bCs w:val="0"/>
                <w:color w:val="auto"/>
                <w:sz w:val="24"/>
                <w:szCs w:val="24"/>
                <w:highlight w:val="none"/>
              </w:rPr>
              <w:t>不设总量控制</w:t>
            </w:r>
            <w:r>
              <w:rPr>
                <w:rFonts w:hint="eastAsia" w:ascii="Times New Roman" w:hAnsi="Times New Roman" w:eastAsia="宋体" w:cs="Times New Roman"/>
                <w:b w:val="0"/>
                <w:bCs w:val="0"/>
                <w:color w:val="auto"/>
                <w:sz w:val="24"/>
                <w:szCs w:val="24"/>
                <w:highlight w:val="none"/>
                <w:lang w:eastAsia="zh-CN"/>
              </w:rPr>
              <w:t>。</w:t>
            </w:r>
          </w:p>
          <w:p w14:paraId="3C64E34A">
            <w:pPr>
              <w:spacing w:line="360" w:lineRule="auto"/>
              <w:ind w:firstLine="482" w:firstLineChars="200"/>
              <w:rPr>
                <w:rFonts w:hint="eastAsia" w:ascii="Times New Roman" w:hAnsi="Times New Roman" w:eastAsia="宋体" w:cs="Times New Roman"/>
                <w:b/>
                <w:bCs w:val="0"/>
                <w:color w:val="auto"/>
                <w:sz w:val="24"/>
                <w:highlight w:val="none"/>
              </w:rPr>
            </w:pPr>
            <w:r>
              <w:rPr>
                <w:rFonts w:hint="eastAsia" w:ascii="Times New Roman" w:hAnsi="Times New Roman" w:eastAsia="宋体" w:cs="Times New Roman"/>
                <w:b/>
                <w:bCs w:val="0"/>
                <w:color w:val="auto"/>
                <w:sz w:val="24"/>
                <w:highlight w:val="none"/>
                <w:lang w:eastAsia="zh-CN"/>
              </w:rPr>
              <w:t>（</w:t>
            </w:r>
            <w:r>
              <w:rPr>
                <w:rFonts w:hint="eastAsia" w:ascii="Times New Roman" w:hAnsi="Times New Roman" w:eastAsia="宋体" w:cs="Times New Roman"/>
                <w:b/>
                <w:bCs w:val="0"/>
                <w:color w:val="auto"/>
                <w:sz w:val="24"/>
                <w:highlight w:val="none"/>
                <w:lang w:val="en-US" w:eastAsia="zh-CN"/>
              </w:rPr>
              <w:t>2</w:t>
            </w:r>
            <w:r>
              <w:rPr>
                <w:rFonts w:hint="eastAsia" w:ascii="Times New Roman" w:hAnsi="Times New Roman" w:eastAsia="宋体" w:cs="Times New Roman"/>
                <w:b/>
                <w:bCs w:val="0"/>
                <w:color w:val="auto"/>
                <w:sz w:val="24"/>
                <w:highlight w:val="none"/>
                <w:lang w:eastAsia="zh-CN"/>
              </w:rPr>
              <w:t>）</w:t>
            </w:r>
            <w:r>
              <w:rPr>
                <w:rFonts w:hint="eastAsia" w:ascii="Times New Roman" w:hAnsi="Times New Roman" w:eastAsia="宋体" w:cs="Times New Roman"/>
                <w:b/>
                <w:bCs w:val="0"/>
                <w:color w:val="auto"/>
                <w:sz w:val="24"/>
                <w:highlight w:val="none"/>
              </w:rPr>
              <w:t>废水</w:t>
            </w:r>
          </w:p>
          <w:p w14:paraId="07FC0961">
            <w:pPr>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食堂废水经隔油池处理后与其他生活污水进入</w:t>
            </w:r>
            <w:r>
              <w:rPr>
                <w:rFonts w:hint="default" w:ascii="Times New Roman" w:hAnsi="Times New Roman" w:eastAsia="宋体" w:cs="Times New Roman"/>
                <w:color w:val="auto"/>
                <w:sz w:val="24"/>
                <w:szCs w:val="24"/>
                <w:highlight w:val="none"/>
                <w:lang w:val="en-US" w:eastAsia="zh-CN"/>
              </w:rPr>
              <w:t>化粪池</w:t>
            </w:r>
            <w:r>
              <w:rPr>
                <w:rFonts w:hint="eastAsia" w:ascii="Times New Roman" w:hAnsi="Times New Roman" w:eastAsia="宋体" w:cs="Times New Roman"/>
                <w:color w:val="auto"/>
                <w:sz w:val="24"/>
                <w:szCs w:val="24"/>
                <w:highlight w:val="none"/>
                <w:lang w:val="en-US" w:eastAsia="zh-CN"/>
              </w:rPr>
              <w:t>预处理，然后进入</w:t>
            </w:r>
            <w:r>
              <w:rPr>
                <w:rFonts w:hint="default" w:ascii="Times New Roman" w:hAnsi="Times New Roman" w:eastAsia="宋体" w:cs="Times New Roman"/>
                <w:color w:val="auto"/>
                <w:sz w:val="24"/>
                <w:szCs w:val="24"/>
                <w:highlight w:val="none"/>
                <w:lang w:val="en-US" w:eastAsia="zh-CN"/>
              </w:rPr>
              <w:t>一体化污水处理设备处理，处理</w:t>
            </w:r>
            <w:r>
              <w:rPr>
                <w:rFonts w:hint="eastAsia" w:ascii="Times New Roman" w:hAnsi="Times New Roman" w:cs="Times New Roman"/>
                <w:color w:val="auto"/>
                <w:sz w:val="24"/>
                <w:szCs w:val="24"/>
                <w:highlight w:val="none"/>
                <w:lang w:val="en-US" w:eastAsia="zh-CN"/>
              </w:rPr>
              <w:t>达到</w:t>
            </w:r>
            <w:r>
              <w:rPr>
                <w:rFonts w:hint="default" w:ascii="Times New Roman" w:hAnsi="Times New Roman" w:eastAsia="宋体" w:cs="Times New Roman"/>
                <w:color w:val="auto"/>
                <w:sz w:val="24"/>
                <w:szCs w:val="24"/>
                <w:highlight w:val="none"/>
                <w:lang w:val="en-US" w:eastAsia="zh-CN"/>
              </w:rPr>
              <w:t>《城市污水再生利用城市杂用水水质》（GB/T18920-2020）中的城市绿化标准后，</w:t>
            </w:r>
            <w:r>
              <w:rPr>
                <w:rFonts w:hint="eastAsia" w:ascii="Times New Roman" w:hAnsi="Times New Roman" w:eastAsia="宋体" w:cs="Times New Roman"/>
                <w:color w:val="auto"/>
                <w:sz w:val="24"/>
                <w:szCs w:val="24"/>
                <w:highlight w:val="none"/>
                <w:lang w:val="en-US" w:eastAsia="zh-CN"/>
              </w:rPr>
              <w:t>晴天</w:t>
            </w:r>
            <w:r>
              <w:rPr>
                <w:rFonts w:hint="default" w:ascii="Times New Roman" w:hAnsi="Times New Roman" w:eastAsia="宋体" w:cs="Times New Roman"/>
                <w:color w:val="auto"/>
                <w:sz w:val="24"/>
                <w:szCs w:val="24"/>
                <w:highlight w:val="none"/>
                <w:lang w:val="en-US" w:eastAsia="zh-CN"/>
              </w:rPr>
              <w:t>回用于厂区绿化</w:t>
            </w:r>
            <w:r>
              <w:rPr>
                <w:rFonts w:hint="eastAsia" w:ascii="Times New Roman" w:hAnsi="Times New Roman" w:eastAsia="宋体" w:cs="Times New Roman"/>
                <w:color w:val="auto"/>
                <w:sz w:val="24"/>
                <w:szCs w:val="24"/>
                <w:highlight w:val="none"/>
                <w:lang w:val="en-US" w:eastAsia="zh-CN"/>
              </w:rPr>
              <w:t>，雨天暂存于中水池中</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不外排，不设总量控制指标</w:t>
            </w:r>
            <w:r>
              <w:rPr>
                <w:rFonts w:hint="eastAsia" w:ascii="Times New Roman" w:hAnsi="Times New Roman" w:eastAsia="宋体" w:cs="Times New Roman"/>
                <w:bCs/>
                <w:color w:val="auto"/>
                <w:sz w:val="24"/>
                <w:highlight w:val="none"/>
              </w:rPr>
              <w:t>。</w:t>
            </w:r>
          </w:p>
          <w:p w14:paraId="2F0A875F">
            <w:pPr>
              <w:adjustRightInd w:val="0"/>
              <w:snapToGrid w:val="0"/>
              <w:spacing w:line="360" w:lineRule="auto"/>
              <w:ind w:firstLine="482" w:firstLineChars="200"/>
              <w:rPr>
                <w:rFonts w:hint="eastAsia"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（3）固废</w:t>
            </w:r>
          </w:p>
          <w:p w14:paraId="14565871">
            <w:pPr>
              <w:adjustRightInd w:val="0"/>
              <w:snapToGrid w:val="0"/>
              <w:spacing w:line="360" w:lineRule="auto"/>
              <w:ind w:firstLine="480" w:firstLineChars="200"/>
              <w:rPr>
                <w:rFonts w:hint="eastAsia" w:ascii="Times New Roman" w:hAnsi="Times New Roman" w:eastAsia="宋体" w:cs="宋体"/>
                <w:color w:val="auto"/>
                <w:sz w:val="24"/>
                <w:highlight w:val="none"/>
              </w:rPr>
            </w:pPr>
            <w:r>
              <w:rPr>
                <w:rFonts w:hint="default" w:ascii="Times New Roman" w:hAnsi="Times New Roman" w:eastAsia="宋体" w:cs="Times New Roman"/>
                <w:b w:val="0"/>
                <w:bCs w:val="0"/>
                <w:color w:val="auto"/>
                <w:sz w:val="24"/>
                <w:szCs w:val="24"/>
                <w:highlight w:val="none"/>
                <w:lang w:val="en-US" w:eastAsia="zh-CN"/>
              </w:rPr>
              <w:t>项目固废处置率为100%，不设置总量控制指标</w:t>
            </w:r>
            <w:r>
              <w:rPr>
                <w:rFonts w:hint="eastAsia" w:ascii="Times New Roman" w:hAnsi="Times New Roman" w:eastAsia="宋体" w:cs="宋体"/>
                <w:color w:val="auto"/>
                <w:sz w:val="24"/>
                <w:highlight w:val="none"/>
              </w:rPr>
              <w:t>。</w:t>
            </w:r>
          </w:p>
          <w:p w14:paraId="25DEC010">
            <w:pPr>
              <w:spacing w:line="360" w:lineRule="auto"/>
              <w:ind w:firstLine="480" w:firstLineChars="200"/>
              <w:rPr>
                <w:rFonts w:hint="eastAsia" w:ascii="Times New Roman" w:hAnsi="Times New Roman" w:eastAsia="宋体" w:cs="Times New Roman"/>
                <w:bCs/>
                <w:color w:val="auto"/>
                <w:sz w:val="24"/>
                <w:highlight w:val="none"/>
                <w:lang w:eastAsia="zh-CN"/>
              </w:rPr>
            </w:pPr>
          </w:p>
          <w:p w14:paraId="3C4CCAAA">
            <w:pPr>
              <w:spacing w:line="360" w:lineRule="auto"/>
              <w:ind w:firstLine="480" w:firstLineChars="200"/>
              <w:rPr>
                <w:rFonts w:hint="eastAsia" w:ascii="Times New Roman" w:hAnsi="Times New Roman" w:eastAsia="宋体" w:cs="Times New Roman"/>
                <w:bCs/>
                <w:color w:val="auto"/>
                <w:sz w:val="24"/>
                <w:highlight w:val="none"/>
                <w:lang w:eastAsia="zh-CN"/>
              </w:rPr>
            </w:pPr>
          </w:p>
          <w:p w14:paraId="4526F4EF">
            <w:pPr>
              <w:spacing w:line="360" w:lineRule="auto"/>
              <w:ind w:firstLine="480" w:firstLineChars="200"/>
              <w:rPr>
                <w:rFonts w:hint="eastAsia" w:ascii="Times New Roman" w:hAnsi="Times New Roman" w:eastAsia="宋体" w:cs="Times New Roman"/>
                <w:bCs/>
                <w:color w:val="auto"/>
                <w:sz w:val="24"/>
                <w:highlight w:val="none"/>
                <w:lang w:eastAsia="zh-CN"/>
              </w:rPr>
            </w:pPr>
          </w:p>
          <w:p w14:paraId="436660B9">
            <w:pPr>
              <w:spacing w:line="360" w:lineRule="auto"/>
              <w:ind w:firstLine="480" w:firstLineChars="200"/>
              <w:rPr>
                <w:rFonts w:hint="eastAsia" w:ascii="Times New Roman" w:hAnsi="Times New Roman" w:eastAsia="宋体" w:cs="Times New Roman"/>
                <w:bCs/>
                <w:color w:val="auto"/>
                <w:sz w:val="24"/>
                <w:highlight w:val="none"/>
                <w:lang w:eastAsia="zh-CN"/>
              </w:rPr>
            </w:pPr>
          </w:p>
          <w:p w14:paraId="48B821BA">
            <w:pPr>
              <w:spacing w:line="360" w:lineRule="auto"/>
              <w:ind w:firstLine="480" w:firstLineChars="200"/>
              <w:rPr>
                <w:rFonts w:hint="eastAsia" w:ascii="Times New Roman" w:hAnsi="Times New Roman" w:eastAsia="宋体" w:cs="Times New Roman"/>
                <w:bCs/>
                <w:color w:val="auto"/>
                <w:sz w:val="24"/>
                <w:highlight w:val="none"/>
                <w:lang w:eastAsia="zh-CN"/>
              </w:rPr>
            </w:pPr>
          </w:p>
          <w:p w14:paraId="79970B35">
            <w:pPr>
              <w:spacing w:line="360" w:lineRule="auto"/>
              <w:ind w:firstLine="480" w:firstLineChars="200"/>
              <w:rPr>
                <w:rFonts w:hint="eastAsia" w:ascii="Times New Roman" w:hAnsi="Times New Roman" w:eastAsia="宋体" w:cs="Times New Roman"/>
                <w:bCs/>
                <w:color w:val="auto"/>
                <w:sz w:val="24"/>
                <w:highlight w:val="none"/>
                <w:lang w:eastAsia="zh-CN"/>
              </w:rPr>
            </w:pPr>
          </w:p>
          <w:p w14:paraId="27D68AE4">
            <w:pPr>
              <w:spacing w:line="360" w:lineRule="auto"/>
              <w:ind w:firstLine="480" w:firstLineChars="200"/>
              <w:rPr>
                <w:rFonts w:hint="eastAsia" w:ascii="Times New Roman" w:hAnsi="Times New Roman" w:eastAsia="宋体" w:cs="Times New Roman"/>
                <w:bCs/>
                <w:color w:val="auto"/>
                <w:sz w:val="24"/>
                <w:highlight w:val="none"/>
                <w:lang w:eastAsia="zh-CN"/>
              </w:rPr>
            </w:pPr>
          </w:p>
          <w:p w14:paraId="3F3481E5">
            <w:pPr>
              <w:spacing w:line="360" w:lineRule="auto"/>
              <w:ind w:firstLine="480" w:firstLineChars="200"/>
              <w:rPr>
                <w:rFonts w:hint="eastAsia" w:ascii="Times New Roman" w:hAnsi="Times New Roman" w:eastAsia="宋体" w:cs="Times New Roman"/>
                <w:bCs/>
                <w:color w:val="auto"/>
                <w:sz w:val="24"/>
                <w:highlight w:val="none"/>
                <w:lang w:eastAsia="zh-CN"/>
              </w:rPr>
            </w:pPr>
          </w:p>
          <w:p w14:paraId="66DC0D6A">
            <w:pPr>
              <w:spacing w:line="360" w:lineRule="auto"/>
              <w:ind w:firstLine="480" w:firstLineChars="200"/>
              <w:rPr>
                <w:rFonts w:hint="eastAsia" w:ascii="Times New Roman" w:hAnsi="Times New Roman" w:eastAsia="宋体" w:cs="Times New Roman"/>
                <w:bCs/>
                <w:color w:val="auto"/>
                <w:sz w:val="24"/>
                <w:highlight w:val="none"/>
                <w:lang w:eastAsia="zh-CN"/>
              </w:rPr>
            </w:pPr>
          </w:p>
          <w:p w14:paraId="48BEDAA5">
            <w:pPr>
              <w:spacing w:line="360" w:lineRule="auto"/>
              <w:ind w:firstLine="480" w:firstLineChars="200"/>
              <w:rPr>
                <w:rFonts w:hint="eastAsia" w:ascii="Times New Roman" w:hAnsi="Times New Roman" w:eastAsia="宋体" w:cs="Times New Roman"/>
                <w:bCs/>
                <w:color w:val="auto"/>
                <w:sz w:val="24"/>
                <w:highlight w:val="none"/>
                <w:lang w:eastAsia="zh-CN"/>
              </w:rPr>
            </w:pPr>
          </w:p>
          <w:p w14:paraId="0BF36D59">
            <w:pPr>
              <w:pStyle w:val="34"/>
              <w:ind w:left="0" w:leftChars="0" w:firstLine="0" w:firstLineChars="0"/>
              <w:rPr>
                <w:rFonts w:hint="eastAsia" w:ascii="Times New Roman" w:hAnsi="Times New Roman"/>
                <w:color w:val="auto"/>
                <w:highlight w:val="none"/>
              </w:rPr>
            </w:pPr>
          </w:p>
        </w:tc>
      </w:tr>
    </w:tbl>
    <w:p w14:paraId="3076DD65">
      <w:pPr>
        <w:pStyle w:val="30"/>
        <w:spacing w:before="0" w:beforeAutospacing="0" w:after="0" w:afterAutospacing="0"/>
        <w:jc w:val="center"/>
        <w:outlineLvl w:val="0"/>
        <w:rPr>
          <w:rFonts w:ascii="Times New Roman" w:hAnsi="Times New Roman" w:eastAsia="黑体"/>
          <w:b/>
          <w:bCs/>
          <w:snapToGrid w:val="0"/>
          <w:color w:val="auto"/>
          <w:sz w:val="30"/>
          <w:szCs w:val="30"/>
          <w:highlight w:val="none"/>
        </w:rPr>
      </w:pPr>
      <w:r>
        <w:rPr>
          <w:rFonts w:ascii="Times New Roman" w:hAnsi="Times New Roman" w:eastAsia="黑体"/>
          <w:snapToGrid w:val="0"/>
          <w:color w:val="auto"/>
          <w:sz w:val="36"/>
          <w:szCs w:val="36"/>
          <w:highlight w:val="none"/>
        </w:rPr>
        <w:br w:type="page"/>
      </w:r>
      <w:bookmarkStart w:id="19" w:name="_Toc137737905"/>
      <w:r>
        <w:rPr>
          <w:rFonts w:hint="eastAsia" w:ascii="Times New Roman" w:hAnsi="Times New Roman" w:eastAsia="黑体"/>
          <w:b/>
          <w:bCs/>
          <w:snapToGrid w:val="0"/>
          <w:color w:val="auto"/>
          <w:sz w:val="30"/>
          <w:szCs w:val="30"/>
          <w:highlight w:val="none"/>
        </w:rPr>
        <w:t>四、主要环境影响和保护措施</w:t>
      </w:r>
      <w:bookmarkEnd w:id="19"/>
    </w:p>
    <w:tbl>
      <w:tblPr>
        <w:tblStyle w:val="35"/>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06"/>
      </w:tblGrid>
      <w:tr w14:paraId="1DBFE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85" w:type="dxa"/>
            <w:noWrap w:val="0"/>
            <w:tcMar>
              <w:left w:w="28" w:type="dxa"/>
              <w:right w:w="28" w:type="dxa"/>
            </w:tcMar>
            <w:vAlign w:val="center"/>
          </w:tcPr>
          <w:p w14:paraId="4D161D3F">
            <w:pPr>
              <w:pStyle w:val="30"/>
              <w:adjustRightInd w:val="0"/>
              <w:snapToGrid w:val="0"/>
              <w:spacing w:before="0" w:beforeAutospacing="0" w:after="0" w:afterAutospacing="0"/>
              <w:jc w:val="center"/>
              <w:rPr>
                <w:rFonts w:hint="eastAsia" w:ascii="Times New Roman" w:hAnsi="Times New Roman" w:cs="宋体"/>
                <w:b/>
                <w:bCs/>
                <w:color w:val="auto"/>
                <w:kern w:val="2"/>
                <w:szCs w:val="24"/>
                <w:highlight w:val="none"/>
              </w:rPr>
            </w:pPr>
            <w:r>
              <w:rPr>
                <w:rFonts w:hint="eastAsia" w:ascii="Times New Roman" w:hAnsi="Times New Roman" w:cs="宋体"/>
                <w:b/>
                <w:bCs/>
                <w:color w:val="auto"/>
                <w:kern w:val="2"/>
                <w:szCs w:val="24"/>
                <w:highlight w:val="none"/>
              </w:rPr>
              <w:t>施工</w:t>
            </w:r>
          </w:p>
          <w:p w14:paraId="3D465A7B">
            <w:pPr>
              <w:pStyle w:val="30"/>
              <w:adjustRightInd w:val="0"/>
              <w:snapToGrid w:val="0"/>
              <w:spacing w:before="0" w:beforeAutospacing="0" w:after="0" w:afterAutospacing="0"/>
              <w:jc w:val="center"/>
              <w:rPr>
                <w:rFonts w:hint="eastAsia" w:ascii="Times New Roman" w:hAnsi="Times New Roman" w:cs="宋体"/>
                <w:b/>
                <w:bCs/>
                <w:color w:val="auto"/>
                <w:kern w:val="2"/>
                <w:szCs w:val="24"/>
                <w:highlight w:val="none"/>
              </w:rPr>
            </w:pPr>
            <w:r>
              <w:rPr>
                <w:rFonts w:hint="eastAsia" w:ascii="Times New Roman" w:hAnsi="Times New Roman" w:cs="宋体"/>
                <w:b/>
                <w:bCs/>
                <w:color w:val="auto"/>
                <w:kern w:val="2"/>
                <w:szCs w:val="24"/>
                <w:highlight w:val="none"/>
              </w:rPr>
              <w:t>期环</w:t>
            </w:r>
          </w:p>
          <w:p w14:paraId="0FFC16AD">
            <w:pPr>
              <w:pStyle w:val="30"/>
              <w:adjustRightInd w:val="0"/>
              <w:snapToGrid w:val="0"/>
              <w:spacing w:before="0" w:beforeAutospacing="0" w:after="0" w:afterAutospacing="0"/>
              <w:jc w:val="center"/>
              <w:rPr>
                <w:rFonts w:hint="eastAsia" w:ascii="Times New Roman" w:hAnsi="Times New Roman" w:cs="宋体"/>
                <w:b/>
                <w:bCs/>
                <w:color w:val="auto"/>
                <w:kern w:val="2"/>
                <w:szCs w:val="24"/>
                <w:highlight w:val="none"/>
              </w:rPr>
            </w:pPr>
            <w:r>
              <w:rPr>
                <w:rFonts w:hint="eastAsia" w:ascii="Times New Roman" w:hAnsi="Times New Roman" w:cs="宋体"/>
                <w:b/>
                <w:bCs/>
                <w:color w:val="auto"/>
                <w:kern w:val="2"/>
                <w:szCs w:val="24"/>
                <w:highlight w:val="none"/>
              </w:rPr>
              <w:t>境保</w:t>
            </w:r>
          </w:p>
          <w:p w14:paraId="4D040B60">
            <w:pPr>
              <w:pStyle w:val="30"/>
              <w:adjustRightInd w:val="0"/>
              <w:snapToGrid w:val="0"/>
              <w:spacing w:before="0" w:beforeAutospacing="0" w:after="0" w:afterAutospacing="0"/>
              <w:jc w:val="center"/>
              <w:rPr>
                <w:rFonts w:hint="eastAsia" w:ascii="Times New Roman" w:hAnsi="Times New Roman" w:cs="宋体"/>
                <w:b/>
                <w:bCs/>
                <w:color w:val="auto"/>
                <w:kern w:val="2"/>
                <w:szCs w:val="24"/>
                <w:highlight w:val="none"/>
              </w:rPr>
            </w:pPr>
            <w:r>
              <w:rPr>
                <w:rFonts w:hint="eastAsia" w:ascii="Times New Roman" w:hAnsi="Times New Roman" w:cs="宋体"/>
                <w:b/>
                <w:bCs/>
                <w:color w:val="auto"/>
                <w:kern w:val="2"/>
                <w:szCs w:val="24"/>
                <w:highlight w:val="none"/>
              </w:rPr>
              <w:t>护措</w:t>
            </w:r>
          </w:p>
          <w:p w14:paraId="054CFADB">
            <w:pPr>
              <w:pStyle w:val="30"/>
              <w:adjustRightInd w:val="0"/>
              <w:snapToGrid w:val="0"/>
              <w:spacing w:before="0" w:beforeAutospacing="0" w:after="0" w:afterAutospacing="0"/>
              <w:jc w:val="center"/>
              <w:rPr>
                <w:rFonts w:hint="eastAsia" w:ascii="Times New Roman" w:hAnsi="Times New Roman" w:cs="宋体"/>
                <w:b/>
                <w:bCs/>
                <w:color w:val="auto"/>
                <w:kern w:val="2"/>
                <w:szCs w:val="24"/>
                <w:highlight w:val="none"/>
              </w:rPr>
            </w:pPr>
            <w:r>
              <w:rPr>
                <w:rFonts w:hint="eastAsia" w:ascii="Times New Roman" w:hAnsi="Times New Roman" w:cs="宋体"/>
                <w:b/>
                <w:bCs/>
                <w:color w:val="auto"/>
                <w:kern w:val="2"/>
                <w:szCs w:val="24"/>
                <w:highlight w:val="none"/>
              </w:rPr>
              <w:t>施</w:t>
            </w:r>
          </w:p>
        </w:tc>
        <w:tc>
          <w:tcPr>
            <w:tcW w:w="8406" w:type="dxa"/>
            <w:noWrap w:val="0"/>
            <w:vAlign w:val="center"/>
          </w:tcPr>
          <w:p w14:paraId="6A108E0D">
            <w:pPr>
              <w:adjustRightInd w:val="0"/>
              <w:snapToGrid w:val="0"/>
              <w:spacing w:line="360" w:lineRule="auto"/>
              <w:rPr>
                <w:rFonts w:hint="default"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4.1施工期环境保护措施</w:t>
            </w:r>
          </w:p>
          <w:p w14:paraId="669D0B4B">
            <w:pPr>
              <w:adjustRightInd w:val="0"/>
              <w:snapToGrid w:val="0"/>
              <w:spacing w:line="360" w:lineRule="auto"/>
              <w:ind w:firstLine="480" w:firstLineChars="200"/>
              <w:rPr>
                <w:rFonts w:hint="eastAsia" w:ascii="Times New Roman" w:hAnsi="Times New Roman"/>
                <w:bCs/>
                <w:color w:val="auto"/>
                <w:sz w:val="24"/>
                <w:highlight w:val="none"/>
              </w:rPr>
            </w:pPr>
            <w:r>
              <w:rPr>
                <w:rFonts w:hint="eastAsia" w:ascii="Times New Roman" w:hAnsi="Times New Roman"/>
                <w:bCs/>
                <w:color w:val="auto"/>
                <w:sz w:val="24"/>
                <w:highlight w:val="none"/>
              </w:rPr>
              <w:t>本项目施工阶段，包括基础工程、主体工程、装修工程等，建筑施工过程中主要环境问题是土建和设备安装过</w:t>
            </w:r>
            <w:r>
              <w:rPr>
                <w:rFonts w:hint="eastAsia" w:ascii="Times New Roman" w:hAnsi="Times New Roman"/>
                <w:bCs/>
                <w:color w:val="auto"/>
                <w:sz w:val="24"/>
                <w:highlight w:val="none"/>
                <w:lang w:eastAsia="zh-CN"/>
              </w:rPr>
              <w:t>程中</w:t>
            </w:r>
            <w:r>
              <w:rPr>
                <w:rFonts w:hint="eastAsia" w:ascii="Times New Roman" w:hAnsi="Times New Roman"/>
                <w:bCs/>
                <w:color w:val="auto"/>
                <w:sz w:val="24"/>
                <w:highlight w:val="none"/>
              </w:rPr>
              <w:t>产生的建筑噪声、扬尘、弃土及废渣、施工废水等。</w:t>
            </w:r>
          </w:p>
          <w:p w14:paraId="1C8ACE2B">
            <w:pPr>
              <w:adjustRightInd w:val="0"/>
              <w:snapToGrid w:val="0"/>
              <w:spacing w:line="360" w:lineRule="auto"/>
              <w:ind w:firstLine="480" w:firstLineChars="200"/>
              <w:rPr>
                <w:rFonts w:ascii="Times New Roman" w:hAnsi="Times New Roman"/>
                <w:bCs/>
                <w:color w:val="auto"/>
                <w:sz w:val="24"/>
                <w:highlight w:val="none"/>
              </w:rPr>
            </w:pPr>
            <w:r>
              <w:rPr>
                <w:rFonts w:hint="eastAsia" w:ascii="Times New Roman" w:hAnsi="Times New Roman"/>
                <w:bCs/>
                <w:color w:val="auto"/>
                <w:sz w:val="24"/>
                <w:highlight w:val="none"/>
              </w:rPr>
              <w:t>本项目施工期环境保护对策措施如下：</w:t>
            </w:r>
          </w:p>
          <w:p w14:paraId="635C9B46">
            <w:pPr>
              <w:keepNext w:val="0"/>
              <w:keepLines/>
              <w:pageBreakBefore w:val="0"/>
              <w:widowControl w:val="0"/>
              <w:tabs>
                <w:tab w:val="left" w:pos="4830"/>
              </w:tabs>
              <w:kinsoku/>
              <w:wordWrap/>
              <w:overflowPunct/>
              <w:topLinePunct w:val="0"/>
              <w:bidi w:val="0"/>
              <w:adjustRightInd w:val="0"/>
              <w:snapToGrid w:val="0"/>
              <w:spacing w:line="360" w:lineRule="auto"/>
              <w:ind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w:t>
            </w:r>
            <w:r>
              <w:rPr>
                <w:rFonts w:hint="default" w:ascii="Times New Roman" w:hAnsi="Times New Roman" w:eastAsia="宋体" w:cs="Times New Roman"/>
                <w:b/>
                <w:color w:val="auto"/>
                <w:kern w:val="24"/>
                <w:sz w:val="24"/>
                <w:szCs w:val="24"/>
                <w:highlight w:val="none"/>
              </w:rPr>
              <w:t>施工期大气环境保护措施</w:t>
            </w:r>
          </w:p>
          <w:p w14:paraId="38ACBF01">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项目施工过程中的大气污染主要</w:t>
            </w:r>
            <w:r>
              <w:rPr>
                <w:rFonts w:hint="eastAsia" w:ascii="Times New Roman" w:hAnsi="Times New Roman" w:cs="Times New Roman"/>
                <w:bCs/>
                <w:color w:val="auto"/>
                <w:sz w:val="24"/>
                <w:highlight w:val="none"/>
                <w:lang w:eastAsia="zh-CN"/>
              </w:rPr>
              <w:t>来自</w:t>
            </w:r>
            <w:r>
              <w:rPr>
                <w:rFonts w:hint="default" w:ascii="Times New Roman" w:hAnsi="Times New Roman" w:eastAsia="宋体" w:cs="Times New Roman"/>
                <w:bCs/>
                <w:color w:val="auto"/>
                <w:sz w:val="24"/>
                <w:highlight w:val="none"/>
              </w:rPr>
              <w:t>施工场地的扬尘及燃油废气。在整个施工期，产生扬尘的作业有建材运输、露天堆放、装卸等过程，如遇干旱无雨季节，加上大风，施工扬尘将更严重。</w:t>
            </w:r>
            <w:r>
              <w:rPr>
                <w:rFonts w:hint="eastAsia" w:ascii="Times New Roman" w:hAnsi="Times New Roman" w:cs="Times New Roman"/>
                <w:bCs/>
                <w:color w:val="auto"/>
                <w:sz w:val="24"/>
                <w:highlight w:val="none"/>
                <w:lang w:eastAsia="zh-CN"/>
              </w:rPr>
              <w:t>据有关调查</w:t>
            </w:r>
            <w:r>
              <w:rPr>
                <w:rFonts w:hint="default" w:ascii="Times New Roman" w:hAnsi="Times New Roman" w:eastAsia="宋体" w:cs="Times New Roman"/>
                <w:bCs/>
                <w:color w:val="auto"/>
                <w:sz w:val="24"/>
                <w:highlight w:val="none"/>
              </w:rPr>
              <w:t>，施工工地的扬尘主要是由运输车辆的行驶产生，约占扬尘总量的60%。燃油废气主要来源于运输车辆及施工机械。</w:t>
            </w:r>
          </w:p>
          <w:p w14:paraId="3F9EF1A0">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根据住建部《关于严格执行全市城区房屋建筑施工现场扬尘治理六个百分之百标准的通知》有关要求，建筑单位务必做到以下几点：</w:t>
            </w:r>
          </w:p>
          <w:p w14:paraId="39DC1581">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现场封闭管理百分之百</w:t>
            </w:r>
          </w:p>
          <w:p w14:paraId="5C9AA288">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施工现场硬质围挡应连续设置，一般路段的工地不低于1.8m，做到坚固、平稳、整洁、美观。在建工程外立面应用安全网实现全封闭围护。</w:t>
            </w:r>
          </w:p>
          <w:p w14:paraId="525EBE7F">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场区道路硬化百分之百</w:t>
            </w:r>
          </w:p>
          <w:p w14:paraId="7146DA5B">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主要通道、进出道路、加工区及办公生活区地面进行硬化处理。</w:t>
            </w:r>
          </w:p>
          <w:p w14:paraId="5BB4D29D">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3</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渣土物料</w:t>
            </w:r>
            <w:r>
              <w:rPr>
                <w:rFonts w:hint="eastAsia" w:ascii="Times New Roman" w:hAnsi="Times New Roman" w:cs="Times New Roman"/>
                <w:bCs/>
                <w:color w:val="auto"/>
                <w:sz w:val="24"/>
                <w:highlight w:val="none"/>
                <w:lang w:eastAsia="zh-CN"/>
              </w:rPr>
              <w:t>篷盖</w:t>
            </w:r>
            <w:r>
              <w:rPr>
                <w:rFonts w:hint="default" w:ascii="Times New Roman" w:hAnsi="Times New Roman" w:eastAsia="宋体" w:cs="Times New Roman"/>
                <w:bCs/>
                <w:color w:val="auto"/>
                <w:sz w:val="24"/>
                <w:highlight w:val="none"/>
              </w:rPr>
              <w:t>百分之百</w:t>
            </w:r>
          </w:p>
          <w:p w14:paraId="14035787">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施工现场内裸露的场地应采取覆盖、固化或绿化等防尘措施。易产生扬尘的物料要篷盖。</w:t>
            </w:r>
          </w:p>
          <w:p w14:paraId="70542FA6">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洒水清扫保洁百分之百</w:t>
            </w:r>
          </w:p>
          <w:p w14:paraId="28CD759C">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施工现场设专人负责卫生保洁，每天上午、下午各进行</w:t>
            </w:r>
            <w:r>
              <w:rPr>
                <w:rFonts w:hint="eastAsia" w:ascii="Times New Roman" w:hAnsi="Times New Roman" w:cs="Times New Roman"/>
                <w:bCs/>
                <w:color w:val="auto"/>
                <w:sz w:val="24"/>
                <w:highlight w:val="none"/>
                <w:lang w:eastAsia="zh-CN"/>
              </w:rPr>
              <w:t>两次</w:t>
            </w:r>
            <w:r>
              <w:rPr>
                <w:rFonts w:hint="default" w:ascii="Times New Roman" w:hAnsi="Times New Roman" w:eastAsia="宋体" w:cs="Times New Roman"/>
                <w:bCs/>
                <w:color w:val="auto"/>
                <w:sz w:val="24"/>
                <w:highlight w:val="none"/>
              </w:rPr>
              <w:t>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0DC984A2">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5</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物料密闭运输百分之百</w:t>
            </w:r>
          </w:p>
          <w:p w14:paraId="2C4E4914">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易产生扬尘的建筑材料、渣土应采取密闭搬运、存储或采用防尘布苫盖等防尘措施。严禁熔融沥青、焚烧垃圾等有毒有害物质，禁止无牌无证车辆进入施工现场。</w:t>
            </w:r>
          </w:p>
          <w:p w14:paraId="1959EBA1">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6</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出入车辆清洗百分之百。</w:t>
            </w:r>
          </w:p>
          <w:p w14:paraId="64C3C889">
            <w:pPr>
              <w:pStyle w:val="18"/>
              <w:keepNext w:val="0"/>
              <w:keepLines/>
              <w:pageBreakBefore w:val="0"/>
              <w:widowControl w:val="0"/>
              <w:tabs>
                <w:tab w:val="left" w:pos="4830"/>
              </w:tabs>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z w:val="24"/>
                <w:highlight w:val="none"/>
              </w:rPr>
              <w:t>施工现场出入口处设置自动车辆冲洗装置和沉淀池，运输车辆底盘和车轮冲洗干净后方可驶离施工现场</w:t>
            </w:r>
            <w:r>
              <w:rPr>
                <w:rFonts w:hint="default" w:ascii="Times New Roman" w:hAnsi="Times New Roman" w:eastAsia="宋体" w:cs="Times New Roman"/>
                <w:color w:val="auto"/>
                <w:sz w:val="24"/>
                <w:szCs w:val="24"/>
                <w:highlight w:val="none"/>
              </w:rPr>
              <w:t>。</w:t>
            </w:r>
          </w:p>
          <w:p w14:paraId="7ABA2F46">
            <w:pPr>
              <w:keepNext w:val="0"/>
              <w:keepLines/>
              <w:pageBreakBefore w:val="0"/>
              <w:widowControl w:val="0"/>
              <w:tabs>
                <w:tab w:val="left" w:pos="4830"/>
              </w:tabs>
              <w:kinsoku/>
              <w:wordWrap/>
              <w:overflowPunct/>
              <w:topLinePunct w:val="0"/>
              <w:bidi w:val="0"/>
              <w:adjustRightInd w:val="0"/>
              <w:snapToGrid w:val="0"/>
              <w:spacing w:line="360" w:lineRule="auto"/>
              <w:ind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2、施工期废水环境保护措施</w:t>
            </w:r>
          </w:p>
          <w:p w14:paraId="2AFC3AE7">
            <w:pPr>
              <w:keepNext w:val="0"/>
              <w:keepLines/>
              <w:pageBreakBefore w:val="0"/>
              <w:widowControl w:val="0"/>
              <w:tabs>
                <w:tab w:val="left" w:pos="48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Cs/>
                <w:color w:val="auto"/>
                <w:sz w:val="24"/>
                <w:highlight w:val="none"/>
                <w:lang w:val="en-US" w:eastAsia="zh-CN"/>
              </w:rPr>
              <w:t>项目施工期废水为施工人员清洁废水和车辆轮胎清洗废水，</w:t>
            </w:r>
            <w:r>
              <w:rPr>
                <w:rFonts w:hint="eastAsia" w:ascii="Times New Roman" w:hAnsi="Times New Roman"/>
                <w:b w:val="0"/>
                <w:bCs/>
                <w:color w:val="auto"/>
                <w:sz w:val="24"/>
                <w:highlight w:val="none"/>
                <w:lang w:val="en-US" w:eastAsia="zh-CN"/>
              </w:rPr>
              <w:t>项目</w:t>
            </w:r>
            <w:r>
              <w:rPr>
                <w:rFonts w:ascii="Times New Roman" w:hAnsi="Times New Roman"/>
                <w:bCs/>
                <w:color w:val="auto"/>
                <w:sz w:val="24"/>
                <w:highlight w:val="none"/>
              </w:rPr>
              <w:t>施工</w:t>
            </w:r>
            <w:r>
              <w:rPr>
                <w:rFonts w:hint="eastAsia" w:ascii="Times New Roman" w:hAnsi="Times New Roman"/>
                <w:bCs/>
                <w:color w:val="auto"/>
                <w:sz w:val="24"/>
                <w:highlight w:val="none"/>
                <w:lang w:val="en-US" w:eastAsia="zh-CN"/>
              </w:rPr>
              <w:t>高峰期</w:t>
            </w:r>
            <w:r>
              <w:rPr>
                <w:rFonts w:ascii="Times New Roman" w:hAnsi="Times New Roman"/>
                <w:bCs/>
                <w:color w:val="auto"/>
                <w:sz w:val="24"/>
                <w:highlight w:val="none"/>
              </w:rPr>
              <w:t>人数</w:t>
            </w:r>
            <w:r>
              <w:rPr>
                <w:rFonts w:hint="eastAsia" w:ascii="Times New Roman" w:hAnsi="Times New Roman"/>
                <w:bCs/>
                <w:color w:val="auto"/>
                <w:sz w:val="24"/>
                <w:highlight w:val="none"/>
                <w:lang w:val="en-US" w:eastAsia="zh-CN"/>
              </w:rPr>
              <w:t>为40</w:t>
            </w:r>
            <w:r>
              <w:rPr>
                <w:rFonts w:ascii="Times New Roman" w:hAnsi="Times New Roman"/>
                <w:bCs/>
                <w:color w:val="auto"/>
                <w:sz w:val="24"/>
                <w:highlight w:val="none"/>
              </w:rPr>
              <w:t>人/d，</w:t>
            </w:r>
            <w:r>
              <w:rPr>
                <w:rFonts w:hint="eastAsia" w:ascii="Times New Roman" w:hAnsi="Times New Roman"/>
                <w:bCs/>
                <w:color w:val="auto"/>
                <w:sz w:val="24"/>
                <w:highlight w:val="none"/>
                <w:lang w:val="en-US" w:eastAsia="zh-CN"/>
              </w:rPr>
              <w:t>均不在厂区食宿；</w:t>
            </w:r>
            <w:r>
              <w:rPr>
                <w:rFonts w:hint="eastAsia" w:ascii="Times New Roman" w:hAnsi="Times New Roman" w:eastAsia="宋体" w:cs="Times New Roman"/>
                <w:bCs/>
                <w:color w:val="auto"/>
                <w:sz w:val="24"/>
                <w:highlight w:val="none"/>
                <w:lang w:val="en-US" w:eastAsia="zh-CN"/>
              </w:rPr>
              <w:t>车辆轮胎清洗废水</w:t>
            </w:r>
            <w:r>
              <w:rPr>
                <w:rFonts w:hint="default" w:ascii="Times New Roman" w:hAnsi="Times New Roman" w:eastAsia="宋体" w:cs="Times New Roman"/>
                <w:bCs/>
                <w:color w:val="auto"/>
                <w:sz w:val="24"/>
                <w:highlight w:val="none"/>
              </w:rPr>
              <w:t>以泥沙悬浮物为主，废水量小</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项目</w:t>
            </w:r>
            <w:r>
              <w:rPr>
                <w:rFonts w:ascii="Times New Roman" w:hAnsi="Times New Roman"/>
                <w:bCs/>
                <w:color w:val="auto"/>
                <w:sz w:val="24"/>
                <w:highlight w:val="none"/>
              </w:rPr>
              <w:t>施工时间约</w:t>
            </w:r>
            <w:r>
              <w:rPr>
                <w:rFonts w:hint="eastAsia" w:ascii="Times New Roman" w:hAnsi="Times New Roman"/>
                <w:bCs/>
                <w:color w:val="auto"/>
                <w:sz w:val="24"/>
                <w:highlight w:val="none"/>
                <w:lang w:val="en-US" w:eastAsia="zh-CN"/>
              </w:rPr>
              <w:t>12</w:t>
            </w:r>
            <w:r>
              <w:rPr>
                <w:rFonts w:hint="eastAsia" w:ascii="Times New Roman" w:hAnsi="Times New Roman"/>
                <w:bCs/>
                <w:color w:val="auto"/>
                <w:sz w:val="24"/>
                <w:highlight w:val="none"/>
                <w:lang w:eastAsia="zh-CN"/>
              </w:rPr>
              <w:t>个月</w:t>
            </w:r>
            <w:r>
              <w:rPr>
                <w:rFonts w:ascii="Times New Roman" w:hAnsi="Times New Roman"/>
                <w:bCs/>
                <w:color w:val="auto"/>
                <w:sz w:val="24"/>
                <w:highlight w:val="none"/>
              </w:rPr>
              <w:t>，施工期</w:t>
            </w:r>
            <w:r>
              <w:rPr>
                <w:rFonts w:hint="eastAsia" w:ascii="Times New Roman" w:hAnsi="Times New Roman"/>
                <w:b w:val="0"/>
                <w:bCs/>
                <w:color w:val="auto"/>
                <w:sz w:val="24"/>
                <w:highlight w:val="none"/>
                <w:lang w:val="en-US" w:eastAsia="zh-CN"/>
              </w:rPr>
              <w:t>清洁废水</w:t>
            </w:r>
            <w:r>
              <w:rPr>
                <w:rFonts w:hint="eastAsia" w:ascii="Times New Roman" w:hAnsi="Times New Roman" w:eastAsia="宋体" w:cs="Times New Roman"/>
                <w:bCs/>
                <w:color w:val="auto"/>
                <w:sz w:val="24"/>
                <w:highlight w:val="none"/>
                <w:lang w:val="en-US" w:eastAsia="zh-CN"/>
              </w:rPr>
              <w:t>和车辆轮胎清洗废水</w:t>
            </w:r>
            <w:r>
              <w:rPr>
                <w:rFonts w:hint="eastAsia" w:ascii="Times New Roman" w:hAnsi="Times New Roman"/>
                <w:b w:val="0"/>
                <w:bCs/>
                <w:color w:val="auto"/>
                <w:sz w:val="24"/>
                <w:highlight w:val="none"/>
                <w:lang w:val="en-US" w:eastAsia="zh-CN"/>
              </w:rPr>
              <w:t>经</w:t>
            </w:r>
            <w:r>
              <w:rPr>
                <w:rFonts w:hint="eastAsia" w:ascii="Times New Roman" w:hAnsi="Times New Roman" w:eastAsia="宋体" w:cs="Times New Roman"/>
                <w:bCs/>
                <w:color w:val="auto"/>
                <w:sz w:val="24"/>
                <w:highlight w:val="none"/>
                <w:lang w:val="en-US" w:eastAsia="zh-CN"/>
              </w:rPr>
              <w:t>临时沉淀池（容积约5m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）沉淀处理后回用于场地洒水降尘，不外排</w:t>
            </w:r>
            <w:r>
              <w:rPr>
                <w:rFonts w:hint="default" w:ascii="Times New Roman" w:hAnsi="Times New Roman" w:eastAsia="宋体" w:cs="Times New Roman"/>
                <w:color w:val="auto"/>
                <w:kern w:val="2"/>
                <w:sz w:val="24"/>
                <w:szCs w:val="24"/>
                <w:highlight w:val="none"/>
                <w:lang w:val="en-US" w:eastAsia="zh-CN" w:bidi="ar-SA"/>
              </w:rPr>
              <w:t>。</w:t>
            </w:r>
          </w:p>
          <w:p w14:paraId="77E38775">
            <w:pPr>
              <w:keepNext w:val="0"/>
              <w:keepLines/>
              <w:pageBreakBefore w:val="0"/>
              <w:widowControl w:val="0"/>
              <w:tabs>
                <w:tab w:val="left" w:pos="4830"/>
              </w:tabs>
              <w:kinsoku/>
              <w:wordWrap/>
              <w:overflowPunct/>
              <w:topLinePunct w:val="0"/>
              <w:bidi w:val="0"/>
              <w:adjustRightInd w:val="0"/>
              <w:snapToGrid w:val="0"/>
              <w:spacing w:line="360" w:lineRule="auto"/>
              <w:ind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3、施工期噪声环境保护措施</w:t>
            </w:r>
          </w:p>
          <w:p w14:paraId="5DCBA86F">
            <w:pPr>
              <w:keepNext w:val="0"/>
              <w:keepLines/>
              <w:pageBreakBefore w:val="0"/>
              <w:widowControl w:val="0"/>
              <w:tabs>
                <w:tab w:val="left" w:pos="48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科学合理地安排施工步骤，合理安排施工工序，优化施工方式，避免在同一时间集中使用大量的施工机械设备；</w:t>
            </w:r>
          </w:p>
          <w:p w14:paraId="43ACAC4F">
            <w:pPr>
              <w:keepNext w:val="0"/>
              <w:keepLines/>
              <w:pageBreakBefore w:val="0"/>
              <w:widowControl w:val="0"/>
              <w:tabs>
                <w:tab w:val="left" w:pos="48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施工期间施工单位应选用低噪声的施工设备，从源头上控制噪声排放，加强施工机械的维修、管理，保证施工机械处于低噪声、高效率的良好工作状态；</w:t>
            </w:r>
          </w:p>
          <w:p w14:paraId="68FBD88B">
            <w:pPr>
              <w:keepNext w:val="0"/>
              <w:keepLines/>
              <w:pageBreakBefore w:val="0"/>
              <w:widowControl w:val="0"/>
              <w:tabs>
                <w:tab w:val="left" w:pos="48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合理布置施工作业面和安排施工时间，尽量安排在白天进行施工；</w:t>
            </w:r>
          </w:p>
          <w:p w14:paraId="33E02738">
            <w:pPr>
              <w:keepNext w:val="0"/>
              <w:keepLines/>
              <w:pageBreakBefore w:val="0"/>
              <w:widowControl w:val="0"/>
              <w:tabs>
                <w:tab w:val="left" w:pos="48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施工</w:t>
            </w:r>
            <w:r>
              <w:rPr>
                <w:rFonts w:hint="eastAsia" w:ascii="Times New Roman" w:hAnsi="Times New Roman" w:cs="Times New Roman"/>
                <w:color w:val="auto"/>
                <w:sz w:val="24"/>
                <w:szCs w:val="24"/>
                <w:highlight w:val="none"/>
                <w:lang w:val="en-US" w:eastAsia="zh-CN"/>
              </w:rPr>
              <w:t>期间</w:t>
            </w:r>
            <w:r>
              <w:rPr>
                <w:rFonts w:hint="default" w:ascii="Times New Roman" w:hAnsi="Times New Roman" w:eastAsia="宋体" w:cs="Times New Roman"/>
                <w:color w:val="auto"/>
                <w:sz w:val="24"/>
                <w:szCs w:val="24"/>
                <w:highlight w:val="none"/>
                <w:lang w:val="en-US" w:eastAsia="zh-CN"/>
              </w:rPr>
              <w:t>运输车辆应尽量保持良好车况，合理调度，尽可能匀速慢行；</w:t>
            </w:r>
          </w:p>
          <w:p w14:paraId="6F6BCC61">
            <w:pPr>
              <w:keepNext w:val="0"/>
              <w:keepLines/>
              <w:pageBreakBefore w:val="0"/>
              <w:widowControl w:val="0"/>
              <w:tabs>
                <w:tab w:val="left" w:pos="48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val="en-US" w:eastAsia="zh-CN"/>
              </w:rPr>
              <w:t>施工过程所需建筑材料尽量采用定尺定料，减少现场切割；</w:t>
            </w:r>
          </w:p>
          <w:p w14:paraId="32AEA8C1">
            <w:pPr>
              <w:keepNext w:val="0"/>
              <w:keepLines/>
              <w:pageBreakBefore w:val="0"/>
              <w:widowControl w:val="0"/>
              <w:tabs>
                <w:tab w:val="left" w:pos="48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val="en-US" w:eastAsia="zh-CN"/>
              </w:rPr>
              <w:t>加强管理，降低人为噪声影响，对工人进行环保方面的教育，做到文明作业，减少作业噪声。</w:t>
            </w:r>
          </w:p>
          <w:p w14:paraId="17597DDD">
            <w:pPr>
              <w:keepNext w:val="0"/>
              <w:keepLines/>
              <w:pageBreakBefore w:val="0"/>
              <w:widowControl w:val="0"/>
              <w:tabs>
                <w:tab w:val="left" w:pos="483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⑦</w:t>
            </w:r>
            <w:r>
              <w:rPr>
                <w:rFonts w:hint="default" w:ascii="Times New Roman" w:hAnsi="Times New Roman" w:eastAsia="宋体" w:cs="Times New Roman"/>
                <w:color w:val="auto"/>
                <w:sz w:val="24"/>
                <w:szCs w:val="24"/>
                <w:highlight w:val="none"/>
                <w:lang w:val="en-US" w:eastAsia="zh-CN"/>
              </w:rPr>
              <w:t>认真落实各项防治措施，同时与周围居民协调好关系，并注意听取周围单位的合理意见，就能尽量避免扰民事件的发生。施工期结束后，相应的噪声污染即随之消失，不会对周围环境产生长期不良影响。</w:t>
            </w:r>
          </w:p>
          <w:p w14:paraId="2C5EDF6C">
            <w:pPr>
              <w:keepNext w:val="0"/>
              <w:keepLines/>
              <w:pageBreakBefore w:val="0"/>
              <w:widowControl w:val="0"/>
              <w:tabs>
                <w:tab w:val="left" w:pos="4830"/>
              </w:tabs>
              <w:kinsoku/>
              <w:wordWrap/>
              <w:overflowPunct/>
              <w:topLinePunct w:val="0"/>
              <w:bidi w:val="0"/>
              <w:adjustRightInd w:val="0"/>
              <w:snapToGrid w:val="0"/>
              <w:spacing w:line="360" w:lineRule="auto"/>
              <w:ind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4、施工期固体废物环境保护措施</w:t>
            </w:r>
          </w:p>
          <w:p w14:paraId="545E3772">
            <w:pPr>
              <w:pStyle w:val="30"/>
              <w:keepNext w:val="0"/>
              <w:keepLines/>
              <w:pageBreakBefore w:val="0"/>
              <w:widowControl w:val="0"/>
              <w:tabs>
                <w:tab w:val="left" w:pos="4830"/>
              </w:tabs>
              <w:kinsoku/>
              <w:wordWrap/>
              <w:overflowPunct/>
              <w:topLinePunct w:val="0"/>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项目施工期</w:t>
            </w:r>
            <w:r>
              <w:rPr>
                <w:rFonts w:hint="eastAsia" w:ascii="Times New Roman" w:hAnsi="Times New Roman" w:cs="Times New Roman"/>
                <w:color w:val="auto"/>
                <w:sz w:val="24"/>
                <w:szCs w:val="24"/>
                <w:highlight w:val="none"/>
                <w:lang w:val="en-US" w:eastAsia="zh-CN"/>
              </w:rPr>
              <w:t>开挖的土石方，能在项目区内利用尽量利用，不能利用的</w:t>
            </w:r>
            <w:r>
              <w:rPr>
                <w:rFonts w:hint="default" w:ascii="Times New Roman" w:hAnsi="Times New Roman" w:eastAsia="宋体" w:cs="Times New Roman"/>
                <w:color w:val="auto"/>
                <w:sz w:val="24"/>
                <w:szCs w:val="24"/>
                <w:highlight w:val="none"/>
              </w:rPr>
              <w:t>，按相关部门要求，运至指定地点进行合理处置；</w:t>
            </w:r>
          </w:p>
          <w:p w14:paraId="450F0695">
            <w:pPr>
              <w:pStyle w:val="30"/>
              <w:keepNext w:val="0"/>
              <w:keepLines/>
              <w:pageBreakBefore w:val="0"/>
              <w:widowControl w:val="0"/>
              <w:tabs>
                <w:tab w:val="left" w:pos="4830"/>
              </w:tabs>
              <w:kinsoku/>
              <w:wordWrap/>
              <w:overflowPunct/>
              <w:topLinePunct w:val="0"/>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建筑垃圾集中收集后进行回收利用，无法回收利用的按相关部门要求，运至指定地点进行合理处置；</w:t>
            </w:r>
          </w:p>
          <w:p w14:paraId="00ADFA7B">
            <w:pPr>
              <w:pStyle w:val="30"/>
              <w:keepNext w:val="0"/>
              <w:keepLines/>
              <w:pageBreakBefore w:val="0"/>
              <w:widowControl w:val="0"/>
              <w:tabs>
                <w:tab w:val="left" w:pos="4830"/>
              </w:tabs>
              <w:kinsoku/>
              <w:wordWrap/>
              <w:overflowPunct/>
              <w:topLinePunct w:val="0"/>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施工期生活垃圾集中收集后，委托工业园区环卫部门定期清运，处置率为100%。</w:t>
            </w:r>
          </w:p>
          <w:p w14:paraId="307874EE">
            <w:pPr>
              <w:pStyle w:val="70"/>
              <w:ind w:firstLine="480"/>
              <w:rPr>
                <w:rFonts w:ascii="Times New Roman" w:hAnsi="Times New Roman" w:cs="Times New Roman"/>
                <w:color w:val="auto"/>
                <w:highlight w:val="none"/>
              </w:rPr>
            </w:pPr>
          </w:p>
          <w:p w14:paraId="5AA799D5">
            <w:pPr>
              <w:pStyle w:val="70"/>
              <w:ind w:firstLine="480"/>
              <w:rPr>
                <w:rFonts w:ascii="Times New Roman" w:hAnsi="Times New Roman" w:cs="Times New Roman"/>
                <w:color w:val="auto"/>
                <w:highlight w:val="none"/>
              </w:rPr>
            </w:pPr>
          </w:p>
          <w:p w14:paraId="01241B08">
            <w:pPr>
              <w:pStyle w:val="70"/>
              <w:ind w:firstLine="480"/>
              <w:rPr>
                <w:rFonts w:ascii="Times New Roman" w:hAnsi="Times New Roman" w:cs="Times New Roman"/>
                <w:color w:val="auto"/>
                <w:highlight w:val="none"/>
              </w:rPr>
            </w:pPr>
          </w:p>
          <w:p w14:paraId="267CA2F6">
            <w:pPr>
              <w:pStyle w:val="70"/>
              <w:ind w:firstLine="480"/>
              <w:rPr>
                <w:rFonts w:ascii="Times New Roman" w:hAnsi="Times New Roman" w:cs="Times New Roman"/>
                <w:color w:val="auto"/>
                <w:highlight w:val="none"/>
              </w:rPr>
            </w:pPr>
          </w:p>
          <w:p w14:paraId="436CAF66">
            <w:pPr>
              <w:pStyle w:val="70"/>
              <w:ind w:firstLine="480"/>
              <w:rPr>
                <w:rFonts w:ascii="Times New Roman" w:hAnsi="Times New Roman" w:cs="Times New Roman"/>
                <w:color w:val="auto"/>
                <w:highlight w:val="none"/>
              </w:rPr>
            </w:pPr>
          </w:p>
          <w:p w14:paraId="05C06C26">
            <w:pPr>
              <w:pStyle w:val="70"/>
              <w:ind w:firstLine="480"/>
              <w:rPr>
                <w:rFonts w:ascii="Times New Roman" w:hAnsi="Times New Roman" w:cs="Times New Roman"/>
                <w:color w:val="auto"/>
                <w:highlight w:val="none"/>
              </w:rPr>
            </w:pPr>
          </w:p>
          <w:p w14:paraId="6359428D">
            <w:pPr>
              <w:pStyle w:val="70"/>
              <w:ind w:firstLine="480"/>
              <w:rPr>
                <w:rFonts w:ascii="Times New Roman" w:hAnsi="Times New Roman" w:cs="Times New Roman"/>
                <w:color w:val="auto"/>
                <w:highlight w:val="none"/>
              </w:rPr>
            </w:pPr>
          </w:p>
          <w:p w14:paraId="3DAEA70A">
            <w:pPr>
              <w:pStyle w:val="70"/>
              <w:ind w:firstLine="480"/>
              <w:rPr>
                <w:rFonts w:ascii="Times New Roman" w:hAnsi="Times New Roman" w:cs="Times New Roman"/>
                <w:color w:val="auto"/>
                <w:highlight w:val="none"/>
              </w:rPr>
            </w:pPr>
          </w:p>
          <w:p w14:paraId="6D660BFC">
            <w:pPr>
              <w:pStyle w:val="70"/>
              <w:ind w:firstLine="480"/>
              <w:rPr>
                <w:rFonts w:ascii="Times New Roman" w:hAnsi="Times New Roman" w:cs="Times New Roman"/>
                <w:color w:val="auto"/>
                <w:highlight w:val="none"/>
              </w:rPr>
            </w:pPr>
          </w:p>
          <w:p w14:paraId="5D6E6EEE">
            <w:pPr>
              <w:pStyle w:val="70"/>
              <w:ind w:firstLine="480"/>
              <w:rPr>
                <w:rFonts w:ascii="Times New Roman" w:hAnsi="Times New Roman" w:cs="Times New Roman"/>
                <w:color w:val="auto"/>
                <w:highlight w:val="none"/>
              </w:rPr>
            </w:pPr>
          </w:p>
          <w:p w14:paraId="53D4E114">
            <w:pPr>
              <w:pStyle w:val="70"/>
              <w:ind w:firstLine="480"/>
              <w:rPr>
                <w:rFonts w:ascii="Times New Roman" w:hAnsi="Times New Roman" w:cs="Times New Roman"/>
                <w:color w:val="auto"/>
                <w:highlight w:val="none"/>
              </w:rPr>
            </w:pPr>
          </w:p>
          <w:p w14:paraId="4A777D59">
            <w:pPr>
              <w:pStyle w:val="70"/>
              <w:ind w:firstLine="480"/>
              <w:rPr>
                <w:rFonts w:ascii="Times New Roman" w:hAnsi="Times New Roman" w:cs="Times New Roman"/>
                <w:color w:val="auto"/>
                <w:highlight w:val="none"/>
              </w:rPr>
            </w:pPr>
          </w:p>
          <w:p w14:paraId="0DC3E06D">
            <w:pPr>
              <w:pStyle w:val="70"/>
              <w:ind w:firstLine="480"/>
              <w:rPr>
                <w:rFonts w:ascii="Times New Roman" w:hAnsi="Times New Roman" w:cs="Times New Roman"/>
                <w:color w:val="auto"/>
                <w:highlight w:val="none"/>
              </w:rPr>
            </w:pPr>
          </w:p>
          <w:p w14:paraId="10B4782D">
            <w:pPr>
              <w:pStyle w:val="70"/>
              <w:ind w:firstLine="480"/>
              <w:rPr>
                <w:rFonts w:ascii="Times New Roman" w:hAnsi="Times New Roman" w:cs="Times New Roman"/>
                <w:color w:val="auto"/>
                <w:highlight w:val="none"/>
              </w:rPr>
            </w:pPr>
          </w:p>
          <w:p w14:paraId="1319718B">
            <w:pPr>
              <w:pStyle w:val="70"/>
              <w:ind w:firstLine="480"/>
              <w:rPr>
                <w:rFonts w:ascii="Times New Roman" w:hAnsi="Times New Roman" w:cs="Times New Roman"/>
                <w:color w:val="auto"/>
                <w:highlight w:val="none"/>
              </w:rPr>
            </w:pPr>
          </w:p>
          <w:p w14:paraId="4D642896">
            <w:pPr>
              <w:pStyle w:val="70"/>
              <w:ind w:firstLine="480"/>
              <w:rPr>
                <w:rFonts w:ascii="Times New Roman" w:hAnsi="Times New Roman" w:cs="Times New Roman"/>
                <w:color w:val="auto"/>
                <w:highlight w:val="none"/>
              </w:rPr>
            </w:pPr>
          </w:p>
          <w:p w14:paraId="4DC64FA2">
            <w:pPr>
              <w:pStyle w:val="70"/>
              <w:ind w:firstLine="480"/>
              <w:rPr>
                <w:rFonts w:ascii="Times New Roman" w:hAnsi="Times New Roman" w:cs="Times New Roman"/>
                <w:color w:val="auto"/>
                <w:highlight w:val="none"/>
              </w:rPr>
            </w:pPr>
          </w:p>
          <w:p w14:paraId="4FBFD373">
            <w:pPr>
              <w:pStyle w:val="70"/>
              <w:ind w:firstLine="480"/>
              <w:rPr>
                <w:rFonts w:ascii="Times New Roman" w:hAnsi="Times New Roman" w:cs="Times New Roman"/>
                <w:color w:val="auto"/>
                <w:highlight w:val="none"/>
              </w:rPr>
            </w:pPr>
          </w:p>
          <w:p w14:paraId="382F3EAA">
            <w:pPr>
              <w:pStyle w:val="70"/>
              <w:ind w:firstLine="480"/>
              <w:rPr>
                <w:rFonts w:ascii="Times New Roman" w:hAnsi="Times New Roman" w:cs="Times New Roman"/>
                <w:color w:val="auto"/>
                <w:highlight w:val="none"/>
              </w:rPr>
            </w:pPr>
          </w:p>
          <w:p w14:paraId="62DC22F7">
            <w:pPr>
              <w:pStyle w:val="70"/>
              <w:ind w:firstLine="480"/>
              <w:rPr>
                <w:rFonts w:ascii="Times New Roman" w:hAnsi="Times New Roman" w:cs="Times New Roman"/>
                <w:color w:val="auto"/>
                <w:highlight w:val="none"/>
              </w:rPr>
            </w:pPr>
          </w:p>
          <w:p w14:paraId="1D3DA667">
            <w:pPr>
              <w:pStyle w:val="70"/>
              <w:ind w:firstLine="480"/>
              <w:rPr>
                <w:rFonts w:ascii="Times New Roman" w:hAnsi="Times New Roman" w:cs="Times New Roman"/>
                <w:color w:val="auto"/>
                <w:highlight w:val="none"/>
              </w:rPr>
            </w:pPr>
          </w:p>
          <w:p w14:paraId="288215F9">
            <w:pPr>
              <w:pStyle w:val="70"/>
              <w:ind w:firstLine="480"/>
              <w:rPr>
                <w:rFonts w:ascii="Times New Roman" w:hAnsi="Times New Roman" w:cs="Times New Roman"/>
                <w:color w:val="auto"/>
                <w:highlight w:val="none"/>
              </w:rPr>
            </w:pPr>
          </w:p>
          <w:p w14:paraId="1B92D009">
            <w:pPr>
              <w:pStyle w:val="70"/>
              <w:ind w:firstLine="480"/>
              <w:rPr>
                <w:rFonts w:ascii="Times New Roman" w:hAnsi="Times New Roman" w:cs="Times New Roman"/>
                <w:color w:val="auto"/>
                <w:highlight w:val="none"/>
              </w:rPr>
            </w:pPr>
          </w:p>
          <w:p w14:paraId="75B69976">
            <w:pPr>
              <w:pStyle w:val="70"/>
              <w:ind w:firstLine="480"/>
              <w:rPr>
                <w:rFonts w:ascii="Times New Roman" w:hAnsi="Times New Roman" w:cs="Times New Roman"/>
                <w:color w:val="auto"/>
                <w:highlight w:val="none"/>
              </w:rPr>
            </w:pPr>
          </w:p>
          <w:p w14:paraId="5417D371">
            <w:pPr>
              <w:pStyle w:val="70"/>
              <w:ind w:firstLine="480"/>
              <w:rPr>
                <w:rFonts w:ascii="Times New Roman" w:hAnsi="Times New Roman" w:cs="Times New Roman"/>
                <w:color w:val="auto"/>
                <w:highlight w:val="none"/>
              </w:rPr>
            </w:pPr>
          </w:p>
          <w:p w14:paraId="621CC0B4">
            <w:pPr>
              <w:pStyle w:val="70"/>
              <w:ind w:firstLine="480"/>
              <w:rPr>
                <w:rFonts w:ascii="Times New Roman" w:hAnsi="Times New Roman" w:cs="Times New Roman"/>
                <w:color w:val="auto"/>
                <w:highlight w:val="none"/>
              </w:rPr>
            </w:pPr>
          </w:p>
          <w:p w14:paraId="24302AF4">
            <w:pPr>
              <w:pStyle w:val="70"/>
              <w:ind w:left="0" w:leftChars="0" w:firstLine="0" w:firstLineChars="0"/>
              <w:rPr>
                <w:rFonts w:hint="eastAsia" w:ascii="Times New Roman" w:hAnsi="Times New Roman"/>
                <w:color w:val="auto"/>
                <w:highlight w:val="none"/>
              </w:rPr>
            </w:pPr>
          </w:p>
        </w:tc>
      </w:tr>
    </w:tbl>
    <w:p w14:paraId="15BAF293">
      <w:pPr>
        <w:rPr>
          <w:rFonts w:ascii="Times New Roman" w:hAnsi="Times New Roman"/>
          <w:color w:val="auto"/>
          <w:highlight w:val="none"/>
        </w:rPr>
        <w:sectPr>
          <w:pgSz w:w="11905" w:h="16838"/>
          <w:pgMar w:top="1440" w:right="1701" w:bottom="1440" w:left="1701" w:header="851" w:footer="1077" w:gutter="0"/>
          <w:cols w:space="720" w:num="1"/>
          <w:docGrid w:type="lines" w:linePitch="317" w:charSpace="0"/>
        </w:sectPr>
      </w:pPr>
    </w:p>
    <w:tbl>
      <w:tblPr>
        <w:tblStyle w:val="35"/>
        <w:tblW w:w="521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044"/>
      </w:tblGrid>
      <w:tr w14:paraId="588E7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9" w:hRule="atLeast"/>
          <w:jc w:val="center"/>
        </w:trPr>
        <w:tc>
          <w:tcPr>
            <w:tcW w:w="224" w:type="pct"/>
            <w:noWrap w:val="0"/>
            <w:tcMar>
              <w:left w:w="28" w:type="dxa"/>
              <w:right w:w="28" w:type="dxa"/>
            </w:tcMar>
            <w:vAlign w:val="center"/>
          </w:tcPr>
          <w:p w14:paraId="365EA542">
            <w:pPr>
              <w:adjustRightInd w:val="0"/>
              <w:snapToGrid w:val="0"/>
              <w:jc w:val="center"/>
              <w:rPr>
                <w:rFonts w:ascii="Times New Roman" w:hAnsi="Times New Roman"/>
                <w:bCs/>
                <w:color w:val="auto"/>
                <w:sz w:val="24"/>
                <w:highlight w:val="none"/>
              </w:rPr>
            </w:pPr>
            <w:r>
              <w:rPr>
                <w:rFonts w:ascii="Times New Roman" w:hAnsi="Times New Roman"/>
                <w:bCs/>
                <w:color w:val="auto"/>
                <w:sz w:val="24"/>
                <w:highlight w:val="none"/>
              </w:rPr>
              <w:t>运营</w:t>
            </w:r>
          </w:p>
          <w:p w14:paraId="2E9B10CA">
            <w:pPr>
              <w:adjustRightInd w:val="0"/>
              <w:snapToGrid w:val="0"/>
              <w:jc w:val="center"/>
              <w:rPr>
                <w:rFonts w:ascii="Times New Roman" w:hAnsi="Times New Roman"/>
                <w:bCs/>
                <w:color w:val="auto"/>
                <w:sz w:val="24"/>
                <w:highlight w:val="none"/>
              </w:rPr>
            </w:pPr>
            <w:r>
              <w:rPr>
                <w:rFonts w:ascii="Times New Roman" w:hAnsi="Times New Roman"/>
                <w:bCs/>
                <w:color w:val="auto"/>
                <w:sz w:val="24"/>
                <w:highlight w:val="none"/>
              </w:rPr>
              <w:t>期环</w:t>
            </w:r>
          </w:p>
          <w:p w14:paraId="40919A0C">
            <w:pPr>
              <w:adjustRightInd w:val="0"/>
              <w:snapToGrid w:val="0"/>
              <w:jc w:val="center"/>
              <w:rPr>
                <w:rFonts w:ascii="Times New Roman" w:hAnsi="Times New Roman"/>
                <w:bCs/>
                <w:color w:val="auto"/>
                <w:sz w:val="24"/>
                <w:highlight w:val="none"/>
              </w:rPr>
            </w:pPr>
            <w:r>
              <w:rPr>
                <w:rFonts w:ascii="Times New Roman" w:hAnsi="Times New Roman"/>
                <w:bCs/>
                <w:color w:val="auto"/>
                <w:sz w:val="24"/>
                <w:highlight w:val="none"/>
              </w:rPr>
              <w:t>境影</w:t>
            </w:r>
          </w:p>
          <w:p w14:paraId="727ABA26">
            <w:pPr>
              <w:adjustRightInd w:val="0"/>
              <w:snapToGrid w:val="0"/>
              <w:jc w:val="center"/>
              <w:rPr>
                <w:rFonts w:ascii="Times New Roman" w:hAnsi="Times New Roman"/>
                <w:bCs/>
                <w:color w:val="auto"/>
                <w:sz w:val="24"/>
                <w:highlight w:val="none"/>
              </w:rPr>
            </w:pPr>
            <w:r>
              <w:rPr>
                <w:rFonts w:ascii="Times New Roman" w:hAnsi="Times New Roman"/>
                <w:bCs/>
                <w:color w:val="auto"/>
                <w:sz w:val="24"/>
                <w:highlight w:val="none"/>
              </w:rPr>
              <w:t>响和</w:t>
            </w:r>
          </w:p>
          <w:p w14:paraId="3270C922">
            <w:pPr>
              <w:adjustRightInd w:val="0"/>
              <w:snapToGrid w:val="0"/>
              <w:jc w:val="center"/>
              <w:rPr>
                <w:rFonts w:ascii="Times New Roman" w:hAnsi="Times New Roman"/>
                <w:bCs/>
                <w:color w:val="auto"/>
                <w:sz w:val="24"/>
                <w:highlight w:val="none"/>
              </w:rPr>
            </w:pPr>
            <w:r>
              <w:rPr>
                <w:rFonts w:ascii="Times New Roman" w:hAnsi="Times New Roman"/>
                <w:bCs/>
                <w:color w:val="auto"/>
                <w:sz w:val="24"/>
                <w:highlight w:val="none"/>
              </w:rPr>
              <w:t>保护</w:t>
            </w:r>
          </w:p>
          <w:p w14:paraId="7AF56330">
            <w:pPr>
              <w:widowControl/>
              <w:adjustRightInd w:val="0"/>
              <w:snapToGrid w:val="0"/>
              <w:jc w:val="center"/>
              <w:rPr>
                <w:rFonts w:ascii="Times New Roman" w:hAnsi="Times New Roman"/>
                <w:color w:val="auto"/>
                <w:sz w:val="24"/>
                <w:highlight w:val="none"/>
              </w:rPr>
            </w:pPr>
            <w:r>
              <w:rPr>
                <w:rFonts w:ascii="Times New Roman" w:hAnsi="Times New Roman"/>
                <w:bCs/>
                <w:color w:val="auto"/>
                <w:kern w:val="0"/>
                <w:sz w:val="24"/>
                <w:highlight w:val="none"/>
              </w:rPr>
              <w:t>措施</w:t>
            </w:r>
          </w:p>
        </w:tc>
        <w:tc>
          <w:tcPr>
            <w:tcW w:w="4775" w:type="pct"/>
            <w:noWrap w:val="0"/>
            <w:vAlign w:val="center"/>
          </w:tcPr>
          <w:p w14:paraId="7101D6D0">
            <w:pPr>
              <w:adjustRightInd w:val="0"/>
              <w:snapToGrid w:val="0"/>
              <w:spacing w:line="360" w:lineRule="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4.2运营期环境影响和保护措施</w:t>
            </w:r>
          </w:p>
          <w:p w14:paraId="766F650C">
            <w:pPr>
              <w:adjustRightInd w:val="0"/>
              <w:snapToGrid w:val="0"/>
              <w:spacing w:line="360" w:lineRule="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4.2.1废气</w:t>
            </w:r>
          </w:p>
          <w:p w14:paraId="1D104384">
            <w:pPr>
              <w:adjustRightInd w:val="0"/>
              <w:snapToGrid w:val="0"/>
              <w:spacing w:line="360" w:lineRule="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一、废气污染源源强核算及相关参数</w:t>
            </w:r>
          </w:p>
          <w:p w14:paraId="0F074ED2">
            <w:pPr>
              <w:topLinePunct/>
              <w:adjustRightInd w:val="0"/>
              <w:snapToGrid w:val="0"/>
              <w:spacing w:line="360" w:lineRule="auto"/>
              <w:ind w:firstLine="480" w:firstLineChars="200"/>
              <w:textAlignment w:val="baseline"/>
              <w:rPr>
                <w:rFonts w:hint="eastAsia" w:ascii="Times New Roman" w:hAnsi="Times New Roman"/>
                <w:bCs/>
                <w:color w:val="auto"/>
                <w:sz w:val="24"/>
                <w:highlight w:val="none"/>
              </w:rPr>
            </w:pPr>
            <w:r>
              <w:rPr>
                <w:rFonts w:hint="eastAsia" w:ascii="Times New Roman" w:hAnsi="Times New Roman"/>
                <w:bCs/>
                <w:color w:val="auto"/>
                <w:sz w:val="24"/>
                <w:highlight w:val="none"/>
              </w:rPr>
              <w:t>本项目运营期废气污染物源强核算及相关参数详见</w:t>
            </w:r>
            <w:r>
              <w:rPr>
                <w:rFonts w:hint="eastAsia" w:ascii="Times New Roman" w:hAnsi="Times New Roman"/>
                <w:bCs/>
                <w:color w:val="auto"/>
                <w:sz w:val="24"/>
                <w:highlight w:val="none"/>
                <w:lang w:val="en-US" w:eastAsia="zh-CN"/>
              </w:rPr>
              <w:t>下表</w:t>
            </w:r>
            <w:r>
              <w:rPr>
                <w:rFonts w:hint="eastAsia" w:ascii="Times New Roman" w:hAnsi="Times New Roman"/>
                <w:bCs/>
                <w:color w:val="auto"/>
                <w:sz w:val="24"/>
                <w:highlight w:val="none"/>
              </w:rPr>
              <w:t>。</w:t>
            </w:r>
          </w:p>
          <w:p w14:paraId="70A2A9BD">
            <w:pPr>
              <w:autoSpaceDE w:val="0"/>
              <w:autoSpaceDN w:val="0"/>
              <w:adjustRightInd w:val="0"/>
              <w:snapToGrid w:val="0"/>
              <w:jc w:val="center"/>
              <w:textAlignment w:val="baseline"/>
              <w:rPr>
                <w:rFonts w:hint="eastAsia" w:ascii="Times New Roman" w:hAnsi="Times New Roman"/>
                <w:b/>
                <w:color w:val="auto"/>
                <w:kern w:val="24"/>
                <w:sz w:val="24"/>
                <w:szCs w:val="24"/>
                <w:highlight w:val="none"/>
              </w:rPr>
            </w:pPr>
            <w:r>
              <w:rPr>
                <w:rFonts w:hint="eastAsia" w:ascii="Times New Roman" w:hAnsi="Times New Roman"/>
                <w:b/>
                <w:color w:val="auto"/>
                <w:kern w:val="24"/>
                <w:sz w:val="24"/>
                <w:szCs w:val="24"/>
                <w:highlight w:val="none"/>
              </w:rPr>
              <w:t>表4.2</w:t>
            </w:r>
            <w:r>
              <w:rPr>
                <w:rFonts w:hint="eastAsia" w:ascii="Times New Roman" w:hAnsi="Times New Roman"/>
                <w:b/>
                <w:color w:val="auto"/>
                <w:kern w:val="24"/>
                <w:sz w:val="24"/>
                <w:szCs w:val="24"/>
                <w:highlight w:val="none"/>
                <w:lang w:val="en-US" w:eastAsia="zh-CN"/>
              </w:rPr>
              <w:t>.1</w:t>
            </w:r>
            <w:r>
              <w:rPr>
                <w:rFonts w:hint="eastAsia" w:ascii="Times New Roman" w:hAnsi="Times New Roman"/>
                <w:b/>
                <w:color w:val="auto"/>
                <w:kern w:val="24"/>
                <w:sz w:val="24"/>
                <w:szCs w:val="24"/>
                <w:highlight w:val="none"/>
              </w:rPr>
              <w:t>-1运营期废气污染源源强核算结果及相关参数一览表</w:t>
            </w:r>
          </w:p>
          <w:tbl>
            <w:tblPr>
              <w:tblStyle w:val="36"/>
              <w:tblW w:w="13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906"/>
              <w:gridCol w:w="1904"/>
              <w:gridCol w:w="2010"/>
              <w:gridCol w:w="1879"/>
              <w:gridCol w:w="2576"/>
              <w:gridCol w:w="2610"/>
            </w:tblGrid>
            <w:tr w14:paraId="5B89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7A69DC63">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产排环节</w:t>
                  </w:r>
                </w:p>
              </w:tc>
              <w:tc>
                <w:tcPr>
                  <w:tcW w:w="8369" w:type="dxa"/>
                  <w:gridSpan w:val="4"/>
                </w:tcPr>
                <w:p w14:paraId="51F4A5EA">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破碎筛分</w:t>
                  </w:r>
                </w:p>
              </w:tc>
              <w:tc>
                <w:tcPr>
                  <w:tcW w:w="2610" w:type="dxa"/>
                </w:tcPr>
                <w:p w14:paraId="22D7702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堆存、转运和装卸</w:t>
                  </w:r>
                </w:p>
              </w:tc>
            </w:tr>
            <w:tr w14:paraId="372A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78FBB0A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污染物种类</w:t>
                  </w:r>
                </w:p>
              </w:tc>
              <w:tc>
                <w:tcPr>
                  <w:tcW w:w="8369" w:type="dxa"/>
                  <w:gridSpan w:val="4"/>
                </w:tcPr>
                <w:p w14:paraId="519583F1">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颗粒物</w:t>
                  </w:r>
                </w:p>
              </w:tc>
              <w:tc>
                <w:tcPr>
                  <w:tcW w:w="2610" w:type="dxa"/>
                </w:tcPr>
                <w:p w14:paraId="6439A639">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颗粒物</w:t>
                  </w:r>
                </w:p>
              </w:tc>
            </w:tr>
            <w:tr w14:paraId="0C4C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2EE8B1C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污染物产生浓度（mg/m</w:t>
                  </w:r>
                  <w:r>
                    <w:rPr>
                      <w:rFonts w:hint="eastAsia" w:ascii="Times New Roman" w:hAnsi="Times New Roman" w:eastAsia="宋体"/>
                      <w:b/>
                      <w:color w:val="auto"/>
                      <w:kern w:val="24"/>
                      <w:sz w:val="21"/>
                      <w:szCs w:val="24"/>
                      <w:highlight w:val="none"/>
                      <w:vertAlign w:val="superscript"/>
                      <w:lang w:val="en-US" w:eastAsia="zh-CN"/>
                    </w:rPr>
                    <w:t>3</w:t>
                  </w:r>
                  <w:r>
                    <w:rPr>
                      <w:rFonts w:hint="eastAsia" w:ascii="Times New Roman" w:hAnsi="Times New Roman" w:eastAsia="宋体"/>
                      <w:b/>
                      <w:color w:val="auto"/>
                      <w:kern w:val="24"/>
                      <w:sz w:val="21"/>
                      <w:szCs w:val="24"/>
                      <w:highlight w:val="none"/>
                      <w:vertAlign w:val="baseline"/>
                      <w:lang w:val="en-US" w:eastAsia="zh-CN"/>
                    </w:rPr>
                    <w:t>）</w:t>
                  </w:r>
                </w:p>
              </w:tc>
              <w:tc>
                <w:tcPr>
                  <w:tcW w:w="1904" w:type="dxa"/>
                </w:tcPr>
                <w:p w14:paraId="54DC745D">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1285.71</w:t>
                  </w:r>
                </w:p>
              </w:tc>
              <w:tc>
                <w:tcPr>
                  <w:tcW w:w="2010" w:type="dxa"/>
                  <w:vAlign w:val="top"/>
                </w:tcPr>
                <w:p w14:paraId="620D216F">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1285.71</w:t>
                  </w:r>
                </w:p>
              </w:tc>
              <w:tc>
                <w:tcPr>
                  <w:tcW w:w="1879" w:type="dxa"/>
                  <w:vAlign w:val="top"/>
                </w:tcPr>
                <w:p w14:paraId="47E7C05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1812.50</w:t>
                  </w:r>
                </w:p>
              </w:tc>
              <w:tc>
                <w:tcPr>
                  <w:tcW w:w="2576" w:type="dxa"/>
                </w:tcPr>
                <w:p w14:paraId="219229F2">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c>
                <w:tcPr>
                  <w:tcW w:w="2610" w:type="dxa"/>
                  <w:vAlign w:val="top"/>
                </w:tcPr>
                <w:p w14:paraId="334C4AFE">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eastAsia="zh-CN"/>
                    </w:rPr>
                    <w:t>——</w:t>
                  </w:r>
                </w:p>
              </w:tc>
            </w:tr>
            <w:tr w14:paraId="3E1A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65" w:type="dxa"/>
                  <w:gridSpan w:val="2"/>
                </w:tcPr>
                <w:p w14:paraId="3AFD9B1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污染物产生速率（kg/h）</w:t>
                  </w:r>
                </w:p>
              </w:tc>
              <w:tc>
                <w:tcPr>
                  <w:tcW w:w="1904" w:type="dxa"/>
                </w:tcPr>
                <w:p w14:paraId="1171EB0C">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99</w:t>
                  </w:r>
                </w:p>
              </w:tc>
              <w:tc>
                <w:tcPr>
                  <w:tcW w:w="2010" w:type="dxa"/>
                  <w:vAlign w:val="top"/>
                </w:tcPr>
                <w:p w14:paraId="4239BCF0">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99</w:t>
                  </w:r>
                </w:p>
              </w:tc>
              <w:tc>
                <w:tcPr>
                  <w:tcW w:w="1879" w:type="dxa"/>
                  <w:vAlign w:val="top"/>
                </w:tcPr>
                <w:p w14:paraId="5BF8D2FA">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99</w:t>
                  </w:r>
                </w:p>
              </w:tc>
              <w:tc>
                <w:tcPr>
                  <w:tcW w:w="2576" w:type="dxa"/>
                </w:tcPr>
                <w:p w14:paraId="0F5B68A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99.2</w:t>
                  </w:r>
                </w:p>
              </w:tc>
              <w:tc>
                <w:tcPr>
                  <w:tcW w:w="2610" w:type="dxa"/>
                  <w:vAlign w:val="top"/>
                </w:tcPr>
                <w:p w14:paraId="349FF555">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49.9815</w:t>
                  </w:r>
                </w:p>
              </w:tc>
            </w:tr>
            <w:tr w14:paraId="6B0B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441730BF">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污染物收集量（t/a）</w:t>
                  </w:r>
                </w:p>
              </w:tc>
              <w:tc>
                <w:tcPr>
                  <w:tcW w:w="1904" w:type="dxa"/>
                </w:tcPr>
                <w:p w14:paraId="7C1DA0CF">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237.6</w:t>
                  </w:r>
                </w:p>
              </w:tc>
              <w:tc>
                <w:tcPr>
                  <w:tcW w:w="2010" w:type="dxa"/>
                  <w:vAlign w:val="top"/>
                </w:tcPr>
                <w:p w14:paraId="207156AC">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237.6</w:t>
                  </w:r>
                </w:p>
              </w:tc>
              <w:tc>
                <w:tcPr>
                  <w:tcW w:w="1879" w:type="dxa"/>
                  <w:vAlign w:val="top"/>
                </w:tcPr>
                <w:p w14:paraId="43F00BD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417.6</w:t>
                  </w:r>
                </w:p>
              </w:tc>
              <w:tc>
                <w:tcPr>
                  <w:tcW w:w="2576" w:type="dxa"/>
                </w:tcPr>
                <w:p w14:paraId="778BEAAA">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41.33</w:t>
                  </w:r>
                </w:p>
              </w:tc>
              <w:tc>
                <w:tcPr>
                  <w:tcW w:w="2610" w:type="dxa"/>
                  <w:vAlign w:val="top"/>
                </w:tcPr>
                <w:p w14:paraId="41C3AD9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437.8378</w:t>
                  </w:r>
                </w:p>
              </w:tc>
            </w:tr>
            <w:tr w14:paraId="0034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6C919F64">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排放形式</w:t>
                  </w:r>
                </w:p>
              </w:tc>
              <w:tc>
                <w:tcPr>
                  <w:tcW w:w="5793" w:type="dxa"/>
                  <w:gridSpan w:val="3"/>
                </w:tcPr>
                <w:p w14:paraId="7DEEB4B6">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有组织</w:t>
                  </w:r>
                </w:p>
              </w:tc>
              <w:tc>
                <w:tcPr>
                  <w:tcW w:w="2576" w:type="dxa"/>
                </w:tcPr>
                <w:p w14:paraId="0A207EC9">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无组织</w:t>
                  </w:r>
                </w:p>
              </w:tc>
              <w:tc>
                <w:tcPr>
                  <w:tcW w:w="2610" w:type="dxa"/>
                  <w:vAlign w:val="top"/>
                </w:tcPr>
                <w:p w14:paraId="4A047EE3">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无组织</w:t>
                  </w:r>
                </w:p>
              </w:tc>
            </w:tr>
            <w:tr w14:paraId="7638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restart"/>
                  <w:vAlign w:val="center"/>
                </w:tcPr>
                <w:p w14:paraId="19B10315">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治理设施</w:t>
                  </w:r>
                </w:p>
              </w:tc>
              <w:tc>
                <w:tcPr>
                  <w:tcW w:w="1906" w:type="dxa"/>
                </w:tcPr>
                <w:p w14:paraId="397A86AE">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处理能力</w:t>
                  </w:r>
                </w:p>
              </w:tc>
              <w:tc>
                <w:tcPr>
                  <w:tcW w:w="1904" w:type="dxa"/>
                </w:tcPr>
                <w:p w14:paraId="5E346346">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77000m</w:t>
                  </w:r>
                  <w:r>
                    <w:rPr>
                      <w:rFonts w:hint="eastAsia" w:ascii="Times New Roman" w:hAnsi="Times New Roman"/>
                      <w:b w:val="0"/>
                      <w:bCs/>
                      <w:color w:val="auto"/>
                      <w:kern w:val="24"/>
                      <w:sz w:val="21"/>
                      <w:szCs w:val="24"/>
                      <w:highlight w:val="none"/>
                      <w:vertAlign w:val="superscript"/>
                      <w:lang w:val="en-US" w:eastAsia="zh-CN"/>
                    </w:rPr>
                    <w:t>3</w:t>
                  </w:r>
                  <w:r>
                    <w:rPr>
                      <w:rFonts w:hint="eastAsia" w:ascii="Times New Roman" w:hAnsi="Times New Roman"/>
                      <w:b w:val="0"/>
                      <w:bCs/>
                      <w:color w:val="auto"/>
                      <w:kern w:val="24"/>
                      <w:sz w:val="21"/>
                      <w:szCs w:val="24"/>
                      <w:highlight w:val="none"/>
                      <w:vertAlign w:val="baseline"/>
                      <w:lang w:val="en-US" w:eastAsia="zh-CN"/>
                    </w:rPr>
                    <w:t>/h</w:t>
                  </w:r>
                </w:p>
              </w:tc>
              <w:tc>
                <w:tcPr>
                  <w:tcW w:w="2010" w:type="dxa"/>
                </w:tcPr>
                <w:p w14:paraId="73498294">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77000m</w:t>
                  </w:r>
                  <w:r>
                    <w:rPr>
                      <w:rFonts w:hint="eastAsia" w:ascii="Times New Roman" w:hAnsi="Times New Roman"/>
                      <w:b w:val="0"/>
                      <w:bCs/>
                      <w:color w:val="auto"/>
                      <w:kern w:val="24"/>
                      <w:sz w:val="21"/>
                      <w:szCs w:val="24"/>
                      <w:highlight w:val="none"/>
                      <w:vertAlign w:val="superscript"/>
                      <w:lang w:val="en-US" w:eastAsia="zh-CN"/>
                    </w:rPr>
                    <w:t>3</w:t>
                  </w:r>
                  <w:r>
                    <w:rPr>
                      <w:rFonts w:hint="eastAsia" w:ascii="Times New Roman" w:hAnsi="Times New Roman"/>
                      <w:b w:val="0"/>
                      <w:bCs/>
                      <w:color w:val="auto"/>
                      <w:kern w:val="24"/>
                      <w:sz w:val="21"/>
                      <w:szCs w:val="24"/>
                      <w:highlight w:val="none"/>
                      <w:vertAlign w:val="baseline"/>
                      <w:lang w:val="en-US" w:eastAsia="zh-CN"/>
                    </w:rPr>
                    <w:t>/h</w:t>
                  </w:r>
                </w:p>
              </w:tc>
              <w:tc>
                <w:tcPr>
                  <w:tcW w:w="1879" w:type="dxa"/>
                </w:tcPr>
                <w:p w14:paraId="04E619ED">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96</w:t>
                  </w:r>
                  <w:r>
                    <w:rPr>
                      <w:rFonts w:hint="eastAsia" w:ascii="Times New Roman" w:hAnsi="Times New Roman"/>
                      <w:b w:val="0"/>
                      <w:bCs/>
                      <w:color w:val="auto"/>
                      <w:kern w:val="24"/>
                      <w:sz w:val="21"/>
                      <w:szCs w:val="24"/>
                      <w:highlight w:val="none"/>
                      <w:vertAlign w:val="baseline"/>
                      <w:lang w:val="en-US" w:eastAsia="zh-CN"/>
                    </w:rPr>
                    <w:t>000m</w:t>
                  </w:r>
                  <w:r>
                    <w:rPr>
                      <w:rFonts w:hint="eastAsia" w:ascii="Times New Roman" w:hAnsi="Times New Roman"/>
                      <w:b w:val="0"/>
                      <w:bCs/>
                      <w:color w:val="auto"/>
                      <w:kern w:val="24"/>
                      <w:sz w:val="21"/>
                      <w:szCs w:val="24"/>
                      <w:highlight w:val="none"/>
                      <w:vertAlign w:val="superscript"/>
                      <w:lang w:val="en-US" w:eastAsia="zh-CN"/>
                    </w:rPr>
                    <w:t>3</w:t>
                  </w:r>
                  <w:r>
                    <w:rPr>
                      <w:rFonts w:hint="eastAsia" w:ascii="Times New Roman" w:hAnsi="Times New Roman"/>
                      <w:b w:val="0"/>
                      <w:bCs/>
                      <w:color w:val="auto"/>
                      <w:kern w:val="24"/>
                      <w:sz w:val="21"/>
                      <w:szCs w:val="24"/>
                      <w:highlight w:val="none"/>
                      <w:vertAlign w:val="baseline"/>
                      <w:lang w:val="en-US" w:eastAsia="zh-CN"/>
                    </w:rPr>
                    <w:t>/h</w:t>
                  </w:r>
                </w:p>
              </w:tc>
              <w:tc>
                <w:tcPr>
                  <w:tcW w:w="2576" w:type="dxa"/>
                </w:tcPr>
                <w:p w14:paraId="61F113E4">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c>
                <w:tcPr>
                  <w:tcW w:w="2610" w:type="dxa"/>
                  <w:vAlign w:val="top"/>
                </w:tcPr>
                <w:p w14:paraId="5E9BFDAC">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eastAsia="zh-CN"/>
                    </w:rPr>
                    <w:t>——</w:t>
                  </w:r>
                </w:p>
              </w:tc>
            </w:tr>
            <w:tr w14:paraId="0BA2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697B3A82">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rPr>
                  </w:pPr>
                </w:p>
              </w:tc>
              <w:tc>
                <w:tcPr>
                  <w:tcW w:w="1906" w:type="dxa"/>
                </w:tcPr>
                <w:p w14:paraId="04E15DB0">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收集效率</w:t>
                  </w:r>
                </w:p>
              </w:tc>
              <w:tc>
                <w:tcPr>
                  <w:tcW w:w="1904" w:type="dxa"/>
                </w:tcPr>
                <w:p w14:paraId="5EC3E95E">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9</w:t>
                  </w:r>
                  <w:r>
                    <w:rPr>
                      <w:rFonts w:hint="eastAsia" w:ascii="Times New Roman" w:hAnsi="Times New Roman" w:eastAsia="宋体"/>
                      <w:b w:val="0"/>
                      <w:bCs/>
                      <w:color w:val="auto"/>
                      <w:kern w:val="24"/>
                      <w:sz w:val="21"/>
                      <w:szCs w:val="24"/>
                      <w:highlight w:val="none"/>
                      <w:vertAlign w:val="baseline"/>
                      <w:lang w:val="en-US" w:eastAsia="zh-CN"/>
                    </w:rPr>
                    <w:t>0%</w:t>
                  </w:r>
                </w:p>
              </w:tc>
              <w:tc>
                <w:tcPr>
                  <w:tcW w:w="2010" w:type="dxa"/>
                  <w:vAlign w:val="top"/>
                </w:tcPr>
                <w:p w14:paraId="3570019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9</w:t>
                  </w:r>
                  <w:r>
                    <w:rPr>
                      <w:rFonts w:hint="eastAsia" w:ascii="Times New Roman" w:hAnsi="Times New Roman" w:eastAsia="宋体"/>
                      <w:b w:val="0"/>
                      <w:bCs/>
                      <w:color w:val="auto"/>
                      <w:kern w:val="24"/>
                      <w:sz w:val="21"/>
                      <w:szCs w:val="24"/>
                      <w:highlight w:val="none"/>
                      <w:vertAlign w:val="baseline"/>
                      <w:lang w:val="en-US" w:eastAsia="zh-CN"/>
                    </w:rPr>
                    <w:t>0%</w:t>
                  </w:r>
                </w:p>
              </w:tc>
              <w:tc>
                <w:tcPr>
                  <w:tcW w:w="1879" w:type="dxa"/>
                  <w:vAlign w:val="top"/>
                </w:tcPr>
                <w:p w14:paraId="20B4BA02">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9</w:t>
                  </w:r>
                  <w:r>
                    <w:rPr>
                      <w:rFonts w:hint="eastAsia" w:ascii="Times New Roman" w:hAnsi="Times New Roman" w:eastAsia="宋体"/>
                      <w:b w:val="0"/>
                      <w:bCs/>
                      <w:color w:val="auto"/>
                      <w:kern w:val="24"/>
                      <w:sz w:val="21"/>
                      <w:szCs w:val="24"/>
                      <w:highlight w:val="none"/>
                      <w:vertAlign w:val="baseline"/>
                      <w:lang w:val="en-US" w:eastAsia="zh-CN"/>
                    </w:rPr>
                    <w:t>0%</w:t>
                  </w:r>
                </w:p>
              </w:tc>
              <w:tc>
                <w:tcPr>
                  <w:tcW w:w="2576" w:type="dxa"/>
                </w:tcPr>
                <w:p w14:paraId="46592D4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c>
                <w:tcPr>
                  <w:tcW w:w="2610" w:type="dxa"/>
                  <w:vAlign w:val="top"/>
                </w:tcPr>
                <w:p w14:paraId="1D679955">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eastAsia="zh-CN"/>
                    </w:rPr>
                    <w:t>——</w:t>
                  </w:r>
                </w:p>
              </w:tc>
            </w:tr>
            <w:tr w14:paraId="5F1D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2398BB6D">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rPr>
                  </w:pPr>
                </w:p>
              </w:tc>
              <w:tc>
                <w:tcPr>
                  <w:tcW w:w="1906" w:type="dxa"/>
                  <w:vAlign w:val="center"/>
                </w:tcPr>
                <w:p w14:paraId="2669C941">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default"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治理工艺</w:t>
                  </w:r>
                </w:p>
              </w:tc>
              <w:tc>
                <w:tcPr>
                  <w:tcW w:w="1904" w:type="dxa"/>
                  <w:vAlign w:val="center"/>
                </w:tcPr>
                <w:p w14:paraId="44946E64">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集气罩+袋式除尘器</w:t>
                  </w:r>
                </w:p>
              </w:tc>
              <w:tc>
                <w:tcPr>
                  <w:tcW w:w="2010" w:type="dxa"/>
                  <w:vAlign w:val="center"/>
                </w:tcPr>
                <w:p w14:paraId="0F44F6E1">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集气罩+袋式除尘器</w:t>
                  </w:r>
                </w:p>
              </w:tc>
              <w:tc>
                <w:tcPr>
                  <w:tcW w:w="1879" w:type="dxa"/>
                  <w:vAlign w:val="center"/>
                </w:tcPr>
                <w:p w14:paraId="1E94F14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集气罩+袋式除尘器</w:t>
                  </w:r>
                </w:p>
              </w:tc>
              <w:tc>
                <w:tcPr>
                  <w:tcW w:w="5186" w:type="dxa"/>
                  <w:gridSpan w:val="2"/>
                  <w:vAlign w:val="center"/>
                </w:tcPr>
                <w:p w14:paraId="01C2DB6B">
                  <w:pPr>
                    <w:keepNext w:val="0"/>
                    <w:keepLines w:val="0"/>
                    <w:pageBreakBefore w:val="0"/>
                    <w:kinsoku/>
                    <w:wordWrap/>
                    <w:overflowPunct/>
                    <w:topLinePunct w:val="0"/>
                    <w:bidi w:val="0"/>
                    <w:adjustRightInd w:val="0"/>
                    <w:snapToGrid w:val="0"/>
                    <w:jc w:val="both"/>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①生产车间封闭厂房，原料</w:t>
                  </w:r>
                  <w:r>
                    <w:rPr>
                      <w:rFonts w:hint="default" w:ascii="Times New Roman" w:hAnsi="Times New Roman" w:eastAsia="宋体" w:cs="Times New Roman"/>
                      <w:color w:val="auto"/>
                      <w:kern w:val="0"/>
                      <w:sz w:val="21"/>
                      <w:szCs w:val="21"/>
                      <w:highlight w:val="none"/>
                      <w:lang w:val="en-US" w:eastAsia="zh-CN" w:bidi="ar"/>
                    </w:rPr>
                    <w:t>堆场、装卸区设置</w:t>
                  </w:r>
                  <w:r>
                    <w:rPr>
                      <w:rFonts w:hint="eastAsia" w:ascii="Times New Roman" w:hAnsi="Times New Roman" w:eastAsia="宋体" w:cs="Times New Roman"/>
                      <w:color w:val="auto"/>
                      <w:kern w:val="0"/>
                      <w:sz w:val="21"/>
                      <w:szCs w:val="21"/>
                      <w:highlight w:val="none"/>
                      <w:lang w:val="en-US" w:eastAsia="zh-CN" w:bidi="ar"/>
                    </w:rPr>
                    <w:t>三面围挡</w:t>
                  </w:r>
                  <w:r>
                    <w:rPr>
                      <w:rFonts w:hint="eastAsia" w:ascii="Times New Roman" w:hAnsi="Times New Roman" w:eastAsia="宋体" w:cs="Times New Roman"/>
                      <w:color w:val="auto"/>
                      <w:sz w:val="21"/>
                      <w:szCs w:val="21"/>
                      <w:highlight w:val="none"/>
                      <w:vertAlign w:val="baseline"/>
                      <w:lang w:val="en-US" w:eastAsia="zh-CN"/>
                    </w:rPr>
                    <w:t>加顶棚</w:t>
                  </w:r>
                  <w:r>
                    <w:rPr>
                      <w:rFonts w:hint="eastAsia" w:ascii="Times New Roman" w:hAnsi="Times New Roman" w:eastAsia="宋体" w:cs="Times New Roman"/>
                      <w:color w:val="auto"/>
                      <w:kern w:val="0"/>
                      <w:sz w:val="21"/>
                      <w:szCs w:val="21"/>
                      <w:highlight w:val="none"/>
                      <w:lang w:val="en-US" w:eastAsia="zh-CN" w:bidi="ar"/>
                    </w:rPr>
                    <w:t>车间内</w:t>
                  </w:r>
                  <w:r>
                    <w:rPr>
                      <w:rFonts w:hint="default" w:ascii="Times New Roman" w:hAnsi="Times New Roman" w:eastAsia="宋体" w:cs="Times New Roman"/>
                      <w:color w:val="auto"/>
                      <w:kern w:val="0"/>
                      <w:sz w:val="21"/>
                      <w:szCs w:val="21"/>
                      <w:highlight w:val="none"/>
                      <w:lang w:val="en-US" w:eastAsia="zh-CN" w:bidi="ar"/>
                    </w:rPr>
                    <w:t>，车间地面硬化处理</w:t>
                  </w:r>
                  <w:r>
                    <w:rPr>
                      <w:rFonts w:hint="eastAsia" w:ascii="Times New Roman" w:hAnsi="Times New Roman" w:eastAsia="宋体" w:cs="Times New Roman"/>
                      <w:color w:val="auto"/>
                      <w:kern w:val="0"/>
                      <w:sz w:val="21"/>
                      <w:szCs w:val="21"/>
                      <w:highlight w:val="none"/>
                      <w:lang w:val="en-US" w:eastAsia="zh-CN" w:bidi="ar"/>
                    </w:rPr>
                    <w:t>；</w:t>
                  </w:r>
                </w:p>
                <w:p w14:paraId="5E6BA09E">
                  <w:pPr>
                    <w:pStyle w:val="96"/>
                    <w:keepNext w:val="0"/>
                    <w:keepLines w:val="0"/>
                    <w:pageBreakBefore w:val="0"/>
                    <w:widowControl w:val="0"/>
                    <w:kinsoku/>
                    <w:wordWrap/>
                    <w:overflowPunct/>
                    <w:topLinePunct w:val="0"/>
                    <w:autoSpaceDE/>
                    <w:autoSpaceDN/>
                    <w:bidi w:val="0"/>
                    <w:adjustRightInd w:val="0"/>
                    <w:snapToGrid w:val="0"/>
                    <w:jc w:val="both"/>
                    <w:rPr>
                      <w:rFonts w:hint="eastAsia" w:ascii="Times New Roman" w:hAnsi="Times New Roman" w:eastAsia="宋体" w:cs="Times New Roman"/>
                      <w:color w:val="auto"/>
                      <w:kern w:val="0"/>
                      <w:sz w:val="21"/>
                      <w:highlight w:val="none"/>
                      <w:lang w:val="en-US" w:eastAsia="zh-CN"/>
                    </w:rPr>
                  </w:pPr>
                  <w:r>
                    <w:rPr>
                      <w:rFonts w:hint="eastAsia" w:ascii="Times New Roman" w:hAnsi="Times New Roman" w:eastAsia="宋体" w:cs="Times New Roman"/>
                      <w:color w:val="auto"/>
                      <w:kern w:val="0"/>
                      <w:sz w:val="21"/>
                      <w:highlight w:val="none"/>
                      <w:lang w:val="en-US" w:eastAsia="zh-CN"/>
                    </w:rPr>
                    <w:t>②堆料大棚设置洒水喷头50个，配套输水管道，定期洒水降尘；</w:t>
                  </w:r>
                </w:p>
                <w:p w14:paraId="293367D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color w:val="auto"/>
                      <w:lang w:val="en-US" w:eastAsia="zh-CN"/>
                    </w:rPr>
                  </w:pPr>
                  <w:r>
                    <w:rPr>
                      <w:rFonts w:hint="eastAsia"/>
                      <w:color w:val="auto"/>
                      <w:lang w:val="en-US" w:eastAsia="zh-CN"/>
                    </w:rPr>
                    <w:t>③生产线破碎机、振动筛设置集气罩，滚筒筛封闭设置。</w:t>
                  </w:r>
                </w:p>
                <w:p w14:paraId="605709E5">
                  <w:pPr>
                    <w:keepNext w:val="0"/>
                    <w:keepLines w:val="0"/>
                    <w:pageBreakBefore w:val="0"/>
                    <w:kinsoku/>
                    <w:wordWrap/>
                    <w:overflowPunct/>
                    <w:topLinePunct w:val="0"/>
                    <w:bidi w:val="0"/>
                    <w:adjustRightInd w:val="0"/>
                    <w:snapToGrid w:val="0"/>
                    <w:jc w:val="both"/>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④</w:t>
                  </w:r>
                  <w:r>
                    <w:rPr>
                      <w:rFonts w:hint="default" w:ascii="Times New Roman" w:hAnsi="Times New Roman" w:eastAsia="宋体" w:cs="Times New Roman"/>
                      <w:color w:val="auto"/>
                      <w:kern w:val="0"/>
                      <w:sz w:val="21"/>
                      <w:szCs w:val="21"/>
                      <w:highlight w:val="none"/>
                      <w:lang w:val="en-US" w:eastAsia="zh-CN" w:bidi="ar"/>
                    </w:rPr>
                    <w:t>运输车辆加盖篷布及时清扫、</w:t>
                  </w:r>
                  <w:r>
                    <w:rPr>
                      <w:rFonts w:hint="eastAsia" w:ascii="Times New Roman" w:hAnsi="Times New Roman" w:eastAsia="宋体" w:cs="Times New Roman"/>
                      <w:color w:val="auto"/>
                      <w:kern w:val="0"/>
                      <w:sz w:val="21"/>
                      <w:szCs w:val="21"/>
                      <w:highlight w:val="none"/>
                      <w:lang w:val="en-US" w:eastAsia="zh-CN" w:bidi="ar"/>
                    </w:rPr>
                    <w:t>运输道路</w:t>
                  </w:r>
                  <w:r>
                    <w:rPr>
                      <w:rFonts w:hint="default" w:ascii="Times New Roman" w:hAnsi="Times New Roman" w:eastAsia="宋体" w:cs="Times New Roman"/>
                      <w:color w:val="auto"/>
                      <w:kern w:val="0"/>
                      <w:sz w:val="21"/>
                      <w:szCs w:val="21"/>
                      <w:highlight w:val="none"/>
                      <w:lang w:val="en-US" w:eastAsia="zh-CN" w:bidi="ar"/>
                    </w:rPr>
                    <w:t>定期洒水降尘</w:t>
                  </w:r>
                  <w:r>
                    <w:rPr>
                      <w:rFonts w:hint="eastAsia" w:ascii="Times New Roman" w:hAnsi="Times New Roman" w:eastAsia="宋体" w:cs="Times New Roman"/>
                      <w:color w:val="auto"/>
                      <w:kern w:val="0"/>
                      <w:sz w:val="21"/>
                      <w:szCs w:val="21"/>
                      <w:highlight w:val="none"/>
                      <w:lang w:val="en-US" w:eastAsia="zh-CN" w:bidi="ar"/>
                    </w:rPr>
                    <w:t>；</w:t>
                  </w:r>
                </w:p>
                <w:p w14:paraId="161D8E2F">
                  <w:pPr>
                    <w:keepNext w:val="0"/>
                    <w:keepLines w:val="0"/>
                    <w:pageBreakBefore w:val="0"/>
                    <w:kinsoku/>
                    <w:wordWrap/>
                    <w:overflowPunct/>
                    <w:topLinePunct w:val="0"/>
                    <w:bidi w:val="0"/>
                    <w:adjustRightInd w:val="0"/>
                    <w:snapToGrid w:val="0"/>
                    <w:jc w:val="both"/>
                    <w:rPr>
                      <w:rFonts w:hint="eastAsia"/>
                      <w:color w:val="auto"/>
                      <w:lang w:val="en-US" w:eastAsia="zh-CN"/>
                    </w:rPr>
                  </w:pPr>
                  <w:r>
                    <w:rPr>
                      <w:rFonts w:hint="eastAsia" w:ascii="Times New Roman" w:hAnsi="Times New Roman" w:eastAsia="宋体" w:cs="Times New Roman"/>
                      <w:color w:val="auto"/>
                      <w:kern w:val="0"/>
                      <w:sz w:val="21"/>
                      <w:szCs w:val="21"/>
                      <w:highlight w:val="none"/>
                      <w:lang w:val="en-US" w:eastAsia="zh-CN" w:bidi="ar"/>
                    </w:rPr>
                    <w:t>⑤运输车辆进入厂区进行轮胎清洗。</w:t>
                  </w:r>
                </w:p>
              </w:tc>
            </w:tr>
            <w:tr w14:paraId="114D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422A15F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rPr>
                  </w:pPr>
                </w:p>
              </w:tc>
              <w:tc>
                <w:tcPr>
                  <w:tcW w:w="1906" w:type="dxa"/>
                  <w:vAlign w:val="top"/>
                </w:tcPr>
                <w:p w14:paraId="1FD74316">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治理工艺去除效率</w:t>
                  </w:r>
                </w:p>
              </w:tc>
              <w:tc>
                <w:tcPr>
                  <w:tcW w:w="1904" w:type="dxa"/>
                </w:tcPr>
                <w:p w14:paraId="30712F95">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99%</w:t>
                  </w:r>
                </w:p>
              </w:tc>
              <w:tc>
                <w:tcPr>
                  <w:tcW w:w="2010" w:type="dxa"/>
                  <w:vAlign w:val="top"/>
                </w:tcPr>
                <w:p w14:paraId="28B6CD2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99%</w:t>
                  </w:r>
                </w:p>
              </w:tc>
              <w:tc>
                <w:tcPr>
                  <w:tcW w:w="1879" w:type="dxa"/>
                  <w:vAlign w:val="top"/>
                </w:tcPr>
                <w:p w14:paraId="1F0B7D70">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99%</w:t>
                  </w:r>
                </w:p>
              </w:tc>
              <w:tc>
                <w:tcPr>
                  <w:tcW w:w="2576" w:type="dxa"/>
                </w:tcPr>
                <w:p w14:paraId="05762680">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80%</w:t>
                  </w:r>
                </w:p>
              </w:tc>
              <w:tc>
                <w:tcPr>
                  <w:tcW w:w="2610" w:type="dxa"/>
                  <w:vAlign w:val="top"/>
                </w:tcPr>
                <w:p w14:paraId="1D1DA44F">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95.84</w:t>
                  </w:r>
                  <w:r>
                    <w:rPr>
                      <w:rFonts w:hint="eastAsia" w:ascii="Times New Roman" w:hAnsi="Times New Roman"/>
                      <w:b w:val="0"/>
                      <w:bCs/>
                      <w:color w:val="auto"/>
                      <w:kern w:val="24"/>
                      <w:sz w:val="21"/>
                      <w:szCs w:val="24"/>
                      <w:highlight w:val="none"/>
                      <w:vertAlign w:val="baseline"/>
                      <w:lang w:val="en-US" w:eastAsia="zh-CN"/>
                    </w:rPr>
                    <w:t>%</w:t>
                  </w:r>
                </w:p>
              </w:tc>
            </w:tr>
            <w:tr w14:paraId="6CF5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3CF7130D">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rPr>
                  </w:pPr>
                </w:p>
              </w:tc>
              <w:tc>
                <w:tcPr>
                  <w:tcW w:w="1906" w:type="dxa"/>
                  <w:vAlign w:val="top"/>
                </w:tcPr>
                <w:p w14:paraId="72509E49">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color w:val="auto"/>
                      <w:kern w:val="24"/>
                      <w:sz w:val="21"/>
                      <w:szCs w:val="24"/>
                      <w:highlight w:val="none"/>
                      <w:vertAlign w:val="baseline"/>
                    </w:rPr>
                  </w:pPr>
                  <w:r>
                    <w:rPr>
                      <w:rFonts w:hint="eastAsia" w:ascii="Times New Roman" w:hAnsi="Times New Roman" w:eastAsia="宋体"/>
                      <w:b/>
                      <w:color w:val="auto"/>
                      <w:kern w:val="24"/>
                      <w:sz w:val="21"/>
                      <w:szCs w:val="24"/>
                      <w:highlight w:val="none"/>
                      <w:vertAlign w:val="baseline"/>
                      <w:lang w:val="en-US" w:eastAsia="zh-CN"/>
                    </w:rPr>
                    <w:t>是否为可行技术</w:t>
                  </w:r>
                </w:p>
              </w:tc>
              <w:tc>
                <w:tcPr>
                  <w:tcW w:w="1904" w:type="dxa"/>
                </w:tcPr>
                <w:p w14:paraId="7252BA1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是</w:t>
                  </w:r>
                </w:p>
              </w:tc>
              <w:tc>
                <w:tcPr>
                  <w:tcW w:w="2010" w:type="dxa"/>
                  <w:vAlign w:val="top"/>
                </w:tcPr>
                <w:p w14:paraId="27D9DF5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是</w:t>
                  </w:r>
                </w:p>
              </w:tc>
              <w:tc>
                <w:tcPr>
                  <w:tcW w:w="1879" w:type="dxa"/>
                  <w:vAlign w:val="top"/>
                </w:tcPr>
                <w:p w14:paraId="7817250C">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是</w:t>
                  </w:r>
                </w:p>
              </w:tc>
              <w:tc>
                <w:tcPr>
                  <w:tcW w:w="2576" w:type="dxa"/>
                </w:tcPr>
                <w:p w14:paraId="1A2E0E23">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b w:val="0"/>
                      <w:bCs/>
                      <w:color w:val="auto"/>
                      <w:kern w:val="24"/>
                      <w:sz w:val="21"/>
                      <w:szCs w:val="24"/>
                      <w:highlight w:val="none"/>
                      <w:vertAlign w:val="baseline"/>
                      <w:lang w:val="en-US" w:eastAsia="zh-CN"/>
                    </w:rPr>
                    <w:t>是</w:t>
                  </w:r>
                </w:p>
              </w:tc>
              <w:tc>
                <w:tcPr>
                  <w:tcW w:w="2610" w:type="dxa"/>
                  <w:vAlign w:val="top"/>
                </w:tcPr>
                <w:p w14:paraId="57651415">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是</w:t>
                  </w:r>
                </w:p>
              </w:tc>
            </w:tr>
            <w:tr w14:paraId="4BCD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765" w:type="dxa"/>
                  <w:gridSpan w:val="2"/>
                  <w:vAlign w:val="top"/>
                </w:tcPr>
                <w:p w14:paraId="2993A805">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color w:val="auto"/>
                      <w:kern w:val="24"/>
                      <w:sz w:val="21"/>
                      <w:szCs w:val="24"/>
                      <w:highlight w:val="none"/>
                      <w:vertAlign w:val="baseline"/>
                    </w:rPr>
                  </w:pPr>
                  <w:r>
                    <w:rPr>
                      <w:rFonts w:hint="eastAsia" w:ascii="Times New Roman" w:hAnsi="Times New Roman" w:eastAsia="宋体"/>
                      <w:b/>
                      <w:color w:val="auto"/>
                      <w:kern w:val="24"/>
                      <w:sz w:val="21"/>
                      <w:szCs w:val="24"/>
                      <w:highlight w:val="none"/>
                      <w:vertAlign w:val="baseline"/>
                      <w:lang w:val="en-US" w:eastAsia="zh-CN"/>
                    </w:rPr>
                    <w:t>污染物排放浓度（mg/m</w:t>
                  </w:r>
                  <w:r>
                    <w:rPr>
                      <w:rFonts w:hint="eastAsia" w:ascii="Times New Roman" w:hAnsi="Times New Roman" w:eastAsia="宋体"/>
                      <w:b/>
                      <w:color w:val="auto"/>
                      <w:kern w:val="24"/>
                      <w:sz w:val="21"/>
                      <w:szCs w:val="24"/>
                      <w:highlight w:val="none"/>
                      <w:vertAlign w:val="superscript"/>
                      <w:lang w:val="en-US" w:eastAsia="zh-CN"/>
                    </w:rPr>
                    <w:t>3</w:t>
                  </w:r>
                  <w:r>
                    <w:rPr>
                      <w:rFonts w:hint="eastAsia" w:ascii="Times New Roman" w:hAnsi="Times New Roman" w:eastAsia="宋体"/>
                      <w:b/>
                      <w:color w:val="auto"/>
                      <w:kern w:val="24"/>
                      <w:sz w:val="21"/>
                      <w:szCs w:val="24"/>
                      <w:highlight w:val="none"/>
                      <w:vertAlign w:val="baseline"/>
                      <w:lang w:val="en-US" w:eastAsia="zh-CN"/>
                    </w:rPr>
                    <w:t>）</w:t>
                  </w:r>
                </w:p>
              </w:tc>
              <w:tc>
                <w:tcPr>
                  <w:tcW w:w="1904" w:type="dxa"/>
                </w:tcPr>
                <w:p w14:paraId="191B5D74">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12.86</w:t>
                  </w:r>
                </w:p>
              </w:tc>
              <w:tc>
                <w:tcPr>
                  <w:tcW w:w="2010" w:type="dxa"/>
                  <w:vAlign w:val="top"/>
                </w:tcPr>
                <w:p w14:paraId="239500B9">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12.86</w:t>
                  </w:r>
                </w:p>
              </w:tc>
              <w:tc>
                <w:tcPr>
                  <w:tcW w:w="1879" w:type="dxa"/>
                  <w:vAlign w:val="top"/>
                </w:tcPr>
                <w:p w14:paraId="0F0FE50F">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18.13</w:t>
                  </w:r>
                </w:p>
              </w:tc>
              <w:tc>
                <w:tcPr>
                  <w:tcW w:w="2576" w:type="dxa"/>
                </w:tcPr>
                <w:p w14:paraId="31F3608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c>
                <w:tcPr>
                  <w:tcW w:w="2610" w:type="dxa"/>
                  <w:vAlign w:val="top"/>
                </w:tcPr>
                <w:p w14:paraId="6DA33D5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eastAsia="zh-CN"/>
                    </w:rPr>
                    <w:t>——</w:t>
                  </w:r>
                </w:p>
              </w:tc>
            </w:tr>
            <w:tr w14:paraId="193A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765" w:type="dxa"/>
                  <w:gridSpan w:val="2"/>
                  <w:vAlign w:val="top"/>
                </w:tcPr>
                <w:p w14:paraId="46C06575">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color w:val="auto"/>
                      <w:kern w:val="24"/>
                      <w:sz w:val="21"/>
                      <w:szCs w:val="24"/>
                      <w:highlight w:val="none"/>
                      <w:vertAlign w:val="baseline"/>
                    </w:rPr>
                  </w:pPr>
                  <w:r>
                    <w:rPr>
                      <w:rFonts w:hint="eastAsia" w:ascii="Times New Roman" w:hAnsi="Times New Roman" w:eastAsia="宋体"/>
                      <w:b/>
                      <w:color w:val="auto"/>
                      <w:kern w:val="24"/>
                      <w:sz w:val="21"/>
                      <w:szCs w:val="24"/>
                      <w:highlight w:val="none"/>
                      <w:vertAlign w:val="baseline"/>
                      <w:lang w:val="en-US" w:eastAsia="zh-CN"/>
                    </w:rPr>
                    <w:t>污染物排放速率（kg/h）</w:t>
                  </w:r>
                </w:p>
              </w:tc>
              <w:tc>
                <w:tcPr>
                  <w:tcW w:w="1904" w:type="dxa"/>
                </w:tcPr>
                <w:p w14:paraId="5585EFED">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0.99</w:t>
                  </w:r>
                </w:p>
              </w:tc>
              <w:tc>
                <w:tcPr>
                  <w:tcW w:w="2010" w:type="dxa"/>
                  <w:vAlign w:val="top"/>
                </w:tcPr>
                <w:p w14:paraId="02E702A2">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0.99</w:t>
                  </w:r>
                </w:p>
              </w:tc>
              <w:tc>
                <w:tcPr>
                  <w:tcW w:w="1879" w:type="dxa"/>
                  <w:vAlign w:val="top"/>
                </w:tcPr>
                <w:p w14:paraId="0166308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1.74</w:t>
                  </w:r>
                </w:p>
              </w:tc>
              <w:tc>
                <w:tcPr>
                  <w:tcW w:w="2576" w:type="dxa"/>
                  <w:vAlign w:val="top"/>
                </w:tcPr>
                <w:p w14:paraId="54013CF4">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rPr>
                  </w:pPr>
                  <w:r>
                    <w:rPr>
                      <w:rFonts w:hint="eastAsia"/>
                      <w:b w:val="0"/>
                      <w:bCs/>
                      <w:color w:val="auto"/>
                      <w:kern w:val="24"/>
                      <w:sz w:val="21"/>
                      <w:szCs w:val="24"/>
                      <w:highlight w:val="none"/>
                      <w:vertAlign w:val="baseline"/>
                      <w:lang w:val="en-US" w:eastAsia="zh-CN"/>
                    </w:rPr>
                    <w:t>8.27</w:t>
                  </w:r>
                </w:p>
              </w:tc>
              <w:tc>
                <w:tcPr>
                  <w:tcW w:w="2610" w:type="dxa"/>
                  <w:vAlign w:val="top"/>
                </w:tcPr>
                <w:p w14:paraId="2E182739">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2.0792</w:t>
                  </w:r>
                </w:p>
              </w:tc>
            </w:tr>
            <w:tr w14:paraId="6211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vAlign w:val="top"/>
                </w:tcPr>
                <w:p w14:paraId="20D5068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color w:val="auto"/>
                      <w:kern w:val="24"/>
                      <w:sz w:val="21"/>
                      <w:szCs w:val="24"/>
                      <w:highlight w:val="none"/>
                      <w:vertAlign w:val="baseline"/>
                    </w:rPr>
                  </w:pPr>
                  <w:r>
                    <w:rPr>
                      <w:rFonts w:hint="eastAsia" w:ascii="Times New Roman" w:hAnsi="Times New Roman" w:eastAsia="宋体"/>
                      <w:b/>
                      <w:color w:val="auto"/>
                      <w:kern w:val="24"/>
                      <w:sz w:val="21"/>
                      <w:szCs w:val="24"/>
                      <w:highlight w:val="none"/>
                      <w:vertAlign w:val="baseline"/>
                      <w:lang w:val="en-US" w:eastAsia="zh-CN"/>
                    </w:rPr>
                    <w:t>污染物排放量（t/a）</w:t>
                  </w:r>
                </w:p>
              </w:tc>
              <w:tc>
                <w:tcPr>
                  <w:tcW w:w="1904" w:type="dxa"/>
                </w:tcPr>
                <w:p w14:paraId="3F33B83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2.376</w:t>
                  </w:r>
                </w:p>
              </w:tc>
              <w:tc>
                <w:tcPr>
                  <w:tcW w:w="2010" w:type="dxa"/>
                  <w:vAlign w:val="top"/>
                </w:tcPr>
                <w:p w14:paraId="39BF9DFA">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2.376</w:t>
                  </w:r>
                </w:p>
              </w:tc>
              <w:tc>
                <w:tcPr>
                  <w:tcW w:w="1879" w:type="dxa"/>
                  <w:vAlign w:val="top"/>
                </w:tcPr>
                <w:p w14:paraId="7DDC80F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4.176</w:t>
                  </w:r>
                </w:p>
              </w:tc>
              <w:tc>
                <w:tcPr>
                  <w:tcW w:w="2576" w:type="dxa"/>
                  <w:vAlign w:val="top"/>
                </w:tcPr>
                <w:p w14:paraId="7A19F112">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rPr>
                  </w:pPr>
                  <w:r>
                    <w:rPr>
                      <w:rFonts w:hint="eastAsia"/>
                      <w:b w:val="0"/>
                      <w:bCs/>
                      <w:color w:val="auto"/>
                      <w:kern w:val="24"/>
                      <w:sz w:val="21"/>
                      <w:szCs w:val="24"/>
                      <w:highlight w:val="none"/>
                      <w:vertAlign w:val="baseline"/>
                      <w:lang w:val="en-US" w:eastAsia="zh-CN"/>
                    </w:rPr>
                    <w:t>19.84</w:t>
                  </w:r>
                </w:p>
              </w:tc>
              <w:tc>
                <w:tcPr>
                  <w:tcW w:w="2610" w:type="dxa"/>
                  <w:vAlign w:val="top"/>
                </w:tcPr>
                <w:p w14:paraId="5217A35F">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18.2141</w:t>
                  </w:r>
                </w:p>
              </w:tc>
            </w:tr>
            <w:tr w14:paraId="5A35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restart"/>
                  <w:vAlign w:val="center"/>
                </w:tcPr>
                <w:p w14:paraId="262C1651">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排放口基本情况</w:t>
                  </w:r>
                </w:p>
              </w:tc>
              <w:tc>
                <w:tcPr>
                  <w:tcW w:w="1906" w:type="dxa"/>
                </w:tcPr>
                <w:p w14:paraId="14BF6DC0">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排气筒高度</w:t>
                  </w:r>
                </w:p>
              </w:tc>
              <w:tc>
                <w:tcPr>
                  <w:tcW w:w="1904" w:type="dxa"/>
                  <w:vAlign w:val="top"/>
                </w:tcPr>
                <w:p w14:paraId="07732601">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1</w:t>
                  </w:r>
                  <w:r>
                    <w:rPr>
                      <w:rFonts w:hint="eastAsia"/>
                      <w:b w:val="0"/>
                      <w:bCs/>
                      <w:color w:val="auto"/>
                      <w:kern w:val="24"/>
                      <w:sz w:val="21"/>
                      <w:szCs w:val="24"/>
                      <w:highlight w:val="none"/>
                      <w:vertAlign w:val="baseline"/>
                      <w:lang w:val="en-US" w:eastAsia="zh-CN"/>
                    </w:rPr>
                    <w:t>6</w:t>
                  </w:r>
                  <w:r>
                    <w:rPr>
                      <w:rFonts w:hint="eastAsia" w:ascii="Times New Roman" w:hAnsi="Times New Roman" w:eastAsia="宋体"/>
                      <w:b w:val="0"/>
                      <w:bCs/>
                      <w:color w:val="auto"/>
                      <w:kern w:val="24"/>
                      <w:sz w:val="21"/>
                      <w:szCs w:val="24"/>
                      <w:highlight w:val="none"/>
                      <w:vertAlign w:val="baseline"/>
                      <w:lang w:val="en-US" w:eastAsia="zh-CN"/>
                    </w:rPr>
                    <w:t>m</w:t>
                  </w:r>
                </w:p>
              </w:tc>
              <w:tc>
                <w:tcPr>
                  <w:tcW w:w="2010" w:type="dxa"/>
                  <w:vAlign w:val="top"/>
                </w:tcPr>
                <w:p w14:paraId="282928F3">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1</w:t>
                  </w:r>
                  <w:r>
                    <w:rPr>
                      <w:rFonts w:hint="eastAsia"/>
                      <w:b w:val="0"/>
                      <w:bCs/>
                      <w:color w:val="auto"/>
                      <w:kern w:val="24"/>
                      <w:sz w:val="21"/>
                      <w:szCs w:val="24"/>
                      <w:highlight w:val="none"/>
                      <w:vertAlign w:val="baseline"/>
                      <w:lang w:val="en-US" w:eastAsia="zh-CN"/>
                    </w:rPr>
                    <w:t>6</w:t>
                  </w:r>
                  <w:r>
                    <w:rPr>
                      <w:rFonts w:hint="eastAsia" w:ascii="Times New Roman" w:hAnsi="Times New Roman" w:eastAsia="宋体"/>
                      <w:b w:val="0"/>
                      <w:bCs/>
                      <w:color w:val="auto"/>
                      <w:kern w:val="24"/>
                      <w:sz w:val="21"/>
                      <w:szCs w:val="24"/>
                      <w:highlight w:val="none"/>
                      <w:vertAlign w:val="baseline"/>
                      <w:lang w:val="en-US" w:eastAsia="zh-CN"/>
                    </w:rPr>
                    <w:t>m</w:t>
                  </w:r>
                </w:p>
              </w:tc>
              <w:tc>
                <w:tcPr>
                  <w:tcW w:w="1879" w:type="dxa"/>
                  <w:vAlign w:val="top"/>
                </w:tcPr>
                <w:p w14:paraId="7A625FE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1</w:t>
                  </w:r>
                  <w:r>
                    <w:rPr>
                      <w:rFonts w:hint="eastAsia"/>
                      <w:b w:val="0"/>
                      <w:bCs/>
                      <w:color w:val="auto"/>
                      <w:kern w:val="24"/>
                      <w:sz w:val="21"/>
                      <w:szCs w:val="24"/>
                      <w:highlight w:val="none"/>
                      <w:vertAlign w:val="baseline"/>
                      <w:lang w:val="en-US" w:eastAsia="zh-CN"/>
                    </w:rPr>
                    <w:t>6</w:t>
                  </w:r>
                  <w:r>
                    <w:rPr>
                      <w:rFonts w:hint="eastAsia" w:ascii="Times New Roman" w:hAnsi="Times New Roman" w:eastAsia="宋体"/>
                      <w:b w:val="0"/>
                      <w:bCs/>
                      <w:color w:val="auto"/>
                      <w:kern w:val="24"/>
                      <w:sz w:val="21"/>
                      <w:szCs w:val="24"/>
                      <w:highlight w:val="none"/>
                      <w:vertAlign w:val="baseline"/>
                      <w:lang w:val="en-US" w:eastAsia="zh-CN"/>
                    </w:rPr>
                    <w:t>m</w:t>
                  </w:r>
                </w:p>
              </w:tc>
              <w:tc>
                <w:tcPr>
                  <w:tcW w:w="2576" w:type="dxa"/>
                  <w:vAlign w:val="center"/>
                </w:tcPr>
                <w:p w14:paraId="4AF4C62E">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c>
                <w:tcPr>
                  <w:tcW w:w="2610" w:type="dxa"/>
                  <w:vAlign w:val="center"/>
                </w:tcPr>
                <w:p w14:paraId="279C687E">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r>
            <w:tr w14:paraId="0EA9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490BE95A">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rPr>
                  </w:pPr>
                </w:p>
              </w:tc>
              <w:tc>
                <w:tcPr>
                  <w:tcW w:w="1906" w:type="dxa"/>
                </w:tcPr>
                <w:p w14:paraId="6B3485DF">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排气筒内径</w:t>
                  </w:r>
                </w:p>
              </w:tc>
              <w:tc>
                <w:tcPr>
                  <w:tcW w:w="1904" w:type="dxa"/>
                  <w:vAlign w:val="top"/>
                </w:tcPr>
                <w:p w14:paraId="35F2D87D">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1.35</w:t>
                  </w:r>
                  <w:r>
                    <w:rPr>
                      <w:rFonts w:hint="eastAsia" w:ascii="Times New Roman" w:hAnsi="Times New Roman" w:eastAsia="宋体"/>
                      <w:b w:val="0"/>
                      <w:bCs/>
                      <w:color w:val="auto"/>
                      <w:kern w:val="24"/>
                      <w:sz w:val="21"/>
                      <w:szCs w:val="24"/>
                      <w:highlight w:val="none"/>
                      <w:vertAlign w:val="baseline"/>
                      <w:lang w:val="en-US" w:eastAsia="zh-CN"/>
                    </w:rPr>
                    <w:t>m</w:t>
                  </w:r>
                </w:p>
              </w:tc>
              <w:tc>
                <w:tcPr>
                  <w:tcW w:w="2010" w:type="dxa"/>
                  <w:vAlign w:val="top"/>
                </w:tcPr>
                <w:p w14:paraId="0E4E9F1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1.35</w:t>
                  </w:r>
                  <w:r>
                    <w:rPr>
                      <w:rFonts w:hint="eastAsia" w:ascii="Times New Roman" w:hAnsi="Times New Roman" w:eastAsia="宋体"/>
                      <w:b w:val="0"/>
                      <w:bCs/>
                      <w:color w:val="auto"/>
                      <w:kern w:val="24"/>
                      <w:sz w:val="21"/>
                      <w:szCs w:val="24"/>
                      <w:highlight w:val="none"/>
                      <w:vertAlign w:val="baseline"/>
                      <w:lang w:val="en-US" w:eastAsia="zh-CN"/>
                    </w:rPr>
                    <w:t>m</w:t>
                  </w:r>
                </w:p>
              </w:tc>
              <w:tc>
                <w:tcPr>
                  <w:tcW w:w="1879" w:type="dxa"/>
                  <w:vAlign w:val="top"/>
                </w:tcPr>
                <w:p w14:paraId="12551D7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1.</w:t>
                  </w:r>
                  <w:r>
                    <w:rPr>
                      <w:rFonts w:hint="eastAsia"/>
                      <w:b w:val="0"/>
                      <w:bCs/>
                      <w:color w:val="auto"/>
                      <w:kern w:val="24"/>
                      <w:sz w:val="21"/>
                      <w:szCs w:val="24"/>
                      <w:highlight w:val="none"/>
                      <w:vertAlign w:val="baseline"/>
                      <w:lang w:val="en-US" w:eastAsia="zh-CN"/>
                    </w:rPr>
                    <w:t>5</w:t>
                  </w:r>
                  <w:r>
                    <w:rPr>
                      <w:rFonts w:hint="eastAsia" w:ascii="Times New Roman" w:hAnsi="Times New Roman" w:eastAsia="宋体"/>
                      <w:b w:val="0"/>
                      <w:bCs/>
                      <w:color w:val="auto"/>
                      <w:kern w:val="24"/>
                      <w:sz w:val="21"/>
                      <w:szCs w:val="24"/>
                      <w:highlight w:val="none"/>
                      <w:vertAlign w:val="baseline"/>
                      <w:lang w:val="en-US" w:eastAsia="zh-CN"/>
                    </w:rPr>
                    <w:t>m</w:t>
                  </w:r>
                </w:p>
              </w:tc>
              <w:tc>
                <w:tcPr>
                  <w:tcW w:w="2576" w:type="dxa"/>
                  <w:vAlign w:val="center"/>
                </w:tcPr>
                <w:p w14:paraId="3DC41C3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c>
                <w:tcPr>
                  <w:tcW w:w="2610" w:type="dxa"/>
                  <w:vAlign w:val="center"/>
                </w:tcPr>
                <w:p w14:paraId="45C57AC2">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r>
            <w:tr w14:paraId="5DD0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1A5B1254">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rPr>
                  </w:pPr>
                </w:p>
              </w:tc>
              <w:tc>
                <w:tcPr>
                  <w:tcW w:w="1906" w:type="dxa"/>
                </w:tcPr>
                <w:p w14:paraId="7D90AF35">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温度</w:t>
                  </w:r>
                </w:p>
              </w:tc>
              <w:tc>
                <w:tcPr>
                  <w:tcW w:w="1904" w:type="dxa"/>
                  <w:vAlign w:val="top"/>
                </w:tcPr>
                <w:p w14:paraId="500AF4E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25℃</w:t>
                  </w:r>
                </w:p>
              </w:tc>
              <w:tc>
                <w:tcPr>
                  <w:tcW w:w="2010" w:type="dxa"/>
                  <w:vAlign w:val="top"/>
                </w:tcPr>
                <w:p w14:paraId="281C5C7D">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25℃</w:t>
                  </w:r>
                </w:p>
              </w:tc>
              <w:tc>
                <w:tcPr>
                  <w:tcW w:w="1879" w:type="dxa"/>
                  <w:vAlign w:val="top"/>
                </w:tcPr>
                <w:p w14:paraId="5F1A794C">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25℃</w:t>
                  </w:r>
                </w:p>
              </w:tc>
              <w:tc>
                <w:tcPr>
                  <w:tcW w:w="2576" w:type="dxa"/>
                  <w:vAlign w:val="center"/>
                </w:tcPr>
                <w:p w14:paraId="285DED03">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c>
                <w:tcPr>
                  <w:tcW w:w="2610" w:type="dxa"/>
                  <w:vAlign w:val="center"/>
                </w:tcPr>
                <w:p w14:paraId="4073E4C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r>
            <w:tr w14:paraId="583C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4945F85E">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rPr>
                  </w:pPr>
                </w:p>
              </w:tc>
              <w:tc>
                <w:tcPr>
                  <w:tcW w:w="1906" w:type="dxa"/>
                </w:tcPr>
                <w:p w14:paraId="205C6316">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编号及名称</w:t>
                  </w:r>
                </w:p>
              </w:tc>
              <w:tc>
                <w:tcPr>
                  <w:tcW w:w="1904" w:type="dxa"/>
                  <w:vAlign w:val="top"/>
                </w:tcPr>
                <w:p w14:paraId="359DCF6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DA001</w:t>
                  </w:r>
                </w:p>
              </w:tc>
              <w:tc>
                <w:tcPr>
                  <w:tcW w:w="2010" w:type="dxa"/>
                  <w:vAlign w:val="top"/>
                </w:tcPr>
                <w:p w14:paraId="183B4631">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DA002</w:t>
                  </w:r>
                </w:p>
              </w:tc>
              <w:tc>
                <w:tcPr>
                  <w:tcW w:w="1879" w:type="dxa"/>
                  <w:vAlign w:val="top"/>
                </w:tcPr>
                <w:p w14:paraId="2D89B490">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b w:val="0"/>
                      <w:bCs/>
                      <w:color w:val="auto"/>
                      <w:kern w:val="24"/>
                      <w:sz w:val="21"/>
                      <w:szCs w:val="24"/>
                      <w:highlight w:val="none"/>
                      <w:vertAlign w:val="baseline"/>
                      <w:lang w:val="en-US" w:eastAsia="zh-CN"/>
                    </w:rPr>
                    <w:t>DA003</w:t>
                  </w:r>
                </w:p>
              </w:tc>
              <w:tc>
                <w:tcPr>
                  <w:tcW w:w="2576" w:type="dxa"/>
                  <w:vAlign w:val="center"/>
                </w:tcPr>
                <w:p w14:paraId="41CE8A4F">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c>
                <w:tcPr>
                  <w:tcW w:w="2610" w:type="dxa"/>
                  <w:vAlign w:val="center"/>
                </w:tcPr>
                <w:p w14:paraId="5EFB5B71">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r>
            <w:tr w14:paraId="605C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28C04EFA">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rPr>
                  </w:pPr>
                </w:p>
              </w:tc>
              <w:tc>
                <w:tcPr>
                  <w:tcW w:w="1906" w:type="dxa"/>
                </w:tcPr>
                <w:p w14:paraId="3277FA5D">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类型</w:t>
                  </w:r>
                </w:p>
              </w:tc>
              <w:tc>
                <w:tcPr>
                  <w:tcW w:w="5793" w:type="dxa"/>
                  <w:gridSpan w:val="3"/>
                  <w:vAlign w:val="top"/>
                </w:tcPr>
                <w:p w14:paraId="35817B53">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ascii="Times New Roman" w:hAnsi="Times New Roman" w:eastAsia="宋体"/>
                      <w:b w:val="0"/>
                      <w:bCs/>
                      <w:color w:val="auto"/>
                      <w:kern w:val="24"/>
                      <w:sz w:val="21"/>
                      <w:szCs w:val="24"/>
                      <w:highlight w:val="none"/>
                      <w:vertAlign w:val="baseline"/>
                      <w:lang w:val="en-US" w:eastAsia="zh-CN"/>
                    </w:rPr>
                    <w:t>一般排放口</w:t>
                  </w:r>
                </w:p>
              </w:tc>
              <w:tc>
                <w:tcPr>
                  <w:tcW w:w="2576" w:type="dxa"/>
                  <w:vAlign w:val="center"/>
                </w:tcPr>
                <w:p w14:paraId="4EDABAC3">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c>
                <w:tcPr>
                  <w:tcW w:w="2610" w:type="dxa"/>
                  <w:vAlign w:val="center"/>
                </w:tcPr>
                <w:p w14:paraId="298FD499">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r>
            <w:tr w14:paraId="3CEB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41081161">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rPr>
                  </w:pPr>
                </w:p>
              </w:tc>
              <w:tc>
                <w:tcPr>
                  <w:tcW w:w="1906" w:type="dxa"/>
                </w:tcPr>
                <w:p w14:paraId="7AD314A4">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地理坐标</w:t>
                  </w:r>
                </w:p>
              </w:tc>
              <w:tc>
                <w:tcPr>
                  <w:tcW w:w="1904" w:type="dxa"/>
                  <w:tcBorders>
                    <w:right w:val="single" w:color="auto" w:sz="4" w:space="0"/>
                  </w:tcBorders>
                  <w:vAlign w:val="top"/>
                </w:tcPr>
                <w:p w14:paraId="64BB3DC5">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snapToGrid w:val="0"/>
                      <w:color w:val="auto"/>
                      <w:kern w:val="0"/>
                      <w:sz w:val="21"/>
                      <w:szCs w:val="21"/>
                      <w:highlight w:val="none"/>
                      <w:lang w:val="zh-CN"/>
                    </w:rPr>
                  </w:pPr>
                  <w:r>
                    <w:rPr>
                      <w:rFonts w:hint="eastAsia" w:ascii="Times New Roman" w:hAnsi="Times New Roman" w:eastAsia="宋体"/>
                      <w:b w:val="0"/>
                      <w:bCs/>
                      <w:color w:val="auto"/>
                      <w:kern w:val="24"/>
                      <w:sz w:val="21"/>
                      <w:szCs w:val="24"/>
                      <w:highlight w:val="none"/>
                      <w:vertAlign w:val="baseline"/>
                      <w:lang w:val="en-US" w:eastAsia="zh-CN"/>
                    </w:rPr>
                    <w:t>DA001：</w:t>
                  </w:r>
                  <w:r>
                    <w:rPr>
                      <w:rFonts w:hint="default" w:ascii="Times New Roman" w:hAnsi="Times New Roman" w:eastAsia="宋体" w:cs="Times New Roman"/>
                      <w:snapToGrid w:val="0"/>
                      <w:color w:val="auto"/>
                      <w:kern w:val="0"/>
                      <w:sz w:val="21"/>
                      <w:szCs w:val="21"/>
                      <w:highlight w:val="none"/>
                      <w:lang w:val="zh-CN"/>
                    </w:rPr>
                    <w:t>东经102°31′30.61″</w:t>
                  </w:r>
                </w:p>
                <w:p w14:paraId="147A3244">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olor w:val="auto"/>
                      <w:highlight w:val="none"/>
                      <w:lang w:val="en-US" w:eastAsia="zh-CN"/>
                    </w:rPr>
                  </w:pPr>
                  <w:r>
                    <w:rPr>
                      <w:rFonts w:hint="default" w:ascii="Times New Roman" w:hAnsi="Times New Roman" w:cs="Times New Roman"/>
                      <w:snapToGrid w:val="0"/>
                      <w:color w:val="auto"/>
                      <w:kern w:val="0"/>
                      <w:sz w:val="21"/>
                      <w:szCs w:val="21"/>
                      <w:highlight w:val="none"/>
                      <w:lang w:val="en-US" w:eastAsia="zh-CN"/>
                    </w:rPr>
                    <w:t>北纬24°14′14.06″</w:t>
                  </w:r>
                </w:p>
              </w:tc>
              <w:tc>
                <w:tcPr>
                  <w:tcW w:w="2010" w:type="dxa"/>
                  <w:tcBorders>
                    <w:right w:val="single" w:color="auto" w:sz="4" w:space="0"/>
                  </w:tcBorders>
                  <w:vAlign w:val="top"/>
                </w:tcPr>
                <w:p w14:paraId="2700C09C">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snapToGrid w:val="0"/>
                      <w:color w:val="auto"/>
                      <w:kern w:val="0"/>
                      <w:sz w:val="21"/>
                      <w:szCs w:val="21"/>
                      <w:highlight w:val="none"/>
                      <w:lang w:val="zh-CN"/>
                    </w:rPr>
                  </w:pPr>
                  <w:r>
                    <w:rPr>
                      <w:rFonts w:hint="eastAsia" w:ascii="Times New Roman" w:hAnsi="Times New Roman" w:eastAsia="宋体"/>
                      <w:b w:val="0"/>
                      <w:bCs/>
                      <w:color w:val="auto"/>
                      <w:kern w:val="24"/>
                      <w:sz w:val="21"/>
                      <w:szCs w:val="24"/>
                      <w:highlight w:val="none"/>
                      <w:vertAlign w:val="baseline"/>
                      <w:lang w:val="en-US" w:eastAsia="zh-CN"/>
                    </w:rPr>
                    <w:t>DA00</w:t>
                  </w:r>
                  <w:r>
                    <w:rPr>
                      <w:rFonts w:hint="eastAsia" w:ascii="Times New Roman" w:hAnsi="Times New Roman"/>
                      <w:b w:val="0"/>
                      <w:bCs/>
                      <w:color w:val="auto"/>
                      <w:kern w:val="24"/>
                      <w:sz w:val="21"/>
                      <w:szCs w:val="24"/>
                      <w:highlight w:val="none"/>
                      <w:vertAlign w:val="baseline"/>
                      <w:lang w:val="en-US" w:eastAsia="zh-CN"/>
                    </w:rPr>
                    <w:t>2</w:t>
                  </w:r>
                  <w:r>
                    <w:rPr>
                      <w:rFonts w:hint="eastAsia" w:ascii="Times New Roman" w:hAnsi="Times New Roman" w:eastAsia="宋体"/>
                      <w:b w:val="0"/>
                      <w:bCs/>
                      <w:color w:val="auto"/>
                      <w:kern w:val="24"/>
                      <w:sz w:val="21"/>
                      <w:szCs w:val="24"/>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lang w:val="zh-CN"/>
                    </w:rPr>
                    <w:t>东经102°31′32.89″</w:t>
                  </w:r>
                </w:p>
                <w:p w14:paraId="03E2EA3E">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default" w:ascii="Times New Roman" w:hAnsi="Times New Roman" w:cs="Times New Roman"/>
                      <w:snapToGrid w:val="0"/>
                      <w:color w:val="auto"/>
                      <w:kern w:val="0"/>
                      <w:sz w:val="21"/>
                      <w:szCs w:val="21"/>
                      <w:highlight w:val="none"/>
                      <w:lang w:val="en-US" w:eastAsia="zh-CN"/>
                    </w:rPr>
                    <w:t>北纬24°14′13.32″</w:t>
                  </w:r>
                </w:p>
              </w:tc>
              <w:tc>
                <w:tcPr>
                  <w:tcW w:w="1879" w:type="dxa"/>
                  <w:tcBorders>
                    <w:right w:val="single" w:color="auto" w:sz="4" w:space="0"/>
                  </w:tcBorders>
                  <w:vAlign w:val="top"/>
                </w:tcPr>
                <w:p w14:paraId="42F910F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snapToGrid w:val="0"/>
                      <w:color w:val="auto"/>
                      <w:kern w:val="0"/>
                      <w:sz w:val="21"/>
                      <w:szCs w:val="21"/>
                      <w:highlight w:val="none"/>
                      <w:lang w:val="zh-CN"/>
                    </w:rPr>
                  </w:pPr>
                  <w:r>
                    <w:rPr>
                      <w:rFonts w:hint="eastAsia" w:ascii="Times New Roman" w:hAnsi="Times New Roman" w:eastAsia="宋体"/>
                      <w:b w:val="0"/>
                      <w:bCs/>
                      <w:color w:val="auto"/>
                      <w:kern w:val="24"/>
                      <w:sz w:val="21"/>
                      <w:szCs w:val="24"/>
                      <w:highlight w:val="none"/>
                      <w:vertAlign w:val="baseline"/>
                      <w:lang w:val="en-US" w:eastAsia="zh-CN"/>
                    </w:rPr>
                    <w:t>DA00</w:t>
                  </w:r>
                  <w:r>
                    <w:rPr>
                      <w:rFonts w:hint="eastAsia" w:ascii="Times New Roman" w:hAnsi="Times New Roman"/>
                      <w:b w:val="0"/>
                      <w:bCs/>
                      <w:color w:val="auto"/>
                      <w:kern w:val="24"/>
                      <w:sz w:val="21"/>
                      <w:szCs w:val="24"/>
                      <w:highlight w:val="none"/>
                      <w:vertAlign w:val="baseline"/>
                      <w:lang w:val="en-US" w:eastAsia="zh-CN"/>
                    </w:rPr>
                    <w:t>3</w:t>
                  </w:r>
                  <w:r>
                    <w:rPr>
                      <w:rFonts w:hint="eastAsia" w:ascii="Times New Roman" w:hAnsi="Times New Roman" w:eastAsia="宋体"/>
                      <w:b w:val="0"/>
                      <w:bCs/>
                      <w:color w:val="auto"/>
                      <w:kern w:val="24"/>
                      <w:sz w:val="21"/>
                      <w:szCs w:val="24"/>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lang w:val="zh-CN"/>
                    </w:rPr>
                    <w:t>东经102°31′34.51″</w:t>
                  </w:r>
                </w:p>
                <w:p w14:paraId="44759B3F">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default" w:ascii="Times New Roman" w:hAnsi="Times New Roman" w:cs="Times New Roman"/>
                      <w:snapToGrid w:val="0"/>
                      <w:color w:val="auto"/>
                      <w:kern w:val="0"/>
                      <w:sz w:val="21"/>
                      <w:szCs w:val="21"/>
                      <w:highlight w:val="none"/>
                      <w:lang w:val="en-US" w:eastAsia="zh-CN"/>
                    </w:rPr>
                    <w:t>北纬24°14′13.25″</w:t>
                  </w:r>
                </w:p>
              </w:tc>
              <w:tc>
                <w:tcPr>
                  <w:tcW w:w="2576" w:type="dxa"/>
                  <w:tcBorders>
                    <w:left w:val="single" w:color="000000" w:sz="4" w:space="0"/>
                  </w:tcBorders>
                  <w:vAlign w:val="center"/>
                </w:tcPr>
                <w:p w14:paraId="1F8245A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c>
                <w:tcPr>
                  <w:tcW w:w="2610" w:type="dxa"/>
                  <w:vAlign w:val="center"/>
                </w:tcPr>
                <w:p w14:paraId="5910525D">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highlight w:val="none"/>
                      <w:vertAlign w:val="baseline"/>
                      <w:lang w:eastAsia="zh-CN"/>
                    </w:rPr>
                  </w:pPr>
                  <w:r>
                    <w:rPr>
                      <w:rFonts w:hint="eastAsia" w:ascii="Times New Roman" w:hAnsi="Times New Roman" w:eastAsia="宋体"/>
                      <w:b w:val="0"/>
                      <w:bCs/>
                      <w:color w:val="auto"/>
                      <w:kern w:val="24"/>
                      <w:sz w:val="21"/>
                      <w:szCs w:val="24"/>
                      <w:highlight w:val="none"/>
                      <w:vertAlign w:val="baseline"/>
                      <w:lang w:eastAsia="zh-CN"/>
                    </w:rPr>
                    <w:t>——</w:t>
                  </w:r>
                </w:p>
              </w:tc>
            </w:tr>
            <w:tr w14:paraId="353B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633D16C7">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排放标准</w:t>
                  </w:r>
                </w:p>
              </w:tc>
              <w:tc>
                <w:tcPr>
                  <w:tcW w:w="5793" w:type="dxa"/>
                  <w:gridSpan w:val="3"/>
                  <w:tcBorders>
                    <w:right w:val="single" w:color="auto" w:sz="4" w:space="0"/>
                  </w:tcBorders>
                </w:tcPr>
                <w:p w14:paraId="6D3412AC">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highlight w:val="none"/>
                      <w:vertAlign w:val="baseline"/>
                    </w:rPr>
                  </w:pPr>
                  <w:r>
                    <w:rPr>
                      <w:rFonts w:hint="eastAsia" w:ascii="Times New Roman" w:hAnsi="Times New Roman" w:eastAsia="宋体" w:cs="Times New Roman"/>
                      <w:color w:val="auto"/>
                      <w:sz w:val="21"/>
                      <w:highlight w:val="none"/>
                      <w:lang w:val="en-US" w:eastAsia="zh-CN"/>
                    </w:rPr>
                    <w:t>《铁矿采选工业污染物排放标准》（</w:t>
                  </w:r>
                  <w:r>
                    <w:rPr>
                      <w:rFonts w:hint="default" w:ascii="Times New Roman" w:hAnsi="Times New Roman" w:eastAsia="宋体" w:cs="Times New Roman"/>
                      <w:color w:val="auto"/>
                      <w:sz w:val="21"/>
                      <w:highlight w:val="none"/>
                      <w:lang w:val="en-US" w:eastAsia="zh-CN"/>
                    </w:rPr>
                    <w:t>GB</w:t>
                  </w:r>
                  <w:r>
                    <w:rPr>
                      <w:rFonts w:hint="eastAsia" w:ascii="Times New Roman" w:hAnsi="Times New Roman" w:eastAsia="宋体" w:cs="Times New Roman"/>
                      <w:color w:val="auto"/>
                      <w:sz w:val="21"/>
                      <w:highlight w:val="none"/>
                      <w:lang w:val="en-US" w:eastAsia="zh-CN"/>
                    </w:rPr>
                    <w:t>28661</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2021</w:t>
                  </w:r>
                  <w:r>
                    <w:rPr>
                      <w:rFonts w:hint="default" w:ascii="Times New Roman" w:hAnsi="Times New Roman" w:eastAsia="宋体" w:cs="Times New Roman"/>
                      <w:color w:val="auto"/>
                      <w:sz w:val="21"/>
                      <w:highlight w:val="none"/>
                      <w:lang w:val="en-US" w:eastAsia="zh-CN"/>
                    </w:rPr>
                    <w:t>）</w:t>
                  </w:r>
                  <w:r>
                    <w:rPr>
                      <w:rFonts w:ascii="Times New Roman" w:hAnsi="Times New Roman" w:eastAsia="宋体"/>
                      <w:color w:val="auto"/>
                      <w:sz w:val="21"/>
                      <w:highlight w:val="none"/>
                    </w:rPr>
                    <w:t>表</w:t>
                  </w:r>
                  <w:r>
                    <w:rPr>
                      <w:rFonts w:hint="eastAsia" w:ascii="Times New Roman" w:hAnsi="Times New Roman" w:eastAsia="宋体"/>
                      <w:color w:val="auto"/>
                      <w:sz w:val="21"/>
                      <w:highlight w:val="none"/>
                      <w:lang w:val="en-US" w:eastAsia="zh-CN"/>
                    </w:rPr>
                    <w:t>5</w:t>
                  </w:r>
                  <w:r>
                    <w:rPr>
                      <w:rFonts w:ascii="Times New Roman" w:hAnsi="Times New Roman" w:eastAsia="宋体"/>
                      <w:color w:val="auto"/>
                      <w:sz w:val="21"/>
                      <w:highlight w:val="none"/>
                    </w:rPr>
                    <w:t>标准</w:t>
                  </w:r>
                  <w:r>
                    <w:rPr>
                      <w:rFonts w:hint="eastAsia" w:ascii="Times New Roman" w:hAnsi="Times New Roman" w:eastAsia="宋体"/>
                      <w:color w:val="auto"/>
                      <w:sz w:val="21"/>
                      <w:highlight w:val="none"/>
                    </w:rPr>
                    <w:t>（颗粒物≤</w:t>
                  </w:r>
                  <w:r>
                    <w:rPr>
                      <w:rFonts w:hint="eastAsia" w:ascii="Times New Roman" w:hAnsi="Times New Roman" w:eastAsia="宋体"/>
                      <w:color w:val="auto"/>
                      <w:sz w:val="21"/>
                      <w:highlight w:val="none"/>
                      <w:lang w:val="en-US" w:eastAsia="zh-CN"/>
                    </w:rPr>
                    <w:t>20</w:t>
                  </w:r>
                  <w:r>
                    <w:rPr>
                      <w:rFonts w:ascii="Times New Roman" w:hAnsi="Times New Roman" w:eastAsia="宋体"/>
                      <w:color w:val="auto"/>
                      <w:sz w:val="21"/>
                      <w:highlight w:val="none"/>
                    </w:rPr>
                    <w:t>mg/m</w:t>
                  </w:r>
                  <w:r>
                    <w:rPr>
                      <w:rFonts w:ascii="Times New Roman" w:hAnsi="Times New Roman" w:eastAsia="宋体"/>
                      <w:color w:val="auto"/>
                      <w:sz w:val="21"/>
                      <w:highlight w:val="none"/>
                      <w:vertAlign w:val="superscript"/>
                    </w:rPr>
                    <w:t>3</w:t>
                  </w:r>
                  <w:r>
                    <w:rPr>
                      <w:rFonts w:hint="eastAsia" w:ascii="Times New Roman" w:hAnsi="Times New Roman" w:eastAsia="宋体"/>
                      <w:color w:val="auto"/>
                      <w:sz w:val="21"/>
                      <w:highlight w:val="none"/>
                    </w:rPr>
                    <w:t>）</w:t>
                  </w:r>
                </w:p>
              </w:tc>
              <w:tc>
                <w:tcPr>
                  <w:tcW w:w="5186" w:type="dxa"/>
                  <w:gridSpan w:val="2"/>
                  <w:tcBorders>
                    <w:left w:val="single" w:color="000000" w:sz="4" w:space="0"/>
                  </w:tcBorders>
                </w:tcPr>
                <w:p w14:paraId="356E0C9D">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color w:val="auto"/>
                      <w:sz w:val="21"/>
                      <w:highlight w:val="none"/>
                    </w:rPr>
                  </w:pPr>
                  <w:r>
                    <w:rPr>
                      <w:rFonts w:hint="eastAsia" w:ascii="Times New Roman" w:hAnsi="Times New Roman" w:eastAsia="宋体" w:cs="Times New Roman"/>
                      <w:color w:val="auto"/>
                      <w:sz w:val="21"/>
                      <w:highlight w:val="none"/>
                      <w:lang w:val="en-US" w:eastAsia="zh-CN"/>
                    </w:rPr>
                    <w:t>《铁矿采选工业污染物排放标准》（</w:t>
                  </w:r>
                  <w:r>
                    <w:rPr>
                      <w:rFonts w:hint="default" w:ascii="Times New Roman" w:hAnsi="Times New Roman" w:eastAsia="宋体" w:cs="Times New Roman"/>
                      <w:color w:val="auto"/>
                      <w:sz w:val="21"/>
                      <w:highlight w:val="none"/>
                      <w:lang w:val="en-US" w:eastAsia="zh-CN"/>
                    </w:rPr>
                    <w:t>GB</w:t>
                  </w:r>
                  <w:r>
                    <w:rPr>
                      <w:rFonts w:hint="eastAsia" w:ascii="Times New Roman" w:hAnsi="Times New Roman" w:eastAsia="宋体" w:cs="Times New Roman"/>
                      <w:color w:val="auto"/>
                      <w:sz w:val="21"/>
                      <w:highlight w:val="none"/>
                      <w:lang w:val="en-US" w:eastAsia="zh-CN"/>
                    </w:rPr>
                    <w:t>28661</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2021</w:t>
                  </w:r>
                  <w:r>
                    <w:rPr>
                      <w:rFonts w:hint="default" w:ascii="Times New Roman" w:hAnsi="Times New Roman" w:eastAsia="宋体" w:cs="Times New Roman"/>
                      <w:color w:val="auto"/>
                      <w:sz w:val="21"/>
                      <w:highlight w:val="none"/>
                      <w:lang w:val="en-US" w:eastAsia="zh-CN"/>
                    </w:rPr>
                    <w:t>）</w:t>
                  </w:r>
                  <w:r>
                    <w:rPr>
                      <w:rFonts w:ascii="Times New Roman" w:hAnsi="Times New Roman" w:eastAsia="宋体"/>
                      <w:color w:val="auto"/>
                      <w:sz w:val="21"/>
                      <w:highlight w:val="none"/>
                    </w:rPr>
                    <w:t>表</w:t>
                  </w:r>
                  <w:r>
                    <w:rPr>
                      <w:rFonts w:hint="eastAsia" w:ascii="Times New Roman" w:hAnsi="Times New Roman" w:eastAsia="宋体"/>
                      <w:color w:val="auto"/>
                      <w:sz w:val="21"/>
                      <w:highlight w:val="none"/>
                      <w:lang w:val="en-US" w:eastAsia="zh-CN"/>
                    </w:rPr>
                    <w:t>7</w:t>
                  </w:r>
                  <w:r>
                    <w:rPr>
                      <w:rFonts w:ascii="Times New Roman" w:hAnsi="Times New Roman" w:eastAsia="宋体"/>
                      <w:color w:val="auto"/>
                      <w:sz w:val="21"/>
                      <w:highlight w:val="none"/>
                    </w:rPr>
                    <w:t>标准</w:t>
                  </w:r>
                  <w:r>
                    <w:rPr>
                      <w:rFonts w:hint="eastAsia" w:ascii="Times New Roman" w:hAnsi="Times New Roman" w:eastAsia="宋体"/>
                      <w:color w:val="auto"/>
                      <w:sz w:val="21"/>
                      <w:highlight w:val="none"/>
                    </w:rPr>
                    <w:t>中无组织排放监控浓度限值（≤</w:t>
                  </w:r>
                  <w:r>
                    <w:rPr>
                      <w:rFonts w:ascii="Times New Roman" w:hAnsi="Times New Roman" w:eastAsia="宋体"/>
                      <w:color w:val="auto"/>
                      <w:sz w:val="21"/>
                      <w:highlight w:val="none"/>
                    </w:rPr>
                    <w:t>1.0</w:t>
                  </w:r>
                  <w:r>
                    <w:rPr>
                      <w:rFonts w:hint="eastAsia" w:ascii="Times New Roman" w:hAnsi="Times New Roman" w:eastAsia="宋体"/>
                      <w:color w:val="auto"/>
                      <w:sz w:val="21"/>
                      <w:highlight w:val="none"/>
                    </w:rPr>
                    <w:t>mg</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hint="eastAsia" w:ascii="Times New Roman" w:hAnsi="Times New Roman" w:eastAsia="宋体"/>
                      <w:color w:val="auto"/>
                      <w:sz w:val="21"/>
                      <w:highlight w:val="none"/>
                    </w:rPr>
                    <w:t>）</w:t>
                  </w:r>
                </w:p>
              </w:tc>
            </w:tr>
            <w:tr w14:paraId="2113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765" w:type="dxa"/>
                  <w:gridSpan w:val="2"/>
                  <w:vMerge w:val="restart"/>
                  <w:vAlign w:val="center"/>
                </w:tcPr>
                <w:p w14:paraId="7C1F40A9">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default" w:ascii="Times New Roman" w:hAnsi="Times New Roman" w:eastAsia="宋体"/>
                      <w:b/>
                      <w:color w:val="auto"/>
                      <w:kern w:val="24"/>
                      <w:sz w:val="21"/>
                      <w:szCs w:val="24"/>
                      <w:highlight w:val="none"/>
                      <w:vertAlign w:val="baseline"/>
                      <w:lang w:val="en-US" w:eastAsia="zh-CN"/>
                    </w:rPr>
                  </w:pPr>
                  <w:r>
                    <w:rPr>
                      <w:rFonts w:hint="eastAsia" w:ascii="Times New Roman" w:hAnsi="Times New Roman" w:eastAsia="宋体"/>
                      <w:b/>
                      <w:color w:val="auto"/>
                      <w:kern w:val="24"/>
                      <w:sz w:val="21"/>
                      <w:szCs w:val="24"/>
                      <w:highlight w:val="none"/>
                      <w:vertAlign w:val="baseline"/>
                      <w:lang w:val="en-US" w:eastAsia="zh-CN"/>
                    </w:rPr>
                    <w:t>合计</w:t>
                  </w:r>
                </w:p>
              </w:tc>
              <w:tc>
                <w:tcPr>
                  <w:tcW w:w="5793" w:type="dxa"/>
                  <w:gridSpan w:val="3"/>
                  <w:tcBorders>
                    <w:right w:val="single" w:color="auto" w:sz="4" w:space="0"/>
                  </w:tcBorders>
                  <w:vAlign w:val="center"/>
                </w:tcPr>
                <w:p w14:paraId="6C82C3C0">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有组织</w:t>
                  </w:r>
                </w:p>
              </w:tc>
              <w:tc>
                <w:tcPr>
                  <w:tcW w:w="2576" w:type="dxa"/>
                  <w:tcBorders>
                    <w:left w:val="single" w:color="000000" w:sz="4" w:space="0"/>
                  </w:tcBorders>
                  <w:vAlign w:val="top"/>
                </w:tcPr>
                <w:p w14:paraId="2FFAB55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颗粒物</w:t>
                  </w:r>
                </w:p>
              </w:tc>
              <w:tc>
                <w:tcPr>
                  <w:tcW w:w="2610" w:type="dxa"/>
                  <w:vAlign w:val="top"/>
                </w:tcPr>
                <w:p w14:paraId="418DF37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8.9</w:t>
                  </w:r>
                  <w:r>
                    <w:rPr>
                      <w:rFonts w:hint="eastAsia" w:ascii="Times New Roman" w:hAnsi="Times New Roman" w:cs="Times New Roman"/>
                      <w:b w:val="0"/>
                      <w:bCs/>
                      <w:color w:val="auto"/>
                      <w:highlight w:val="none"/>
                      <w:lang w:val="en-US" w:eastAsia="zh-CN"/>
                    </w:rPr>
                    <w:t>28</w:t>
                  </w:r>
                  <w:r>
                    <w:rPr>
                      <w:rFonts w:hint="eastAsia" w:ascii="Times New Roman" w:hAnsi="Times New Roman" w:eastAsia="宋体" w:cs="Times New Roman"/>
                      <w:b w:val="0"/>
                      <w:bCs/>
                      <w:color w:val="auto"/>
                      <w:highlight w:val="none"/>
                      <w:lang w:val="en-US" w:eastAsia="zh-CN"/>
                    </w:rPr>
                    <w:t>t/a</w:t>
                  </w:r>
                </w:p>
              </w:tc>
            </w:tr>
            <w:tr w14:paraId="1D90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5" w:type="dxa"/>
                  <w:gridSpan w:val="2"/>
                  <w:vMerge w:val="continue"/>
                  <w:vAlign w:val="center"/>
                </w:tcPr>
                <w:p w14:paraId="5B1732B8">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color w:val="auto"/>
                      <w:kern w:val="24"/>
                      <w:sz w:val="21"/>
                      <w:szCs w:val="24"/>
                      <w:highlight w:val="none"/>
                      <w:vertAlign w:val="baseline"/>
                      <w:lang w:val="en-US" w:eastAsia="zh-CN"/>
                    </w:rPr>
                  </w:pPr>
                </w:p>
              </w:tc>
              <w:tc>
                <w:tcPr>
                  <w:tcW w:w="5793" w:type="dxa"/>
                  <w:gridSpan w:val="3"/>
                  <w:tcBorders>
                    <w:right w:val="single" w:color="auto" w:sz="4" w:space="0"/>
                  </w:tcBorders>
                  <w:vAlign w:val="center"/>
                </w:tcPr>
                <w:p w14:paraId="0F5431D1">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无组织</w:t>
                  </w:r>
                </w:p>
              </w:tc>
              <w:tc>
                <w:tcPr>
                  <w:tcW w:w="2576" w:type="dxa"/>
                  <w:tcBorders>
                    <w:left w:val="single" w:color="000000" w:sz="4" w:space="0"/>
                  </w:tcBorders>
                  <w:vAlign w:val="top"/>
                </w:tcPr>
                <w:p w14:paraId="3CD50C1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颗粒物</w:t>
                  </w:r>
                </w:p>
              </w:tc>
              <w:tc>
                <w:tcPr>
                  <w:tcW w:w="2610" w:type="dxa"/>
                  <w:vAlign w:val="top"/>
                </w:tcPr>
                <w:p w14:paraId="5F77F091">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highlight w:val="none"/>
                      <w:vertAlign w:val="baseline"/>
                      <w:lang w:val="en-US" w:eastAsia="zh-CN"/>
                    </w:rPr>
                  </w:pPr>
                  <w:r>
                    <w:rPr>
                      <w:rFonts w:hint="eastAsia"/>
                      <w:b w:val="0"/>
                      <w:bCs/>
                      <w:color w:val="auto"/>
                      <w:kern w:val="24"/>
                      <w:sz w:val="21"/>
                      <w:szCs w:val="24"/>
                      <w:highlight w:val="none"/>
                      <w:vertAlign w:val="baseline"/>
                      <w:lang w:val="en-US" w:eastAsia="zh-CN"/>
                    </w:rPr>
                    <w:t>38.0541</w:t>
                  </w:r>
                  <w:r>
                    <w:rPr>
                      <w:rFonts w:hint="eastAsia" w:ascii="Times New Roman" w:hAnsi="Times New Roman" w:eastAsia="宋体"/>
                      <w:b w:val="0"/>
                      <w:bCs/>
                      <w:color w:val="auto"/>
                      <w:kern w:val="24"/>
                      <w:sz w:val="21"/>
                      <w:szCs w:val="24"/>
                      <w:highlight w:val="none"/>
                      <w:vertAlign w:val="baseline"/>
                      <w:lang w:val="en-US" w:eastAsia="zh-CN"/>
                    </w:rPr>
                    <w:t>t/a</w:t>
                  </w:r>
                </w:p>
              </w:tc>
            </w:tr>
          </w:tbl>
          <w:p w14:paraId="5C160F9A">
            <w:pPr>
              <w:pStyle w:val="34"/>
              <w:ind w:left="0" w:leftChars="0" w:firstLine="0" w:firstLineChars="0"/>
              <w:rPr>
                <w:rFonts w:hint="eastAsia" w:ascii="Times New Roman" w:hAnsi="Times New Roman"/>
                <w:b/>
                <w:color w:val="auto"/>
                <w:kern w:val="24"/>
                <w:sz w:val="24"/>
                <w:szCs w:val="24"/>
                <w:highlight w:val="none"/>
              </w:rPr>
            </w:pPr>
          </w:p>
          <w:p w14:paraId="16561F35">
            <w:pPr>
              <w:pStyle w:val="34"/>
              <w:rPr>
                <w:rFonts w:hint="eastAsia" w:ascii="Times New Roman" w:hAnsi="Times New Roman"/>
                <w:b/>
                <w:color w:val="auto"/>
                <w:kern w:val="24"/>
                <w:sz w:val="24"/>
                <w:szCs w:val="24"/>
                <w:highlight w:val="none"/>
              </w:rPr>
            </w:pPr>
          </w:p>
          <w:p w14:paraId="5D52C99F">
            <w:pPr>
              <w:pStyle w:val="34"/>
              <w:rPr>
                <w:rFonts w:hint="eastAsia" w:ascii="Times New Roman" w:hAnsi="Times New Roman"/>
                <w:b/>
                <w:color w:val="auto"/>
                <w:kern w:val="24"/>
                <w:sz w:val="24"/>
                <w:szCs w:val="24"/>
                <w:highlight w:val="none"/>
              </w:rPr>
            </w:pPr>
          </w:p>
          <w:p w14:paraId="3C77596D">
            <w:pPr>
              <w:pStyle w:val="34"/>
              <w:rPr>
                <w:rFonts w:hint="eastAsia" w:ascii="Times New Roman" w:hAnsi="Times New Roman"/>
                <w:b/>
                <w:color w:val="auto"/>
                <w:kern w:val="24"/>
                <w:sz w:val="24"/>
                <w:szCs w:val="24"/>
                <w:highlight w:val="none"/>
              </w:rPr>
            </w:pPr>
          </w:p>
          <w:p w14:paraId="6ADF1392">
            <w:pPr>
              <w:pStyle w:val="34"/>
              <w:rPr>
                <w:rFonts w:hint="eastAsia" w:ascii="Times New Roman" w:hAnsi="Times New Roman"/>
                <w:b/>
                <w:color w:val="auto"/>
                <w:kern w:val="24"/>
                <w:sz w:val="24"/>
                <w:szCs w:val="24"/>
                <w:highlight w:val="none"/>
              </w:rPr>
            </w:pPr>
          </w:p>
          <w:p w14:paraId="3727EBF8">
            <w:pPr>
              <w:pStyle w:val="34"/>
              <w:rPr>
                <w:rFonts w:hint="eastAsia" w:ascii="Times New Roman" w:hAnsi="Times New Roman"/>
                <w:b/>
                <w:color w:val="auto"/>
                <w:kern w:val="24"/>
                <w:sz w:val="24"/>
                <w:szCs w:val="24"/>
                <w:highlight w:val="none"/>
              </w:rPr>
            </w:pPr>
          </w:p>
          <w:p w14:paraId="6FE09B0F">
            <w:pPr>
              <w:pStyle w:val="34"/>
              <w:rPr>
                <w:rFonts w:hint="eastAsia" w:ascii="Times New Roman" w:hAnsi="Times New Roman"/>
                <w:b/>
                <w:color w:val="auto"/>
                <w:kern w:val="24"/>
                <w:sz w:val="24"/>
                <w:szCs w:val="24"/>
                <w:highlight w:val="none"/>
              </w:rPr>
            </w:pPr>
          </w:p>
          <w:p w14:paraId="0B68D9EA">
            <w:pPr>
              <w:pStyle w:val="34"/>
              <w:rPr>
                <w:rFonts w:hint="eastAsia" w:ascii="Times New Roman" w:hAnsi="Times New Roman"/>
                <w:b/>
                <w:color w:val="auto"/>
                <w:kern w:val="24"/>
                <w:sz w:val="24"/>
                <w:szCs w:val="24"/>
                <w:highlight w:val="none"/>
              </w:rPr>
            </w:pPr>
          </w:p>
          <w:p w14:paraId="7A91B4D1">
            <w:pPr>
              <w:pStyle w:val="34"/>
              <w:rPr>
                <w:rFonts w:hint="eastAsia" w:ascii="Times New Roman" w:hAnsi="Times New Roman"/>
                <w:b/>
                <w:color w:val="auto"/>
                <w:kern w:val="24"/>
                <w:sz w:val="24"/>
                <w:szCs w:val="24"/>
                <w:highlight w:val="none"/>
              </w:rPr>
            </w:pPr>
          </w:p>
          <w:p w14:paraId="2193A851">
            <w:pPr>
              <w:pStyle w:val="34"/>
              <w:rPr>
                <w:rFonts w:hint="eastAsia" w:ascii="Times New Roman" w:hAnsi="Times New Roman"/>
                <w:b/>
                <w:color w:val="auto"/>
                <w:kern w:val="24"/>
                <w:sz w:val="24"/>
                <w:szCs w:val="24"/>
                <w:highlight w:val="none"/>
              </w:rPr>
            </w:pPr>
          </w:p>
          <w:p w14:paraId="70168325">
            <w:pPr>
              <w:widowControl/>
              <w:snapToGrid w:val="0"/>
              <w:spacing w:line="360" w:lineRule="auto"/>
              <w:rPr>
                <w:rFonts w:ascii="Times New Roman" w:hAnsi="Times New Roman"/>
                <w:color w:val="auto"/>
                <w:kern w:val="0"/>
                <w:sz w:val="24"/>
                <w:szCs w:val="20"/>
                <w:highlight w:val="none"/>
              </w:rPr>
            </w:pPr>
          </w:p>
        </w:tc>
      </w:tr>
    </w:tbl>
    <w:p w14:paraId="77AFCE75">
      <w:pPr>
        <w:rPr>
          <w:rFonts w:hint="eastAsia" w:ascii="Times New Roman" w:hAnsi="Times New Roman"/>
          <w:color w:val="auto"/>
          <w:highlight w:val="none"/>
        </w:rPr>
        <w:sectPr>
          <w:pgSz w:w="16838" w:h="11905" w:orient="landscape"/>
          <w:pgMar w:top="1701" w:right="1440" w:bottom="1701" w:left="1440" w:header="851" w:footer="1077" w:gutter="0"/>
          <w:cols w:space="720" w:num="1"/>
          <w:docGrid w:type="lines" w:linePitch="317" w:charSpace="0"/>
        </w:sectPr>
      </w:pPr>
    </w:p>
    <w:tbl>
      <w:tblPr>
        <w:tblStyle w:val="35"/>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06"/>
      </w:tblGrid>
      <w:tr w14:paraId="2D4C0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951" w:hRule="atLeast"/>
          <w:jc w:val="center"/>
        </w:trPr>
        <w:tc>
          <w:tcPr>
            <w:tcW w:w="485" w:type="dxa"/>
            <w:noWrap w:val="0"/>
            <w:tcMar>
              <w:left w:w="28" w:type="dxa"/>
              <w:right w:w="28" w:type="dxa"/>
            </w:tcMar>
            <w:vAlign w:val="center"/>
          </w:tcPr>
          <w:p w14:paraId="76BF94EC">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运营</w:t>
            </w:r>
          </w:p>
          <w:p w14:paraId="6CBB4639">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期环</w:t>
            </w:r>
          </w:p>
          <w:p w14:paraId="3802C1BC">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境影</w:t>
            </w:r>
          </w:p>
          <w:p w14:paraId="6852016F">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响和</w:t>
            </w:r>
          </w:p>
          <w:p w14:paraId="2BB9DBC5">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保护</w:t>
            </w:r>
          </w:p>
          <w:p w14:paraId="6FF9DE44">
            <w:pPr>
              <w:adjustRightInd w:val="0"/>
              <w:snapToGrid w:val="0"/>
              <w:jc w:val="center"/>
              <w:rPr>
                <w:rFonts w:ascii="Times New Roman" w:hAnsi="Times New Roman" w:cs="宋体"/>
                <w:b/>
                <w:bCs/>
                <w:color w:val="auto"/>
                <w:sz w:val="24"/>
                <w:highlight w:val="none"/>
              </w:rPr>
            </w:pPr>
            <w:r>
              <w:rPr>
                <w:rFonts w:hint="eastAsia" w:ascii="Times New Roman" w:hAnsi="Times New Roman" w:cs="宋体"/>
                <w:b/>
                <w:bCs/>
                <w:color w:val="auto"/>
                <w:sz w:val="24"/>
                <w:highlight w:val="none"/>
              </w:rPr>
              <w:t>措施</w:t>
            </w:r>
          </w:p>
        </w:tc>
        <w:tc>
          <w:tcPr>
            <w:tcW w:w="8406" w:type="dxa"/>
            <w:noWrap w:val="0"/>
            <w:vAlign w:val="top"/>
          </w:tcPr>
          <w:p w14:paraId="1AA7A7A8">
            <w:pPr>
              <w:pStyle w:val="87"/>
              <w:keepNext w:val="0"/>
              <w:keepLines w:val="0"/>
              <w:pageBreakBefore w:val="0"/>
              <w:widowControl w:val="0"/>
              <w:kinsoku/>
              <w:wordWrap/>
              <w:overflowPunct/>
              <w:topLinePunct/>
              <w:autoSpaceDE/>
              <w:autoSpaceDN/>
              <w:bidi w:val="0"/>
              <w:adjustRightInd w:val="0"/>
              <w:snapToGrid w:val="0"/>
              <w:spacing w:before="0" w:after="0" w:line="360" w:lineRule="auto"/>
              <w:jc w:val="both"/>
              <w:textAlignment w:val="baseline"/>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二、主要污染工序及源强分析</w:t>
            </w:r>
          </w:p>
          <w:p w14:paraId="34262097">
            <w:pPr>
              <w:pStyle w:val="70"/>
              <w:ind w:firstLine="0" w:firstLineChars="0"/>
              <w:rPr>
                <w:rFonts w:hint="eastAsia" w:ascii="Times New Roman" w:hAnsi="Times New Roman"/>
                <w:b/>
                <w:bCs/>
                <w:color w:val="auto"/>
                <w:highlight w:val="none"/>
              </w:rPr>
            </w:pPr>
            <w:r>
              <w:rPr>
                <w:rFonts w:hint="eastAsia" w:ascii="Times New Roman" w:hAnsi="Times New Roman"/>
                <w:b/>
                <w:bCs/>
                <w:color w:val="auto"/>
                <w:highlight w:val="none"/>
                <w:lang w:val="en-US" w:eastAsia="zh-CN"/>
              </w:rPr>
              <w:t>1、</w:t>
            </w:r>
            <w:r>
              <w:rPr>
                <w:rFonts w:hint="eastAsia" w:ascii="Times New Roman" w:hAnsi="Times New Roman"/>
                <w:b/>
                <w:bCs/>
                <w:color w:val="auto"/>
                <w:highlight w:val="none"/>
              </w:rPr>
              <w:t>源强核算及治理措施</w:t>
            </w:r>
          </w:p>
          <w:p w14:paraId="5752CF06">
            <w:pPr>
              <w:adjustRightInd w:val="0"/>
              <w:snapToGrid w:val="0"/>
              <w:spacing w:line="360" w:lineRule="auto"/>
              <w:ind w:firstLine="480" w:firstLineChars="200"/>
              <w:rPr>
                <w:rFonts w:hint="default" w:ascii="Times New Roman" w:hAnsi="Times New Roman"/>
                <w:color w:val="auto"/>
                <w:sz w:val="24"/>
                <w:highlight w:val="none"/>
                <w:lang w:val="en-US"/>
              </w:rPr>
            </w:pPr>
            <w:r>
              <w:rPr>
                <w:rFonts w:hint="eastAsia" w:ascii="Times New Roman" w:hAnsi="Times New Roman" w:eastAsia="宋体" w:cs="Times New Roman"/>
                <w:bCs/>
                <w:snapToGrid w:val="0"/>
                <w:color w:val="auto"/>
                <w:kern w:val="0"/>
                <w:sz w:val="24"/>
                <w:szCs w:val="24"/>
                <w:highlight w:val="none"/>
                <w:lang w:val="en-US" w:eastAsia="zh-CN"/>
              </w:rPr>
              <w:t>本项目建设3条铁矿石加工生产线，</w:t>
            </w:r>
            <w:r>
              <w:rPr>
                <w:rFonts w:hint="eastAsia" w:ascii="Times New Roman" w:hAnsi="Times New Roman" w:eastAsia="宋体" w:cs="Times New Roman"/>
                <w:bCs/>
                <w:color w:val="auto"/>
                <w:sz w:val="24"/>
                <w:szCs w:val="24"/>
                <w:highlight w:val="none"/>
                <w:lang w:val="en-US" w:eastAsia="zh-CN"/>
              </w:rPr>
              <w:t>运营期废气主要为原料、成品</w:t>
            </w:r>
            <w:r>
              <w:rPr>
                <w:rFonts w:hint="eastAsia" w:cs="Times New Roman"/>
                <w:bCs/>
                <w:color w:val="auto"/>
                <w:sz w:val="24"/>
                <w:szCs w:val="24"/>
                <w:highlight w:val="none"/>
                <w:lang w:val="en-US" w:eastAsia="zh-CN"/>
              </w:rPr>
              <w:t>仓库</w:t>
            </w:r>
            <w:r>
              <w:rPr>
                <w:rFonts w:hint="eastAsia" w:ascii="Times New Roman" w:hAnsi="Times New Roman" w:eastAsia="宋体" w:cs="Times New Roman"/>
                <w:bCs/>
                <w:color w:val="auto"/>
                <w:sz w:val="24"/>
                <w:szCs w:val="24"/>
                <w:highlight w:val="none"/>
                <w:lang w:val="en-US" w:eastAsia="zh-CN"/>
              </w:rPr>
              <w:t>堆放粉尘，原料及成品装卸粉尘，破碎筛分粉尘，运输扬尘和装载机燃油尾气。</w:t>
            </w:r>
            <w:r>
              <w:rPr>
                <w:rFonts w:hint="default" w:ascii="Times New Roman" w:hAnsi="Times New Roman" w:eastAsia="宋体" w:cs="Times New Roman"/>
                <w:color w:val="auto"/>
                <w:sz w:val="24"/>
                <w:szCs w:val="24"/>
                <w:highlight w:val="none"/>
                <w:lang w:val="zh-CN" w:eastAsia="zh-CN"/>
              </w:rPr>
              <w:t>根据《建设项目环境影响报告表编制技术指南》（污染影响类）（试行）要求，源强的核算参考源强核算技术指南和排污许可证申请与核发技术规范，</w:t>
            </w:r>
            <w:r>
              <w:rPr>
                <w:rFonts w:hint="eastAsia" w:ascii="Times New Roman" w:hAnsi="Times New Roman" w:eastAsia="宋体" w:cs="Times New Roman"/>
                <w:color w:val="auto"/>
                <w:sz w:val="24"/>
                <w:szCs w:val="24"/>
                <w:highlight w:val="none"/>
                <w:lang w:val="en-US" w:eastAsia="zh-CN"/>
              </w:rPr>
              <w:t>具体核算如下：</w:t>
            </w:r>
          </w:p>
          <w:p w14:paraId="1A92E559">
            <w:pPr>
              <w:adjustRightInd w:val="0"/>
              <w:snapToGrid w:val="0"/>
              <w:spacing w:line="360" w:lineRule="auto"/>
              <w:ind w:firstLine="480" w:firstLineChars="200"/>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1</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有组织粉尘</w:t>
            </w:r>
          </w:p>
          <w:p w14:paraId="0D423654">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color w:val="auto"/>
                <w:sz w:val="24"/>
                <w:highlight w:val="none"/>
                <w:lang w:val="en-US" w:eastAsia="zh-CN"/>
              </w:rPr>
              <w:t>项目铁矿需进行颚式破碎、反击式破碎等破碎加工，其间还有筛分、分级等工序。项目年加工铁矿石120万吨，共设置3条生产线，第一生产线、第二生产线和第三生产线加工比例为</w:t>
            </w:r>
            <w:r>
              <w:rPr>
                <w:rFonts w:hint="eastAsia"/>
                <w:color w:val="auto"/>
                <w:sz w:val="24"/>
                <w:highlight w:val="none"/>
                <w:lang w:val="en-US" w:eastAsia="zh-CN"/>
              </w:rPr>
              <w:t>1</w:t>
            </w:r>
            <w:r>
              <w:rPr>
                <w:rFonts w:hint="eastAsia" w:ascii="Times New Roman" w:hAnsi="Times New Roman"/>
                <w:color w:val="auto"/>
                <w:sz w:val="24"/>
                <w:highlight w:val="none"/>
                <w:lang w:val="en-US" w:eastAsia="zh-CN"/>
              </w:rPr>
              <w:t>:</w:t>
            </w:r>
            <w:r>
              <w:rPr>
                <w:rFonts w:hint="eastAsia"/>
                <w:color w:val="auto"/>
                <w:sz w:val="24"/>
                <w:highlight w:val="none"/>
                <w:lang w:val="en-US" w:eastAsia="zh-CN"/>
              </w:rPr>
              <w:t>1</w:t>
            </w:r>
            <w:r>
              <w:rPr>
                <w:rFonts w:hint="eastAsia" w:ascii="Times New Roman" w:hAnsi="Times New Roman"/>
                <w:color w:val="auto"/>
                <w:sz w:val="24"/>
                <w:highlight w:val="none"/>
                <w:lang w:val="en-US" w:eastAsia="zh-CN"/>
              </w:rPr>
              <w:t>:</w:t>
            </w:r>
            <w:r>
              <w:rPr>
                <w:rFonts w:hint="eastAsia"/>
                <w:color w:val="auto"/>
                <w:sz w:val="24"/>
                <w:highlight w:val="none"/>
                <w:lang w:val="en-US" w:eastAsia="zh-CN"/>
              </w:rPr>
              <w:t>1</w:t>
            </w:r>
            <w:r>
              <w:rPr>
                <w:rFonts w:hint="eastAsia" w:ascii="Times New Roman" w:hAnsi="Times New Roman"/>
                <w:color w:val="auto"/>
                <w:sz w:val="24"/>
                <w:highlight w:val="none"/>
                <w:lang w:val="en-US" w:eastAsia="zh-CN"/>
              </w:rPr>
              <w:t>，即第一生产线、第二生产线和第三生产线加工矿石量</w:t>
            </w:r>
            <w:r>
              <w:rPr>
                <w:rFonts w:hint="eastAsia"/>
                <w:color w:val="auto"/>
                <w:sz w:val="24"/>
                <w:highlight w:val="none"/>
                <w:lang w:val="en-US" w:eastAsia="zh-CN"/>
              </w:rPr>
              <w:t>均</w:t>
            </w:r>
            <w:r>
              <w:rPr>
                <w:rFonts w:hint="eastAsia" w:ascii="Times New Roman" w:hAnsi="Times New Roman"/>
                <w:color w:val="auto"/>
                <w:sz w:val="24"/>
                <w:highlight w:val="none"/>
                <w:lang w:val="en-US" w:eastAsia="zh-CN"/>
              </w:rPr>
              <w:t>为</w:t>
            </w:r>
            <w:r>
              <w:rPr>
                <w:rFonts w:hint="eastAsia"/>
                <w:color w:val="auto"/>
                <w:sz w:val="24"/>
                <w:highlight w:val="none"/>
                <w:lang w:val="en-US" w:eastAsia="zh-CN"/>
              </w:rPr>
              <w:t>40</w:t>
            </w:r>
            <w:r>
              <w:rPr>
                <w:rFonts w:hint="eastAsia" w:ascii="Times New Roman" w:hAnsi="Times New Roman"/>
                <w:color w:val="auto"/>
                <w:sz w:val="24"/>
                <w:highlight w:val="none"/>
                <w:lang w:val="en-US" w:eastAsia="zh-CN"/>
              </w:rPr>
              <w:t>万吨，</w:t>
            </w:r>
            <w:r>
              <w:rPr>
                <w:rFonts w:hint="eastAsia" w:ascii="Times New Roman" w:hAnsi="Times New Roman" w:cs="Times New Roman"/>
                <w:color w:val="auto"/>
                <w:sz w:val="24"/>
                <w:highlight w:val="none"/>
                <w:lang w:val="en-US" w:eastAsia="zh-CN"/>
              </w:rPr>
              <w:t>参照《排放源统计调查产排污核算方法和系数手册》（生态环境部公告2021</w:t>
            </w:r>
            <w:r>
              <w:rPr>
                <w:rFonts w:hint="eastAsia" w:cs="Times New Roman"/>
                <w:color w:val="auto"/>
                <w:sz w:val="24"/>
                <w:highlight w:val="none"/>
                <w:lang w:val="en-US" w:eastAsia="zh-CN"/>
              </w:rPr>
              <w:t>年第</w:t>
            </w:r>
            <w:r>
              <w:rPr>
                <w:rFonts w:hint="eastAsia" w:ascii="Times New Roman" w:hAnsi="Times New Roman" w:cs="Times New Roman"/>
                <w:color w:val="auto"/>
                <w:sz w:val="24"/>
                <w:highlight w:val="none"/>
                <w:lang w:val="en-US" w:eastAsia="zh-CN"/>
              </w:rPr>
              <w:t>24号），“0810 铁矿采选行业系数手册”铁矿石破碎、筛分加工环节颗粒物的产污系数为0.66千克/吨·产品</w:t>
            </w:r>
            <w:r>
              <w:rPr>
                <w:rFonts w:hint="eastAsia" w:cs="Times New Roman"/>
                <w:color w:val="auto"/>
                <w:sz w:val="24"/>
                <w:highlight w:val="none"/>
                <w:lang w:val="en-US" w:eastAsia="zh-CN"/>
              </w:rPr>
              <w:t>。</w:t>
            </w:r>
            <w:r>
              <w:rPr>
                <w:rFonts w:hint="eastAsia"/>
                <w:color w:val="auto"/>
                <w:sz w:val="24"/>
                <w:highlight w:val="none"/>
                <w:lang w:val="en-US" w:eastAsia="zh-CN"/>
              </w:rPr>
              <w:t>第三生产线多一台球磨机，</w:t>
            </w:r>
            <w:r>
              <w:rPr>
                <w:rFonts w:hint="eastAsia" w:cs="Times New Roman"/>
                <w:b w:val="0"/>
                <w:bCs w:val="0"/>
                <w:color w:val="auto"/>
                <w:kern w:val="2"/>
                <w:sz w:val="24"/>
                <w:szCs w:val="24"/>
                <w:highlight w:val="none"/>
                <w:lang w:val="en-US" w:eastAsia="zh-CN" w:bidi="ar-SA"/>
              </w:rPr>
              <w:t>球磨机为全密闭式设备，研磨过程在筒体内完成，参照《逸散性工业粉尘控制技术》中粒料加工中再破碎环节粉尘产生量为0.5</w:t>
            </w:r>
            <w:r>
              <w:rPr>
                <w:rFonts w:hint="eastAsia" w:ascii="Times New Roman" w:hAnsi="Times New Roman" w:cs="Times New Roman"/>
                <w:color w:val="auto"/>
                <w:sz w:val="24"/>
                <w:highlight w:val="none"/>
                <w:lang w:val="en-US" w:eastAsia="zh-CN"/>
              </w:rPr>
              <w:t>千克/吨·</w:t>
            </w:r>
            <w:r>
              <w:rPr>
                <w:rFonts w:hint="eastAsia" w:cs="Times New Roman"/>
                <w:color w:val="auto"/>
                <w:sz w:val="24"/>
                <w:highlight w:val="none"/>
                <w:lang w:val="en-US" w:eastAsia="zh-CN"/>
              </w:rPr>
              <w:t>破碎料。</w:t>
            </w:r>
            <w:r>
              <w:rPr>
                <w:rFonts w:hint="eastAsia" w:ascii="Times New Roman" w:hAnsi="Times New Roman" w:cs="Times New Roman"/>
                <w:color w:val="auto"/>
                <w:sz w:val="24"/>
                <w:highlight w:val="none"/>
                <w:lang w:val="en-US" w:eastAsia="zh-CN"/>
              </w:rPr>
              <w:t>故</w:t>
            </w:r>
            <w:r>
              <w:rPr>
                <w:rFonts w:hint="eastAsia" w:ascii="Times New Roman" w:hAnsi="Times New Roman"/>
                <w:color w:val="auto"/>
                <w:sz w:val="24"/>
                <w:highlight w:val="none"/>
                <w:lang w:val="en-US" w:eastAsia="zh-CN"/>
              </w:rPr>
              <w:t>第一生产线、第二生产线加工产生的粉尘量</w:t>
            </w:r>
            <w:r>
              <w:rPr>
                <w:rFonts w:hint="eastAsia"/>
                <w:color w:val="auto"/>
                <w:sz w:val="24"/>
                <w:highlight w:val="none"/>
                <w:lang w:val="en-US" w:eastAsia="zh-CN"/>
              </w:rPr>
              <w:t>均</w:t>
            </w:r>
            <w:r>
              <w:rPr>
                <w:rFonts w:hint="eastAsia" w:ascii="Times New Roman" w:hAnsi="Times New Roman"/>
                <w:color w:val="auto"/>
                <w:sz w:val="24"/>
                <w:highlight w:val="none"/>
                <w:lang w:val="en-US" w:eastAsia="zh-CN"/>
              </w:rPr>
              <w:t>为</w:t>
            </w:r>
            <w:r>
              <w:rPr>
                <w:rFonts w:hint="eastAsia"/>
                <w:color w:val="auto"/>
                <w:sz w:val="24"/>
                <w:highlight w:val="none"/>
                <w:lang w:val="en-US" w:eastAsia="zh-CN"/>
              </w:rPr>
              <w:t>264</w:t>
            </w:r>
            <w:r>
              <w:rPr>
                <w:rFonts w:hint="eastAsia" w:ascii="Times New Roman" w:hAnsi="Times New Roman"/>
                <w:color w:val="auto"/>
                <w:sz w:val="24"/>
                <w:highlight w:val="none"/>
                <w:lang w:val="en-US" w:eastAsia="zh-CN"/>
              </w:rPr>
              <w:t>t/</w:t>
            </w:r>
            <w:r>
              <w:rPr>
                <w:rFonts w:hint="eastAsia"/>
                <w:color w:val="auto"/>
                <w:sz w:val="24"/>
                <w:highlight w:val="none"/>
                <w:lang w:val="en-US" w:eastAsia="zh-CN"/>
              </w:rPr>
              <w:t>a，</w:t>
            </w:r>
            <w:r>
              <w:rPr>
                <w:rFonts w:hint="eastAsia" w:ascii="Times New Roman" w:hAnsi="Times New Roman"/>
                <w:color w:val="auto"/>
                <w:sz w:val="24"/>
                <w:highlight w:val="none"/>
                <w:lang w:val="en-US" w:eastAsia="zh-CN"/>
              </w:rPr>
              <w:t>第三生产线加工产生的粉尘量为</w:t>
            </w:r>
            <w:r>
              <w:rPr>
                <w:rFonts w:hint="eastAsia"/>
                <w:color w:val="auto"/>
                <w:sz w:val="24"/>
                <w:highlight w:val="none"/>
                <w:lang w:val="en-US" w:eastAsia="zh-CN"/>
              </w:rPr>
              <w:t>464</w:t>
            </w:r>
            <w:r>
              <w:rPr>
                <w:rFonts w:hint="eastAsia" w:ascii="Times New Roman" w:hAnsi="Times New Roman"/>
                <w:color w:val="auto"/>
                <w:sz w:val="24"/>
                <w:highlight w:val="none"/>
                <w:lang w:val="en-US" w:eastAsia="zh-CN"/>
              </w:rPr>
              <w:t>t/</w:t>
            </w:r>
            <w:r>
              <w:rPr>
                <w:rFonts w:hint="eastAsia"/>
                <w:color w:val="auto"/>
                <w:sz w:val="24"/>
                <w:highlight w:val="none"/>
                <w:lang w:val="en-US" w:eastAsia="zh-CN"/>
              </w:rPr>
              <w:t>a</w:t>
            </w:r>
            <w:r>
              <w:rPr>
                <w:rFonts w:hint="eastAsia" w:ascii="Times New Roman" w:hAnsi="Times New Roman"/>
                <w:color w:val="auto"/>
                <w:sz w:val="24"/>
                <w:highlight w:val="none"/>
                <w:lang w:val="en-US" w:eastAsia="zh-CN"/>
              </w:rPr>
              <w:t>。项目</w:t>
            </w:r>
            <w:r>
              <w:rPr>
                <w:rFonts w:hint="eastAsia" w:ascii="Times New Roman" w:hAnsi="Times New Roman" w:eastAsia="宋体" w:cs="Times New Roman"/>
                <w:bCs/>
                <w:color w:val="auto"/>
                <w:sz w:val="24"/>
                <w:highlight w:val="none"/>
                <w:lang w:val="en-US" w:eastAsia="zh-CN"/>
              </w:rPr>
              <w:t>在</w:t>
            </w:r>
            <w:r>
              <w:rPr>
                <w:rFonts w:hint="eastAsia" w:cs="Times New Roman"/>
                <w:bCs/>
                <w:color w:val="auto"/>
                <w:sz w:val="24"/>
                <w:highlight w:val="none"/>
                <w:lang w:val="en-US" w:eastAsia="zh-CN"/>
              </w:rPr>
              <w:t>给料机、</w:t>
            </w:r>
            <w:r>
              <w:rPr>
                <w:rFonts w:hint="eastAsia" w:ascii="Times New Roman" w:hAnsi="Times New Roman" w:eastAsia="宋体" w:cs="Times New Roman"/>
                <w:bCs/>
                <w:color w:val="auto"/>
                <w:sz w:val="24"/>
                <w:highlight w:val="none"/>
                <w:lang w:val="en-US" w:eastAsia="zh-CN"/>
              </w:rPr>
              <w:t>颚式破碎机、反击式破碎机、振动筛、圆筒筛</w:t>
            </w:r>
            <w:r>
              <w:rPr>
                <w:rFonts w:hint="default" w:ascii="Times New Roman" w:hAnsi="Times New Roman" w:eastAsia="宋体" w:cs="Times New Roman"/>
                <w:bCs/>
                <w:color w:val="auto"/>
                <w:sz w:val="24"/>
                <w:highlight w:val="none"/>
                <w:lang w:eastAsia="zh-CN"/>
              </w:rPr>
              <w:t>设备上方</w:t>
            </w:r>
            <w:r>
              <w:rPr>
                <w:rFonts w:hint="eastAsia" w:ascii="Times New Roman" w:hAnsi="Times New Roman" w:eastAsia="宋体" w:cs="Times New Roman"/>
                <w:bCs/>
                <w:color w:val="auto"/>
                <w:sz w:val="24"/>
                <w:highlight w:val="none"/>
                <w:lang w:val="en-US" w:eastAsia="zh-CN"/>
              </w:rPr>
              <w:t>分别</w:t>
            </w:r>
            <w:r>
              <w:rPr>
                <w:rFonts w:hint="default" w:ascii="Times New Roman" w:hAnsi="Times New Roman" w:eastAsia="宋体" w:cs="Times New Roman"/>
                <w:bCs/>
                <w:color w:val="auto"/>
                <w:sz w:val="24"/>
                <w:highlight w:val="none"/>
                <w:lang w:eastAsia="zh-CN"/>
              </w:rPr>
              <w:t>设置1套收集效率为90%的集气罩，粉尘经集气罩收集后通过</w:t>
            </w:r>
            <w:r>
              <w:rPr>
                <w:rFonts w:hint="eastAsia" w:ascii="Times New Roman" w:hAnsi="Times New Roman" w:eastAsia="宋体" w:cs="Times New Roman"/>
                <w:bCs/>
                <w:color w:val="auto"/>
                <w:sz w:val="24"/>
                <w:highlight w:val="none"/>
                <w:lang w:val="en-US" w:eastAsia="zh-CN"/>
              </w:rPr>
              <w:t>管道输送至</w:t>
            </w:r>
            <w:r>
              <w:rPr>
                <w:rFonts w:hint="default" w:ascii="Times New Roman" w:hAnsi="Times New Roman" w:eastAsia="宋体" w:cs="Times New Roman"/>
                <w:bCs/>
                <w:color w:val="auto"/>
                <w:sz w:val="24"/>
                <w:highlight w:val="none"/>
                <w:lang w:eastAsia="zh-CN"/>
              </w:rPr>
              <w:t>引风机</w:t>
            </w:r>
            <w:r>
              <w:rPr>
                <w:rFonts w:hint="eastAsia" w:ascii="Times New Roman" w:hAnsi="Times New Roman" w:eastAsia="宋体" w:cs="Times New Roman"/>
                <w:bCs/>
                <w:color w:val="auto"/>
                <w:sz w:val="24"/>
                <w:highlight w:val="none"/>
                <w:lang w:val="en-US" w:eastAsia="zh-CN"/>
              </w:rPr>
              <w:t>后</w:t>
            </w:r>
            <w:r>
              <w:rPr>
                <w:rFonts w:hint="default" w:ascii="Times New Roman" w:hAnsi="Times New Roman" w:eastAsia="宋体" w:cs="Times New Roman"/>
                <w:bCs/>
                <w:color w:val="auto"/>
                <w:sz w:val="24"/>
                <w:highlight w:val="none"/>
                <w:lang w:eastAsia="zh-CN"/>
              </w:rPr>
              <w:t>引入</w:t>
            </w:r>
            <w:r>
              <w:rPr>
                <w:rFonts w:hint="eastAsia" w:ascii="Times New Roman" w:hAnsi="Times New Roman" w:eastAsia="宋体" w:cs="Times New Roman"/>
                <w:bCs/>
                <w:color w:val="auto"/>
                <w:sz w:val="24"/>
                <w:highlight w:val="none"/>
                <w:lang w:val="en-US" w:eastAsia="zh-CN"/>
              </w:rPr>
              <w:t>各自生产线设置的</w:t>
            </w:r>
            <w:r>
              <w:rPr>
                <w:rFonts w:hint="default" w:ascii="Times New Roman" w:hAnsi="Times New Roman" w:eastAsia="宋体" w:cs="Times New Roman"/>
                <w:bCs/>
                <w:color w:val="auto"/>
                <w:sz w:val="24"/>
                <w:highlight w:val="none"/>
                <w:lang w:eastAsia="zh-CN"/>
              </w:rPr>
              <w:t>布袋除尘器进行处理，</w:t>
            </w:r>
            <w:r>
              <w:rPr>
                <w:rFonts w:hint="eastAsia" w:ascii="Times New Roman" w:hAnsi="Times New Roman" w:eastAsia="宋体" w:cs="Times New Roman"/>
                <w:bCs/>
                <w:color w:val="auto"/>
                <w:sz w:val="24"/>
                <w:highlight w:val="none"/>
                <w:lang w:val="en-US" w:eastAsia="zh-CN"/>
              </w:rPr>
              <w:t>处理后废气通过各个生产线1</w:t>
            </w:r>
            <w:r>
              <w:rPr>
                <w:rFonts w:hint="eastAsia" w:cs="Times New Roman"/>
                <w:bCs/>
                <w:color w:val="auto"/>
                <w:sz w:val="24"/>
                <w:highlight w:val="none"/>
                <w:lang w:val="en-US" w:eastAsia="zh-CN"/>
              </w:rPr>
              <w:t>6</w:t>
            </w:r>
            <w:r>
              <w:rPr>
                <w:rFonts w:hint="eastAsia" w:ascii="Times New Roman" w:hAnsi="Times New Roman" w:eastAsia="宋体" w:cs="Times New Roman"/>
                <w:bCs/>
                <w:color w:val="auto"/>
                <w:sz w:val="24"/>
                <w:highlight w:val="none"/>
                <w:lang w:val="en-US" w:eastAsia="zh-CN"/>
              </w:rPr>
              <w:t>m高排气筒排放。</w:t>
            </w:r>
          </w:p>
          <w:p w14:paraId="4C99A8D3">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color w:val="auto"/>
                <w:sz w:val="24"/>
                <w:highlight w:val="none"/>
                <w:lang w:val="en-US" w:eastAsia="zh-CN"/>
              </w:rPr>
              <w:t>项目</w:t>
            </w:r>
            <w:r>
              <w:rPr>
                <w:rFonts w:hint="eastAsia" w:cs="Times New Roman"/>
                <w:bCs/>
                <w:color w:val="auto"/>
                <w:sz w:val="24"/>
                <w:highlight w:val="none"/>
                <w:lang w:val="en-US" w:eastAsia="zh-CN"/>
              </w:rPr>
              <w:t>3条生产设备相同（仅第三生产线多一台球磨机），</w:t>
            </w:r>
            <w:r>
              <w:rPr>
                <w:rFonts w:hint="eastAsia" w:ascii="Times New Roman" w:hAnsi="Times New Roman" w:eastAsia="宋体" w:cs="Times New Roman"/>
                <w:bCs/>
                <w:color w:val="auto"/>
                <w:sz w:val="24"/>
                <w:highlight w:val="none"/>
                <w:lang w:val="en-US" w:eastAsia="zh-CN"/>
              </w:rPr>
              <w:t>在给料机</w:t>
            </w:r>
            <w:r>
              <w:rPr>
                <w:rFonts w:hint="eastAsia"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台、颚式破碎机3台、反击式破碎机</w:t>
            </w:r>
            <w:r>
              <w:rPr>
                <w:rFonts w:hint="eastAsia"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val="en-US" w:eastAsia="zh-CN"/>
              </w:rPr>
              <w:t>台</w:t>
            </w:r>
            <w:r>
              <w:rPr>
                <w:rFonts w:hint="eastAsia" w:cs="Times New Roman"/>
                <w:bCs/>
                <w:color w:val="auto"/>
                <w:sz w:val="24"/>
                <w:highlight w:val="none"/>
                <w:lang w:val="en-US" w:eastAsia="zh-CN"/>
              </w:rPr>
              <w:t>、分筛机</w:t>
            </w:r>
            <w:r>
              <w:rPr>
                <w:rFonts w:hint="eastAsia" w:ascii="Times New Roman" w:hAnsi="Times New Roman" w:eastAsia="宋体" w:cs="Times New Roman"/>
                <w:bCs/>
                <w:color w:val="auto"/>
                <w:sz w:val="24"/>
                <w:highlight w:val="none"/>
                <w:lang w:val="en-US" w:eastAsia="zh-CN"/>
              </w:rPr>
              <w:t>1台</w:t>
            </w:r>
            <w:r>
              <w:rPr>
                <w:rFonts w:hint="eastAsia" w:cs="Times New Roman"/>
                <w:bCs/>
                <w:color w:val="auto"/>
                <w:sz w:val="24"/>
                <w:highlight w:val="none"/>
                <w:lang w:val="en-US" w:eastAsia="zh-CN"/>
              </w:rPr>
              <w:t>及滚筒筛密闭室1台</w:t>
            </w:r>
            <w:r>
              <w:rPr>
                <w:rFonts w:hint="eastAsia" w:ascii="Times New Roman" w:hAnsi="Times New Roman" w:eastAsia="宋体" w:cs="Times New Roman"/>
                <w:bCs/>
                <w:color w:val="auto"/>
                <w:sz w:val="24"/>
                <w:highlight w:val="none"/>
                <w:lang w:val="en-US" w:eastAsia="zh-CN"/>
              </w:rPr>
              <w:t>，共计8台上方，</w:t>
            </w:r>
            <w:r>
              <w:rPr>
                <w:rFonts w:hint="eastAsia" w:cs="Times New Roman"/>
                <w:bCs/>
                <w:color w:val="auto"/>
                <w:sz w:val="24"/>
                <w:highlight w:val="none"/>
                <w:lang w:val="en-US" w:eastAsia="zh-CN"/>
              </w:rPr>
              <w:t>第三生产线</w:t>
            </w:r>
            <w:r>
              <w:rPr>
                <w:rFonts w:hint="eastAsia" w:cs="Times New Roman"/>
                <w:b w:val="0"/>
                <w:bCs w:val="0"/>
                <w:color w:val="auto"/>
                <w:kern w:val="2"/>
                <w:sz w:val="24"/>
                <w:szCs w:val="24"/>
                <w:highlight w:val="none"/>
                <w:lang w:val="en-US" w:eastAsia="zh-CN" w:bidi="ar-SA"/>
              </w:rPr>
              <w:t>在球磨机的进料口及出料口各配套</w:t>
            </w:r>
            <w:r>
              <w:rPr>
                <w:rFonts w:hint="eastAsia" w:ascii="Times New Roman" w:hAnsi="Times New Roman" w:eastAsia="宋体" w:cs="Times New Roman"/>
                <w:color w:val="auto"/>
                <w:kern w:val="2"/>
                <w:sz w:val="24"/>
                <w:szCs w:val="24"/>
                <w:highlight w:val="none"/>
                <w:lang w:val="en-US" w:eastAsia="zh-CN" w:bidi="ar-SA"/>
              </w:rPr>
              <w:t>1个集气罩收集粉尘</w:t>
            </w:r>
            <w:r>
              <w:rPr>
                <w:rFonts w:hint="eastAsia" w:cs="Times New Roman"/>
                <w:color w:val="auto"/>
                <w:kern w:val="2"/>
                <w:sz w:val="24"/>
                <w:szCs w:val="24"/>
                <w:highlight w:val="none"/>
                <w:lang w:val="en-US" w:eastAsia="zh-CN" w:bidi="ar-SA"/>
              </w:rPr>
              <w:t>，故第三生产线设置10个集气罩，第一、第二生产线</w:t>
            </w:r>
            <w:r>
              <w:rPr>
                <w:rFonts w:hint="eastAsia" w:ascii="Times New Roman" w:hAnsi="Times New Roman" w:eastAsia="宋体" w:cs="Times New Roman"/>
                <w:bCs/>
                <w:color w:val="auto"/>
                <w:sz w:val="24"/>
                <w:highlight w:val="none"/>
                <w:lang w:val="en-US" w:eastAsia="zh-CN"/>
              </w:rPr>
              <w:t>分别设置集气罩</w:t>
            </w:r>
            <w:r>
              <w:rPr>
                <w:rFonts w:hint="eastAsia" w:cs="Times New Roman"/>
                <w:bCs/>
                <w:color w:val="auto"/>
                <w:sz w:val="24"/>
                <w:highlight w:val="none"/>
                <w:lang w:val="en-US" w:eastAsia="zh-CN"/>
              </w:rPr>
              <w:t>8个</w:t>
            </w:r>
            <w:r>
              <w:rPr>
                <w:rFonts w:hint="eastAsia"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color w:val="auto"/>
                <w:sz w:val="24"/>
                <w:szCs w:val="24"/>
                <w:highlight w:val="none"/>
                <w:lang w:val="en-US" w:eastAsia="zh-CN"/>
              </w:rPr>
              <w:t>集气罩集气风量</w:t>
            </w:r>
            <w:r>
              <w:rPr>
                <w:rFonts w:hint="eastAsia" w:ascii="Times New Roman" w:hAnsi="Times New Roman" w:eastAsia="宋体" w:cs="Times New Roman"/>
                <w:color w:val="auto"/>
                <w:sz w:val="24"/>
                <w:szCs w:val="24"/>
                <w:highlight w:val="none"/>
              </w:rPr>
              <w:t>根据《环境工程设计手册》（2002年版</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P48核算</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排风罩设置在</w:t>
            </w:r>
            <w:r>
              <w:rPr>
                <w:rFonts w:hint="eastAsia" w:ascii="Times New Roman" w:hAnsi="Times New Roman" w:eastAsia="宋体" w:cs="Times New Roman"/>
                <w:color w:val="auto"/>
                <w:sz w:val="24"/>
                <w:szCs w:val="24"/>
                <w:highlight w:val="none"/>
              </w:rPr>
              <w:t>污染源</w:t>
            </w:r>
            <w:r>
              <w:rPr>
                <w:rFonts w:hint="eastAsia" w:ascii="Times New Roman" w:hAnsi="Times New Roman" w:eastAsia="宋体" w:cs="Times New Roman"/>
                <w:color w:val="auto"/>
                <w:sz w:val="24"/>
                <w:szCs w:val="24"/>
                <w:highlight w:val="none"/>
                <w:lang w:val="en-US" w:eastAsia="zh-CN"/>
              </w:rPr>
              <w:t>上方的</w:t>
            </w:r>
            <w:r>
              <w:rPr>
                <w:rFonts w:hint="eastAsia" w:ascii="Times New Roman" w:hAnsi="Times New Roman" w:eastAsia="宋体" w:cs="Times New Roman"/>
                <w:color w:val="auto"/>
                <w:sz w:val="24"/>
                <w:szCs w:val="24"/>
                <w:highlight w:val="none"/>
              </w:rPr>
              <w:t>排风量计算公式为：</w:t>
            </w:r>
          </w:p>
          <w:p w14:paraId="0BA2DBBF">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position w:val="-10"/>
                <w:sz w:val="24"/>
                <w:szCs w:val="24"/>
                <w:highlight w:val="none"/>
                <w:lang w:val="en-US" w:eastAsia="zh-CN"/>
              </w:rPr>
              <w:object>
                <v:shape id="_x0000_i1029" o:spt="75" type="#_x0000_t75" style="height:21.15pt;width:70.85pt;" o:ole="t" filled="f" o:preferrelative="t" stroked="f" coordsize="21600,21600">
                  <v:path/>
                  <v:fill on="f" focussize="0,0"/>
                  <v:stroke on="f"/>
                  <v:imagedata r:id="rId17" o:title=""/>
                  <o:lock v:ext="edit" aspectratio="t"/>
                  <w10:wrap type="none"/>
                  <w10:anchorlock/>
                </v:shape>
                <o:OLEObject Type="Embed" ProgID="Equation.KSEE3" ShapeID="_x0000_i1029" DrawAspect="Content" ObjectID="_1468075729" r:id="rId16">
                  <o:LockedField>false</o:LockedField>
                </o:OLEObject>
              </w:object>
            </w:r>
          </w:p>
          <w:p w14:paraId="5F6A5506">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式中：L—排风量，m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/s；</w:t>
            </w:r>
          </w:p>
          <w:p w14:paraId="285880BE">
            <w:pPr>
              <w:keepNext w:val="0"/>
              <w:keepLines w:val="0"/>
              <w:pageBreakBefore w:val="0"/>
              <w:widowControl w:val="0"/>
              <w:kinsoku/>
              <w:wordWrap/>
              <w:overflowPunct/>
              <w:topLinePunct/>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k—安全系数，一般取1.2；</w:t>
            </w:r>
          </w:p>
          <w:p w14:paraId="598BABC2">
            <w:pPr>
              <w:keepNext w:val="0"/>
              <w:keepLines w:val="0"/>
              <w:pageBreakBefore w:val="0"/>
              <w:widowControl w:val="0"/>
              <w:kinsoku/>
              <w:wordWrap/>
              <w:overflowPunct/>
              <w:topLinePunct/>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P—排风罩口敞开面的周长，m；本次评价取4m；</w:t>
            </w:r>
          </w:p>
          <w:p w14:paraId="5C8D57CF">
            <w:pPr>
              <w:keepNext w:val="0"/>
              <w:keepLines w:val="0"/>
              <w:pageBreakBefore w:val="0"/>
              <w:widowControl w:val="0"/>
              <w:kinsoku/>
              <w:wordWrap/>
              <w:overflowPunct/>
              <w:topLinePunct/>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H—罩口至污染源距离，m；本次评价取0.5m；</w:t>
            </w:r>
          </w:p>
          <w:p w14:paraId="6AA5BA2B">
            <w:pPr>
              <w:keepNext w:val="0"/>
              <w:keepLines w:val="0"/>
              <w:pageBreakBefore w:val="0"/>
              <w:widowControl w:val="0"/>
              <w:kinsoku/>
              <w:wordWrap/>
              <w:overflowPunct/>
              <w:topLinePunct/>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vertAlign w:val="subscript"/>
                <w:lang w:val="en-US" w:eastAsia="zh-CN"/>
              </w:rPr>
              <w:t>x</w:t>
            </w:r>
            <w:r>
              <w:rPr>
                <w:rFonts w:hint="eastAsia" w:ascii="Times New Roman" w:hAnsi="Times New Roman" w:eastAsia="宋体" w:cs="Times New Roman"/>
                <w:color w:val="auto"/>
                <w:sz w:val="24"/>
                <w:szCs w:val="24"/>
                <w:highlight w:val="none"/>
                <w:lang w:val="en-US" w:eastAsia="zh-CN"/>
              </w:rPr>
              <w:t>—污染源边缘控制风速，m/s；根据《环境工程设计手册》（2002年版）表1.3.2，控制风速取1.0~2.5m/s，项目集气罩设置在设备上方，本次评价取1.1m/s。</w:t>
            </w:r>
          </w:p>
          <w:p w14:paraId="0898FA0D">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根据上式计算，</w:t>
            </w:r>
            <w:r>
              <w:rPr>
                <w:rFonts w:hint="eastAsia" w:cs="Times New Roman"/>
                <w:color w:val="auto"/>
                <w:sz w:val="24"/>
                <w:szCs w:val="24"/>
                <w:highlight w:val="none"/>
                <w:lang w:val="en-US" w:eastAsia="zh-CN"/>
              </w:rPr>
              <w:t>第一、第二生产线</w:t>
            </w:r>
            <w:r>
              <w:rPr>
                <w:rFonts w:hint="eastAsia" w:ascii="Times New Roman" w:hAnsi="Times New Roman" w:eastAsia="宋体" w:cs="Times New Roman"/>
                <w:color w:val="auto"/>
                <w:sz w:val="24"/>
                <w:szCs w:val="24"/>
                <w:highlight w:val="none"/>
                <w:lang w:val="en-US" w:eastAsia="zh-CN"/>
              </w:rPr>
              <w:t>单个集气罩排风量为2.64m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/s，9504m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本项目第一</w:t>
            </w:r>
            <w:r>
              <w:rPr>
                <w:rFonts w:hint="eastAsia" w:cs="Times New Roman"/>
                <w:color w:val="auto"/>
                <w:sz w:val="24"/>
                <w:szCs w:val="24"/>
                <w:highlight w:val="none"/>
                <w:lang w:val="en-US" w:eastAsia="zh-CN"/>
              </w:rPr>
              <w:t>、第二</w:t>
            </w:r>
            <w:r>
              <w:rPr>
                <w:rFonts w:hint="eastAsia" w:ascii="Times New Roman" w:hAnsi="Times New Roman" w:eastAsia="宋体" w:cs="Times New Roman"/>
                <w:color w:val="auto"/>
                <w:sz w:val="24"/>
                <w:szCs w:val="24"/>
                <w:highlight w:val="none"/>
                <w:lang w:val="en-US" w:eastAsia="zh-CN"/>
              </w:rPr>
              <w:t>生产线共设置8个集气罩，因此</w:t>
            </w:r>
            <w:r>
              <w:rPr>
                <w:rFonts w:hint="default" w:ascii="Times New Roman" w:hAnsi="Times New Roman" w:eastAsia="宋体" w:cs="Times New Roman"/>
                <w:color w:val="auto"/>
                <w:sz w:val="24"/>
                <w:szCs w:val="24"/>
                <w:highlight w:val="none"/>
              </w:rPr>
              <w:t>环评要求建设</w:t>
            </w:r>
            <w:r>
              <w:rPr>
                <w:rFonts w:hint="eastAsia" w:ascii="Times New Roman" w:hAnsi="Times New Roman" w:eastAsia="宋体" w:cs="Times New Roman"/>
                <w:color w:val="auto"/>
                <w:sz w:val="24"/>
                <w:szCs w:val="24"/>
                <w:highlight w:val="none"/>
                <w:lang w:val="en-US" w:eastAsia="zh-CN"/>
              </w:rPr>
              <w:t>单位布袋</w:t>
            </w:r>
            <w:r>
              <w:rPr>
                <w:rFonts w:hint="default" w:ascii="Times New Roman" w:hAnsi="Times New Roman" w:eastAsia="宋体" w:cs="Times New Roman"/>
                <w:color w:val="auto"/>
                <w:sz w:val="24"/>
                <w:szCs w:val="24"/>
                <w:highlight w:val="none"/>
              </w:rPr>
              <w:t>除尘</w:t>
            </w:r>
            <w:r>
              <w:rPr>
                <w:rFonts w:hint="eastAsia"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rPr>
              <w:t>风机风量</w:t>
            </w:r>
            <w:r>
              <w:rPr>
                <w:rFonts w:hint="eastAsia" w:ascii="Times New Roman" w:hAnsi="Times New Roman" w:eastAsia="宋体" w:cs="Times New Roman"/>
                <w:color w:val="auto"/>
                <w:sz w:val="24"/>
                <w:szCs w:val="24"/>
                <w:highlight w:val="none"/>
                <w:lang w:val="en-US" w:eastAsia="zh-CN"/>
              </w:rPr>
              <w:t>应≥76032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本次评价取77000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val="en-US" w:eastAsia="zh-CN"/>
              </w:rPr>
              <w:t>进行核算。</w:t>
            </w:r>
            <w:r>
              <w:rPr>
                <w:rFonts w:hint="eastAsia" w:cs="Times New Roman"/>
                <w:color w:val="auto"/>
                <w:sz w:val="24"/>
                <w:szCs w:val="24"/>
                <w:highlight w:val="none"/>
                <w:lang w:val="en-US" w:eastAsia="zh-CN"/>
              </w:rPr>
              <w:t>第三生产线</w:t>
            </w:r>
            <w:r>
              <w:rPr>
                <w:rFonts w:hint="eastAsia" w:ascii="Times New Roman" w:hAnsi="Times New Roman" w:eastAsia="宋体" w:cs="Times New Roman"/>
                <w:color w:val="auto"/>
                <w:sz w:val="24"/>
                <w:szCs w:val="24"/>
                <w:highlight w:val="none"/>
                <w:lang w:val="en-US" w:eastAsia="zh-CN"/>
              </w:rPr>
              <w:t>共设置</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个集气罩，因此</w:t>
            </w:r>
            <w:r>
              <w:rPr>
                <w:rFonts w:hint="default" w:ascii="Times New Roman" w:hAnsi="Times New Roman" w:eastAsia="宋体" w:cs="Times New Roman"/>
                <w:color w:val="auto"/>
                <w:sz w:val="24"/>
                <w:szCs w:val="24"/>
                <w:highlight w:val="none"/>
              </w:rPr>
              <w:t>环评要求建设</w:t>
            </w:r>
            <w:r>
              <w:rPr>
                <w:rFonts w:hint="eastAsia" w:ascii="Times New Roman" w:hAnsi="Times New Roman" w:eastAsia="宋体" w:cs="Times New Roman"/>
                <w:color w:val="auto"/>
                <w:sz w:val="24"/>
                <w:szCs w:val="24"/>
                <w:highlight w:val="none"/>
                <w:lang w:val="en-US" w:eastAsia="zh-CN"/>
              </w:rPr>
              <w:t>单位布袋</w:t>
            </w:r>
            <w:r>
              <w:rPr>
                <w:rFonts w:hint="default" w:ascii="Times New Roman" w:hAnsi="Times New Roman" w:eastAsia="宋体" w:cs="Times New Roman"/>
                <w:color w:val="auto"/>
                <w:sz w:val="24"/>
                <w:szCs w:val="24"/>
                <w:highlight w:val="none"/>
              </w:rPr>
              <w:t>除尘</w:t>
            </w:r>
            <w:r>
              <w:rPr>
                <w:rFonts w:hint="eastAsia"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rPr>
              <w:t>风机风量</w:t>
            </w:r>
            <w:r>
              <w:rPr>
                <w:rFonts w:hint="eastAsia" w:ascii="Times New Roman" w:hAnsi="Times New Roman" w:eastAsia="宋体" w:cs="Times New Roman"/>
                <w:color w:val="auto"/>
                <w:sz w:val="24"/>
                <w:szCs w:val="24"/>
                <w:highlight w:val="none"/>
                <w:lang w:val="en-US" w:eastAsia="zh-CN"/>
              </w:rPr>
              <w:t>应≥</w:t>
            </w:r>
            <w:r>
              <w:rPr>
                <w:rFonts w:hint="eastAsia" w:cs="Times New Roman"/>
                <w:color w:val="auto"/>
                <w:sz w:val="24"/>
                <w:szCs w:val="24"/>
                <w:highlight w:val="none"/>
                <w:lang w:val="en-US" w:eastAsia="zh-CN"/>
              </w:rPr>
              <w:t>95040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本次评价取</w:t>
            </w:r>
            <w:r>
              <w:rPr>
                <w:rFonts w:hint="eastAsia" w:cs="Times New Roman"/>
                <w:color w:val="auto"/>
                <w:sz w:val="24"/>
                <w:szCs w:val="24"/>
                <w:highlight w:val="none"/>
                <w:lang w:val="en-US" w:eastAsia="zh-CN"/>
              </w:rPr>
              <w:t>96</w:t>
            </w:r>
            <w:r>
              <w:rPr>
                <w:rFonts w:hint="eastAsia" w:ascii="Times New Roman" w:hAnsi="Times New Roman" w:eastAsia="宋体" w:cs="Times New Roman"/>
                <w:color w:val="auto"/>
                <w:sz w:val="24"/>
                <w:szCs w:val="24"/>
                <w:highlight w:val="none"/>
                <w:lang w:val="en-US" w:eastAsia="zh-CN"/>
              </w:rPr>
              <w:t>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val="en-US" w:eastAsia="zh-CN"/>
              </w:rPr>
              <w:t>进行核算</w:t>
            </w:r>
            <w:r>
              <w:rPr>
                <w:rFonts w:hint="eastAsia" w:cs="Times New Roman"/>
                <w:color w:val="auto"/>
                <w:sz w:val="24"/>
                <w:szCs w:val="24"/>
                <w:highlight w:val="none"/>
                <w:lang w:val="en-US" w:eastAsia="zh-CN"/>
              </w:rPr>
              <w:t>。</w:t>
            </w:r>
          </w:p>
          <w:p w14:paraId="04F243F0">
            <w:pPr>
              <w:adjustRightInd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各个生产线设备全部设置在</w:t>
            </w:r>
            <w:r>
              <w:rPr>
                <w:rFonts w:hint="eastAsia" w:ascii="Times New Roman" w:hAnsi="Times New Roman" w:eastAsia="宋体" w:cs="Times New Roman"/>
                <w:color w:val="auto"/>
                <w:sz w:val="24"/>
                <w:szCs w:val="24"/>
                <w:highlight w:val="none"/>
              </w:rPr>
              <w:t>封闭</w:t>
            </w:r>
            <w:r>
              <w:rPr>
                <w:rFonts w:hint="eastAsia" w:ascii="Times New Roman" w:hAnsi="Times New Roman" w:eastAsia="宋体" w:cs="Times New Roman"/>
                <w:color w:val="auto"/>
                <w:sz w:val="24"/>
                <w:szCs w:val="24"/>
                <w:highlight w:val="none"/>
                <w:lang w:val="en-US" w:eastAsia="zh-CN"/>
              </w:rPr>
              <w:t>厂房内，第一生产线</w:t>
            </w:r>
            <w:r>
              <w:rPr>
                <w:rFonts w:hint="eastAsia" w:cs="Times New Roman"/>
                <w:color w:val="auto"/>
                <w:sz w:val="24"/>
                <w:szCs w:val="24"/>
                <w:highlight w:val="none"/>
                <w:lang w:val="en-US" w:eastAsia="zh-CN"/>
              </w:rPr>
              <w:t>、第二生产线</w:t>
            </w:r>
            <w:r>
              <w:rPr>
                <w:rFonts w:hint="eastAsia" w:ascii="Times New Roman" w:hAnsi="Times New Roman" w:eastAsia="宋体" w:cs="Times New Roman"/>
                <w:color w:val="auto"/>
                <w:sz w:val="24"/>
                <w:szCs w:val="24"/>
                <w:highlight w:val="none"/>
                <w:lang w:val="en-US" w:eastAsia="zh-CN"/>
              </w:rPr>
              <w:t>收集</w:t>
            </w:r>
            <w:r>
              <w:rPr>
                <w:rFonts w:hint="eastAsia" w:ascii="Times New Roman" w:hAnsi="Times New Roman" w:eastAsia="宋体" w:cs="Times New Roman"/>
                <w:color w:val="auto"/>
                <w:sz w:val="24"/>
                <w:szCs w:val="24"/>
                <w:highlight w:val="none"/>
              </w:rPr>
              <w:t>的粉尘</w:t>
            </w:r>
            <w:r>
              <w:rPr>
                <w:rFonts w:hint="eastAsia" w:ascii="Times New Roman" w:hAnsi="Times New Roman" w:eastAsia="宋体" w:cs="Times New Roman"/>
                <w:color w:val="auto"/>
                <w:sz w:val="24"/>
                <w:szCs w:val="24"/>
                <w:highlight w:val="none"/>
                <w:lang w:val="en-US" w:eastAsia="zh-CN"/>
              </w:rPr>
              <w:t>量</w:t>
            </w:r>
            <w:r>
              <w:rPr>
                <w:rFonts w:hint="eastAsia" w:cs="Times New Roman"/>
                <w:color w:val="auto"/>
                <w:sz w:val="24"/>
                <w:szCs w:val="24"/>
                <w:highlight w:val="none"/>
                <w:lang w:val="en-US" w:eastAsia="zh-CN"/>
              </w:rPr>
              <w:t>均</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237.6</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99</w:t>
            </w:r>
            <w:r>
              <w:rPr>
                <w:rFonts w:hint="default" w:ascii="Times New Roman" w:hAnsi="Times New Roman" w:eastAsia="宋体" w:cs="Times New Roman"/>
                <w:color w:val="auto"/>
                <w:sz w:val="24"/>
                <w:szCs w:val="24"/>
                <w:highlight w:val="none"/>
              </w:rPr>
              <w:t>kg/h</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收集</w:t>
            </w:r>
            <w:r>
              <w:rPr>
                <w:rFonts w:hint="eastAsia" w:ascii="Times New Roman" w:hAnsi="Times New Roman" w:eastAsia="宋体" w:cs="Times New Roman"/>
                <w:color w:val="auto"/>
                <w:sz w:val="24"/>
                <w:szCs w:val="24"/>
                <w:highlight w:val="none"/>
              </w:rPr>
              <w:t>的粉尘</w:t>
            </w:r>
            <w:r>
              <w:rPr>
                <w:rFonts w:hint="eastAsia" w:ascii="Times New Roman" w:hAnsi="Times New Roman" w:eastAsia="宋体" w:cs="Times New Roman"/>
                <w:color w:val="auto"/>
                <w:sz w:val="24"/>
                <w:szCs w:val="24"/>
                <w:highlight w:val="none"/>
                <w:lang w:val="en-US" w:eastAsia="zh-CN"/>
              </w:rPr>
              <w:t>引至1套</w:t>
            </w:r>
            <w:r>
              <w:rPr>
                <w:rFonts w:hint="eastAsia" w:ascii="Times New Roman" w:hAnsi="Times New Roman" w:eastAsia="宋体" w:cs="Times New Roman"/>
                <w:color w:val="auto"/>
                <w:sz w:val="24"/>
                <w:szCs w:val="24"/>
                <w:highlight w:val="none"/>
              </w:rPr>
              <w:t>布袋除尘器处理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TA001</w:t>
            </w:r>
            <w:r>
              <w:rPr>
                <w:rFonts w:hint="eastAsia" w:cs="Times New Roman"/>
                <w:color w:val="auto"/>
                <w:sz w:val="24"/>
                <w:szCs w:val="24"/>
                <w:highlight w:val="none"/>
                <w:lang w:val="en-US" w:eastAsia="zh-CN"/>
              </w:rPr>
              <w:t>、TA002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布袋除尘器处理风</w:t>
            </w:r>
            <w:r>
              <w:rPr>
                <w:rFonts w:hint="eastAsia" w:ascii="Times New Roman" w:hAnsi="Times New Roman" w:eastAsia="宋体" w:cs="Times New Roman"/>
                <w:color w:val="auto"/>
                <w:sz w:val="24"/>
                <w:szCs w:val="24"/>
                <w:highlight w:val="none"/>
              </w:rPr>
              <w:t>量为</w:t>
            </w:r>
            <w:r>
              <w:rPr>
                <w:rFonts w:hint="eastAsia" w:ascii="Times New Roman" w:hAnsi="Times New Roman" w:eastAsia="宋体" w:cs="Times New Roman"/>
                <w:color w:val="auto"/>
                <w:sz w:val="24"/>
                <w:szCs w:val="24"/>
                <w:highlight w:val="none"/>
                <w:lang w:val="en-US" w:eastAsia="zh-CN"/>
              </w:rPr>
              <w:t>77</w:t>
            </w:r>
            <w:r>
              <w:rPr>
                <w:rFonts w:hint="eastAsia" w:ascii="Times New Roman" w:hAnsi="Times New Roman" w:eastAsia="宋体" w:cs="Times New Roman"/>
                <w:color w:val="auto"/>
                <w:sz w:val="24"/>
                <w:szCs w:val="24"/>
                <w:highlight w:val="none"/>
              </w:rPr>
              <w:t>000m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val="en-US" w:eastAsia="zh-CN"/>
              </w:rPr>
              <w:t>布袋除尘器</w:t>
            </w:r>
            <w:r>
              <w:rPr>
                <w:rFonts w:hint="eastAsia" w:ascii="Times New Roman" w:hAnsi="Times New Roman" w:eastAsia="宋体" w:cs="Times New Roman"/>
                <w:color w:val="auto"/>
                <w:sz w:val="24"/>
                <w:szCs w:val="24"/>
                <w:highlight w:val="none"/>
              </w:rPr>
              <w:t>除尘效率</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9</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则第一生产线</w:t>
            </w:r>
            <w:r>
              <w:rPr>
                <w:rFonts w:hint="eastAsia" w:cs="Times New Roman"/>
                <w:color w:val="auto"/>
                <w:sz w:val="24"/>
                <w:szCs w:val="24"/>
                <w:highlight w:val="none"/>
                <w:lang w:val="en-US" w:eastAsia="zh-CN"/>
              </w:rPr>
              <w:t>、第二生产线</w:t>
            </w:r>
            <w:r>
              <w:rPr>
                <w:rFonts w:hint="eastAsia" w:ascii="Times New Roman" w:hAnsi="Times New Roman" w:eastAsia="宋体" w:cs="Times New Roman"/>
                <w:color w:val="auto"/>
                <w:sz w:val="24"/>
                <w:szCs w:val="24"/>
                <w:highlight w:val="none"/>
                <w:lang w:val="en-US" w:eastAsia="zh-CN"/>
              </w:rPr>
              <w:t>布袋除尘器出口颗粒物</w:t>
            </w:r>
            <w:r>
              <w:rPr>
                <w:rFonts w:hint="default" w:ascii="Times New Roman" w:hAnsi="Times New Roman" w:eastAsia="宋体" w:cs="Times New Roman"/>
                <w:color w:val="auto"/>
                <w:sz w:val="24"/>
                <w:szCs w:val="24"/>
                <w:highlight w:val="none"/>
              </w:rPr>
              <w:t>排放量</w:t>
            </w:r>
            <w:r>
              <w:rPr>
                <w:rFonts w:hint="eastAsia"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2.376</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val="en-US" w:eastAsia="zh-CN"/>
              </w:rPr>
              <w:t>0.99</w:t>
            </w:r>
            <w:r>
              <w:rPr>
                <w:rFonts w:hint="default" w:ascii="Times New Roman" w:hAnsi="Times New Roman" w:eastAsia="宋体" w:cs="Times New Roman"/>
                <w:color w:val="auto"/>
                <w:sz w:val="24"/>
                <w:szCs w:val="24"/>
                <w:highlight w:val="none"/>
              </w:rPr>
              <w:t>kg/h，排放浓度为</w:t>
            </w:r>
            <w:r>
              <w:rPr>
                <w:rFonts w:hint="eastAsia" w:cs="Times New Roman"/>
                <w:color w:val="auto"/>
                <w:sz w:val="24"/>
                <w:szCs w:val="24"/>
                <w:highlight w:val="none"/>
                <w:lang w:val="en-US" w:eastAsia="zh-CN"/>
              </w:rPr>
              <w:t>12.86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第三生产线</w:t>
            </w:r>
            <w:r>
              <w:rPr>
                <w:rFonts w:hint="eastAsia" w:ascii="Times New Roman" w:hAnsi="Times New Roman" w:eastAsia="宋体" w:cs="Times New Roman"/>
                <w:color w:val="auto"/>
                <w:sz w:val="24"/>
                <w:szCs w:val="24"/>
                <w:highlight w:val="none"/>
                <w:lang w:val="en-US" w:eastAsia="zh-CN"/>
              </w:rPr>
              <w:t>收集</w:t>
            </w:r>
            <w:r>
              <w:rPr>
                <w:rFonts w:hint="eastAsia" w:ascii="Times New Roman" w:hAnsi="Times New Roman" w:eastAsia="宋体" w:cs="Times New Roman"/>
                <w:color w:val="auto"/>
                <w:sz w:val="24"/>
                <w:szCs w:val="24"/>
                <w:highlight w:val="none"/>
              </w:rPr>
              <w:t>的粉尘</w:t>
            </w:r>
            <w:r>
              <w:rPr>
                <w:rFonts w:hint="eastAsia" w:ascii="Times New Roman" w:hAnsi="Times New Roman" w:eastAsia="宋体" w:cs="Times New Roman"/>
                <w:color w:val="auto"/>
                <w:sz w:val="24"/>
                <w:szCs w:val="24"/>
                <w:highlight w:val="none"/>
                <w:lang w:val="en-US" w:eastAsia="zh-CN"/>
              </w:rPr>
              <w:t>量</w:t>
            </w:r>
            <w:r>
              <w:rPr>
                <w:rFonts w:hint="eastAsia" w:cs="Times New Roman"/>
                <w:color w:val="auto"/>
                <w:sz w:val="24"/>
                <w:szCs w:val="24"/>
                <w:highlight w:val="none"/>
                <w:lang w:val="en-US" w:eastAsia="zh-CN"/>
              </w:rPr>
              <w:t>均</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417.6</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174</w:t>
            </w:r>
            <w:r>
              <w:rPr>
                <w:rFonts w:hint="default" w:ascii="Times New Roman" w:hAnsi="Times New Roman" w:eastAsia="宋体" w:cs="Times New Roman"/>
                <w:color w:val="auto"/>
                <w:sz w:val="24"/>
                <w:szCs w:val="24"/>
                <w:highlight w:val="none"/>
              </w:rPr>
              <w:t>kg/h</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收集</w:t>
            </w:r>
            <w:r>
              <w:rPr>
                <w:rFonts w:hint="eastAsia" w:ascii="Times New Roman" w:hAnsi="Times New Roman" w:eastAsia="宋体" w:cs="Times New Roman"/>
                <w:color w:val="auto"/>
                <w:sz w:val="24"/>
                <w:szCs w:val="24"/>
                <w:highlight w:val="none"/>
              </w:rPr>
              <w:t>的粉尘</w:t>
            </w:r>
            <w:r>
              <w:rPr>
                <w:rFonts w:hint="eastAsia" w:ascii="Times New Roman" w:hAnsi="Times New Roman" w:eastAsia="宋体" w:cs="Times New Roman"/>
                <w:color w:val="auto"/>
                <w:sz w:val="24"/>
                <w:szCs w:val="24"/>
                <w:highlight w:val="none"/>
                <w:lang w:val="en-US" w:eastAsia="zh-CN"/>
              </w:rPr>
              <w:t>引至1套</w:t>
            </w:r>
            <w:r>
              <w:rPr>
                <w:rFonts w:hint="eastAsia" w:ascii="Times New Roman" w:hAnsi="Times New Roman" w:eastAsia="宋体" w:cs="Times New Roman"/>
                <w:color w:val="auto"/>
                <w:sz w:val="24"/>
                <w:szCs w:val="24"/>
                <w:highlight w:val="none"/>
              </w:rPr>
              <w:t>布袋除尘器处理</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TA003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布袋除尘器处理风</w:t>
            </w:r>
            <w:r>
              <w:rPr>
                <w:rFonts w:hint="eastAsia" w:ascii="Times New Roman" w:hAnsi="Times New Roman" w:eastAsia="宋体" w:cs="Times New Roman"/>
                <w:color w:val="auto"/>
                <w:sz w:val="24"/>
                <w:szCs w:val="24"/>
                <w:highlight w:val="none"/>
              </w:rPr>
              <w:t>量为</w:t>
            </w:r>
            <w:r>
              <w:rPr>
                <w:rFonts w:hint="eastAsia" w:cs="Times New Roman"/>
                <w:color w:val="auto"/>
                <w:sz w:val="24"/>
                <w:szCs w:val="24"/>
                <w:highlight w:val="none"/>
                <w:lang w:val="en-US" w:eastAsia="zh-CN"/>
              </w:rPr>
              <w:t>96</w:t>
            </w:r>
            <w:r>
              <w:rPr>
                <w:rFonts w:hint="eastAsia" w:ascii="Times New Roman" w:hAnsi="Times New Roman" w:eastAsia="宋体" w:cs="Times New Roman"/>
                <w:color w:val="auto"/>
                <w:sz w:val="24"/>
                <w:szCs w:val="24"/>
                <w:highlight w:val="none"/>
              </w:rPr>
              <w:t>000m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val="en-US" w:eastAsia="zh-CN"/>
              </w:rPr>
              <w:t>布袋除尘器</w:t>
            </w:r>
            <w:r>
              <w:rPr>
                <w:rFonts w:hint="eastAsia" w:ascii="Times New Roman" w:hAnsi="Times New Roman" w:eastAsia="宋体" w:cs="Times New Roman"/>
                <w:color w:val="auto"/>
                <w:sz w:val="24"/>
                <w:szCs w:val="24"/>
                <w:highlight w:val="none"/>
              </w:rPr>
              <w:t>除尘效率</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9</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则</w:t>
            </w:r>
            <w:r>
              <w:rPr>
                <w:rFonts w:hint="eastAsia" w:cs="Times New Roman"/>
                <w:color w:val="auto"/>
                <w:sz w:val="24"/>
                <w:szCs w:val="24"/>
                <w:highlight w:val="none"/>
                <w:lang w:val="en-US" w:eastAsia="zh-CN"/>
              </w:rPr>
              <w:t>第三生产线</w:t>
            </w:r>
            <w:r>
              <w:rPr>
                <w:rFonts w:hint="eastAsia" w:ascii="Times New Roman" w:hAnsi="Times New Roman" w:eastAsia="宋体" w:cs="Times New Roman"/>
                <w:color w:val="auto"/>
                <w:sz w:val="24"/>
                <w:szCs w:val="24"/>
                <w:highlight w:val="none"/>
                <w:lang w:val="en-US" w:eastAsia="zh-CN"/>
              </w:rPr>
              <w:t>布袋除尘器出口颗粒物</w:t>
            </w:r>
            <w:r>
              <w:rPr>
                <w:rFonts w:hint="default" w:ascii="Times New Roman" w:hAnsi="Times New Roman" w:eastAsia="宋体" w:cs="Times New Roman"/>
                <w:color w:val="auto"/>
                <w:sz w:val="24"/>
                <w:szCs w:val="24"/>
                <w:highlight w:val="none"/>
              </w:rPr>
              <w:t>排放量</w:t>
            </w:r>
            <w:r>
              <w:rPr>
                <w:rFonts w:hint="eastAsia"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4.176</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val="en-US" w:eastAsia="zh-CN"/>
              </w:rPr>
              <w:t>1.74</w:t>
            </w:r>
            <w:r>
              <w:rPr>
                <w:rFonts w:hint="default" w:ascii="Times New Roman" w:hAnsi="Times New Roman" w:eastAsia="宋体" w:cs="Times New Roman"/>
                <w:color w:val="auto"/>
                <w:sz w:val="24"/>
                <w:szCs w:val="24"/>
                <w:highlight w:val="none"/>
              </w:rPr>
              <w:t>kg/h，排放浓度为</w:t>
            </w:r>
            <w:r>
              <w:rPr>
                <w:rFonts w:hint="eastAsia" w:cs="Times New Roman"/>
                <w:color w:val="auto"/>
                <w:sz w:val="24"/>
                <w:szCs w:val="24"/>
                <w:highlight w:val="none"/>
                <w:lang w:val="en-US" w:eastAsia="zh-CN"/>
              </w:rPr>
              <w:t>18.13</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lang w:eastAsia="zh-CN"/>
              </w:rPr>
              <w:t>。</w:t>
            </w:r>
          </w:p>
          <w:p w14:paraId="179EF6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2</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无组织粉尘</w:t>
            </w:r>
          </w:p>
          <w:p w14:paraId="00CF9034">
            <w:pPr>
              <w:pStyle w:val="8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①</w:t>
            </w:r>
            <w:r>
              <w:rPr>
                <w:rFonts w:hint="eastAsia" w:ascii="Times New Roman" w:hAnsi="Times New Roman" w:eastAsia="宋体" w:cs="Times New Roman"/>
                <w:color w:val="auto"/>
                <w:sz w:val="24"/>
                <w:szCs w:val="24"/>
                <w:highlight w:val="none"/>
                <w:lang w:val="en-US" w:eastAsia="zh-CN"/>
              </w:rPr>
              <w:t>原料</w:t>
            </w:r>
            <w:r>
              <w:rPr>
                <w:rFonts w:hint="eastAsia" w:cs="Times New Roman"/>
                <w:color w:val="auto"/>
                <w:sz w:val="24"/>
                <w:szCs w:val="24"/>
                <w:highlight w:val="none"/>
                <w:lang w:val="en-US" w:eastAsia="zh-CN"/>
              </w:rPr>
              <w:t>仓库</w:t>
            </w:r>
            <w:r>
              <w:rPr>
                <w:rFonts w:hint="eastAsia" w:ascii="Times New Roman" w:hAnsi="Times New Roman" w:eastAsia="宋体" w:cs="Times New Roman"/>
                <w:color w:val="auto"/>
                <w:sz w:val="24"/>
                <w:szCs w:val="24"/>
                <w:highlight w:val="none"/>
                <w:lang w:val="en-US" w:eastAsia="zh-CN"/>
              </w:rPr>
              <w:t>堆场、成品</w:t>
            </w:r>
            <w:r>
              <w:rPr>
                <w:rFonts w:hint="eastAsia" w:cs="Times New Roman"/>
                <w:color w:val="auto"/>
                <w:sz w:val="24"/>
                <w:szCs w:val="24"/>
                <w:highlight w:val="none"/>
                <w:lang w:val="en-US" w:eastAsia="zh-CN"/>
              </w:rPr>
              <w:t>仓库</w:t>
            </w:r>
            <w:r>
              <w:rPr>
                <w:rFonts w:hint="eastAsia" w:ascii="Times New Roman" w:hAnsi="Times New Roman" w:eastAsia="宋体" w:cs="Times New Roman"/>
                <w:color w:val="auto"/>
                <w:sz w:val="24"/>
                <w:szCs w:val="24"/>
                <w:highlight w:val="none"/>
                <w:lang w:val="en-US" w:eastAsia="zh-CN"/>
              </w:rPr>
              <w:t>堆场及装卸扬尘</w:t>
            </w:r>
          </w:p>
          <w:p w14:paraId="46036B4A">
            <w:pPr>
              <w:pStyle w:val="70"/>
              <w:ind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项目</w:t>
            </w:r>
            <w:r>
              <w:rPr>
                <w:rFonts w:hint="eastAsia" w:ascii="Times New Roman" w:hAnsi="Times New Roman" w:eastAsia="宋体"/>
                <w:color w:val="auto"/>
                <w:highlight w:val="none"/>
                <w:lang w:val="en-US" w:eastAsia="zh-CN"/>
              </w:rPr>
              <w:t>矿石原料及加工产品均为散装，</w:t>
            </w:r>
            <w:r>
              <w:rPr>
                <w:rFonts w:hint="eastAsia" w:ascii="Times New Roman" w:hAnsi="Times New Roman" w:eastAsia="宋体"/>
                <w:color w:val="auto"/>
                <w:highlight w:val="none"/>
              </w:rPr>
              <w:t>运输车辆</w:t>
            </w:r>
            <w:r>
              <w:rPr>
                <w:rFonts w:hint="eastAsia" w:ascii="Times New Roman" w:hAnsi="Times New Roman" w:eastAsia="宋体"/>
                <w:color w:val="auto"/>
                <w:highlight w:val="none"/>
                <w:lang w:val="en-US" w:eastAsia="zh-CN"/>
              </w:rPr>
              <w:t>运输至厂区，利用自卸汽车或者装载机装卸至原料仓库，生产的时候再用装载机转运至给料机。</w:t>
            </w:r>
            <w:r>
              <w:rPr>
                <w:rFonts w:hint="eastAsia" w:ascii="Times New Roman" w:hAnsi="Times New Roman" w:eastAsia="宋体"/>
                <w:color w:val="auto"/>
                <w:highlight w:val="none"/>
              </w:rPr>
              <w:t>扬尘主要</w:t>
            </w:r>
            <w:r>
              <w:rPr>
                <w:rFonts w:hint="eastAsia" w:ascii="Times New Roman" w:hAnsi="Times New Roman"/>
                <w:color w:val="auto"/>
                <w:highlight w:val="none"/>
                <w:lang w:eastAsia="zh-CN"/>
              </w:rPr>
              <w:t>来自</w:t>
            </w:r>
            <w:r>
              <w:rPr>
                <w:rFonts w:hint="eastAsia" w:ascii="Times New Roman" w:hAnsi="Times New Roman" w:eastAsia="宋体"/>
                <w:color w:val="auto"/>
                <w:highlight w:val="none"/>
                <w:lang w:val="en-US" w:eastAsia="zh-CN"/>
              </w:rPr>
              <w:t>矿石</w:t>
            </w:r>
            <w:r>
              <w:rPr>
                <w:rFonts w:hint="eastAsia" w:ascii="Times New Roman" w:hAnsi="Times New Roman" w:eastAsia="宋体"/>
                <w:color w:val="auto"/>
                <w:highlight w:val="none"/>
              </w:rPr>
              <w:t>的装卸</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堆存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其均位于</w:t>
            </w:r>
            <w:r>
              <w:rPr>
                <w:rFonts w:hint="eastAsia" w:ascii="Times New Roman" w:hAnsi="Times New Roman"/>
                <w:color w:val="auto"/>
                <w:highlight w:val="none"/>
                <w:lang w:val="en-US" w:eastAsia="zh-CN"/>
              </w:rPr>
              <w:t>堆料大棚</w:t>
            </w:r>
            <w:r>
              <w:rPr>
                <w:rFonts w:hint="eastAsia" w:ascii="Times New Roman" w:hAnsi="Times New Roman" w:eastAsia="宋体"/>
                <w:color w:val="auto"/>
                <w:highlight w:val="none"/>
                <w:lang w:val="en-US" w:eastAsia="zh-CN"/>
              </w:rPr>
              <w:t>内，物料在装卸过程中产生粉尘。根据《排放源统计调查产排污核算方法和系数手册》中《固体物料堆存颗粒物产排污核算系数手册》估算堆存粉尘产生量，核算公式如下：</w:t>
            </w:r>
          </w:p>
          <w:p w14:paraId="29FA931B">
            <w:pPr>
              <w:rPr>
                <w:rFonts w:ascii="Times New Roman" w:hAnsi="Times New Roman" w:eastAsia="宋体"/>
                <w:color w:val="auto"/>
                <w:sz w:val="24"/>
                <w:szCs w:val="24"/>
                <w:highlight w:val="none"/>
              </w:rPr>
            </w:pPr>
            <m:oMathPara>
              <m:oMath>
                <m:r>
                  <m:rPr/>
                  <w:rPr>
                    <w:rFonts w:ascii="Times New Roman" w:hAnsi="Times New Roman" w:eastAsia="宋体" w:cs="Cambria Math"/>
                    <w:color w:val="auto"/>
                    <w:sz w:val="24"/>
                    <w:szCs w:val="24"/>
                    <w:highlight w:val="none"/>
                  </w:rPr>
                  <m:t>P=Z</m:t>
                </m:r>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C</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y</m:t>
                    </m:r>
                    <m:ctrlPr>
                      <w:rPr>
                        <w:rFonts w:ascii="Cambria Math" w:hAnsi="Cambria Math" w:eastAsia="宋体"/>
                        <w:color w:val="auto"/>
                        <w:sz w:val="24"/>
                        <w:szCs w:val="24"/>
                        <w:highlight w:val="none"/>
                      </w:rPr>
                    </m:ctrlPr>
                  </m:sub>
                </m:sSub>
                <m:r>
                  <m:rPr/>
                  <w:rPr>
                    <w:rFonts w:ascii="Times New Roman" w:hAnsi="Times New Roman" w:eastAsia="宋体" w:cs="Cambria Math"/>
                    <w:color w:val="auto"/>
                    <w:sz w:val="24"/>
                    <w:szCs w:val="24"/>
                    <w:highlight w:val="none"/>
                  </w:rPr>
                  <m:t>+F</m:t>
                </m:r>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C</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y</m:t>
                    </m:r>
                    <m:ctrlPr>
                      <w:rPr>
                        <w:rFonts w:ascii="Cambria Math" w:hAnsi="Cambria Math" w:eastAsia="宋体"/>
                        <w:color w:val="auto"/>
                        <w:sz w:val="24"/>
                        <w:szCs w:val="24"/>
                        <w:highlight w:val="none"/>
                      </w:rPr>
                    </m:ctrlPr>
                  </m:sub>
                </m:sSub>
                <m:r>
                  <m:rPr/>
                  <w:rPr>
                    <w:rFonts w:ascii="Times New Roman" w:hAnsi="Times New Roman" w:eastAsia="宋体" w:cs="Cambria Math"/>
                    <w:color w:val="auto"/>
                    <w:sz w:val="24"/>
                    <w:szCs w:val="24"/>
                    <w:highlight w:val="none"/>
                  </w:rPr>
                  <m:t>=</m:t>
                </m:r>
                <m:d>
                  <m:dPr>
                    <m:begChr m:val="{"/>
                    <m:endChr m:val="}"/>
                    <m:ctrlPr>
                      <w:rPr>
                        <w:rFonts w:ascii="Cambria Math" w:hAnsi="Cambria Math" w:eastAsia="宋体"/>
                        <w:color w:val="auto"/>
                        <w:sz w:val="24"/>
                        <w:szCs w:val="24"/>
                        <w:highlight w:val="none"/>
                      </w:rPr>
                    </m:ctrlPr>
                  </m:dPr>
                  <m:e>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N</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C</m:t>
                        </m:r>
                        <m:ctrlPr>
                          <w:rPr>
                            <w:rFonts w:ascii="Cambria Math" w:hAnsi="Cambria Math" w:eastAsia="宋体"/>
                            <w:color w:val="auto"/>
                            <w:sz w:val="24"/>
                            <w:szCs w:val="24"/>
                            <w:highlight w:val="none"/>
                          </w:rPr>
                        </m:ctrlPr>
                      </m:sub>
                    </m:sSub>
                    <m:r>
                      <m:rPr/>
                      <w:rPr>
                        <w:rFonts w:ascii="Times New Roman" w:hAnsi="Times New Roman" w:eastAsia="宋体" w:cs="Cambria Math"/>
                        <w:color w:val="auto"/>
                        <w:sz w:val="24"/>
                        <w:szCs w:val="24"/>
                        <w:highlight w:val="none"/>
                      </w:rPr>
                      <m:t>×D×</m:t>
                    </m:r>
                    <m:d>
                      <m:dPr>
                        <m:ctrlPr>
                          <w:rPr>
                            <w:rFonts w:ascii="Cambria Math" w:hAnsi="Cambria Math" w:eastAsia="宋体"/>
                            <w:color w:val="auto"/>
                            <w:sz w:val="24"/>
                            <w:szCs w:val="24"/>
                            <w:highlight w:val="none"/>
                          </w:rPr>
                        </m:ctrlPr>
                      </m:dPr>
                      <m:e>
                        <m:r>
                          <m:rPr/>
                          <w:rPr>
                            <w:rFonts w:ascii="Times New Roman" w:hAnsi="Times New Roman" w:eastAsia="宋体" w:cs="Cambria Math"/>
                            <w:color w:val="auto"/>
                            <w:sz w:val="24"/>
                            <w:szCs w:val="24"/>
                            <w:highlight w:val="none"/>
                          </w:rPr>
                          <m:t>a/b</m:t>
                        </m:r>
                        <m:ctrlPr>
                          <w:rPr>
                            <w:rFonts w:ascii="Cambria Math" w:hAnsi="Cambria Math" w:eastAsia="宋体"/>
                            <w:color w:val="auto"/>
                            <w:sz w:val="24"/>
                            <w:szCs w:val="24"/>
                            <w:highlight w:val="none"/>
                          </w:rPr>
                        </m:ctrlPr>
                      </m:e>
                    </m:d>
                    <m:r>
                      <m:rPr/>
                      <w:rPr>
                        <w:rFonts w:ascii="Times New Roman" w:hAnsi="Times New Roman" w:eastAsia="宋体" w:cs="Cambria Math"/>
                        <w:color w:val="auto"/>
                        <w:sz w:val="24"/>
                        <w:szCs w:val="24"/>
                        <w:highlight w:val="none"/>
                      </w:rPr>
                      <m:t>+2×</m:t>
                    </m:r>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E</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f</m:t>
                        </m:r>
                        <m:ctrlPr>
                          <w:rPr>
                            <w:rFonts w:ascii="Cambria Math" w:hAnsi="Cambria Math" w:eastAsia="宋体"/>
                            <w:color w:val="auto"/>
                            <w:sz w:val="24"/>
                            <w:szCs w:val="24"/>
                            <w:highlight w:val="none"/>
                          </w:rPr>
                        </m:ctrlPr>
                      </m:sub>
                    </m:sSub>
                    <m:r>
                      <m:rPr/>
                      <w:rPr>
                        <w:rFonts w:ascii="Times New Roman" w:hAnsi="Times New Roman" w:eastAsia="宋体" w:cs="Cambria Math"/>
                        <w:color w:val="auto"/>
                        <w:sz w:val="24"/>
                        <w:szCs w:val="24"/>
                        <w:highlight w:val="none"/>
                      </w:rPr>
                      <m:t>×S</m:t>
                    </m:r>
                    <m:ctrlPr>
                      <w:rPr>
                        <w:rFonts w:ascii="Cambria Math" w:hAnsi="Cambria Math" w:eastAsia="宋体"/>
                        <w:color w:val="auto"/>
                        <w:sz w:val="24"/>
                        <w:szCs w:val="24"/>
                        <w:highlight w:val="none"/>
                      </w:rPr>
                    </m:ctrlPr>
                  </m:e>
                </m:d>
                <m:r>
                  <m:rPr/>
                  <w:rPr>
                    <w:rFonts w:ascii="Times New Roman" w:hAnsi="Times New Roman" w:eastAsia="宋体" w:cs="Cambria Math"/>
                    <w:color w:val="auto"/>
                    <w:sz w:val="24"/>
                    <w:szCs w:val="24"/>
                    <w:highlight w:val="none"/>
                  </w:rPr>
                  <m:t>×</m:t>
                </m:r>
                <m:sSup>
                  <m:sSupPr>
                    <m:ctrlPr>
                      <w:rPr>
                        <w:rFonts w:ascii="Cambria Math" w:hAnsi="Cambria Math" w:eastAsia="宋体"/>
                        <w:color w:val="auto"/>
                        <w:sz w:val="24"/>
                        <w:szCs w:val="24"/>
                        <w:highlight w:val="none"/>
                      </w:rPr>
                    </m:ctrlPr>
                  </m:sSupPr>
                  <m:e>
                    <m:r>
                      <m:rPr/>
                      <w:rPr>
                        <w:rFonts w:ascii="Times New Roman" w:hAnsi="Times New Roman" w:eastAsia="宋体" w:cs="Cambria Math"/>
                        <w:color w:val="auto"/>
                        <w:sz w:val="24"/>
                        <w:szCs w:val="24"/>
                        <w:highlight w:val="none"/>
                      </w:rPr>
                      <m:t>10</m:t>
                    </m:r>
                    <m:ctrlPr>
                      <w:rPr>
                        <w:rFonts w:ascii="Cambria Math" w:hAnsi="Cambria Math" w:eastAsia="宋体"/>
                        <w:color w:val="auto"/>
                        <w:sz w:val="24"/>
                        <w:szCs w:val="24"/>
                        <w:highlight w:val="none"/>
                      </w:rPr>
                    </m:ctrlPr>
                  </m:e>
                  <m:sup>
                    <m:r>
                      <m:rPr/>
                      <w:rPr>
                        <w:rFonts w:ascii="Times New Roman" w:hAnsi="Times New Roman" w:eastAsia="宋体" w:cs="Cambria Math"/>
                        <w:color w:val="auto"/>
                        <w:sz w:val="24"/>
                        <w:szCs w:val="24"/>
                        <w:highlight w:val="none"/>
                      </w:rPr>
                      <m:t>−3</m:t>
                    </m:r>
                    <m:ctrlPr>
                      <w:rPr>
                        <w:rFonts w:ascii="Cambria Math" w:hAnsi="Cambria Math" w:eastAsia="宋体"/>
                        <w:color w:val="auto"/>
                        <w:sz w:val="24"/>
                        <w:szCs w:val="24"/>
                        <w:highlight w:val="none"/>
                      </w:rPr>
                    </m:ctrlPr>
                  </m:sup>
                </m:sSup>
              </m:oMath>
            </m:oMathPara>
          </w:p>
          <w:p w14:paraId="45667FE1">
            <w:pPr>
              <w:pStyle w:val="70"/>
              <w:ind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式中：</w:t>
            </w:r>
          </w:p>
          <w:p w14:paraId="5C8AB3F5">
            <w:pPr>
              <w:pStyle w:val="70"/>
              <w:ind w:firstLine="480"/>
              <w:rPr>
                <w:rFonts w:hint="eastAsia" w:ascii="Times New Roman" w:hAnsi="Times New Roman" w:eastAsia="宋体"/>
                <w:color w:val="auto"/>
                <w:highlight w:val="none"/>
                <w:lang w:eastAsia="zh-CN"/>
              </w:rPr>
            </w:pPr>
            <m:oMath>
              <m:r>
                <m:rPr/>
                <w:rPr>
                  <w:rFonts w:ascii="Times New Roman" w:hAnsi="Times New Roman" w:eastAsia="宋体" w:cs="Cambria Math"/>
                  <w:color w:val="auto"/>
                  <w:sz w:val="24"/>
                  <w:szCs w:val="24"/>
                  <w:highlight w:val="none"/>
                </w:rPr>
                <m:t>P</m:t>
              </m:r>
            </m:oMath>
            <w:r>
              <w:rPr>
                <w:rFonts w:hint="eastAsia" w:ascii="Times New Roman" w:hAnsi="Times New Roman" w:eastAsia="宋体" w:cs="Cambria Math"/>
                <w:i w:val="0"/>
                <w:color w:val="auto"/>
                <w:sz w:val="24"/>
                <w:szCs w:val="24"/>
                <w:highlight w:val="none"/>
                <w:lang w:eastAsia="zh-CN"/>
              </w:rPr>
              <w:t>：指颗粒物产生量（单位：吨）；</w:t>
            </w:r>
          </w:p>
          <w:p w14:paraId="2335A85C">
            <w:pPr>
              <w:pStyle w:val="70"/>
              <w:ind w:firstLine="480"/>
              <w:rPr>
                <w:rFonts w:hint="eastAsia" w:ascii="Times New Roman" w:hAnsi="Times New Roman" w:eastAsia="宋体"/>
                <w:color w:val="auto"/>
                <w:highlight w:val="none"/>
                <w:lang w:eastAsia="zh-CN"/>
              </w:rPr>
            </w:pPr>
            <m:oMath>
              <m:r>
                <m:rPr/>
                <w:rPr>
                  <w:rFonts w:ascii="Times New Roman" w:hAnsi="Times New Roman" w:eastAsia="宋体" w:cs="Cambria Math"/>
                  <w:color w:val="auto"/>
                  <w:sz w:val="24"/>
                  <w:szCs w:val="24"/>
                  <w:highlight w:val="none"/>
                </w:rPr>
                <m:t>Z</m:t>
              </m:r>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C</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y</m:t>
                  </m:r>
                  <m:ctrlPr>
                    <w:rPr>
                      <w:rFonts w:ascii="Cambria Math" w:hAnsi="Cambria Math" w:eastAsia="宋体"/>
                      <w:color w:val="auto"/>
                      <w:sz w:val="24"/>
                      <w:szCs w:val="24"/>
                      <w:highlight w:val="none"/>
                    </w:rPr>
                  </m:ctrlPr>
                </m:sub>
              </m:sSub>
            </m:oMath>
            <w:r>
              <w:rPr>
                <w:rFonts w:hint="eastAsia" w:ascii="Times New Roman" w:hAnsi="Times New Roman" w:eastAsia="宋体"/>
                <w:i w:val="0"/>
                <w:color w:val="auto"/>
                <w:sz w:val="24"/>
                <w:szCs w:val="24"/>
                <w:highlight w:val="none"/>
                <w:lang w:eastAsia="zh-CN"/>
              </w:rPr>
              <w:t>：指装卸扬尘产生量（单位：吨）；</w:t>
            </w:r>
          </w:p>
          <w:p w14:paraId="4DCC5949">
            <w:pPr>
              <w:pStyle w:val="70"/>
              <w:ind w:firstLine="480"/>
              <w:rPr>
                <w:rFonts w:hint="eastAsia" w:ascii="Times New Roman" w:hAnsi="Times New Roman" w:eastAsia="宋体"/>
                <w:color w:val="auto"/>
                <w:highlight w:val="none"/>
                <w:lang w:eastAsia="zh-CN"/>
              </w:rPr>
            </w:pPr>
            <m:oMath>
              <m:r>
                <m:rPr/>
                <w:rPr>
                  <w:rFonts w:ascii="Times New Roman" w:hAnsi="Times New Roman" w:eastAsia="宋体" w:cs="Cambria Math"/>
                  <w:color w:val="auto"/>
                  <w:sz w:val="24"/>
                  <w:szCs w:val="24"/>
                  <w:highlight w:val="none"/>
                </w:rPr>
                <m:t>F</m:t>
              </m:r>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C</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y</m:t>
                  </m:r>
                  <m:ctrlPr>
                    <w:rPr>
                      <w:rFonts w:ascii="Cambria Math" w:hAnsi="Cambria Math" w:eastAsia="宋体"/>
                      <w:color w:val="auto"/>
                      <w:sz w:val="24"/>
                      <w:szCs w:val="24"/>
                      <w:highlight w:val="none"/>
                    </w:rPr>
                  </m:ctrlPr>
                </m:sub>
              </m:sSub>
            </m:oMath>
            <w:r>
              <w:rPr>
                <w:rFonts w:hint="eastAsia" w:ascii="Times New Roman" w:hAnsi="Times New Roman" w:eastAsia="宋体"/>
                <w:i w:val="0"/>
                <w:color w:val="auto"/>
                <w:sz w:val="24"/>
                <w:szCs w:val="24"/>
                <w:highlight w:val="none"/>
                <w:lang w:eastAsia="zh-CN"/>
              </w:rPr>
              <w:t>：指风蚀扬尘产生量（单位：吨）；</w:t>
            </w:r>
          </w:p>
          <w:p w14:paraId="435C5D1A">
            <w:pPr>
              <w:pStyle w:val="70"/>
              <w:ind w:firstLine="480"/>
              <w:rPr>
                <w:rFonts w:hint="default" w:ascii="Times New Roman" w:hAnsi="Times New Roman" w:eastAsia="宋体"/>
                <w:color w:val="auto"/>
                <w:highlight w:val="none"/>
                <w:lang w:val="en-US" w:eastAsia="zh-CN"/>
              </w:rPr>
            </w:pPr>
            <m:oMath>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N</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C</m:t>
                  </m:r>
                  <m:ctrlPr>
                    <w:rPr>
                      <w:rFonts w:ascii="Cambria Math" w:hAnsi="Cambria Math" w:eastAsia="宋体"/>
                      <w:color w:val="auto"/>
                      <w:sz w:val="24"/>
                      <w:szCs w:val="24"/>
                      <w:highlight w:val="none"/>
                    </w:rPr>
                  </m:ctrlPr>
                </m:sub>
              </m:sSub>
            </m:oMath>
            <w:r>
              <w:rPr>
                <w:rFonts w:hint="eastAsia" w:ascii="Times New Roman" w:hAnsi="Times New Roman" w:eastAsia="宋体"/>
                <w:i w:val="0"/>
                <w:color w:val="auto"/>
                <w:sz w:val="24"/>
                <w:szCs w:val="24"/>
                <w:highlight w:val="none"/>
                <w:lang w:eastAsia="zh-CN"/>
              </w:rPr>
              <w:t>：指年物料运载车次（单位：车）；</w:t>
            </w:r>
            <w:r>
              <w:rPr>
                <w:rFonts w:hint="eastAsia" w:ascii="Times New Roman" w:hAnsi="Times New Roman" w:eastAsia="宋体"/>
                <w:i w:val="0"/>
                <w:color w:val="auto"/>
                <w:sz w:val="24"/>
                <w:szCs w:val="24"/>
                <w:highlight w:val="none"/>
                <w:lang w:val="en-US" w:eastAsia="zh-CN"/>
              </w:rPr>
              <w:t>项目年加工铁</w:t>
            </w:r>
            <w:r>
              <w:rPr>
                <w:rFonts w:hint="eastAsia" w:ascii="Times New Roman" w:hAnsi="Times New Roman" w:eastAsia="宋体"/>
                <w:color w:val="auto"/>
                <w:highlight w:val="none"/>
                <w:lang w:val="en-US" w:eastAsia="zh-CN"/>
              </w:rPr>
              <w:t>矿石总量为1200000t，转运共三次（卸车入原料</w:t>
            </w:r>
            <w:r>
              <w:rPr>
                <w:rFonts w:hint="eastAsia" w:ascii="Times New Roman" w:hAnsi="Times New Roman"/>
                <w:color w:val="auto"/>
                <w:highlight w:val="none"/>
                <w:lang w:val="en-US" w:eastAsia="zh-CN"/>
              </w:rPr>
              <w:t>堆料大棚</w:t>
            </w:r>
            <w:r>
              <w:rPr>
                <w:rFonts w:hint="eastAsia" w:ascii="Times New Roman" w:hAnsi="Times New Roman" w:eastAsia="宋体"/>
                <w:color w:val="auto"/>
                <w:highlight w:val="none"/>
                <w:lang w:val="en-US" w:eastAsia="zh-CN"/>
              </w:rPr>
              <w:t>，转运至加工点，加工点至产品</w:t>
            </w:r>
            <w:r>
              <w:rPr>
                <w:rFonts w:hint="eastAsia" w:ascii="Times New Roman" w:hAnsi="Times New Roman"/>
                <w:color w:val="auto"/>
                <w:highlight w:val="none"/>
                <w:lang w:val="en-US" w:eastAsia="zh-CN"/>
              </w:rPr>
              <w:t>堆料大棚</w:t>
            </w:r>
            <w:r>
              <w:rPr>
                <w:rFonts w:hint="eastAsia" w:ascii="Times New Roman" w:hAnsi="Times New Roman" w:eastAsia="宋体"/>
                <w:color w:val="auto"/>
                <w:highlight w:val="none"/>
                <w:lang w:val="en-US" w:eastAsia="zh-CN"/>
              </w:rPr>
              <w:t>），每次转运5000kg，即运载车次为720000次。</w:t>
            </w:r>
          </w:p>
          <w:p w14:paraId="65AD7A5B">
            <w:pPr>
              <w:pStyle w:val="70"/>
              <w:ind w:firstLine="480"/>
              <w:rPr>
                <w:rFonts w:hint="eastAsia" w:ascii="Times New Roman" w:hAnsi="Times New Roman" w:eastAsia="宋体"/>
                <w:color w:val="auto"/>
                <w:highlight w:val="none"/>
                <w:lang w:eastAsia="zh-CN"/>
              </w:rPr>
            </w:pPr>
            <m:oMath>
              <m:r>
                <m:rPr/>
                <w:rPr>
                  <w:rFonts w:ascii="Times New Roman" w:hAnsi="Times New Roman" w:eastAsia="宋体" w:cs="Cambria Math"/>
                  <w:color w:val="auto"/>
                  <w:sz w:val="24"/>
                  <w:szCs w:val="24"/>
                  <w:highlight w:val="none"/>
                </w:rPr>
                <m:t>D</m:t>
              </m:r>
            </m:oMath>
            <w:r>
              <w:rPr>
                <w:rFonts w:hint="eastAsia" w:ascii="Times New Roman" w:hAnsi="Times New Roman" w:eastAsia="宋体" w:cs="Cambria Math"/>
                <w:i w:val="0"/>
                <w:color w:val="auto"/>
                <w:sz w:val="24"/>
                <w:szCs w:val="24"/>
                <w:highlight w:val="none"/>
                <w:lang w:eastAsia="zh-CN"/>
              </w:rPr>
              <w:t>：指单车平均运载量（单位：吨/车）；</w:t>
            </w:r>
            <w:r>
              <w:rPr>
                <w:rFonts w:hint="eastAsia" w:ascii="Times New Roman" w:hAnsi="Times New Roman" w:eastAsia="宋体"/>
                <w:color w:val="auto"/>
                <w:highlight w:val="none"/>
                <w:lang w:val="en-US" w:eastAsia="zh-CN"/>
              </w:rPr>
              <w:t>装载机每次转运5000kg，即5</w:t>
            </w:r>
            <w:r>
              <w:rPr>
                <w:rFonts w:hint="eastAsia" w:ascii="Times New Roman" w:hAnsi="Times New Roman" w:eastAsia="宋体" w:cs="Cambria Math"/>
                <w:i w:val="0"/>
                <w:color w:val="auto"/>
                <w:sz w:val="24"/>
                <w:szCs w:val="24"/>
                <w:highlight w:val="none"/>
                <w:lang w:eastAsia="zh-CN"/>
              </w:rPr>
              <w:t>吨/车。</w:t>
            </w:r>
          </w:p>
          <w:p w14:paraId="14DA7F15">
            <w:pPr>
              <w:pStyle w:val="70"/>
              <w:ind w:firstLine="480"/>
              <w:rPr>
                <w:rFonts w:hint="eastAsia" w:ascii="Times New Roman" w:hAnsi="Times New Roman" w:eastAsia="宋体"/>
                <w:color w:val="auto"/>
                <w:highlight w:val="none"/>
                <w:lang w:eastAsia="zh-CN"/>
              </w:rPr>
            </w:pPr>
            <m:oMath>
              <m:d>
                <m:dPr>
                  <m:ctrlPr>
                    <w:rPr>
                      <w:rFonts w:ascii="Cambria Math" w:hAnsi="Cambria Math" w:eastAsia="宋体"/>
                      <w:color w:val="auto"/>
                      <w:sz w:val="24"/>
                      <w:szCs w:val="24"/>
                      <w:highlight w:val="none"/>
                    </w:rPr>
                  </m:ctrlPr>
                </m:dPr>
                <m:e>
                  <m:r>
                    <m:rPr/>
                    <w:rPr>
                      <w:rFonts w:ascii="Times New Roman" w:hAnsi="Times New Roman" w:eastAsia="宋体" w:cs="Cambria Math"/>
                      <w:color w:val="auto"/>
                      <w:sz w:val="24"/>
                      <w:szCs w:val="24"/>
                      <w:highlight w:val="none"/>
                    </w:rPr>
                    <m:t>a/b</m:t>
                  </m:r>
                  <m:ctrlPr>
                    <w:rPr>
                      <w:rFonts w:ascii="Cambria Math" w:hAnsi="Cambria Math" w:eastAsia="宋体"/>
                      <w:color w:val="auto"/>
                      <w:sz w:val="24"/>
                      <w:szCs w:val="24"/>
                      <w:highlight w:val="none"/>
                    </w:rPr>
                  </m:ctrlPr>
                </m:e>
              </m:d>
            </m:oMath>
            <w:r>
              <w:rPr>
                <w:rFonts w:hint="eastAsia" w:ascii="Times New Roman" w:hAnsi="Times New Roman" w:eastAsia="宋体"/>
                <w:i w:val="0"/>
                <w:color w:val="auto"/>
                <w:sz w:val="24"/>
                <w:szCs w:val="24"/>
                <w:highlight w:val="none"/>
                <w:lang w:eastAsia="zh-CN"/>
              </w:rPr>
              <w:t>：指装卸扬尘概化系数（单位：千克/吨），a指各省风速概化系数，</w:t>
            </w:r>
            <w:r>
              <w:rPr>
                <w:rFonts w:hint="eastAsia" w:ascii="Times New Roman" w:hAnsi="Times New Roman" w:eastAsia="宋体"/>
                <w:i w:val="0"/>
                <w:color w:val="auto"/>
                <w:sz w:val="24"/>
                <w:szCs w:val="24"/>
                <w:highlight w:val="none"/>
                <w:lang w:val="en-US" w:eastAsia="zh-CN"/>
              </w:rPr>
              <w:t>云南省取值0.0009</w:t>
            </w:r>
            <w:r>
              <w:rPr>
                <w:rFonts w:hint="eastAsia" w:ascii="Times New Roman" w:hAnsi="Times New Roman" w:eastAsia="宋体"/>
                <w:i w:val="0"/>
                <w:color w:val="auto"/>
                <w:sz w:val="24"/>
                <w:szCs w:val="24"/>
                <w:highlight w:val="none"/>
                <w:lang w:eastAsia="zh-CN"/>
              </w:rPr>
              <w:t>，b指物料含水率概化系数，</w:t>
            </w:r>
            <w:r>
              <w:rPr>
                <w:rFonts w:hint="eastAsia" w:ascii="Times New Roman" w:hAnsi="Times New Roman" w:eastAsia="宋体"/>
                <w:i w:val="0"/>
                <w:color w:val="auto"/>
                <w:sz w:val="24"/>
                <w:szCs w:val="24"/>
                <w:highlight w:val="none"/>
                <w:lang w:val="en-US" w:eastAsia="zh-CN"/>
              </w:rPr>
              <w:t>取值0.0074</w:t>
            </w:r>
            <w:r>
              <w:rPr>
                <w:rFonts w:hint="eastAsia" w:ascii="Times New Roman" w:hAnsi="Times New Roman" w:eastAsia="宋体"/>
                <w:i w:val="0"/>
                <w:color w:val="auto"/>
                <w:sz w:val="24"/>
                <w:szCs w:val="24"/>
                <w:highlight w:val="none"/>
                <w:lang w:eastAsia="zh-CN"/>
              </w:rPr>
              <w:t>；</w:t>
            </w:r>
          </w:p>
          <w:p w14:paraId="2E644592">
            <w:pPr>
              <w:pStyle w:val="70"/>
              <w:ind w:firstLine="480"/>
              <w:rPr>
                <w:rFonts w:hint="default" w:ascii="Times New Roman" w:hAnsi="Times New Roman" w:eastAsia="宋体"/>
                <w:color w:val="auto"/>
                <w:highlight w:val="none"/>
                <w:lang w:val="en-US" w:eastAsia="zh-CN"/>
              </w:rPr>
            </w:pPr>
            <m:oMath>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E</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f</m:t>
                  </m:r>
                  <m:ctrlPr>
                    <w:rPr>
                      <w:rFonts w:ascii="Cambria Math" w:hAnsi="Cambria Math" w:eastAsia="宋体"/>
                      <w:color w:val="auto"/>
                      <w:sz w:val="24"/>
                      <w:szCs w:val="24"/>
                      <w:highlight w:val="none"/>
                    </w:rPr>
                  </m:ctrlPr>
                </m:sub>
              </m:sSub>
            </m:oMath>
            <w:r>
              <w:rPr>
                <w:rFonts w:hint="eastAsia" w:ascii="Times New Roman" w:hAnsi="Times New Roman" w:eastAsia="宋体"/>
                <w:i w:val="0"/>
                <w:color w:val="auto"/>
                <w:sz w:val="24"/>
                <w:szCs w:val="24"/>
                <w:highlight w:val="none"/>
                <w:lang w:eastAsia="zh-CN"/>
              </w:rPr>
              <w:t>：指堆场风蚀扬尘概化系数，</w:t>
            </w:r>
            <w:r>
              <w:rPr>
                <w:rFonts w:hint="eastAsia" w:ascii="Times New Roman" w:hAnsi="Times New Roman" w:eastAsia="宋体"/>
                <w:i w:val="0"/>
                <w:color w:val="auto"/>
                <w:sz w:val="24"/>
                <w:szCs w:val="24"/>
                <w:highlight w:val="none"/>
                <w:lang w:val="en-US" w:eastAsia="zh-CN"/>
              </w:rPr>
              <w:t>本项目铁矿石为0。</w:t>
            </w:r>
          </w:p>
          <w:p w14:paraId="601D8F56">
            <w:pPr>
              <w:pStyle w:val="70"/>
              <w:ind w:firstLine="480"/>
              <w:rPr>
                <w:rFonts w:hint="default" w:ascii="Times New Roman" w:hAnsi="Times New Roman" w:eastAsia="宋体"/>
                <w:color w:val="auto"/>
                <w:highlight w:val="none"/>
                <w:vertAlign w:val="baseline"/>
                <w:lang w:val="en-US" w:eastAsia="zh-CN"/>
              </w:rPr>
            </w:pPr>
            <m:oMath>
              <m:r>
                <m:rPr/>
                <w:rPr>
                  <w:rFonts w:ascii="Times New Roman" w:hAnsi="Times New Roman" w:eastAsia="宋体" w:cs="Cambria Math"/>
                  <w:color w:val="auto"/>
                  <w:sz w:val="24"/>
                  <w:szCs w:val="24"/>
                  <w:highlight w:val="none"/>
                </w:rPr>
                <m:t>S</m:t>
              </m:r>
            </m:oMath>
            <w:r>
              <w:rPr>
                <w:rFonts w:hint="eastAsia" w:ascii="Times New Roman" w:hAnsi="Times New Roman" w:eastAsia="宋体" w:cs="Cambria Math"/>
                <w:i w:val="0"/>
                <w:color w:val="auto"/>
                <w:sz w:val="24"/>
                <w:szCs w:val="24"/>
                <w:highlight w:val="none"/>
                <w:lang w:val="en-US" w:eastAsia="zh-CN"/>
              </w:rPr>
              <w:t>:指堆场占地面积（单位：平方米）。本项目取值35000m</w:t>
            </w:r>
            <w:r>
              <w:rPr>
                <w:rFonts w:hint="eastAsia" w:ascii="Times New Roman" w:hAnsi="Times New Roman" w:eastAsia="宋体" w:cs="Cambria Math"/>
                <w:i w:val="0"/>
                <w:color w:val="auto"/>
                <w:sz w:val="24"/>
                <w:szCs w:val="24"/>
                <w:highlight w:val="none"/>
                <w:vertAlign w:val="superscript"/>
                <w:lang w:val="en-US" w:eastAsia="zh-CN"/>
              </w:rPr>
              <w:t>2</w:t>
            </w:r>
            <w:r>
              <w:rPr>
                <w:rFonts w:hint="eastAsia" w:ascii="Times New Roman" w:hAnsi="Times New Roman" w:eastAsia="宋体" w:cs="Cambria Math"/>
                <w:i w:val="0"/>
                <w:color w:val="auto"/>
                <w:sz w:val="24"/>
                <w:szCs w:val="24"/>
                <w:highlight w:val="none"/>
                <w:vertAlign w:val="baseline"/>
                <w:lang w:val="en-US" w:eastAsia="zh-CN"/>
              </w:rPr>
              <w:t>。</w:t>
            </w:r>
          </w:p>
          <w:p w14:paraId="6B41C5AE">
            <w:pPr>
              <w:pStyle w:val="70"/>
              <w:ind w:firstLine="480"/>
              <w:rPr>
                <w:rFonts w:hint="eastAsia" w:ascii="Times New Roman" w:hAnsi="Times New Roman" w:eastAsia="宋体"/>
                <w:b/>
                <w:bCs/>
                <w:color w:val="auto"/>
                <w:highlight w:val="none"/>
                <w:lang w:eastAsia="zh-CN"/>
              </w:rPr>
            </w:pPr>
            <w:r>
              <w:rPr>
                <w:rFonts w:hint="eastAsia" w:ascii="Times New Roman" w:hAnsi="Times New Roman" w:eastAsia="宋体"/>
                <w:b/>
                <w:bCs/>
                <w:color w:val="auto"/>
                <w:highlight w:val="none"/>
                <w:lang w:eastAsia="zh-CN"/>
              </w:rPr>
              <w:t>通过上式计算得，本项目</w:t>
            </w:r>
            <w:r>
              <w:rPr>
                <w:rFonts w:hint="eastAsia" w:ascii="Times New Roman" w:hAnsi="Times New Roman" w:eastAsia="宋体"/>
                <w:b/>
                <w:bCs/>
                <w:color w:val="auto"/>
                <w:highlight w:val="none"/>
                <w:lang w:val="en-US" w:eastAsia="zh-CN"/>
              </w:rPr>
              <w:t>原料仓库装卸</w:t>
            </w:r>
            <w:r>
              <w:rPr>
                <w:rFonts w:hint="eastAsia" w:ascii="Times New Roman" w:hAnsi="Times New Roman" w:eastAsia="宋体"/>
                <w:b/>
                <w:bCs/>
                <w:color w:val="auto"/>
                <w:highlight w:val="none"/>
                <w:lang w:eastAsia="zh-CN"/>
              </w:rPr>
              <w:t>粉尘产生量为</w:t>
            </w:r>
            <w:r>
              <w:rPr>
                <w:rFonts w:hint="eastAsia" w:ascii="Times New Roman" w:hAnsi="Times New Roman" w:eastAsia="宋体"/>
                <w:b/>
                <w:bCs/>
                <w:color w:val="auto"/>
                <w:highlight w:val="none"/>
                <w:lang w:val="en-US" w:eastAsia="zh-CN"/>
              </w:rPr>
              <w:t>437.8378</w:t>
            </w:r>
            <w:r>
              <w:rPr>
                <w:rFonts w:hint="eastAsia" w:ascii="Times New Roman" w:hAnsi="Times New Roman" w:eastAsia="宋体"/>
                <w:b/>
                <w:bCs/>
                <w:color w:val="auto"/>
                <w:highlight w:val="none"/>
                <w:lang w:eastAsia="zh-CN"/>
              </w:rPr>
              <w:t>t</w:t>
            </w:r>
            <w:r>
              <w:rPr>
                <w:rFonts w:hint="eastAsia" w:ascii="Times New Roman" w:hAnsi="Times New Roman" w:eastAsia="宋体"/>
                <w:b/>
                <w:bCs/>
                <w:color w:val="auto"/>
                <w:highlight w:val="none"/>
                <w:lang w:val="en-US" w:eastAsia="zh-CN"/>
              </w:rPr>
              <w:t>/a</w:t>
            </w:r>
            <w:r>
              <w:rPr>
                <w:rFonts w:hint="eastAsia" w:ascii="Times New Roman" w:hAnsi="Times New Roman" w:eastAsia="宋体"/>
                <w:b/>
                <w:bCs/>
                <w:color w:val="auto"/>
                <w:highlight w:val="none"/>
                <w:lang w:eastAsia="zh-CN"/>
              </w:rPr>
              <w:t>，产生速率为</w:t>
            </w:r>
            <w:r>
              <w:rPr>
                <w:rFonts w:hint="eastAsia" w:ascii="Times New Roman" w:hAnsi="Times New Roman" w:eastAsia="宋体"/>
                <w:b/>
                <w:bCs/>
                <w:color w:val="auto"/>
                <w:highlight w:val="none"/>
                <w:lang w:val="en-US" w:eastAsia="zh-CN"/>
              </w:rPr>
              <w:t>49.9815</w:t>
            </w:r>
            <w:r>
              <w:rPr>
                <w:rFonts w:hint="eastAsia" w:ascii="Times New Roman" w:hAnsi="Times New Roman" w:eastAsia="宋体"/>
                <w:b/>
                <w:bCs/>
                <w:color w:val="auto"/>
                <w:highlight w:val="none"/>
                <w:lang w:eastAsia="zh-CN"/>
              </w:rPr>
              <w:t>kg/h。</w:t>
            </w:r>
          </w:p>
          <w:p w14:paraId="07B35B0B">
            <w:pPr>
              <w:pStyle w:val="70"/>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固体物料堆场颗粒物排放量核算公式如下：</w:t>
            </w:r>
          </w:p>
          <w:p w14:paraId="40732197">
            <w:pPr>
              <w:rPr>
                <w:rFonts w:ascii="Times New Roman" w:hAnsi="Times New Roman" w:eastAsia="宋体"/>
                <w:color w:val="auto"/>
                <w:sz w:val="24"/>
                <w:szCs w:val="24"/>
                <w:highlight w:val="none"/>
              </w:rPr>
            </w:pPr>
            <m:oMathPara>
              <m:oMath>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U</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c</m:t>
                    </m:r>
                    <m:ctrlPr>
                      <w:rPr>
                        <w:rFonts w:ascii="Cambria Math" w:hAnsi="Cambria Math" w:eastAsia="宋体"/>
                        <w:color w:val="auto"/>
                        <w:sz w:val="24"/>
                        <w:szCs w:val="24"/>
                        <w:highlight w:val="none"/>
                      </w:rPr>
                    </m:ctrlPr>
                  </m:sub>
                </m:sSub>
                <m:r>
                  <m:rPr/>
                  <w:rPr>
                    <w:rFonts w:ascii="Times New Roman" w:hAnsi="Times New Roman" w:eastAsia="宋体" w:cs="Cambria Math"/>
                    <w:color w:val="auto"/>
                    <w:sz w:val="24"/>
                    <w:szCs w:val="24"/>
                    <w:highlight w:val="none"/>
                  </w:rPr>
                  <m:t>=P×</m:t>
                </m:r>
                <m:d>
                  <m:dPr>
                    <m:ctrlPr>
                      <w:rPr>
                        <w:rFonts w:ascii="Cambria Math" w:hAnsi="Cambria Math" w:eastAsia="宋体"/>
                        <w:color w:val="auto"/>
                        <w:sz w:val="24"/>
                        <w:szCs w:val="24"/>
                        <w:highlight w:val="none"/>
                      </w:rPr>
                    </m:ctrlPr>
                  </m:dPr>
                  <m:e>
                    <m:r>
                      <m:rPr/>
                      <w:rPr>
                        <w:rFonts w:ascii="Times New Roman" w:hAnsi="Times New Roman" w:eastAsia="宋体" w:cs="Cambria Math"/>
                        <w:color w:val="auto"/>
                        <w:sz w:val="24"/>
                        <w:szCs w:val="24"/>
                        <w:highlight w:val="none"/>
                      </w:rPr>
                      <m:t>1−</m:t>
                    </m:r>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C</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m</m:t>
                        </m:r>
                        <m:ctrlPr>
                          <w:rPr>
                            <w:rFonts w:ascii="Cambria Math" w:hAnsi="Cambria Math" w:eastAsia="宋体"/>
                            <w:color w:val="auto"/>
                            <w:sz w:val="24"/>
                            <w:szCs w:val="24"/>
                            <w:highlight w:val="none"/>
                          </w:rPr>
                        </m:ctrlPr>
                      </m:sub>
                    </m:sSub>
                    <m:ctrlPr>
                      <w:rPr>
                        <w:rFonts w:ascii="Cambria Math" w:hAnsi="Cambria Math" w:eastAsia="宋体"/>
                        <w:color w:val="auto"/>
                        <w:sz w:val="24"/>
                        <w:szCs w:val="24"/>
                        <w:highlight w:val="none"/>
                      </w:rPr>
                    </m:ctrlPr>
                  </m:e>
                </m:d>
                <m:r>
                  <m:rPr/>
                  <w:rPr>
                    <w:rFonts w:ascii="Times New Roman" w:hAnsi="Times New Roman" w:eastAsia="宋体" w:cs="Cambria Math"/>
                    <w:color w:val="auto"/>
                    <w:sz w:val="24"/>
                    <w:szCs w:val="24"/>
                    <w:highlight w:val="none"/>
                  </w:rPr>
                  <m:t>×</m:t>
                </m:r>
                <m:d>
                  <m:dPr>
                    <m:ctrlPr>
                      <w:rPr>
                        <w:rFonts w:ascii="Cambria Math" w:hAnsi="Cambria Math" w:eastAsia="宋体"/>
                        <w:color w:val="auto"/>
                        <w:sz w:val="24"/>
                        <w:szCs w:val="24"/>
                        <w:highlight w:val="none"/>
                      </w:rPr>
                    </m:ctrlPr>
                  </m:dPr>
                  <m:e>
                    <m:r>
                      <m:rPr/>
                      <w:rPr>
                        <w:rFonts w:ascii="Times New Roman" w:hAnsi="Times New Roman" w:eastAsia="宋体" w:cs="Cambria Math"/>
                        <w:color w:val="auto"/>
                        <w:sz w:val="24"/>
                        <w:szCs w:val="24"/>
                        <w:highlight w:val="none"/>
                      </w:rPr>
                      <m:t>1−</m:t>
                    </m:r>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T</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m</m:t>
                        </m:r>
                        <m:ctrlPr>
                          <w:rPr>
                            <w:rFonts w:ascii="Cambria Math" w:hAnsi="Cambria Math" w:eastAsia="宋体"/>
                            <w:color w:val="auto"/>
                            <w:sz w:val="24"/>
                            <w:szCs w:val="24"/>
                            <w:highlight w:val="none"/>
                          </w:rPr>
                        </m:ctrlPr>
                      </m:sub>
                    </m:sSub>
                    <m:ctrlPr>
                      <w:rPr>
                        <w:rFonts w:ascii="Cambria Math" w:hAnsi="Cambria Math" w:eastAsia="宋体"/>
                        <w:color w:val="auto"/>
                        <w:sz w:val="24"/>
                        <w:szCs w:val="24"/>
                        <w:highlight w:val="none"/>
                      </w:rPr>
                    </m:ctrlPr>
                  </m:e>
                </m:d>
              </m:oMath>
            </m:oMathPara>
          </w:p>
          <w:p w14:paraId="660985DA">
            <w:pPr>
              <w:pStyle w:val="70"/>
              <w:ind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式中：</w:t>
            </w:r>
          </w:p>
          <w:p w14:paraId="57DE9A1F">
            <w:pPr>
              <w:pStyle w:val="70"/>
              <w:ind w:firstLine="480"/>
              <w:rPr>
                <w:rFonts w:hint="eastAsia" w:ascii="Times New Roman" w:hAnsi="Times New Roman" w:eastAsia="宋体"/>
                <w:color w:val="auto"/>
                <w:highlight w:val="none"/>
                <w:lang w:eastAsia="zh-CN"/>
              </w:rPr>
            </w:pPr>
            <m:oMath>
              <m:r>
                <m:rPr/>
                <w:rPr>
                  <w:rFonts w:ascii="Times New Roman" w:hAnsi="Times New Roman" w:eastAsia="宋体" w:cs="Cambria Math"/>
                  <w:color w:val="auto"/>
                  <w:sz w:val="24"/>
                  <w:szCs w:val="24"/>
                  <w:highlight w:val="none"/>
                </w:rPr>
                <m:t>P</m:t>
              </m:r>
            </m:oMath>
            <w:r>
              <w:rPr>
                <w:rFonts w:hint="eastAsia" w:ascii="Times New Roman" w:hAnsi="Times New Roman" w:eastAsia="宋体" w:cs="Cambria Math"/>
                <w:i w:val="0"/>
                <w:color w:val="auto"/>
                <w:sz w:val="24"/>
                <w:szCs w:val="24"/>
                <w:highlight w:val="none"/>
                <w:lang w:eastAsia="zh-CN"/>
              </w:rPr>
              <w:t>：指颗粒物产生量（单位：吨）；</w:t>
            </w:r>
          </w:p>
          <w:p w14:paraId="5AD4AB00">
            <w:pPr>
              <w:pStyle w:val="70"/>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Uc：指颗粒物排放量（单位：吨）；</w:t>
            </w:r>
          </w:p>
          <w:p w14:paraId="79ED3C97">
            <w:pPr>
              <w:pStyle w:val="70"/>
              <w:ind w:firstLine="480"/>
              <w:rPr>
                <w:rFonts w:hint="default" w:ascii="Times New Roman" w:hAnsi="Times New Roman" w:eastAsia="宋体"/>
                <w:color w:val="auto"/>
                <w:highlight w:val="none"/>
                <w:lang w:val="en-US" w:eastAsia="zh-CN"/>
              </w:rPr>
            </w:pPr>
            <m:oMath>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C</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m</m:t>
                  </m:r>
                  <m:ctrlPr>
                    <w:rPr>
                      <w:rFonts w:ascii="Cambria Math" w:hAnsi="Cambria Math" w:eastAsia="宋体"/>
                      <w:color w:val="auto"/>
                      <w:sz w:val="24"/>
                      <w:szCs w:val="24"/>
                      <w:highlight w:val="none"/>
                    </w:rPr>
                  </m:ctrlPr>
                </m:sub>
              </m:sSub>
            </m:oMath>
            <w:r>
              <w:rPr>
                <w:rFonts w:hint="eastAsia" w:ascii="Times New Roman" w:hAnsi="Times New Roman" w:eastAsia="宋体"/>
                <w:i w:val="0"/>
                <w:color w:val="auto"/>
                <w:sz w:val="24"/>
                <w:szCs w:val="24"/>
                <w:highlight w:val="none"/>
                <w:lang w:eastAsia="zh-CN"/>
              </w:rPr>
              <w:t>：指颗粒物控制措施控制效率（单位：%），</w:t>
            </w:r>
            <w:r>
              <w:rPr>
                <w:rFonts w:hint="eastAsia" w:ascii="Times New Roman" w:hAnsi="Times New Roman" w:eastAsia="宋体"/>
                <w:i w:val="0"/>
                <w:color w:val="auto"/>
                <w:sz w:val="24"/>
                <w:szCs w:val="24"/>
                <w:highlight w:val="none"/>
                <w:lang w:val="en-US" w:eastAsia="zh-CN"/>
              </w:rPr>
              <w:t>项目物料采用洒水（≥74%）+围挡（≥60%），综合控制效率</w:t>
            </w:r>
            <w:r>
              <w:rPr>
                <w:rFonts w:hint="eastAsia" w:ascii="Times New Roman" w:hAnsi="Times New Roman"/>
                <w:i w:val="0"/>
                <w:color w:val="auto"/>
                <w:sz w:val="24"/>
                <w:szCs w:val="24"/>
                <w:highlight w:val="none"/>
                <w:lang w:val="en-US" w:eastAsia="zh-CN"/>
              </w:rPr>
              <w:t>89.6</w:t>
            </w:r>
            <w:r>
              <w:rPr>
                <w:rFonts w:hint="eastAsia" w:ascii="Times New Roman" w:hAnsi="Times New Roman" w:eastAsia="宋体"/>
                <w:i w:val="0"/>
                <w:color w:val="auto"/>
                <w:sz w:val="24"/>
                <w:szCs w:val="24"/>
                <w:highlight w:val="none"/>
                <w:lang w:val="en-US" w:eastAsia="zh-CN"/>
              </w:rPr>
              <w:t>%；</w:t>
            </w:r>
          </w:p>
          <w:p w14:paraId="150A19C4">
            <w:pPr>
              <w:pStyle w:val="70"/>
              <w:ind w:firstLine="480"/>
              <w:rPr>
                <w:rFonts w:hint="default" w:ascii="Times New Roman" w:hAnsi="Times New Roman" w:eastAsia="宋体"/>
                <w:color w:val="auto"/>
                <w:highlight w:val="none"/>
                <w:lang w:val="en-US" w:eastAsia="zh-CN"/>
              </w:rPr>
            </w:pPr>
            <m:oMath>
              <m:sSub>
                <m:sSubPr>
                  <m:ctrlPr>
                    <w:rPr>
                      <w:rFonts w:ascii="Cambria Math" w:hAnsi="Cambria Math" w:eastAsia="宋体"/>
                      <w:color w:val="auto"/>
                      <w:sz w:val="24"/>
                      <w:szCs w:val="24"/>
                      <w:highlight w:val="none"/>
                    </w:rPr>
                  </m:ctrlPr>
                </m:sSubPr>
                <m:e>
                  <m:r>
                    <m:rPr/>
                    <w:rPr>
                      <w:rFonts w:ascii="Times New Roman" w:hAnsi="Times New Roman" w:eastAsia="宋体" w:cs="Cambria Math"/>
                      <w:color w:val="auto"/>
                      <w:sz w:val="24"/>
                      <w:szCs w:val="24"/>
                      <w:highlight w:val="none"/>
                    </w:rPr>
                    <m:t>T</m:t>
                  </m:r>
                  <m:ctrlPr>
                    <w:rPr>
                      <w:rFonts w:ascii="Cambria Math" w:hAnsi="Cambria Math" w:eastAsia="宋体"/>
                      <w:color w:val="auto"/>
                      <w:sz w:val="24"/>
                      <w:szCs w:val="24"/>
                      <w:highlight w:val="none"/>
                    </w:rPr>
                  </m:ctrlPr>
                </m:e>
                <m:sub>
                  <m:r>
                    <m:rPr/>
                    <w:rPr>
                      <w:rFonts w:ascii="Times New Roman" w:hAnsi="Times New Roman" w:eastAsia="宋体" w:cs="Cambria Math"/>
                      <w:color w:val="auto"/>
                      <w:sz w:val="24"/>
                      <w:szCs w:val="24"/>
                      <w:highlight w:val="none"/>
                    </w:rPr>
                    <m:t>m</m:t>
                  </m:r>
                  <m:ctrlPr>
                    <w:rPr>
                      <w:rFonts w:ascii="Cambria Math" w:hAnsi="Cambria Math" w:eastAsia="宋体"/>
                      <w:color w:val="auto"/>
                      <w:sz w:val="24"/>
                      <w:szCs w:val="24"/>
                      <w:highlight w:val="none"/>
                    </w:rPr>
                  </m:ctrlPr>
                </m:sub>
              </m:sSub>
            </m:oMath>
            <w:r>
              <w:rPr>
                <w:rFonts w:hint="eastAsia" w:ascii="Times New Roman" w:hAnsi="Times New Roman" w:eastAsia="宋体"/>
                <w:i w:val="0"/>
                <w:color w:val="auto"/>
                <w:sz w:val="24"/>
                <w:szCs w:val="24"/>
                <w:highlight w:val="none"/>
                <w:lang w:eastAsia="zh-CN"/>
              </w:rPr>
              <w:t>：指堆场类型控制效率（单位：%），</w:t>
            </w:r>
            <w:r>
              <w:rPr>
                <w:rFonts w:hint="eastAsia" w:ascii="Times New Roman" w:hAnsi="Times New Roman" w:eastAsia="宋体"/>
                <w:i w:val="0"/>
                <w:color w:val="auto"/>
                <w:sz w:val="24"/>
                <w:szCs w:val="24"/>
                <w:highlight w:val="none"/>
                <w:lang w:val="en-US" w:eastAsia="zh-CN"/>
              </w:rPr>
              <w:t>项目</w:t>
            </w:r>
            <w:r>
              <w:rPr>
                <w:rFonts w:hint="eastAsia" w:ascii="Times New Roman" w:hAnsi="Times New Roman"/>
                <w:i w:val="0"/>
                <w:color w:val="auto"/>
                <w:sz w:val="24"/>
                <w:szCs w:val="24"/>
                <w:highlight w:val="none"/>
                <w:lang w:val="en-US" w:eastAsia="zh-CN"/>
              </w:rPr>
              <w:t>堆料</w:t>
            </w:r>
            <w:r>
              <w:rPr>
                <w:rFonts w:hint="eastAsia" w:ascii="Times New Roman" w:hAnsi="Times New Roman" w:eastAsia="宋体"/>
                <w:i w:val="0"/>
                <w:color w:val="auto"/>
                <w:sz w:val="24"/>
                <w:szCs w:val="24"/>
                <w:highlight w:val="none"/>
                <w:lang w:val="en-US" w:eastAsia="zh-CN"/>
              </w:rPr>
              <w:t>大棚为半敞开式，取值60%。</w:t>
            </w:r>
          </w:p>
          <w:p w14:paraId="6C1219CA">
            <w:pPr>
              <w:pStyle w:val="70"/>
              <w:ind w:firstLine="480"/>
              <w:rPr>
                <w:rFonts w:hint="eastAsia" w:ascii="Times New Roman" w:hAnsi="Times New Roman" w:eastAsia="宋体"/>
                <w:b/>
                <w:bCs/>
                <w:color w:val="auto"/>
                <w:highlight w:val="none"/>
                <w:lang w:eastAsia="zh-CN"/>
              </w:rPr>
            </w:pPr>
            <w:r>
              <w:rPr>
                <w:rFonts w:hint="eastAsia" w:ascii="Times New Roman" w:hAnsi="Times New Roman" w:eastAsia="宋体"/>
                <w:b/>
                <w:bCs/>
                <w:color w:val="auto"/>
                <w:highlight w:val="none"/>
                <w:lang w:eastAsia="zh-CN"/>
              </w:rPr>
              <w:t>通过上式计算得，本项目</w:t>
            </w:r>
            <w:r>
              <w:rPr>
                <w:rFonts w:hint="eastAsia" w:ascii="Times New Roman" w:hAnsi="Times New Roman"/>
                <w:b/>
                <w:bCs/>
                <w:color w:val="auto"/>
                <w:highlight w:val="none"/>
                <w:lang w:val="en-US" w:eastAsia="zh-CN"/>
              </w:rPr>
              <w:t>堆料</w:t>
            </w:r>
            <w:r>
              <w:rPr>
                <w:rFonts w:hint="eastAsia" w:ascii="Times New Roman" w:hAnsi="Times New Roman" w:eastAsia="宋体"/>
                <w:b/>
                <w:bCs/>
                <w:color w:val="auto"/>
                <w:highlight w:val="none"/>
                <w:lang w:val="en-US" w:eastAsia="zh-CN"/>
              </w:rPr>
              <w:t>大棚装卸</w:t>
            </w:r>
            <w:r>
              <w:rPr>
                <w:rFonts w:hint="eastAsia" w:ascii="Times New Roman" w:hAnsi="Times New Roman" w:eastAsia="宋体"/>
                <w:b/>
                <w:bCs/>
                <w:color w:val="auto"/>
                <w:highlight w:val="none"/>
                <w:lang w:eastAsia="zh-CN"/>
              </w:rPr>
              <w:t>粉尘</w:t>
            </w:r>
            <w:r>
              <w:rPr>
                <w:rFonts w:hint="eastAsia" w:ascii="Times New Roman" w:hAnsi="Times New Roman" w:eastAsia="宋体"/>
                <w:b/>
                <w:bCs/>
                <w:color w:val="auto"/>
                <w:highlight w:val="none"/>
                <w:lang w:val="en-US" w:eastAsia="zh-CN"/>
              </w:rPr>
              <w:t>排放</w:t>
            </w:r>
            <w:r>
              <w:rPr>
                <w:rFonts w:hint="eastAsia" w:ascii="Times New Roman" w:hAnsi="Times New Roman" w:eastAsia="宋体"/>
                <w:b/>
                <w:bCs/>
                <w:color w:val="auto"/>
                <w:highlight w:val="none"/>
                <w:lang w:eastAsia="zh-CN"/>
              </w:rPr>
              <w:t>量为</w:t>
            </w:r>
            <w:r>
              <w:rPr>
                <w:rFonts w:hint="eastAsia" w:ascii="Times New Roman" w:hAnsi="Times New Roman"/>
                <w:b/>
                <w:bCs/>
                <w:color w:val="auto"/>
                <w:highlight w:val="none"/>
                <w:lang w:val="en-US" w:eastAsia="zh-CN"/>
              </w:rPr>
              <w:t>18.2141</w:t>
            </w:r>
            <w:r>
              <w:rPr>
                <w:rFonts w:hint="eastAsia" w:ascii="Times New Roman" w:hAnsi="Times New Roman" w:eastAsia="宋体"/>
                <w:b/>
                <w:bCs/>
                <w:color w:val="auto"/>
                <w:highlight w:val="none"/>
                <w:lang w:eastAsia="zh-CN"/>
              </w:rPr>
              <w:t>t</w:t>
            </w:r>
            <w:r>
              <w:rPr>
                <w:rFonts w:hint="eastAsia" w:ascii="Times New Roman" w:hAnsi="Times New Roman" w:eastAsia="宋体"/>
                <w:b/>
                <w:bCs/>
                <w:color w:val="auto"/>
                <w:highlight w:val="none"/>
                <w:lang w:val="en-US" w:eastAsia="zh-CN"/>
              </w:rPr>
              <w:t>/a</w:t>
            </w:r>
            <w:r>
              <w:rPr>
                <w:rFonts w:hint="eastAsia" w:ascii="Times New Roman" w:hAnsi="Times New Roman" w:eastAsia="宋体"/>
                <w:b/>
                <w:bCs/>
                <w:color w:val="auto"/>
                <w:highlight w:val="none"/>
                <w:lang w:eastAsia="zh-CN"/>
              </w:rPr>
              <w:t>，</w:t>
            </w:r>
            <w:r>
              <w:rPr>
                <w:rFonts w:hint="eastAsia" w:ascii="Times New Roman" w:hAnsi="Times New Roman" w:eastAsia="宋体"/>
                <w:b/>
                <w:bCs/>
                <w:color w:val="auto"/>
                <w:highlight w:val="none"/>
                <w:lang w:val="en-US" w:eastAsia="zh-CN"/>
              </w:rPr>
              <w:t>排放</w:t>
            </w:r>
            <w:r>
              <w:rPr>
                <w:rFonts w:hint="eastAsia" w:ascii="Times New Roman" w:hAnsi="Times New Roman" w:eastAsia="宋体"/>
                <w:b/>
                <w:bCs/>
                <w:color w:val="auto"/>
                <w:highlight w:val="none"/>
                <w:lang w:eastAsia="zh-CN"/>
              </w:rPr>
              <w:t>速率为</w:t>
            </w:r>
            <w:r>
              <w:rPr>
                <w:rFonts w:hint="eastAsia" w:ascii="Times New Roman" w:hAnsi="Times New Roman"/>
                <w:b/>
                <w:bCs/>
                <w:color w:val="auto"/>
                <w:highlight w:val="none"/>
                <w:lang w:val="en-US" w:eastAsia="zh-CN"/>
              </w:rPr>
              <w:t>2.0792</w:t>
            </w:r>
            <w:r>
              <w:rPr>
                <w:rFonts w:hint="eastAsia" w:ascii="Times New Roman" w:hAnsi="Times New Roman" w:eastAsia="宋体"/>
                <w:b/>
                <w:bCs/>
                <w:color w:val="auto"/>
                <w:highlight w:val="none"/>
                <w:lang w:eastAsia="zh-CN"/>
              </w:rPr>
              <w:t>kg/h。</w:t>
            </w:r>
          </w:p>
          <w:p w14:paraId="39CD609B">
            <w:pPr>
              <w:adjustRightInd w:val="0"/>
              <w:snapToGrid w:val="0"/>
              <w:spacing w:line="360" w:lineRule="auto"/>
              <w:ind w:firstLine="480" w:firstLineChars="200"/>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②加工阶段未收集粉尘</w:t>
            </w:r>
          </w:p>
          <w:p w14:paraId="3A08FE45">
            <w:pPr>
              <w:adjustRightInd w:val="0"/>
              <w:snapToGrid w:val="0"/>
              <w:spacing w:line="360" w:lineRule="auto"/>
              <w:ind w:firstLine="480" w:firstLineChars="200"/>
              <w:rPr>
                <w:rFonts w:hint="default" w:ascii="Times New Roman" w:hAnsi="Times New Roman" w:eastAsia="宋体"/>
                <w:color w:val="auto"/>
                <w:sz w:val="24"/>
                <w:highlight w:val="none"/>
                <w:lang w:val="en-US"/>
              </w:rPr>
            </w:pPr>
            <w:r>
              <w:rPr>
                <w:rFonts w:hint="eastAsia" w:ascii="Times New Roman" w:hAnsi="Times New Roman" w:eastAsia="宋体" w:cs="Times New Roman"/>
                <w:bCs/>
                <w:color w:val="auto"/>
                <w:sz w:val="24"/>
                <w:szCs w:val="24"/>
                <w:highlight w:val="none"/>
                <w:lang w:val="en-US" w:eastAsia="zh-CN"/>
              </w:rPr>
              <w:t>根据前文核算，项目矿石加工未收集粉尘量为</w:t>
            </w:r>
            <w:r>
              <w:rPr>
                <w:rFonts w:hint="eastAsia" w:cs="Times New Roman"/>
                <w:bCs/>
                <w:color w:val="auto"/>
                <w:sz w:val="24"/>
                <w:szCs w:val="24"/>
                <w:highlight w:val="none"/>
                <w:lang w:val="en-US" w:eastAsia="zh-CN"/>
              </w:rPr>
              <w:t>99.2</w:t>
            </w:r>
            <w:r>
              <w:rPr>
                <w:rFonts w:hint="eastAsia" w:ascii="Times New Roman" w:hAnsi="Times New Roman" w:eastAsia="宋体" w:cs="Times New Roman"/>
                <w:bCs/>
                <w:color w:val="auto"/>
                <w:sz w:val="24"/>
                <w:szCs w:val="24"/>
                <w:highlight w:val="none"/>
                <w:lang w:val="en-US" w:eastAsia="zh-CN"/>
              </w:rPr>
              <w:t>t/a，第一生产线</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第二生产线</w:t>
            </w:r>
            <w:r>
              <w:rPr>
                <w:rFonts w:hint="eastAsia" w:cs="Times New Roman"/>
                <w:bCs/>
                <w:color w:val="auto"/>
                <w:sz w:val="24"/>
                <w:szCs w:val="24"/>
                <w:highlight w:val="none"/>
                <w:lang w:val="en-US" w:eastAsia="zh-CN"/>
              </w:rPr>
              <w:t>均为26.4</w:t>
            </w:r>
            <w:r>
              <w:rPr>
                <w:rFonts w:hint="eastAsia"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11</w:t>
            </w:r>
            <w:r>
              <w:rPr>
                <w:rFonts w:hint="eastAsia" w:ascii="Times New Roman" w:hAnsi="Times New Roman" w:eastAsia="宋体" w:cs="Times New Roman"/>
                <w:bCs/>
                <w:color w:val="auto"/>
                <w:sz w:val="24"/>
                <w:szCs w:val="24"/>
                <w:highlight w:val="none"/>
                <w:lang w:val="en-US" w:eastAsia="zh-CN"/>
              </w:rPr>
              <w:t>kg/h</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第三生产线</w:t>
            </w:r>
            <w:r>
              <w:rPr>
                <w:rFonts w:hint="eastAsia" w:cs="Times New Roman"/>
                <w:bCs/>
                <w:color w:val="auto"/>
                <w:sz w:val="24"/>
                <w:szCs w:val="24"/>
                <w:highlight w:val="none"/>
                <w:lang w:val="en-US" w:eastAsia="zh-CN"/>
              </w:rPr>
              <w:t>为46.4</w:t>
            </w:r>
            <w:r>
              <w:rPr>
                <w:rFonts w:hint="eastAsia"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19.3</w:t>
            </w:r>
            <w:r>
              <w:rPr>
                <w:rFonts w:hint="eastAsia" w:ascii="Times New Roman" w:hAnsi="Times New Roman" w:eastAsia="宋体" w:cs="Times New Roman"/>
                <w:bCs/>
                <w:color w:val="auto"/>
                <w:sz w:val="24"/>
                <w:szCs w:val="24"/>
                <w:highlight w:val="none"/>
                <w:lang w:val="en-US" w:eastAsia="zh-CN"/>
              </w:rPr>
              <w:t>kg/h。本项目生产设备全部设置半敞开式厂房内，厂房内设置喷雾降尘设施，降尘效率取80%，则加工过程排放粉尘量为</w:t>
            </w:r>
            <w:r>
              <w:rPr>
                <w:rFonts w:hint="eastAsia" w:cs="Times New Roman"/>
                <w:bCs/>
                <w:color w:val="auto"/>
                <w:sz w:val="24"/>
                <w:szCs w:val="24"/>
                <w:highlight w:val="none"/>
                <w:lang w:val="en-US" w:eastAsia="zh-CN"/>
              </w:rPr>
              <w:t>19.84</w:t>
            </w:r>
            <w:r>
              <w:rPr>
                <w:rFonts w:hint="eastAsia" w:ascii="Times New Roman" w:hAnsi="Times New Roman" w:eastAsia="宋体" w:cs="Times New Roman"/>
                <w:bCs/>
                <w:color w:val="auto"/>
                <w:sz w:val="24"/>
                <w:szCs w:val="24"/>
                <w:highlight w:val="none"/>
                <w:lang w:val="en-US" w:eastAsia="zh-CN"/>
              </w:rPr>
              <w:t>t/a，第一生产线</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第二生产线</w:t>
            </w:r>
            <w:r>
              <w:rPr>
                <w:rFonts w:hint="eastAsia" w:cs="Times New Roman"/>
                <w:bCs/>
                <w:color w:val="auto"/>
                <w:sz w:val="24"/>
                <w:szCs w:val="24"/>
                <w:highlight w:val="none"/>
                <w:lang w:val="en-US" w:eastAsia="zh-CN"/>
              </w:rPr>
              <w:t>均为5.28</w:t>
            </w:r>
            <w:r>
              <w:rPr>
                <w:rFonts w:hint="eastAsia"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2.2</w:t>
            </w:r>
            <w:r>
              <w:rPr>
                <w:rFonts w:hint="eastAsia" w:ascii="Times New Roman" w:hAnsi="Times New Roman" w:eastAsia="宋体" w:cs="Times New Roman"/>
                <w:bCs/>
                <w:color w:val="auto"/>
                <w:sz w:val="24"/>
                <w:szCs w:val="24"/>
                <w:highlight w:val="none"/>
                <w:lang w:val="en-US" w:eastAsia="zh-CN"/>
              </w:rPr>
              <w:t>kg/h</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第三生产线</w:t>
            </w:r>
            <w:r>
              <w:rPr>
                <w:rFonts w:hint="eastAsia" w:cs="Times New Roman"/>
                <w:bCs/>
                <w:color w:val="auto"/>
                <w:sz w:val="24"/>
                <w:szCs w:val="24"/>
                <w:highlight w:val="none"/>
                <w:lang w:val="en-US" w:eastAsia="zh-CN"/>
              </w:rPr>
              <w:t>均为9.28</w:t>
            </w:r>
            <w:r>
              <w:rPr>
                <w:rFonts w:hint="eastAsia"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3.9</w:t>
            </w:r>
            <w:r>
              <w:rPr>
                <w:rFonts w:hint="eastAsia" w:ascii="Times New Roman" w:hAnsi="Times New Roman" w:eastAsia="宋体" w:cs="Times New Roman"/>
                <w:bCs/>
                <w:color w:val="auto"/>
                <w:sz w:val="24"/>
                <w:szCs w:val="24"/>
                <w:highlight w:val="none"/>
                <w:lang w:val="en-US" w:eastAsia="zh-CN"/>
              </w:rPr>
              <w:t>kg/h。</w:t>
            </w:r>
          </w:p>
          <w:p w14:paraId="584A0D3D">
            <w:pPr>
              <w:adjustRightInd w:val="0"/>
              <w:snapToGrid w:val="0"/>
              <w:spacing w:line="360" w:lineRule="auto"/>
              <w:ind w:firstLine="480" w:firstLineChars="200"/>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3</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装载机燃油尾气</w:t>
            </w:r>
          </w:p>
          <w:p w14:paraId="52413388">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olor w:val="auto"/>
                <w:sz w:val="24"/>
                <w:highlight w:val="none"/>
                <w:lang w:val="en-US" w:eastAsia="zh-CN"/>
              </w:rPr>
              <w:t>项目区物料转运主要为装载机，</w:t>
            </w:r>
            <w:r>
              <w:rPr>
                <w:rFonts w:hint="default" w:ascii="Times New Roman" w:hAnsi="Times New Roman" w:eastAsia="宋体" w:cs="Times New Roman"/>
                <w:b w:val="0"/>
                <w:bCs w:val="0"/>
                <w:color w:val="auto"/>
                <w:sz w:val="24"/>
                <w:szCs w:val="24"/>
                <w:highlight w:val="none"/>
                <w:lang w:val="en-US" w:eastAsia="zh-CN"/>
              </w:rPr>
              <w:t>运行过程中尾气中的主要污染因子为</w:t>
            </w:r>
            <w:r>
              <w:rPr>
                <w:rFonts w:hint="default" w:ascii="Times New Roman" w:hAnsi="Times New Roman" w:eastAsia="宋体"/>
                <w:b w:val="0"/>
                <w:bCs w:val="0"/>
                <w:color w:val="auto"/>
                <w:sz w:val="24"/>
                <w:szCs w:val="24"/>
                <w:highlight w:val="none"/>
              </w:rPr>
              <w:t>CO</w:t>
            </w:r>
            <w:r>
              <w:rPr>
                <w:rFonts w:hint="eastAsia" w:ascii="Times New Roman" w:hAnsi="Times New Roman" w:eastAsia="宋体"/>
                <w:b w:val="0"/>
                <w:bCs w:val="0"/>
                <w:color w:val="auto"/>
                <w:sz w:val="24"/>
                <w:szCs w:val="24"/>
                <w:highlight w:val="none"/>
              </w:rPr>
              <w:t>、</w:t>
            </w:r>
            <w:r>
              <w:rPr>
                <w:rFonts w:hint="default" w:ascii="Times New Roman" w:hAnsi="Times New Roman" w:eastAsia="宋体"/>
                <w:b w:val="0"/>
                <w:bCs w:val="0"/>
                <w:color w:val="auto"/>
                <w:sz w:val="24"/>
                <w:szCs w:val="24"/>
                <w:highlight w:val="none"/>
              </w:rPr>
              <w:t>HC</w:t>
            </w:r>
            <w:r>
              <w:rPr>
                <w:rFonts w:hint="eastAsia" w:ascii="Times New Roman" w:hAnsi="Times New Roman" w:eastAsia="宋体"/>
                <w:b w:val="0"/>
                <w:bCs w:val="0"/>
                <w:color w:val="auto"/>
                <w:sz w:val="24"/>
                <w:szCs w:val="24"/>
                <w:highlight w:val="none"/>
              </w:rPr>
              <w:t>、</w:t>
            </w:r>
            <w:r>
              <w:rPr>
                <w:rFonts w:hint="default" w:ascii="Times New Roman" w:hAnsi="Times New Roman" w:eastAsia="宋体"/>
                <w:b w:val="0"/>
                <w:bCs w:val="0"/>
                <w:color w:val="auto"/>
                <w:sz w:val="24"/>
                <w:szCs w:val="24"/>
                <w:highlight w:val="none"/>
              </w:rPr>
              <w:t>NO</w:t>
            </w:r>
            <w:r>
              <w:rPr>
                <w:rFonts w:hint="eastAsia" w:ascii="Times New Roman" w:hAnsi="Times New Roman" w:eastAsia="宋体"/>
                <w:b w:val="0"/>
                <w:bCs w:val="0"/>
                <w:color w:val="auto"/>
                <w:sz w:val="16"/>
                <w:szCs w:val="24"/>
                <w:highlight w:val="none"/>
                <w:lang w:val="en-US" w:eastAsia="zh-CN"/>
              </w:rPr>
              <w:t>x</w:t>
            </w:r>
            <w:r>
              <w:rPr>
                <w:rFonts w:hint="eastAsia" w:ascii="Times New Roman" w:hAnsi="Times New Roman" w:eastAsia="宋体"/>
                <w:b w:val="0"/>
                <w:bCs w:val="0"/>
                <w:color w:val="auto"/>
                <w:sz w:val="24"/>
                <w:szCs w:val="24"/>
                <w:highlight w:val="none"/>
              </w:rPr>
              <w:t>、</w:t>
            </w:r>
            <w:r>
              <w:rPr>
                <w:rFonts w:hint="default" w:ascii="Times New Roman" w:hAnsi="Times New Roman" w:eastAsia="宋体"/>
                <w:b w:val="0"/>
                <w:bCs w:val="0"/>
                <w:color w:val="auto"/>
                <w:sz w:val="24"/>
                <w:szCs w:val="24"/>
                <w:highlight w:val="none"/>
              </w:rPr>
              <w:t>PM</w:t>
            </w:r>
            <w:r>
              <w:rPr>
                <w:rFonts w:hint="default" w:ascii="Times New Roman" w:hAnsi="Times New Roman" w:eastAsia="宋体"/>
                <w:b w:val="0"/>
                <w:bCs w:val="0"/>
                <w:color w:val="auto"/>
                <w:sz w:val="16"/>
                <w:szCs w:val="24"/>
                <w:highlight w:val="none"/>
              </w:rPr>
              <w:t>10</w:t>
            </w:r>
            <w:r>
              <w:rPr>
                <w:rFonts w:hint="eastAsia" w:ascii="Times New Roman" w:hAnsi="Times New Roman" w:eastAsia="宋体"/>
                <w:b w:val="0"/>
                <w:bCs w:val="0"/>
                <w:color w:val="auto"/>
                <w:sz w:val="24"/>
                <w:szCs w:val="24"/>
                <w:highlight w:val="none"/>
              </w:rPr>
              <w:t>、</w:t>
            </w:r>
            <w:r>
              <w:rPr>
                <w:rFonts w:hint="default" w:ascii="Times New Roman" w:hAnsi="Times New Roman" w:eastAsia="宋体"/>
                <w:b w:val="0"/>
                <w:bCs w:val="0"/>
                <w:color w:val="auto"/>
                <w:sz w:val="24"/>
                <w:szCs w:val="24"/>
                <w:highlight w:val="none"/>
              </w:rPr>
              <w:t>PM</w:t>
            </w:r>
            <w:r>
              <w:rPr>
                <w:rFonts w:hint="default" w:ascii="Times New Roman" w:hAnsi="Times New Roman" w:eastAsia="宋体"/>
                <w:b w:val="0"/>
                <w:bCs w:val="0"/>
                <w:color w:val="auto"/>
                <w:sz w:val="16"/>
                <w:szCs w:val="24"/>
                <w:highlight w:val="none"/>
              </w:rPr>
              <w:t>2.5</w:t>
            </w:r>
            <w:r>
              <w:rPr>
                <w:rFonts w:hint="eastAsia" w:ascii="Times New Roman" w:hAnsi="Times New Roman" w:eastAsia="宋体"/>
                <w:b w:val="0"/>
                <w:bCs w:val="0"/>
                <w:color w:val="auto"/>
                <w:sz w:val="24"/>
                <w:szCs w:val="24"/>
                <w:highlight w:val="none"/>
              </w:rPr>
              <w:t>、</w:t>
            </w:r>
            <w:r>
              <w:rPr>
                <w:rFonts w:hint="default" w:ascii="Times New Roman" w:hAnsi="Times New Roman" w:eastAsia="宋体"/>
                <w:b w:val="0"/>
                <w:bCs w:val="0"/>
                <w:color w:val="auto"/>
                <w:sz w:val="24"/>
                <w:szCs w:val="24"/>
                <w:highlight w:val="none"/>
              </w:rPr>
              <w:t>SO</w:t>
            </w:r>
            <w:r>
              <w:rPr>
                <w:rFonts w:hint="default" w:ascii="Times New Roman" w:hAnsi="Times New Roman" w:eastAsia="宋体"/>
                <w:b w:val="0"/>
                <w:bCs w:val="0"/>
                <w:color w:val="auto"/>
                <w:sz w:val="16"/>
                <w:szCs w:val="24"/>
                <w:highlight w:val="none"/>
              </w:rPr>
              <w:t>2</w:t>
            </w:r>
            <w:r>
              <w:rPr>
                <w:rFonts w:hint="default" w:ascii="Times New Roman" w:hAnsi="Times New Roman" w:eastAsia="宋体" w:cs="Times New Roman"/>
                <w:b w:val="0"/>
                <w:bCs w:val="0"/>
                <w:color w:val="auto"/>
                <w:sz w:val="24"/>
                <w:szCs w:val="24"/>
                <w:highlight w:val="none"/>
                <w:lang w:val="en-US" w:eastAsia="zh-CN"/>
              </w:rPr>
              <w:t>等</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b w:val="0"/>
                <w:bCs w:val="0"/>
                <w:color w:val="auto"/>
                <w:sz w:val="24"/>
                <w:szCs w:val="24"/>
                <w:highlight w:val="none"/>
                <w:lang w:val="en-US" w:eastAsia="zh-CN"/>
              </w:rPr>
              <w:t>燃油</w:t>
            </w:r>
            <w:r>
              <w:rPr>
                <w:rFonts w:hint="default" w:ascii="Times New Roman" w:hAnsi="Times New Roman" w:eastAsia="宋体" w:cs="Times New Roman"/>
                <w:b w:val="0"/>
                <w:bCs w:val="0"/>
                <w:color w:val="auto"/>
                <w:sz w:val="24"/>
                <w:szCs w:val="24"/>
                <w:highlight w:val="none"/>
                <w:lang w:val="en-US" w:eastAsia="zh-CN"/>
              </w:rPr>
              <w:t>尾气排放量较少，且</w:t>
            </w:r>
            <w:r>
              <w:rPr>
                <w:rFonts w:hint="eastAsia" w:ascii="Times New Roman" w:hAnsi="Times New Roman" w:eastAsia="宋体"/>
                <w:b w:val="0"/>
                <w:bCs w:val="0"/>
                <w:color w:val="auto"/>
                <w:sz w:val="24"/>
                <w:szCs w:val="24"/>
                <w:highlight w:val="none"/>
              </w:rPr>
              <w:t>项目所在区域环境</w:t>
            </w:r>
            <w:r>
              <w:rPr>
                <w:rFonts w:hint="eastAsia" w:ascii="Times New Roman" w:hAnsi="Times New Roman" w:eastAsia="宋体"/>
                <w:b w:val="0"/>
                <w:bCs w:val="0"/>
                <w:color w:val="auto"/>
                <w:sz w:val="24"/>
                <w:szCs w:val="24"/>
                <w:highlight w:val="none"/>
                <w:lang w:val="en-US" w:eastAsia="zh-CN"/>
              </w:rPr>
              <w:t>空气属于达标区，</w:t>
            </w:r>
            <w:r>
              <w:rPr>
                <w:rFonts w:hint="eastAsia" w:ascii="Times New Roman" w:hAnsi="Times New Roman" w:eastAsia="宋体" w:cs="Times New Roman"/>
                <w:b w:val="0"/>
                <w:bCs w:val="0"/>
                <w:color w:val="auto"/>
                <w:kern w:val="2"/>
                <w:sz w:val="24"/>
                <w:szCs w:val="24"/>
                <w:highlight w:val="none"/>
                <w:lang w:val="en-US" w:eastAsia="zh-CN"/>
              </w:rPr>
              <w:t>项目四周有乔木、灌木等植被环绕，扩散条件较好，</w:t>
            </w:r>
            <w:r>
              <w:rPr>
                <w:rFonts w:hint="eastAsia" w:ascii="Times New Roman" w:hAnsi="Times New Roman" w:eastAsia="宋体"/>
                <w:b w:val="0"/>
                <w:bCs w:val="0"/>
                <w:color w:val="auto"/>
                <w:sz w:val="24"/>
                <w:szCs w:val="24"/>
                <w:highlight w:val="none"/>
              </w:rPr>
              <w:t>项目运输车辆尾气经大气稀释、扩散以及周边植物吸收后，对区域大气环境影响较小。</w:t>
            </w:r>
          </w:p>
          <w:p w14:paraId="752A30BF">
            <w:pPr>
              <w:adjustRightInd w:val="0"/>
              <w:snapToGrid w:val="0"/>
              <w:spacing w:line="360" w:lineRule="auto"/>
              <w:ind w:firstLine="480" w:firstLineChars="200"/>
              <w:rPr>
                <w:rFonts w:hint="default" w:ascii="Times New Roman" w:hAnsi="Times New Roman" w:eastAsia="宋体"/>
                <w:b w:val="0"/>
                <w:bCs w:val="0"/>
                <w:color w:val="auto"/>
                <w:sz w:val="24"/>
                <w:highlight w:val="none"/>
                <w:lang w:val="en-US" w:eastAsia="zh-CN"/>
              </w:rPr>
            </w:pPr>
            <w:r>
              <w:rPr>
                <w:rFonts w:hint="eastAsia" w:ascii="Times New Roman" w:hAnsi="Times New Roman" w:eastAsia="宋体"/>
                <w:b w:val="0"/>
                <w:bCs w:val="0"/>
                <w:color w:val="auto"/>
                <w:sz w:val="24"/>
                <w:highlight w:val="none"/>
                <w:lang w:eastAsia="zh-CN"/>
              </w:rPr>
              <w:t>（</w:t>
            </w:r>
            <w:r>
              <w:rPr>
                <w:rFonts w:hint="eastAsia" w:ascii="Times New Roman" w:hAnsi="Times New Roman" w:eastAsia="宋体"/>
                <w:b w:val="0"/>
                <w:bCs w:val="0"/>
                <w:color w:val="auto"/>
                <w:sz w:val="24"/>
                <w:highlight w:val="none"/>
                <w:lang w:val="en-US" w:eastAsia="zh-CN"/>
              </w:rPr>
              <w:t>4</w:t>
            </w:r>
            <w:r>
              <w:rPr>
                <w:rFonts w:hint="eastAsia" w:ascii="Times New Roman" w:hAnsi="Times New Roman" w:eastAsia="宋体"/>
                <w:b w:val="0"/>
                <w:bCs w:val="0"/>
                <w:color w:val="auto"/>
                <w:sz w:val="24"/>
                <w:highlight w:val="none"/>
                <w:lang w:eastAsia="zh-CN"/>
              </w:rPr>
              <w:t>）</w:t>
            </w:r>
            <w:r>
              <w:rPr>
                <w:rFonts w:hint="eastAsia" w:ascii="Times New Roman" w:hAnsi="Times New Roman" w:eastAsia="宋体"/>
                <w:b w:val="0"/>
                <w:bCs w:val="0"/>
                <w:color w:val="auto"/>
                <w:sz w:val="24"/>
                <w:highlight w:val="none"/>
                <w:lang w:val="en-US" w:eastAsia="zh-CN"/>
              </w:rPr>
              <w:t>食堂油烟</w:t>
            </w:r>
          </w:p>
          <w:p w14:paraId="4A7B517B">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szCs w:val="24"/>
                <w:highlight w:val="none"/>
                <w:lang w:val="en-US" w:eastAsia="zh-CN"/>
              </w:rPr>
              <w:t>厂区</w:t>
            </w:r>
            <w:r>
              <w:rPr>
                <w:rFonts w:ascii="Times New Roman" w:hAnsi="Times New Roman" w:eastAsia="宋体" w:cs="Times New Roman"/>
                <w:color w:val="auto"/>
                <w:sz w:val="24"/>
                <w:szCs w:val="24"/>
                <w:highlight w:val="none"/>
              </w:rPr>
              <w:t>设置食堂，</w:t>
            </w:r>
            <w:r>
              <w:rPr>
                <w:rFonts w:hint="eastAsia" w:ascii="Times New Roman" w:hAnsi="Times New Roman" w:eastAsia="宋体" w:cs="Times New Roman"/>
                <w:color w:val="auto"/>
                <w:sz w:val="24"/>
                <w:szCs w:val="24"/>
                <w:highlight w:val="none"/>
                <w:lang w:val="en-US" w:eastAsia="zh-CN"/>
              </w:rPr>
              <w:t>厂区</w:t>
            </w:r>
            <w:r>
              <w:rPr>
                <w:rFonts w:ascii="Times New Roman" w:hAnsi="Times New Roman" w:eastAsia="宋体" w:cs="Times New Roman"/>
                <w:color w:val="auto"/>
                <w:sz w:val="24"/>
                <w:szCs w:val="24"/>
                <w:highlight w:val="none"/>
              </w:rPr>
              <w:t>每餐供应</w:t>
            </w:r>
            <w:r>
              <w:rPr>
                <w:rFonts w:hint="eastAsia" w:ascii="Times New Roman" w:hAnsi="Times New Roman" w:eastAsia="宋体" w:cs="Times New Roman"/>
                <w:color w:val="auto"/>
                <w:sz w:val="24"/>
                <w:szCs w:val="24"/>
                <w:highlight w:val="none"/>
              </w:rPr>
              <w:t>人数为</w:t>
            </w:r>
            <w:r>
              <w:rPr>
                <w:rFonts w:hint="eastAsia" w:ascii="Times New Roman" w:hAnsi="Times New Roman" w:eastAsia="宋体" w:cs="Times New Roman"/>
                <w:color w:val="auto"/>
                <w:sz w:val="24"/>
                <w:szCs w:val="24"/>
                <w:highlight w:val="none"/>
                <w:lang w:val="en-US" w:eastAsia="zh-CN"/>
              </w:rPr>
              <w:t>35</w:t>
            </w:r>
            <w:r>
              <w:rPr>
                <w:rFonts w:ascii="Times New Roman" w:hAnsi="Times New Roman" w:eastAsia="宋体" w:cs="Times New Roman"/>
                <w:color w:val="auto"/>
                <w:sz w:val="24"/>
                <w:szCs w:val="24"/>
                <w:highlight w:val="none"/>
              </w:rPr>
              <w:t>人，每天供应</w:t>
            </w:r>
            <w:r>
              <w:rPr>
                <w:rFonts w:hint="eastAsia" w:ascii="Times New Roman" w:hAnsi="Times New Roman" w:eastAsia="宋体"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餐</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rPr>
              <w:t>运行</w:t>
            </w:r>
            <w:r>
              <w:rPr>
                <w:rFonts w:hint="eastAsia" w:ascii="Times New Roman" w:hAnsi="Times New Roman" w:eastAsia="宋体" w:cs="Times New Roman"/>
                <w:color w:val="auto"/>
                <w:sz w:val="24"/>
                <w:highlight w:val="none"/>
                <w:lang w:val="en-US" w:eastAsia="zh-CN"/>
              </w:rPr>
              <w:t>300</w:t>
            </w:r>
            <w:r>
              <w:rPr>
                <w:rFonts w:ascii="Times New Roman" w:hAnsi="Times New Roman" w:eastAsia="宋体" w:cs="Times New Roman"/>
                <w:color w:val="auto"/>
                <w:sz w:val="24"/>
                <w:highlight w:val="none"/>
              </w:rPr>
              <w:t>天，灶台属于小型灶台，用油量按30g/人▪</w:t>
            </w:r>
            <w:r>
              <w:rPr>
                <w:rFonts w:hint="eastAsia" w:ascii="Times New Roman" w:hAnsi="Times New Roman" w:eastAsia="宋体" w:cs="Times New Roman"/>
                <w:color w:val="auto"/>
                <w:sz w:val="24"/>
                <w:highlight w:val="none"/>
              </w:rPr>
              <w:t>d</w:t>
            </w:r>
            <w:r>
              <w:rPr>
                <w:rFonts w:ascii="Times New Roman" w:hAnsi="Times New Roman" w:eastAsia="宋体" w:cs="Times New Roman"/>
                <w:color w:val="auto"/>
                <w:sz w:val="24"/>
                <w:highlight w:val="none"/>
              </w:rPr>
              <w:t>计，其每天的用油量为</w:t>
            </w:r>
            <w:r>
              <w:rPr>
                <w:rFonts w:hint="eastAsia" w:ascii="Times New Roman" w:hAnsi="Times New Roman" w:eastAsia="宋体" w:cs="Times New Roman"/>
                <w:color w:val="auto"/>
                <w:sz w:val="24"/>
                <w:highlight w:val="none"/>
                <w:lang w:val="en-US" w:eastAsia="zh-CN"/>
              </w:rPr>
              <w:t>1.050</w:t>
            </w:r>
            <w:r>
              <w:rPr>
                <w:rFonts w:ascii="Times New Roman" w:hAnsi="Times New Roman" w:eastAsia="宋体" w:cs="Times New Roman"/>
                <w:color w:val="auto"/>
                <w:sz w:val="24"/>
                <w:highlight w:val="none"/>
              </w:rPr>
              <w:t>kg/</w:t>
            </w:r>
            <w:r>
              <w:rPr>
                <w:rFonts w:hint="eastAsia" w:ascii="Times New Roman" w:hAnsi="Times New Roman" w:eastAsia="宋体" w:cs="Times New Roman"/>
                <w:color w:val="auto"/>
                <w:sz w:val="24"/>
                <w:highlight w:val="none"/>
                <w:lang w:val="en-US" w:eastAsia="zh-CN"/>
              </w:rPr>
              <w:t>d</w:t>
            </w:r>
            <w:r>
              <w:rPr>
                <w:rFonts w:ascii="Times New Roman" w:hAnsi="Times New Roman" w:eastAsia="宋体" w:cs="Times New Roman"/>
                <w:color w:val="auto"/>
                <w:sz w:val="24"/>
                <w:highlight w:val="none"/>
              </w:rPr>
              <w:t>，油烟产生率按用油量的3%，烧炒时间按</w:t>
            </w:r>
            <w:r>
              <w:rPr>
                <w:rFonts w:hint="eastAsia" w:ascii="Times New Roman" w:hAnsi="Times New Roman" w:eastAsia="宋体" w:cs="Times New Roman"/>
                <w:color w:val="auto"/>
                <w:sz w:val="24"/>
                <w:highlight w:val="none"/>
                <w:lang w:val="en-US" w:eastAsia="zh-CN"/>
              </w:rPr>
              <w:t>3</w:t>
            </w:r>
            <w:r>
              <w:rPr>
                <w:rFonts w:ascii="Times New Roman" w:hAnsi="Times New Roman" w:eastAsia="宋体" w:cs="Times New Roman"/>
                <w:color w:val="auto"/>
                <w:sz w:val="24"/>
                <w:highlight w:val="none"/>
              </w:rPr>
              <w:t>个小时计算，则油烟产生量为</w:t>
            </w:r>
            <w:r>
              <w:rPr>
                <w:rFonts w:hint="eastAsia" w:ascii="Times New Roman" w:hAnsi="Times New Roman" w:eastAsia="宋体" w:cs="Times New Roman"/>
                <w:color w:val="auto"/>
                <w:sz w:val="24"/>
                <w:highlight w:val="none"/>
                <w:lang w:val="en-US" w:eastAsia="zh-CN"/>
              </w:rPr>
              <w:t>9.45kg/a</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厂区</w:t>
            </w:r>
            <w:r>
              <w:rPr>
                <w:rFonts w:ascii="Times New Roman" w:hAnsi="Times New Roman" w:eastAsia="宋体" w:cs="Times New Roman"/>
                <w:color w:val="auto"/>
                <w:sz w:val="24"/>
                <w:highlight w:val="none"/>
              </w:rPr>
              <w:t>食堂配备油烟净化设施，</w:t>
            </w:r>
            <w:r>
              <w:rPr>
                <w:rFonts w:ascii="Times New Roman" w:hAnsi="Times New Roman" w:eastAsia="宋体" w:cs="Times New Roman"/>
                <w:color w:val="auto"/>
                <w:sz w:val="24"/>
                <w:highlight w:val="none"/>
                <w:lang w:val="zh-CN"/>
              </w:rPr>
              <w:t>基本灶头数为</w:t>
            </w:r>
            <w:r>
              <w:rPr>
                <w:rFonts w:ascii="Times New Roman" w:hAnsi="Times New Roman" w:eastAsia="宋体" w:cs="Times New Roman"/>
                <w:color w:val="auto"/>
                <w:sz w:val="24"/>
                <w:highlight w:val="none"/>
              </w:rPr>
              <w:t>1</w:t>
            </w:r>
            <w:r>
              <w:rPr>
                <w:rFonts w:ascii="Times New Roman" w:hAnsi="Times New Roman" w:eastAsia="宋体" w:cs="Times New Roman"/>
                <w:color w:val="auto"/>
                <w:sz w:val="24"/>
                <w:highlight w:val="none"/>
                <w:lang w:val="zh-CN"/>
              </w:rPr>
              <w:t>个，</w:t>
            </w:r>
            <w:r>
              <w:rPr>
                <w:rFonts w:hint="eastAsia" w:ascii="Times New Roman" w:hAnsi="Times New Roman" w:eastAsia="宋体" w:cs="Times New Roman"/>
                <w:color w:val="auto"/>
                <w:sz w:val="24"/>
                <w:highlight w:val="none"/>
                <w:lang w:val="en-US" w:eastAsia="zh-CN"/>
              </w:rPr>
              <w:t>油烟净化器</w:t>
            </w:r>
            <w:r>
              <w:rPr>
                <w:rFonts w:ascii="Times New Roman" w:hAnsi="Times New Roman" w:eastAsia="宋体" w:cs="Times New Roman"/>
                <w:color w:val="auto"/>
                <w:sz w:val="24"/>
                <w:highlight w:val="none"/>
                <w:lang w:val="zh-CN"/>
              </w:rPr>
              <w:t>排风量为</w:t>
            </w:r>
            <w:r>
              <w:rPr>
                <w:rFonts w:hint="eastAsia" w:ascii="Times New Roman" w:hAnsi="Times New Roman" w:eastAsia="宋体" w:cs="Times New Roman"/>
                <w:color w:val="auto"/>
                <w:sz w:val="24"/>
                <w:highlight w:val="none"/>
                <w:lang w:val="en-US" w:eastAsia="zh-CN"/>
              </w:rPr>
              <w:t>4</w:t>
            </w:r>
            <w:r>
              <w:rPr>
                <w:rFonts w:ascii="Times New Roman" w:hAnsi="Times New Roman" w:eastAsia="宋体" w:cs="Times New Roman"/>
                <w:color w:val="auto"/>
                <w:sz w:val="24"/>
                <w:highlight w:val="none"/>
                <w:lang w:val="zh-CN"/>
              </w:rPr>
              <w:t>000</w:t>
            </w:r>
            <w:r>
              <w:rPr>
                <w:rFonts w:ascii="Times New Roman" w:hAnsi="Times New Roman" w:eastAsia="宋体" w:cs="Times New Roman"/>
                <w:color w:val="auto"/>
                <w:sz w:val="24"/>
                <w:highlight w:val="none"/>
              </w:rPr>
              <w:t>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lang w:val="zh-CN"/>
              </w:rPr>
              <w:t>/</w:t>
            </w:r>
            <w:r>
              <w:rPr>
                <w:rFonts w:ascii="Times New Roman" w:hAnsi="Times New Roman" w:eastAsia="宋体" w:cs="Times New Roman"/>
                <w:color w:val="auto"/>
                <w:sz w:val="24"/>
                <w:highlight w:val="none"/>
              </w:rPr>
              <w:t>h</w:t>
            </w:r>
            <w:r>
              <w:rPr>
                <w:rFonts w:ascii="Times New Roman" w:hAnsi="Times New Roman" w:eastAsia="宋体" w:cs="Times New Roman"/>
                <w:color w:val="auto"/>
                <w:sz w:val="24"/>
                <w:highlight w:val="none"/>
                <w:lang w:val="zh-CN"/>
              </w:rPr>
              <w:t>，</w:t>
            </w:r>
            <w:r>
              <w:rPr>
                <w:rFonts w:hint="eastAsia" w:ascii="Times New Roman" w:hAnsi="Times New Roman" w:eastAsia="宋体" w:cs="Times New Roman"/>
                <w:color w:val="auto"/>
                <w:sz w:val="24"/>
                <w:highlight w:val="none"/>
                <w:lang w:val="en-US" w:eastAsia="zh-CN"/>
              </w:rPr>
              <w:t>产生浓度为2.625</w:t>
            </w:r>
            <w:r>
              <w:rPr>
                <w:rFonts w:hint="default" w:ascii="Times New Roman" w:hAnsi="Times New Roman" w:eastAsia="宋体" w:cs="Times New Roman"/>
                <w:color w:val="auto"/>
                <w:sz w:val="24"/>
                <w:highlight w:val="none"/>
                <w:shd w:val="clear" w:color="auto" w:fill="auto"/>
              </w:rPr>
              <w:t>mg/m³</w:t>
            </w:r>
            <w:r>
              <w:rPr>
                <w:rFonts w:hint="eastAsia" w:ascii="Times New Roman" w:hAnsi="Times New Roman" w:eastAsia="宋体" w:cs="Times New Roman"/>
                <w:color w:val="auto"/>
                <w:sz w:val="24"/>
                <w:highlight w:val="none"/>
                <w:shd w:val="clear" w:color="auto" w:fill="auto"/>
                <w:vertAlign w:val="baseline"/>
                <w:lang w:val="en-US" w:eastAsia="zh-CN"/>
              </w:rPr>
              <w:t>。</w:t>
            </w:r>
            <w:r>
              <w:rPr>
                <w:rFonts w:hint="eastAsia" w:ascii="Times New Roman" w:hAnsi="Times New Roman" w:eastAsia="宋体"/>
                <w:color w:val="auto"/>
                <w:sz w:val="24"/>
                <w:highlight w:val="none"/>
                <w:shd w:val="clear" w:color="auto" w:fill="auto"/>
              </w:rPr>
              <w:t>净化效率</w:t>
            </w:r>
            <w:r>
              <w:rPr>
                <w:rFonts w:hint="eastAsia" w:ascii="Times New Roman" w:hAnsi="Times New Roman" w:eastAsia="宋体"/>
                <w:color w:val="auto"/>
                <w:sz w:val="24"/>
                <w:highlight w:val="none"/>
                <w:shd w:val="clear" w:color="auto" w:fill="auto"/>
                <w:lang w:eastAsia="zh-CN"/>
              </w:rPr>
              <w:t>按最低去除效率</w:t>
            </w:r>
            <w:r>
              <w:rPr>
                <w:rFonts w:hint="eastAsia" w:ascii="Times New Roman" w:hAnsi="Times New Roman" w:eastAsia="宋体"/>
                <w:color w:val="auto"/>
                <w:sz w:val="24"/>
                <w:highlight w:val="none"/>
                <w:shd w:val="clear" w:color="auto" w:fill="auto"/>
                <w:lang w:val="en-US" w:eastAsia="zh-CN"/>
              </w:rPr>
              <w:t>60</w:t>
            </w:r>
            <w:r>
              <w:rPr>
                <w:rFonts w:ascii="Times New Roman" w:hAnsi="Times New Roman" w:eastAsia="宋体"/>
                <w:color w:val="auto"/>
                <w:sz w:val="24"/>
                <w:highlight w:val="none"/>
                <w:shd w:val="clear" w:color="auto" w:fill="auto"/>
              </w:rPr>
              <w:t>%</w:t>
            </w:r>
            <w:r>
              <w:rPr>
                <w:rFonts w:hint="eastAsia" w:ascii="Times New Roman" w:hAnsi="Times New Roman" w:eastAsia="宋体"/>
                <w:color w:val="auto"/>
                <w:sz w:val="24"/>
                <w:highlight w:val="none"/>
                <w:shd w:val="clear" w:color="auto" w:fill="auto"/>
                <w:lang w:eastAsia="zh-CN"/>
              </w:rPr>
              <w:t>计算，</w:t>
            </w:r>
            <w:r>
              <w:rPr>
                <w:rFonts w:hint="eastAsia" w:ascii="Times New Roman" w:hAnsi="Times New Roman" w:eastAsia="宋体"/>
                <w:color w:val="auto"/>
                <w:sz w:val="24"/>
                <w:highlight w:val="none"/>
                <w:shd w:val="clear" w:color="auto" w:fill="auto"/>
                <w:lang w:val="en-US" w:eastAsia="zh-CN"/>
              </w:rPr>
              <w:t>则</w:t>
            </w:r>
            <w:r>
              <w:rPr>
                <w:rFonts w:hint="default" w:ascii="Times New Roman" w:hAnsi="Times New Roman" w:eastAsia="宋体" w:cs="Times New Roman"/>
                <w:color w:val="auto"/>
                <w:sz w:val="24"/>
                <w:highlight w:val="none"/>
                <w:shd w:val="clear" w:color="auto" w:fill="auto"/>
              </w:rPr>
              <w:t>经油烟净化装置净化处理后油烟排放量为</w:t>
            </w:r>
            <w:r>
              <w:rPr>
                <w:rFonts w:hint="eastAsia" w:ascii="Times New Roman" w:hAnsi="Times New Roman" w:eastAsia="宋体" w:cs="Times New Roman"/>
                <w:color w:val="auto"/>
                <w:sz w:val="24"/>
                <w:highlight w:val="none"/>
                <w:shd w:val="clear" w:color="auto" w:fill="auto"/>
                <w:lang w:val="en-US" w:eastAsia="zh-CN"/>
              </w:rPr>
              <w:t>3.78kg/a</w:t>
            </w:r>
            <w:r>
              <w:rPr>
                <w:rFonts w:hint="default" w:ascii="Times New Roman" w:hAnsi="Times New Roman" w:eastAsia="宋体" w:cs="Times New Roman"/>
                <w:color w:val="auto"/>
                <w:sz w:val="24"/>
                <w:highlight w:val="none"/>
                <w:shd w:val="clear" w:color="auto" w:fill="auto"/>
              </w:rPr>
              <w:t>，</w:t>
            </w:r>
            <w:r>
              <w:rPr>
                <w:rFonts w:hint="eastAsia" w:ascii="Times New Roman" w:hAnsi="Times New Roman" w:eastAsia="宋体" w:cs="Times New Roman"/>
                <w:color w:val="auto"/>
                <w:sz w:val="24"/>
                <w:highlight w:val="none"/>
                <w:shd w:val="clear" w:color="auto" w:fill="auto"/>
                <w:lang w:val="en-US" w:eastAsia="zh-CN"/>
              </w:rPr>
              <w:t>排放速率为0.0042</w:t>
            </w:r>
            <w:r>
              <w:rPr>
                <w:rFonts w:hint="default" w:ascii="Times New Roman" w:hAnsi="Times New Roman" w:eastAsia="宋体" w:cs="Times New Roman"/>
                <w:color w:val="auto"/>
                <w:sz w:val="24"/>
                <w:highlight w:val="none"/>
                <w:shd w:val="clear" w:color="auto" w:fill="auto"/>
              </w:rPr>
              <w:t>kg/</w:t>
            </w:r>
            <w:r>
              <w:rPr>
                <w:rFonts w:hint="eastAsia" w:ascii="Times New Roman" w:hAnsi="Times New Roman" w:eastAsia="宋体" w:cs="Times New Roman"/>
                <w:color w:val="auto"/>
                <w:sz w:val="24"/>
                <w:highlight w:val="none"/>
                <w:shd w:val="clear" w:color="auto" w:fill="auto"/>
                <w:lang w:val="en-US" w:eastAsia="zh-CN"/>
              </w:rPr>
              <w:t>h</w:t>
            </w:r>
            <w:r>
              <w:rPr>
                <w:rFonts w:hint="default" w:ascii="Times New Roman" w:hAnsi="Times New Roman" w:eastAsia="宋体" w:cs="Times New Roman"/>
                <w:color w:val="auto"/>
                <w:sz w:val="24"/>
                <w:highlight w:val="none"/>
                <w:shd w:val="clear" w:color="auto" w:fill="auto"/>
              </w:rPr>
              <w:t>，排放浓度为</w:t>
            </w:r>
            <w:r>
              <w:rPr>
                <w:rFonts w:hint="eastAsia" w:ascii="Times New Roman" w:hAnsi="Times New Roman" w:eastAsia="宋体" w:cs="Times New Roman"/>
                <w:color w:val="auto"/>
                <w:sz w:val="24"/>
                <w:highlight w:val="none"/>
                <w:shd w:val="clear" w:color="auto" w:fill="auto"/>
                <w:lang w:val="en-US" w:eastAsia="zh-CN"/>
              </w:rPr>
              <w:t>1.05</w:t>
            </w:r>
            <w:r>
              <w:rPr>
                <w:rFonts w:hint="default" w:ascii="Times New Roman" w:hAnsi="Times New Roman" w:eastAsia="宋体" w:cs="Times New Roman"/>
                <w:color w:val="auto"/>
                <w:sz w:val="24"/>
                <w:highlight w:val="none"/>
                <w:shd w:val="clear" w:color="auto" w:fill="auto"/>
              </w:rPr>
              <w:t>mg/m³。</w:t>
            </w:r>
            <w:r>
              <w:rPr>
                <w:rFonts w:hint="default" w:ascii="Times New Roman" w:hAnsi="Times New Roman" w:eastAsia="宋体" w:cs="Times New Roman"/>
                <w:color w:val="auto"/>
                <w:sz w:val="24"/>
                <w:highlight w:val="none"/>
              </w:rPr>
              <w:t>食堂油烟经净化装置处理后经烟道由</w:t>
            </w:r>
            <w:r>
              <w:rPr>
                <w:rFonts w:hint="default" w:ascii="Times New Roman" w:hAnsi="Times New Roman" w:eastAsia="宋体" w:cs="Times New Roman"/>
                <w:color w:val="auto"/>
                <w:sz w:val="24"/>
                <w:highlight w:val="none"/>
                <w:lang w:eastAsia="zh-CN"/>
              </w:rPr>
              <w:t>屋顶</w:t>
            </w:r>
            <w:r>
              <w:rPr>
                <w:rFonts w:hint="default" w:ascii="Times New Roman" w:hAnsi="Times New Roman" w:eastAsia="宋体" w:cs="Times New Roman"/>
                <w:color w:val="auto"/>
                <w:sz w:val="24"/>
                <w:highlight w:val="none"/>
              </w:rPr>
              <w:t>排放。</w:t>
            </w:r>
            <w:r>
              <w:rPr>
                <w:rFonts w:hint="eastAsia" w:ascii="Times New Roman" w:hAnsi="Times New Roman" w:eastAsia="宋体" w:cs="Times New Roman"/>
                <w:color w:val="auto"/>
                <w:sz w:val="24"/>
                <w:highlight w:val="none"/>
                <w:shd w:val="clear" w:color="auto" w:fill="auto"/>
                <w:lang w:val="en-US" w:eastAsia="zh-CN"/>
              </w:rPr>
              <w:t>满足</w:t>
            </w:r>
            <w:r>
              <w:rPr>
                <w:rFonts w:hint="eastAsia" w:ascii="Times New Roman" w:hAnsi="Times New Roman" w:eastAsia="宋体" w:cs="Times New Roman"/>
                <w:color w:val="auto"/>
                <w:sz w:val="24"/>
                <w:szCs w:val="24"/>
                <w:highlight w:val="none"/>
                <w:lang w:val="en-US" w:eastAsia="zh-CN"/>
              </w:rPr>
              <w:t>《饮食业油烟排放标准》（GB18483—2001）中油烟排放浓度≤2.0mg/m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highlight w:val="none"/>
                <w:lang w:val="en-US" w:eastAsia="zh-CN"/>
              </w:rPr>
              <w:t>对周围</w:t>
            </w:r>
            <w:r>
              <w:rPr>
                <w:rFonts w:hint="eastAsia" w:ascii="Times New Roman" w:hAnsi="Times New Roman" w:eastAsia="宋体" w:cs="Times New Roman"/>
                <w:color w:val="auto"/>
                <w:sz w:val="24"/>
                <w:highlight w:val="none"/>
                <w:lang w:val="en-US" w:eastAsia="zh-CN"/>
              </w:rPr>
              <w:t>大气</w:t>
            </w:r>
            <w:r>
              <w:rPr>
                <w:rFonts w:hint="default" w:ascii="Times New Roman" w:hAnsi="Times New Roman" w:eastAsia="宋体" w:cs="Times New Roman"/>
                <w:color w:val="auto"/>
                <w:sz w:val="24"/>
                <w:highlight w:val="none"/>
                <w:lang w:val="en-US" w:eastAsia="zh-CN"/>
              </w:rPr>
              <w:t>环境影响较小</w:t>
            </w:r>
            <w:r>
              <w:rPr>
                <w:rFonts w:hint="eastAsia" w:ascii="Times New Roman" w:hAnsi="Times New Roman" w:eastAsia="宋体" w:cs="Times New Roman"/>
                <w:color w:val="auto"/>
                <w:sz w:val="24"/>
                <w:highlight w:val="none"/>
                <w:lang w:val="en-US" w:eastAsia="zh-CN"/>
              </w:rPr>
              <w:t>。</w:t>
            </w:r>
          </w:p>
          <w:p w14:paraId="661E15A2">
            <w:pPr>
              <w:pStyle w:val="7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二、</w:t>
            </w:r>
            <w:r>
              <w:rPr>
                <w:rFonts w:hint="eastAsia" w:ascii="Times New Roman" w:hAnsi="Times New Roman" w:eastAsia="宋体"/>
                <w:b/>
                <w:bCs/>
                <w:color w:val="auto"/>
                <w:highlight w:val="none"/>
              </w:rPr>
              <w:t>大气污染物排放量核算</w:t>
            </w:r>
          </w:p>
          <w:p w14:paraId="1C1EAC36">
            <w:pPr>
              <w:pStyle w:val="70"/>
              <w:ind w:firstLine="480"/>
              <w:rPr>
                <w:rFonts w:ascii="Times New Roman" w:hAnsi="Times New Roman" w:eastAsia="宋体"/>
                <w:color w:val="auto"/>
                <w:highlight w:val="none"/>
              </w:rPr>
            </w:pPr>
            <w:r>
              <w:rPr>
                <w:rFonts w:hint="eastAsia" w:ascii="Times New Roman" w:hAnsi="Times New Roman" w:eastAsia="宋体"/>
                <w:color w:val="auto"/>
                <w:highlight w:val="none"/>
              </w:rPr>
              <w:t>（1）项目大气污染物排放量核算如下表：</w:t>
            </w:r>
          </w:p>
          <w:p w14:paraId="780E03F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TT"/>
              </w:rPr>
            </w:pPr>
            <w:r>
              <w:rPr>
                <w:rFonts w:hint="eastAsia" w:ascii="Times New Roman" w:hAnsi="Times New Roman" w:eastAsia="宋体" w:cs="Times New Roman"/>
                <w:b/>
                <w:color w:val="auto"/>
                <w:kern w:val="24"/>
                <w:sz w:val="24"/>
                <w:szCs w:val="24"/>
                <w:highlight w:val="none"/>
                <w:lang w:val="en-TT"/>
              </w:rPr>
              <w:t>表4.2.1-</w:t>
            </w:r>
            <w:r>
              <w:rPr>
                <w:rFonts w:hint="eastAsia" w:ascii="Times New Roman" w:hAnsi="Times New Roman" w:cs="Times New Roman"/>
                <w:b/>
                <w:color w:val="auto"/>
                <w:kern w:val="24"/>
                <w:sz w:val="24"/>
                <w:szCs w:val="24"/>
                <w:highlight w:val="none"/>
                <w:lang w:val="en-US" w:eastAsia="zh-CN"/>
              </w:rPr>
              <w:t>2</w:t>
            </w:r>
            <w:r>
              <w:rPr>
                <w:rFonts w:hint="eastAsia" w:ascii="Times New Roman" w:hAnsi="Times New Roman" w:eastAsia="宋体" w:cs="Times New Roman"/>
                <w:b/>
                <w:color w:val="auto"/>
                <w:kern w:val="24"/>
                <w:sz w:val="24"/>
                <w:szCs w:val="24"/>
                <w:highlight w:val="none"/>
                <w:lang w:val="en-TT"/>
              </w:rPr>
              <w:t>项目大气污染物有组织排放量核算表</w:t>
            </w:r>
          </w:p>
          <w:tbl>
            <w:tblPr>
              <w:tblStyle w:val="35"/>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992"/>
              <w:gridCol w:w="1418"/>
              <w:gridCol w:w="1036"/>
              <w:gridCol w:w="1568"/>
              <w:gridCol w:w="1541"/>
              <w:gridCol w:w="1210"/>
            </w:tblGrid>
            <w:tr w14:paraId="668C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89" w:type="dxa"/>
                  <w:shd w:val="clear" w:color="auto" w:fill="D9D9D9"/>
                  <w:noWrap w:val="0"/>
                  <w:vAlign w:val="center"/>
                </w:tcPr>
                <w:p w14:paraId="7BF01C44">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序号</w:t>
                  </w:r>
                </w:p>
              </w:tc>
              <w:tc>
                <w:tcPr>
                  <w:tcW w:w="992" w:type="dxa"/>
                  <w:shd w:val="clear" w:color="auto" w:fill="D9D9D9"/>
                  <w:noWrap w:val="0"/>
                  <w:vAlign w:val="center"/>
                </w:tcPr>
                <w:p w14:paraId="2E02AD61">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排污口编号</w:t>
                  </w:r>
                </w:p>
              </w:tc>
              <w:tc>
                <w:tcPr>
                  <w:tcW w:w="1418" w:type="dxa"/>
                  <w:shd w:val="clear" w:color="auto" w:fill="D9D9D9"/>
                  <w:noWrap w:val="0"/>
                  <w:vAlign w:val="center"/>
                </w:tcPr>
                <w:p w14:paraId="7E1A39E2">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产污环节</w:t>
                  </w:r>
                </w:p>
              </w:tc>
              <w:tc>
                <w:tcPr>
                  <w:tcW w:w="1036" w:type="dxa"/>
                  <w:shd w:val="clear" w:color="auto" w:fill="D9D9D9"/>
                  <w:noWrap w:val="0"/>
                  <w:vAlign w:val="center"/>
                </w:tcPr>
                <w:p w14:paraId="0CAF0702">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污染物</w:t>
                  </w:r>
                </w:p>
              </w:tc>
              <w:tc>
                <w:tcPr>
                  <w:tcW w:w="1568" w:type="dxa"/>
                  <w:shd w:val="clear" w:color="auto" w:fill="D9D9D9"/>
                  <w:noWrap w:val="0"/>
                  <w:vAlign w:val="center"/>
                </w:tcPr>
                <w:p w14:paraId="5FB77E67">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核算排放浓度</w:t>
                  </w:r>
                </w:p>
                <w:p w14:paraId="2EF60B14">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（mg/m³）</w:t>
                  </w:r>
                </w:p>
              </w:tc>
              <w:tc>
                <w:tcPr>
                  <w:tcW w:w="1541" w:type="dxa"/>
                  <w:shd w:val="clear" w:color="auto" w:fill="D9D9D9"/>
                  <w:noWrap w:val="0"/>
                  <w:vAlign w:val="center"/>
                </w:tcPr>
                <w:p w14:paraId="17EC50E0">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核算排放速率</w:t>
                  </w:r>
                </w:p>
                <w:p w14:paraId="166DB4FA">
                  <w:pPr>
                    <w:pStyle w:val="72"/>
                    <w:jc w:val="center"/>
                    <w:rPr>
                      <w:rFonts w:hint="eastAsia" w:ascii="Times New Roman" w:hAnsi="Times New Roman" w:eastAsia="宋体"/>
                      <w:color w:val="auto"/>
                      <w:highlight w:val="none"/>
                    </w:rPr>
                  </w:pPr>
                  <w:r>
                    <w:rPr>
                      <w:rFonts w:hint="eastAsia" w:ascii="Times New Roman" w:hAnsi="Times New Roman" w:eastAsia="宋体"/>
                      <w:color w:val="auto"/>
                      <w:highlight w:val="none"/>
                    </w:rPr>
                    <w:t>（kg</w:t>
                  </w:r>
                  <w:r>
                    <w:rPr>
                      <w:rFonts w:ascii="Times New Roman" w:hAnsi="Times New Roman" w:eastAsia="宋体"/>
                      <w:color w:val="auto"/>
                      <w:highlight w:val="none"/>
                    </w:rPr>
                    <w:t>/h</w:t>
                  </w:r>
                  <w:r>
                    <w:rPr>
                      <w:rFonts w:hint="eastAsia" w:ascii="Times New Roman" w:hAnsi="Times New Roman" w:eastAsia="宋体"/>
                      <w:color w:val="auto"/>
                      <w:highlight w:val="none"/>
                    </w:rPr>
                    <w:t>）</w:t>
                  </w:r>
                </w:p>
              </w:tc>
              <w:tc>
                <w:tcPr>
                  <w:tcW w:w="1210" w:type="dxa"/>
                  <w:shd w:val="clear" w:color="auto" w:fill="D9D9D9"/>
                  <w:noWrap w:val="0"/>
                  <w:vAlign w:val="center"/>
                </w:tcPr>
                <w:p w14:paraId="3113D6F5">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年排放量（t</w:t>
                  </w:r>
                  <w:r>
                    <w:rPr>
                      <w:rFonts w:ascii="Times New Roman" w:hAnsi="Times New Roman" w:eastAsia="宋体"/>
                      <w:color w:val="auto"/>
                      <w:highlight w:val="none"/>
                    </w:rPr>
                    <w:t>/a</w:t>
                  </w:r>
                  <w:r>
                    <w:rPr>
                      <w:rFonts w:hint="eastAsia" w:ascii="Times New Roman" w:hAnsi="Times New Roman" w:eastAsia="宋体"/>
                      <w:color w:val="auto"/>
                      <w:highlight w:val="none"/>
                    </w:rPr>
                    <w:t>）</w:t>
                  </w:r>
                </w:p>
              </w:tc>
            </w:tr>
            <w:tr w14:paraId="1E7A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noWrap w:val="0"/>
                  <w:vAlign w:val="center"/>
                </w:tcPr>
                <w:p w14:paraId="0F6F2169">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1</w:t>
                  </w:r>
                </w:p>
              </w:tc>
              <w:tc>
                <w:tcPr>
                  <w:tcW w:w="992" w:type="dxa"/>
                  <w:noWrap w:val="0"/>
                  <w:vAlign w:val="center"/>
                </w:tcPr>
                <w:p w14:paraId="436E378D">
                  <w:pPr>
                    <w:pStyle w:val="72"/>
                    <w:jc w:val="center"/>
                    <w:rPr>
                      <w:rFonts w:ascii="Times New Roman" w:hAnsi="Times New Roman" w:eastAsia="宋体"/>
                      <w:color w:val="auto"/>
                      <w:highlight w:val="none"/>
                    </w:rPr>
                  </w:pPr>
                  <w:r>
                    <w:rPr>
                      <w:rFonts w:ascii="Times New Roman" w:hAnsi="Times New Roman" w:eastAsia="宋体"/>
                      <w:color w:val="auto"/>
                      <w:highlight w:val="none"/>
                    </w:rPr>
                    <w:t>DA001</w:t>
                  </w:r>
                </w:p>
              </w:tc>
              <w:tc>
                <w:tcPr>
                  <w:tcW w:w="1418" w:type="dxa"/>
                  <w:noWrap w:val="0"/>
                  <w:vAlign w:val="center"/>
                </w:tcPr>
                <w:p w14:paraId="3FE2484E">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第1生产线</w:t>
                  </w:r>
                </w:p>
              </w:tc>
              <w:tc>
                <w:tcPr>
                  <w:tcW w:w="1036" w:type="dxa"/>
                  <w:noWrap w:val="0"/>
                  <w:vAlign w:val="center"/>
                </w:tcPr>
                <w:p w14:paraId="3E32EE21">
                  <w:pPr>
                    <w:pStyle w:val="72"/>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颗粒物</w:t>
                  </w:r>
                </w:p>
              </w:tc>
              <w:tc>
                <w:tcPr>
                  <w:tcW w:w="1568" w:type="dxa"/>
                  <w:tcBorders>
                    <w:bottom w:val="single" w:color="auto" w:sz="2" w:space="0"/>
                  </w:tcBorders>
                  <w:noWrap w:val="0"/>
                  <w:vAlign w:val="center"/>
                </w:tcPr>
                <w:p w14:paraId="1570DA44">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12.86</w:t>
                  </w:r>
                </w:p>
              </w:tc>
              <w:tc>
                <w:tcPr>
                  <w:tcW w:w="1541" w:type="dxa"/>
                  <w:tcBorders>
                    <w:bottom w:val="single" w:color="auto" w:sz="2" w:space="0"/>
                  </w:tcBorders>
                  <w:noWrap w:val="0"/>
                  <w:vAlign w:val="center"/>
                </w:tcPr>
                <w:p w14:paraId="38BF20B5">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0.99</w:t>
                  </w:r>
                </w:p>
              </w:tc>
              <w:tc>
                <w:tcPr>
                  <w:tcW w:w="1210" w:type="dxa"/>
                  <w:tcBorders>
                    <w:bottom w:val="single" w:color="auto" w:sz="2" w:space="0"/>
                  </w:tcBorders>
                  <w:noWrap w:val="0"/>
                  <w:vAlign w:val="center"/>
                </w:tcPr>
                <w:p w14:paraId="0373C022">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2.376</w:t>
                  </w:r>
                </w:p>
              </w:tc>
            </w:tr>
            <w:tr w14:paraId="39EE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9" w:type="dxa"/>
                  <w:noWrap w:val="0"/>
                  <w:vAlign w:val="center"/>
                </w:tcPr>
                <w:p w14:paraId="0FD2CB50">
                  <w:pPr>
                    <w:pStyle w:val="72"/>
                    <w:jc w:val="center"/>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p>
              </w:tc>
              <w:tc>
                <w:tcPr>
                  <w:tcW w:w="992" w:type="dxa"/>
                  <w:noWrap w:val="0"/>
                  <w:vAlign w:val="center"/>
                </w:tcPr>
                <w:p w14:paraId="39281F8F">
                  <w:pPr>
                    <w:pStyle w:val="72"/>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DA002</w:t>
                  </w:r>
                </w:p>
              </w:tc>
              <w:tc>
                <w:tcPr>
                  <w:tcW w:w="1418" w:type="dxa"/>
                  <w:noWrap w:val="0"/>
                  <w:vAlign w:val="center"/>
                </w:tcPr>
                <w:p w14:paraId="2B7FEED4">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第2生产线</w:t>
                  </w:r>
                </w:p>
              </w:tc>
              <w:tc>
                <w:tcPr>
                  <w:tcW w:w="1036" w:type="dxa"/>
                  <w:noWrap w:val="0"/>
                  <w:vAlign w:val="center"/>
                </w:tcPr>
                <w:p w14:paraId="43F5CD91">
                  <w:pPr>
                    <w:pStyle w:val="72"/>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s="宋体"/>
                      <w:color w:val="auto"/>
                      <w:sz w:val="21"/>
                      <w:highlight w:val="none"/>
                      <w:lang w:val="en-US" w:eastAsia="zh-CN"/>
                    </w:rPr>
                    <w:t>颗粒物</w:t>
                  </w:r>
                </w:p>
              </w:tc>
              <w:tc>
                <w:tcPr>
                  <w:tcW w:w="1568" w:type="dxa"/>
                  <w:tcBorders>
                    <w:bottom w:val="single" w:color="auto" w:sz="4" w:space="0"/>
                  </w:tcBorders>
                  <w:noWrap w:val="0"/>
                  <w:vAlign w:val="center"/>
                </w:tcPr>
                <w:p w14:paraId="21519DE6">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12.86</w:t>
                  </w:r>
                </w:p>
              </w:tc>
              <w:tc>
                <w:tcPr>
                  <w:tcW w:w="1541" w:type="dxa"/>
                  <w:tcBorders>
                    <w:bottom w:val="single" w:color="auto" w:sz="4" w:space="0"/>
                  </w:tcBorders>
                  <w:noWrap w:val="0"/>
                  <w:vAlign w:val="center"/>
                </w:tcPr>
                <w:p w14:paraId="0A97DA5E">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0.99</w:t>
                  </w:r>
                </w:p>
              </w:tc>
              <w:tc>
                <w:tcPr>
                  <w:tcW w:w="1210" w:type="dxa"/>
                  <w:tcBorders>
                    <w:bottom w:val="single" w:color="auto" w:sz="4" w:space="0"/>
                  </w:tcBorders>
                  <w:noWrap w:val="0"/>
                  <w:vAlign w:val="center"/>
                </w:tcPr>
                <w:p w14:paraId="383060DF">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2.376</w:t>
                  </w:r>
                </w:p>
              </w:tc>
            </w:tr>
            <w:tr w14:paraId="3FF4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9" w:type="dxa"/>
                  <w:noWrap w:val="0"/>
                  <w:vAlign w:val="center"/>
                </w:tcPr>
                <w:p w14:paraId="1AD9278D">
                  <w:pPr>
                    <w:pStyle w:val="72"/>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w:t>
                  </w:r>
                </w:p>
              </w:tc>
              <w:tc>
                <w:tcPr>
                  <w:tcW w:w="992" w:type="dxa"/>
                  <w:noWrap w:val="0"/>
                  <w:vAlign w:val="center"/>
                </w:tcPr>
                <w:p w14:paraId="651C1B75">
                  <w:pPr>
                    <w:pStyle w:val="72"/>
                    <w:jc w:val="center"/>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DA003</w:t>
                  </w:r>
                </w:p>
              </w:tc>
              <w:tc>
                <w:tcPr>
                  <w:tcW w:w="1418" w:type="dxa"/>
                  <w:noWrap w:val="0"/>
                  <w:vAlign w:val="center"/>
                </w:tcPr>
                <w:p w14:paraId="7AFF82BF">
                  <w:pPr>
                    <w:pStyle w:val="72"/>
                    <w:jc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第3生产线</w:t>
                  </w:r>
                </w:p>
              </w:tc>
              <w:tc>
                <w:tcPr>
                  <w:tcW w:w="1036" w:type="dxa"/>
                  <w:noWrap w:val="0"/>
                  <w:vAlign w:val="center"/>
                </w:tcPr>
                <w:p w14:paraId="0843AC60">
                  <w:pPr>
                    <w:pStyle w:val="72"/>
                    <w:jc w:val="center"/>
                    <w:rPr>
                      <w:rFonts w:hint="eastAsia" w:ascii="Times New Roman" w:hAnsi="Times New Roman" w:eastAsia="宋体" w:cs="宋体"/>
                      <w:color w:val="auto"/>
                      <w:sz w:val="21"/>
                      <w:highlight w:val="none"/>
                      <w:lang w:val="en-US" w:eastAsia="zh-CN"/>
                    </w:rPr>
                  </w:pPr>
                  <w:r>
                    <w:rPr>
                      <w:rFonts w:hint="eastAsia" w:ascii="Times New Roman" w:hAnsi="Times New Roman" w:eastAsia="宋体"/>
                      <w:color w:val="auto"/>
                      <w:highlight w:val="none"/>
                      <w:lang w:val="en-US" w:eastAsia="zh-CN"/>
                    </w:rPr>
                    <w:t>颗粒物</w:t>
                  </w:r>
                </w:p>
              </w:tc>
              <w:tc>
                <w:tcPr>
                  <w:tcW w:w="1568" w:type="dxa"/>
                  <w:tcBorders>
                    <w:bottom w:val="single" w:color="auto" w:sz="4" w:space="0"/>
                  </w:tcBorders>
                  <w:noWrap w:val="0"/>
                  <w:vAlign w:val="center"/>
                </w:tcPr>
                <w:p w14:paraId="74AC2E37">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18.13</w:t>
                  </w:r>
                </w:p>
              </w:tc>
              <w:tc>
                <w:tcPr>
                  <w:tcW w:w="1541" w:type="dxa"/>
                  <w:tcBorders>
                    <w:bottom w:val="single" w:color="auto" w:sz="4" w:space="0"/>
                  </w:tcBorders>
                  <w:noWrap w:val="0"/>
                  <w:vAlign w:val="center"/>
                </w:tcPr>
                <w:p w14:paraId="26889D99">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1.74</w:t>
                  </w:r>
                </w:p>
              </w:tc>
              <w:tc>
                <w:tcPr>
                  <w:tcW w:w="1210" w:type="dxa"/>
                  <w:tcBorders>
                    <w:bottom w:val="single" w:color="auto" w:sz="4" w:space="0"/>
                  </w:tcBorders>
                  <w:noWrap w:val="0"/>
                  <w:vAlign w:val="center"/>
                </w:tcPr>
                <w:p w14:paraId="14749C50">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4.176</w:t>
                  </w:r>
                </w:p>
              </w:tc>
            </w:tr>
            <w:tr w14:paraId="2B60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4" w:type="dxa"/>
                  <w:gridSpan w:val="7"/>
                  <w:noWrap w:val="0"/>
                  <w:vAlign w:val="center"/>
                </w:tcPr>
                <w:p w14:paraId="59F79670">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有组织排放总计</w:t>
                  </w:r>
                </w:p>
              </w:tc>
            </w:tr>
            <w:tr w14:paraId="33F1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5" w:type="dxa"/>
                  <w:gridSpan w:val="4"/>
                  <w:noWrap w:val="0"/>
                  <w:vAlign w:val="center"/>
                </w:tcPr>
                <w:p w14:paraId="6646DF43">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rPr>
                    <w:t>有组织排放总计</w:t>
                  </w:r>
                </w:p>
              </w:tc>
              <w:tc>
                <w:tcPr>
                  <w:tcW w:w="3109" w:type="dxa"/>
                  <w:gridSpan w:val="2"/>
                  <w:noWrap w:val="0"/>
                  <w:vAlign w:val="top"/>
                </w:tcPr>
                <w:p w14:paraId="332C0E59">
                  <w:pPr>
                    <w:pStyle w:val="72"/>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颗粒物</w:t>
                  </w:r>
                </w:p>
              </w:tc>
              <w:tc>
                <w:tcPr>
                  <w:tcW w:w="1210" w:type="dxa"/>
                  <w:noWrap w:val="0"/>
                  <w:vAlign w:val="top"/>
                </w:tcPr>
                <w:p w14:paraId="44116A79">
                  <w:pPr>
                    <w:pStyle w:val="72"/>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8.928</w:t>
                  </w:r>
                </w:p>
              </w:tc>
            </w:tr>
          </w:tbl>
          <w:p w14:paraId="00563EC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TT"/>
              </w:rPr>
            </w:pPr>
          </w:p>
          <w:p w14:paraId="0996D77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TT"/>
              </w:rPr>
            </w:pPr>
          </w:p>
          <w:p w14:paraId="3C47850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TT"/>
              </w:rPr>
            </w:pPr>
          </w:p>
          <w:p w14:paraId="04A2162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TT"/>
              </w:rPr>
            </w:pPr>
          </w:p>
          <w:p w14:paraId="47B9094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TT"/>
              </w:rPr>
            </w:pPr>
          </w:p>
          <w:p w14:paraId="628E6B6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TT"/>
              </w:rPr>
            </w:pPr>
          </w:p>
          <w:p w14:paraId="1E94021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TT"/>
              </w:rPr>
            </w:pPr>
          </w:p>
          <w:p w14:paraId="76C04CC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TT"/>
              </w:rPr>
            </w:pPr>
            <w:r>
              <w:rPr>
                <w:rFonts w:hint="eastAsia" w:ascii="Times New Roman" w:hAnsi="Times New Roman" w:eastAsia="宋体" w:cs="Times New Roman"/>
                <w:b/>
                <w:color w:val="auto"/>
                <w:kern w:val="24"/>
                <w:sz w:val="24"/>
                <w:szCs w:val="24"/>
                <w:highlight w:val="none"/>
                <w:lang w:val="en-TT"/>
              </w:rPr>
              <w:t>表4.2.1-</w:t>
            </w:r>
            <w:r>
              <w:rPr>
                <w:rFonts w:hint="eastAsia" w:ascii="Times New Roman" w:hAnsi="Times New Roman" w:eastAsia="宋体" w:cs="Times New Roman"/>
                <w:b/>
                <w:color w:val="auto"/>
                <w:kern w:val="24"/>
                <w:sz w:val="24"/>
                <w:szCs w:val="24"/>
                <w:highlight w:val="none"/>
                <w:lang w:val="en-US" w:eastAsia="zh-CN"/>
              </w:rPr>
              <w:t xml:space="preserve">3  </w:t>
            </w:r>
            <w:r>
              <w:rPr>
                <w:rFonts w:hint="eastAsia" w:ascii="Times New Roman" w:hAnsi="Times New Roman" w:eastAsia="宋体" w:cs="Times New Roman"/>
                <w:b/>
                <w:color w:val="auto"/>
                <w:kern w:val="24"/>
                <w:sz w:val="24"/>
                <w:szCs w:val="24"/>
                <w:highlight w:val="none"/>
                <w:lang w:val="en-TT"/>
              </w:rPr>
              <w:t>项目大气污染物无组织排放量核算表</w:t>
            </w:r>
          </w:p>
          <w:tbl>
            <w:tblPr>
              <w:tblStyle w:val="35"/>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759"/>
              <w:gridCol w:w="1027"/>
              <w:gridCol w:w="773"/>
              <w:gridCol w:w="2100"/>
              <w:gridCol w:w="996"/>
              <w:gridCol w:w="1185"/>
              <w:gridCol w:w="925"/>
            </w:tblGrid>
            <w:tr w14:paraId="68EA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89" w:type="dxa"/>
                  <w:vMerge w:val="restart"/>
                  <w:shd w:val="clear" w:color="auto" w:fill="D9D9D9"/>
                  <w:noWrap w:val="0"/>
                  <w:vAlign w:val="center"/>
                </w:tcPr>
                <w:p w14:paraId="2AE90278">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759" w:type="dxa"/>
                  <w:vMerge w:val="restart"/>
                  <w:shd w:val="clear" w:color="auto" w:fill="D9D9D9"/>
                  <w:noWrap w:val="0"/>
                  <w:vAlign w:val="center"/>
                </w:tcPr>
                <w:p w14:paraId="26A093AA">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排污口编号</w:t>
                  </w:r>
                </w:p>
              </w:tc>
              <w:tc>
                <w:tcPr>
                  <w:tcW w:w="1027" w:type="dxa"/>
                  <w:vMerge w:val="restart"/>
                  <w:shd w:val="clear" w:color="auto" w:fill="D9D9D9"/>
                  <w:noWrap w:val="0"/>
                  <w:vAlign w:val="center"/>
                </w:tcPr>
                <w:p w14:paraId="5B609D8F">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产污环节</w:t>
                  </w:r>
                </w:p>
              </w:tc>
              <w:tc>
                <w:tcPr>
                  <w:tcW w:w="773" w:type="dxa"/>
                  <w:vMerge w:val="restart"/>
                  <w:shd w:val="clear" w:color="auto" w:fill="D9D9D9"/>
                  <w:noWrap w:val="0"/>
                  <w:vAlign w:val="center"/>
                </w:tcPr>
                <w:p w14:paraId="231BEA2E">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污染物</w:t>
                  </w:r>
                </w:p>
              </w:tc>
              <w:tc>
                <w:tcPr>
                  <w:tcW w:w="2100" w:type="dxa"/>
                  <w:vMerge w:val="restart"/>
                  <w:shd w:val="clear" w:color="auto" w:fill="D9D9D9"/>
                  <w:noWrap w:val="0"/>
                  <w:vAlign w:val="center"/>
                </w:tcPr>
                <w:p w14:paraId="2C94DD9A">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主要污染防治措施</w:t>
                  </w:r>
                </w:p>
              </w:tc>
              <w:tc>
                <w:tcPr>
                  <w:tcW w:w="2181" w:type="dxa"/>
                  <w:gridSpan w:val="2"/>
                  <w:shd w:val="clear" w:color="auto" w:fill="D9D9D9"/>
                  <w:noWrap w:val="0"/>
                  <w:vAlign w:val="center"/>
                </w:tcPr>
                <w:p w14:paraId="12BAF3F6">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国家污染物排放标准</w:t>
                  </w:r>
                </w:p>
              </w:tc>
              <w:tc>
                <w:tcPr>
                  <w:tcW w:w="925" w:type="dxa"/>
                  <w:vMerge w:val="restart"/>
                  <w:shd w:val="clear" w:color="auto" w:fill="D9D9D9"/>
                  <w:noWrap w:val="0"/>
                  <w:vAlign w:val="center"/>
                </w:tcPr>
                <w:p w14:paraId="4C01383C">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年排放量（t</w:t>
                  </w:r>
                  <w:r>
                    <w:rPr>
                      <w:rFonts w:ascii="Times New Roman" w:hAnsi="Times New Roman" w:eastAsia="宋体"/>
                      <w:color w:val="auto"/>
                      <w:sz w:val="21"/>
                      <w:szCs w:val="21"/>
                      <w:highlight w:val="none"/>
                    </w:rPr>
                    <w:t>/a</w:t>
                  </w:r>
                  <w:r>
                    <w:rPr>
                      <w:rFonts w:hint="eastAsia" w:ascii="Times New Roman" w:hAnsi="Times New Roman" w:eastAsia="宋体"/>
                      <w:color w:val="auto"/>
                      <w:sz w:val="21"/>
                      <w:szCs w:val="21"/>
                      <w:highlight w:val="none"/>
                    </w:rPr>
                    <w:t>）</w:t>
                  </w:r>
                </w:p>
              </w:tc>
            </w:tr>
            <w:tr w14:paraId="5D85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89" w:type="dxa"/>
                  <w:vMerge w:val="continue"/>
                  <w:shd w:val="clear" w:color="auto" w:fill="auto"/>
                  <w:noWrap w:val="0"/>
                  <w:vAlign w:val="center"/>
                </w:tcPr>
                <w:p w14:paraId="03747047">
                  <w:pPr>
                    <w:pStyle w:val="72"/>
                    <w:jc w:val="center"/>
                    <w:rPr>
                      <w:rFonts w:ascii="Times New Roman" w:hAnsi="Times New Roman" w:eastAsia="宋体"/>
                      <w:color w:val="auto"/>
                      <w:sz w:val="21"/>
                      <w:szCs w:val="21"/>
                      <w:highlight w:val="none"/>
                    </w:rPr>
                  </w:pPr>
                </w:p>
              </w:tc>
              <w:tc>
                <w:tcPr>
                  <w:tcW w:w="759" w:type="dxa"/>
                  <w:vMerge w:val="continue"/>
                  <w:shd w:val="clear" w:color="auto" w:fill="auto"/>
                  <w:noWrap w:val="0"/>
                  <w:vAlign w:val="center"/>
                </w:tcPr>
                <w:p w14:paraId="4DE9A590">
                  <w:pPr>
                    <w:pStyle w:val="72"/>
                    <w:jc w:val="center"/>
                    <w:rPr>
                      <w:rFonts w:ascii="Times New Roman" w:hAnsi="Times New Roman" w:eastAsia="宋体"/>
                      <w:color w:val="auto"/>
                      <w:sz w:val="21"/>
                      <w:szCs w:val="21"/>
                      <w:highlight w:val="none"/>
                    </w:rPr>
                  </w:pPr>
                </w:p>
              </w:tc>
              <w:tc>
                <w:tcPr>
                  <w:tcW w:w="1027" w:type="dxa"/>
                  <w:vMerge w:val="continue"/>
                  <w:shd w:val="clear" w:color="auto" w:fill="auto"/>
                  <w:noWrap w:val="0"/>
                  <w:vAlign w:val="center"/>
                </w:tcPr>
                <w:p w14:paraId="646514EC">
                  <w:pPr>
                    <w:pStyle w:val="72"/>
                    <w:jc w:val="center"/>
                    <w:rPr>
                      <w:rFonts w:ascii="Times New Roman" w:hAnsi="Times New Roman" w:eastAsia="宋体"/>
                      <w:color w:val="auto"/>
                      <w:sz w:val="21"/>
                      <w:szCs w:val="21"/>
                      <w:highlight w:val="none"/>
                    </w:rPr>
                  </w:pPr>
                </w:p>
              </w:tc>
              <w:tc>
                <w:tcPr>
                  <w:tcW w:w="773" w:type="dxa"/>
                  <w:vMerge w:val="continue"/>
                  <w:shd w:val="clear" w:color="auto" w:fill="auto"/>
                  <w:noWrap w:val="0"/>
                  <w:vAlign w:val="center"/>
                </w:tcPr>
                <w:p w14:paraId="0AAB6209">
                  <w:pPr>
                    <w:pStyle w:val="72"/>
                    <w:jc w:val="center"/>
                    <w:rPr>
                      <w:rFonts w:ascii="Times New Roman" w:hAnsi="Times New Roman" w:eastAsia="宋体"/>
                      <w:color w:val="auto"/>
                      <w:sz w:val="21"/>
                      <w:szCs w:val="21"/>
                      <w:highlight w:val="none"/>
                    </w:rPr>
                  </w:pPr>
                </w:p>
              </w:tc>
              <w:tc>
                <w:tcPr>
                  <w:tcW w:w="2100" w:type="dxa"/>
                  <w:vMerge w:val="continue"/>
                  <w:shd w:val="clear" w:color="auto" w:fill="auto"/>
                  <w:noWrap w:val="0"/>
                  <w:vAlign w:val="center"/>
                </w:tcPr>
                <w:p w14:paraId="61B0DE0C">
                  <w:pPr>
                    <w:pStyle w:val="72"/>
                    <w:jc w:val="center"/>
                    <w:rPr>
                      <w:rFonts w:ascii="Times New Roman" w:hAnsi="Times New Roman" w:eastAsia="宋体"/>
                      <w:color w:val="auto"/>
                      <w:sz w:val="21"/>
                      <w:szCs w:val="21"/>
                      <w:highlight w:val="none"/>
                    </w:rPr>
                  </w:pPr>
                </w:p>
              </w:tc>
              <w:tc>
                <w:tcPr>
                  <w:tcW w:w="996" w:type="dxa"/>
                  <w:shd w:val="clear" w:color="auto" w:fill="D9D9D9"/>
                  <w:noWrap w:val="0"/>
                  <w:vAlign w:val="center"/>
                </w:tcPr>
                <w:p w14:paraId="1605B314">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标准名称</w:t>
                  </w:r>
                </w:p>
              </w:tc>
              <w:tc>
                <w:tcPr>
                  <w:tcW w:w="1185" w:type="dxa"/>
                  <w:shd w:val="clear" w:color="auto" w:fill="D9D9D9"/>
                  <w:noWrap w:val="0"/>
                  <w:vAlign w:val="center"/>
                </w:tcPr>
                <w:p w14:paraId="22D557A7">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浓度限值/mg/m³</w:t>
                  </w:r>
                </w:p>
              </w:tc>
              <w:tc>
                <w:tcPr>
                  <w:tcW w:w="925" w:type="dxa"/>
                  <w:vMerge w:val="continue"/>
                  <w:noWrap w:val="0"/>
                  <w:vAlign w:val="center"/>
                </w:tcPr>
                <w:p w14:paraId="1B7A460A">
                  <w:pPr>
                    <w:pStyle w:val="72"/>
                    <w:jc w:val="center"/>
                    <w:rPr>
                      <w:rFonts w:ascii="Times New Roman" w:hAnsi="Times New Roman" w:eastAsia="宋体"/>
                      <w:color w:val="auto"/>
                      <w:sz w:val="21"/>
                      <w:szCs w:val="21"/>
                      <w:highlight w:val="none"/>
                    </w:rPr>
                  </w:pPr>
                </w:p>
              </w:tc>
            </w:tr>
            <w:tr w14:paraId="0C90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noWrap w:val="0"/>
                  <w:vAlign w:val="center"/>
                </w:tcPr>
                <w:p w14:paraId="6E596260">
                  <w:pPr>
                    <w:pStyle w:val="72"/>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p>
              </w:tc>
              <w:tc>
                <w:tcPr>
                  <w:tcW w:w="759" w:type="dxa"/>
                  <w:noWrap w:val="0"/>
                  <w:vAlign w:val="center"/>
                </w:tcPr>
                <w:p w14:paraId="6CF866DB">
                  <w:pPr>
                    <w:pStyle w:val="72"/>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w:t>
                  </w:r>
                </w:p>
              </w:tc>
              <w:tc>
                <w:tcPr>
                  <w:tcW w:w="1027" w:type="dxa"/>
                  <w:noWrap w:val="0"/>
                  <w:vAlign w:val="center"/>
                </w:tcPr>
                <w:p w14:paraId="3D7588E2">
                  <w:pPr>
                    <w:pStyle w:val="72"/>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原料</w:t>
                  </w:r>
                  <w:r>
                    <w:rPr>
                      <w:rFonts w:hint="eastAsia" w:ascii="Times New Roman" w:hAnsi="Times New Roman"/>
                      <w:color w:val="auto"/>
                      <w:sz w:val="21"/>
                      <w:szCs w:val="21"/>
                      <w:highlight w:val="none"/>
                      <w:lang w:val="en-US" w:eastAsia="zh-CN"/>
                    </w:rPr>
                    <w:t>仓库</w:t>
                  </w:r>
                  <w:r>
                    <w:rPr>
                      <w:rFonts w:hint="eastAsia" w:ascii="Times New Roman" w:hAnsi="Times New Roman" w:eastAsia="宋体"/>
                      <w:color w:val="auto"/>
                      <w:sz w:val="21"/>
                      <w:szCs w:val="21"/>
                      <w:highlight w:val="none"/>
                      <w:lang w:val="en-US" w:eastAsia="zh-CN"/>
                    </w:rPr>
                    <w:t>、成品</w:t>
                  </w:r>
                  <w:r>
                    <w:rPr>
                      <w:rFonts w:hint="eastAsia" w:ascii="Times New Roman" w:hAnsi="Times New Roman"/>
                      <w:color w:val="auto"/>
                      <w:sz w:val="21"/>
                      <w:szCs w:val="21"/>
                      <w:highlight w:val="none"/>
                      <w:lang w:val="en-US" w:eastAsia="zh-CN"/>
                    </w:rPr>
                    <w:t>仓库</w:t>
                  </w:r>
                  <w:r>
                    <w:rPr>
                      <w:rFonts w:hint="eastAsia" w:ascii="Times New Roman" w:hAnsi="Times New Roman" w:eastAsia="宋体"/>
                      <w:color w:val="auto"/>
                      <w:sz w:val="21"/>
                      <w:szCs w:val="21"/>
                      <w:highlight w:val="none"/>
                      <w:lang w:val="en-US" w:eastAsia="zh-CN"/>
                    </w:rPr>
                    <w:t>及装卸扬尘</w:t>
                  </w:r>
                </w:p>
              </w:tc>
              <w:tc>
                <w:tcPr>
                  <w:tcW w:w="773" w:type="dxa"/>
                  <w:noWrap w:val="0"/>
                  <w:vAlign w:val="center"/>
                </w:tcPr>
                <w:p w14:paraId="29BF8AC7">
                  <w:pPr>
                    <w:pStyle w:val="72"/>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2100" w:type="dxa"/>
                  <w:vMerge w:val="restart"/>
                  <w:noWrap w:val="0"/>
                  <w:vAlign w:val="center"/>
                </w:tcPr>
                <w:p w14:paraId="435399E4">
                  <w:pPr>
                    <w:keepNext w:val="0"/>
                    <w:keepLines w:val="0"/>
                    <w:pageBreakBefore w:val="0"/>
                    <w:kinsoku/>
                    <w:wordWrap/>
                    <w:overflowPunct/>
                    <w:topLinePunct w:val="0"/>
                    <w:bidi w:val="0"/>
                    <w:adjustRightInd w:val="0"/>
                    <w:snapToGrid w:val="0"/>
                    <w:jc w:val="both"/>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①生产车间封闭厂房，原料</w:t>
                  </w:r>
                  <w:r>
                    <w:rPr>
                      <w:rFonts w:hint="default" w:ascii="Times New Roman" w:hAnsi="Times New Roman" w:eastAsia="宋体" w:cs="Times New Roman"/>
                      <w:color w:val="auto"/>
                      <w:kern w:val="0"/>
                      <w:sz w:val="21"/>
                      <w:szCs w:val="21"/>
                      <w:highlight w:val="none"/>
                      <w:lang w:val="en-US" w:eastAsia="zh-CN" w:bidi="ar"/>
                    </w:rPr>
                    <w:t>堆场、装卸区设置</w:t>
                  </w:r>
                  <w:r>
                    <w:rPr>
                      <w:rFonts w:hint="eastAsia" w:ascii="Times New Roman" w:hAnsi="Times New Roman" w:eastAsia="宋体" w:cs="Times New Roman"/>
                      <w:color w:val="auto"/>
                      <w:kern w:val="0"/>
                      <w:sz w:val="21"/>
                      <w:szCs w:val="21"/>
                      <w:highlight w:val="none"/>
                      <w:lang w:val="en-US" w:eastAsia="zh-CN" w:bidi="ar"/>
                    </w:rPr>
                    <w:t>三面围挡</w:t>
                  </w:r>
                  <w:r>
                    <w:rPr>
                      <w:rFonts w:hint="eastAsia" w:ascii="Times New Roman" w:hAnsi="Times New Roman" w:eastAsia="宋体" w:cs="Times New Roman"/>
                      <w:color w:val="auto"/>
                      <w:sz w:val="21"/>
                      <w:szCs w:val="21"/>
                      <w:highlight w:val="none"/>
                      <w:vertAlign w:val="baseline"/>
                      <w:lang w:val="en-US" w:eastAsia="zh-CN"/>
                    </w:rPr>
                    <w:t>加顶棚</w:t>
                  </w:r>
                  <w:r>
                    <w:rPr>
                      <w:rFonts w:hint="eastAsia" w:ascii="Times New Roman" w:hAnsi="Times New Roman" w:eastAsia="宋体" w:cs="Times New Roman"/>
                      <w:color w:val="auto"/>
                      <w:kern w:val="0"/>
                      <w:sz w:val="21"/>
                      <w:szCs w:val="21"/>
                      <w:highlight w:val="none"/>
                      <w:lang w:val="en-US" w:eastAsia="zh-CN" w:bidi="ar"/>
                    </w:rPr>
                    <w:t>车间内</w:t>
                  </w:r>
                  <w:r>
                    <w:rPr>
                      <w:rFonts w:hint="default" w:ascii="Times New Roman" w:hAnsi="Times New Roman" w:eastAsia="宋体" w:cs="Times New Roman"/>
                      <w:color w:val="auto"/>
                      <w:kern w:val="0"/>
                      <w:sz w:val="21"/>
                      <w:szCs w:val="21"/>
                      <w:highlight w:val="none"/>
                      <w:lang w:val="en-US" w:eastAsia="zh-CN" w:bidi="ar"/>
                    </w:rPr>
                    <w:t>，车间地面硬化处理</w:t>
                  </w:r>
                  <w:r>
                    <w:rPr>
                      <w:rFonts w:hint="eastAsia" w:ascii="Times New Roman" w:hAnsi="Times New Roman" w:eastAsia="宋体" w:cs="Times New Roman"/>
                      <w:color w:val="auto"/>
                      <w:kern w:val="0"/>
                      <w:sz w:val="21"/>
                      <w:szCs w:val="21"/>
                      <w:highlight w:val="none"/>
                      <w:lang w:val="en-US" w:eastAsia="zh-CN" w:bidi="ar"/>
                    </w:rPr>
                    <w:t>；</w:t>
                  </w:r>
                </w:p>
                <w:p w14:paraId="3E5B41AE">
                  <w:pPr>
                    <w:pStyle w:val="96"/>
                    <w:keepNext w:val="0"/>
                    <w:keepLines w:val="0"/>
                    <w:pageBreakBefore w:val="0"/>
                    <w:widowControl w:val="0"/>
                    <w:kinsoku/>
                    <w:wordWrap/>
                    <w:overflowPunct/>
                    <w:topLinePunct w:val="0"/>
                    <w:autoSpaceDE/>
                    <w:autoSpaceDN/>
                    <w:bidi w:val="0"/>
                    <w:adjustRightInd w:val="0"/>
                    <w:snapToGrid w:val="0"/>
                    <w:jc w:val="both"/>
                    <w:rPr>
                      <w:rFonts w:hint="eastAsia" w:ascii="Times New Roman" w:hAnsi="Times New Roman" w:eastAsia="宋体" w:cs="Times New Roman"/>
                      <w:color w:val="auto"/>
                      <w:kern w:val="0"/>
                      <w:sz w:val="21"/>
                      <w:highlight w:val="none"/>
                      <w:lang w:val="en-US" w:eastAsia="zh-CN"/>
                    </w:rPr>
                  </w:pPr>
                  <w:r>
                    <w:rPr>
                      <w:rFonts w:hint="eastAsia" w:ascii="Times New Roman" w:hAnsi="Times New Roman" w:eastAsia="宋体" w:cs="Times New Roman"/>
                      <w:color w:val="auto"/>
                      <w:kern w:val="0"/>
                      <w:sz w:val="21"/>
                      <w:highlight w:val="none"/>
                      <w:lang w:val="en-US" w:eastAsia="zh-CN"/>
                    </w:rPr>
                    <w:t>②堆料大棚设置洒水喷头50个，配套输水管道，定期洒水降尘；</w:t>
                  </w:r>
                </w:p>
                <w:p w14:paraId="410E829B">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color w:val="auto"/>
                      <w:lang w:val="en-US" w:eastAsia="zh-CN"/>
                    </w:rPr>
                  </w:pPr>
                  <w:r>
                    <w:rPr>
                      <w:rFonts w:hint="eastAsia"/>
                      <w:color w:val="auto"/>
                      <w:lang w:val="en-US" w:eastAsia="zh-CN"/>
                    </w:rPr>
                    <w:t>③生产线破碎机、振动筛设置集气罩，滚筒筛封闭设置。</w:t>
                  </w:r>
                </w:p>
                <w:p w14:paraId="5DB53F6E">
                  <w:pPr>
                    <w:keepNext w:val="0"/>
                    <w:keepLines w:val="0"/>
                    <w:pageBreakBefore w:val="0"/>
                    <w:kinsoku/>
                    <w:wordWrap/>
                    <w:overflowPunct/>
                    <w:topLinePunct w:val="0"/>
                    <w:bidi w:val="0"/>
                    <w:adjustRightInd w:val="0"/>
                    <w:snapToGrid w:val="0"/>
                    <w:jc w:val="both"/>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④</w:t>
                  </w:r>
                  <w:r>
                    <w:rPr>
                      <w:rFonts w:hint="default" w:ascii="Times New Roman" w:hAnsi="Times New Roman" w:eastAsia="宋体" w:cs="Times New Roman"/>
                      <w:color w:val="auto"/>
                      <w:kern w:val="0"/>
                      <w:sz w:val="21"/>
                      <w:szCs w:val="21"/>
                      <w:highlight w:val="none"/>
                      <w:lang w:val="en-US" w:eastAsia="zh-CN" w:bidi="ar"/>
                    </w:rPr>
                    <w:t>运输车辆加盖篷布及时清扫、</w:t>
                  </w:r>
                  <w:r>
                    <w:rPr>
                      <w:rFonts w:hint="eastAsia" w:ascii="Times New Roman" w:hAnsi="Times New Roman" w:eastAsia="宋体" w:cs="Times New Roman"/>
                      <w:color w:val="auto"/>
                      <w:kern w:val="0"/>
                      <w:sz w:val="21"/>
                      <w:szCs w:val="21"/>
                      <w:highlight w:val="none"/>
                      <w:lang w:val="en-US" w:eastAsia="zh-CN" w:bidi="ar"/>
                    </w:rPr>
                    <w:t>运输道路</w:t>
                  </w:r>
                  <w:r>
                    <w:rPr>
                      <w:rFonts w:hint="default" w:ascii="Times New Roman" w:hAnsi="Times New Roman" w:eastAsia="宋体" w:cs="Times New Roman"/>
                      <w:color w:val="auto"/>
                      <w:kern w:val="0"/>
                      <w:sz w:val="21"/>
                      <w:szCs w:val="21"/>
                      <w:highlight w:val="none"/>
                      <w:lang w:val="en-US" w:eastAsia="zh-CN" w:bidi="ar"/>
                    </w:rPr>
                    <w:t>定期洒水降尘</w:t>
                  </w:r>
                  <w:r>
                    <w:rPr>
                      <w:rFonts w:hint="eastAsia" w:ascii="Times New Roman" w:hAnsi="Times New Roman" w:eastAsia="宋体" w:cs="Times New Roman"/>
                      <w:color w:val="auto"/>
                      <w:kern w:val="0"/>
                      <w:sz w:val="21"/>
                      <w:szCs w:val="21"/>
                      <w:highlight w:val="none"/>
                      <w:lang w:val="en-US" w:eastAsia="zh-CN" w:bidi="ar"/>
                    </w:rPr>
                    <w:t>；</w:t>
                  </w:r>
                </w:p>
                <w:p w14:paraId="381EFA63">
                  <w:pPr>
                    <w:pStyle w:val="72"/>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⑤运输车辆进入厂区进行轮胎清洗。</w:t>
                  </w:r>
                </w:p>
              </w:tc>
              <w:tc>
                <w:tcPr>
                  <w:tcW w:w="996" w:type="dxa"/>
                  <w:vMerge w:val="restart"/>
                  <w:noWrap w:val="0"/>
                  <w:vAlign w:val="center"/>
                </w:tcPr>
                <w:p w14:paraId="54EA980E">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GB28661-2012</w:t>
                  </w:r>
                </w:p>
              </w:tc>
              <w:tc>
                <w:tcPr>
                  <w:tcW w:w="1185" w:type="dxa"/>
                  <w:vMerge w:val="restart"/>
                  <w:noWrap w:val="0"/>
                  <w:vAlign w:val="center"/>
                </w:tcPr>
                <w:p w14:paraId="12AC30B7">
                  <w:pPr>
                    <w:pStyle w:val="72"/>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r>
                    <w:rPr>
                      <w:rFonts w:ascii="Times New Roman" w:hAnsi="Times New Roman" w:eastAsia="宋体"/>
                      <w:color w:val="auto"/>
                      <w:sz w:val="21"/>
                      <w:szCs w:val="21"/>
                      <w:highlight w:val="none"/>
                    </w:rPr>
                    <w:t>.0</w:t>
                  </w:r>
                </w:p>
              </w:tc>
              <w:tc>
                <w:tcPr>
                  <w:tcW w:w="925" w:type="dxa"/>
                  <w:noWrap w:val="0"/>
                  <w:vAlign w:val="center"/>
                </w:tcPr>
                <w:p w14:paraId="76350F7E">
                  <w:pPr>
                    <w:pStyle w:val="72"/>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18.2141</w:t>
                  </w:r>
                </w:p>
              </w:tc>
            </w:tr>
            <w:tr w14:paraId="2D23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noWrap w:val="0"/>
                  <w:vAlign w:val="center"/>
                </w:tcPr>
                <w:p w14:paraId="4B03B422">
                  <w:pPr>
                    <w:pStyle w:val="72"/>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w:t>
                  </w:r>
                </w:p>
              </w:tc>
              <w:tc>
                <w:tcPr>
                  <w:tcW w:w="759" w:type="dxa"/>
                  <w:noWrap w:val="0"/>
                  <w:vAlign w:val="center"/>
                </w:tcPr>
                <w:p w14:paraId="08278279">
                  <w:pPr>
                    <w:pStyle w:val="72"/>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w:t>
                  </w:r>
                </w:p>
              </w:tc>
              <w:tc>
                <w:tcPr>
                  <w:tcW w:w="1027" w:type="dxa"/>
                  <w:noWrap w:val="0"/>
                  <w:vAlign w:val="center"/>
                </w:tcPr>
                <w:p w14:paraId="0F398922">
                  <w:pPr>
                    <w:pStyle w:val="72"/>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生产车间</w:t>
                  </w:r>
                </w:p>
              </w:tc>
              <w:tc>
                <w:tcPr>
                  <w:tcW w:w="773" w:type="dxa"/>
                  <w:noWrap w:val="0"/>
                  <w:vAlign w:val="center"/>
                </w:tcPr>
                <w:p w14:paraId="6643B462">
                  <w:pPr>
                    <w:pStyle w:val="72"/>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2100" w:type="dxa"/>
                  <w:vMerge w:val="continue"/>
                  <w:noWrap w:val="0"/>
                  <w:vAlign w:val="center"/>
                </w:tcPr>
                <w:p w14:paraId="732F8F25">
                  <w:pPr>
                    <w:pStyle w:val="72"/>
                    <w:jc w:val="center"/>
                    <w:rPr>
                      <w:rFonts w:hint="default" w:ascii="Times New Roman" w:hAnsi="Times New Roman" w:eastAsia="宋体"/>
                      <w:color w:val="auto"/>
                      <w:sz w:val="21"/>
                      <w:szCs w:val="21"/>
                      <w:highlight w:val="none"/>
                      <w:lang w:val="en-US" w:eastAsia="zh-CN"/>
                    </w:rPr>
                  </w:pPr>
                </w:p>
              </w:tc>
              <w:tc>
                <w:tcPr>
                  <w:tcW w:w="996" w:type="dxa"/>
                  <w:vMerge w:val="continue"/>
                  <w:noWrap w:val="0"/>
                  <w:vAlign w:val="center"/>
                </w:tcPr>
                <w:p w14:paraId="23C3D415">
                  <w:pPr>
                    <w:pStyle w:val="72"/>
                    <w:jc w:val="center"/>
                    <w:rPr>
                      <w:rFonts w:ascii="Times New Roman" w:hAnsi="Times New Roman" w:eastAsia="宋体"/>
                      <w:color w:val="auto"/>
                      <w:sz w:val="21"/>
                      <w:szCs w:val="21"/>
                      <w:highlight w:val="none"/>
                    </w:rPr>
                  </w:pPr>
                </w:p>
              </w:tc>
              <w:tc>
                <w:tcPr>
                  <w:tcW w:w="1185" w:type="dxa"/>
                  <w:vMerge w:val="continue"/>
                  <w:noWrap w:val="0"/>
                  <w:vAlign w:val="center"/>
                </w:tcPr>
                <w:p w14:paraId="7EFDD716">
                  <w:pPr>
                    <w:pStyle w:val="72"/>
                    <w:jc w:val="center"/>
                    <w:rPr>
                      <w:rFonts w:hint="eastAsia" w:ascii="Times New Roman" w:hAnsi="Times New Roman" w:eastAsia="宋体"/>
                      <w:color w:val="auto"/>
                      <w:sz w:val="21"/>
                      <w:szCs w:val="21"/>
                      <w:highlight w:val="none"/>
                    </w:rPr>
                  </w:pPr>
                </w:p>
              </w:tc>
              <w:tc>
                <w:tcPr>
                  <w:tcW w:w="925" w:type="dxa"/>
                  <w:noWrap w:val="0"/>
                  <w:vAlign w:val="center"/>
                </w:tcPr>
                <w:p w14:paraId="22F793A9">
                  <w:pPr>
                    <w:pStyle w:val="72"/>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19.84</w:t>
                  </w:r>
                </w:p>
              </w:tc>
            </w:tr>
            <w:tr w14:paraId="0658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4" w:type="dxa"/>
                  <w:gridSpan w:val="8"/>
                  <w:noWrap w:val="0"/>
                  <w:vAlign w:val="center"/>
                </w:tcPr>
                <w:p w14:paraId="4630E327">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无组织排放总计</w:t>
                  </w:r>
                </w:p>
              </w:tc>
            </w:tr>
            <w:tr w14:paraId="2ACA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8" w:type="dxa"/>
                  <w:gridSpan w:val="4"/>
                  <w:noWrap w:val="0"/>
                  <w:vAlign w:val="center"/>
                </w:tcPr>
                <w:p w14:paraId="61708082">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无组织排放总计</w:t>
                  </w:r>
                </w:p>
              </w:tc>
              <w:tc>
                <w:tcPr>
                  <w:tcW w:w="3096" w:type="dxa"/>
                  <w:gridSpan w:val="2"/>
                  <w:noWrap w:val="0"/>
                  <w:vAlign w:val="center"/>
                </w:tcPr>
                <w:p w14:paraId="0C3E4EDD">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颗粒物</w:t>
                  </w:r>
                </w:p>
              </w:tc>
              <w:tc>
                <w:tcPr>
                  <w:tcW w:w="2110" w:type="dxa"/>
                  <w:gridSpan w:val="2"/>
                  <w:noWrap w:val="0"/>
                  <w:vAlign w:val="center"/>
                </w:tcPr>
                <w:p w14:paraId="41EB0486">
                  <w:pPr>
                    <w:pStyle w:val="72"/>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38.0541</w:t>
                  </w:r>
                </w:p>
              </w:tc>
            </w:tr>
          </w:tbl>
          <w:p w14:paraId="4E79E5F9">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jc w:val="center"/>
              <w:textAlignment w:val="baseline"/>
              <w:rPr>
                <w:rFonts w:hint="eastAsia" w:ascii="Times New Roman" w:hAnsi="Times New Roman" w:eastAsia="宋体" w:cs="Times New Roman"/>
                <w:b/>
                <w:color w:val="auto"/>
                <w:kern w:val="24"/>
                <w:sz w:val="24"/>
                <w:szCs w:val="24"/>
                <w:highlight w:val="none"/>
                <w:lang w:val="en-TT"/>
              </w:rPr>
            </w:pPr>
            <w:r>
              <w:rPr>
                <w:rFonts w:hint="eastAsia" w:ascii="Times New Roman" w:hAnsi="Times New Roman" w:eastAsia="宋体" w:cs="Times New Roman"/>
                <w:b/>
                <w:color w:val="auto"/>
                <w:kern w:val="24"/>
                <w:sz w:val="24"/>
                <w:szCs w:val="24"/>
                <w:highlight w:val="none"/>
                <w:lang w:val="en-TT"/>
              </w:rPr>
              <w:t>表4.2.1-</w:t>
            </w:r>
            <w:r>
              <w:rPr>
                <w:rFonts w:hint="eastAsia" w:ascii="Times New Roman" w:hAnsi="Times New Roman" w:eastAsia="宋体" w:cs="Times New Roman"/>
                <w:b/>
                <w:color w:val="auto"/>
                <w:kern w:val="24"/>
                <w:sz w:val="24"/>
                <w:szCs w:val="24"/>
                <w:highlight w:val="none"/>
                <w:lang w:val="en-US" w:eastAsia="zh-CN"/>
              </w:rPr>
              <w:t xml:space="preserve">4   </w:t>
            </w:r>
            <w:r>
              <w:rPr>
                <w:rFonts w:hint="eastAsia" w:ascii="Times New Roman" w:hAnsi="Times New Roman" w:eastAsia="宋体" w:cs="Times New Roman"/>
                <w:b/>
                <w:color w:val="auto"/>
                <w:kern w:val="24"/>
                <w:sz w:val="24"/>
                <w:szCs w:val="24"/>
                <w:highlight w:val="none"/>
                <w:lang w:val="en-TT"/>
              </w:rPr>
              <w:t>项目大气污染物年排放量核算表</w:t>
            </w:r>
          </w:p>
          <w:tbl>
            <w:tblPr>
              <w:tblStyle w:val="35"/>
              <w:tblW w:w="4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55"/>
              <w:gridCol w:w="2412"/>
            </w:tblGrid>
            <w:tr w14:paraId="79CE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851" w:type="dxa"/>
                  <w:shd w:val="clear" w:color="auto" w:fill="D9D9D9"/>
                  <w:noWrap w:val="0"/>
                  <w:vAlign w:val="center"/>
                </w:tcPr>
                <w:p w14:paraId="1BB7207D">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1655" w:type="dxa"/>
                  <w:shd w:val="clear" w:color="auto" w:fill="D9D9D9"/>
                  <w:noWrap w:val="0"/>
                  <w:vAlign w:val="center"/>
                </w:tcPr>
                <w:p w14:paraId="412CCC71">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污染物</w:t>
                  </w:r>
                </w:p>
              </w:tc>
              <w:tc>
                <w:tcPr>
                  <w:tcW w:w="2412" w:type="dxa"/>
                  <w:shd w:val="clear" w:color="auto" w:fill="D9D9D9"/>
                  <w:noWrap w:val="0"/>
                  <w:vAlign w:val="center"/>
                </w:tcPr>
                <w:p w14:paraId="60BBC635">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年排放量（t</w:t>
                  </w:r>
                  <w:r>
                    <w:rPr>
                      <w:rFonts w:ascii="Times New Roman" w:hAnsi="Times New Roman" w:eastAsia="宋体"/>
                      <w:color w:val="auto"/>
                      <w:sz w:val="21"/>
                      <w:szCs w:val="21"/>
                      <w:highlight w:val="none"/>
                    </w:rPr>
                    <w:t>/a</w:t>
                  </w:r>
                  <w:r>
                    <w:rPr>
                      <w:rFonts w:hint="eastAsia" w:ascii="Times New Roman" w:hAnsi="Times New Roman" w:eastAsia="宋体"/>
                      <w:color w:val="auto"/>
                      <w:sz w:val="21"/>
                      <w:szCs w:val="21"/>
                      <w:highlight w:val="none"/>
                    </w:rPr>
                    <w:t>）</w:t>
                  </w:r>
                </w:p>
              </w:tc>
            </w:tr>
            <w:tr w14:paraId="244B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14:paraId="1ACE58CD">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c>
                <w:tcPr>
                  <w:tcW w:w="1655" w:type="dxa"/>
                  <w:noWrap w:val="0"/>
                  <w:vAlign w:val="top"/>
                </w:tcPr>
                <w:p w14:paraId="2A9BA39F">
                  <w:pPr>
                    <w:pStyle w:val="72"/>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颗粒物</w:t>
                  </w:r>
                </w:p>
              </w:tc>
              <w:tc>
                <w:tcPr>
                  <w:tcW w:w="2412" w:type="dxa"/>
                  <w:noWrap w:val="0"/>
                  <w:vAlign w:val="center"/>
                </w:tcPr>
                <w:p w14:paraId="6423699F">
                  <w:pPr>
                    <w:pStyle w:val="72"/>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46.9821</w:t>
                  </w:r>
                </w:p>
              </w:tc>
            </w:tr>
          </w:tbl>
          <w:p w14:paraId="2E9B008C">
            <w:pPr>
              <w:pStyle w:val="70"/>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（2）</w:t>
            </w:r>
            <w:r>
              <w:rPr>
                <w:rFonts w:hint="eastAsia" w:ascii="Times New Roman" w:hAnsi="Times New Roman" w:eastAsia="宋体" w:cs="宋体"/>
                <w:color w:val="auto"/>
                <w:highlight w:val="none"/>
              </w:rPr>
              <w:t>废气排放口基本情况</w:t>
            </w:r>
          </w:p>
          <w:p w14:paraId="0E100F5F">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本项目共设置</w:t>
            </w:r>
            <w:r>
              <w:rPr>
                <w:rFonts w:hint="eastAsia" w:ascii="Times New Roman" w:hAnsi="Times New Roman" w:cs="Times New Roman" w:eastAsiaTheme="minorEastAsia"/>
                <w:color w:val="auto"/>
                <w:sz w:val="24"/>
                <w:highlight w:val="none"/>
                <w:lang w:val="en-US" w:eastAsia="zh-CN"/>
              </w:rPr>
              <w:t>3</w:t>
            </w:r>
            <w:r>
              <w:rPr>
                <w:rFonts w:hint="default" w:ascii="Times New Roman" w:hAnsi="Times New Roman" w:cs="Times New Roman" w:eastAsiaTheme="minorEastAsia"/>
                <w:color w:val="auto"/>
                <w:sz w:val="24"/>
                <w:highlight w:val="none"/>
                <w:lang w:val="en-US" w:eastAsia="zh-CN"/>
              </w:rPr>
              <w:t>个有组织排放口，</w:t>
            </w:r>
            <w:r>
              <w:rPr>
                <w:rFonts w:hint="default" w:ascii="Times New Roman" w:hAnsi="Times New Roman" w:eastAsia="宋体" w:cs="Times New Roman"/>
                <w:color w:val="auto"/>
                <w:sz w:val="24"/>
                <w:szCs w:val="24"/>
                <w:highlight w:val="none"/>
                <w:lang w:val="en-US" w:eastAsia="zh-CN"/>
              </w:rPr>
              <w:t>项目无对应行业的排污许可证申请与核发技术规范，</w:t>
            </w:r>
            <w:r>
              <w:rPr>
                <w:rFonts w:hint="eastAsia" w:ascii="Times New Roman" w:hAnsi="Times New Roman"/>
                <w:bCs/>
                <w:color w:val="auto"/>
                <w:sz w:val="24"/>
                <w:highlight w:val="none"/>
                <w:lang w:val="en-US" w:eastAsia="zh-CN"/>
              </w:rPr>
              <w:t>参照执行</w:t>
            </w:r>
            <w:r>
              <w:rPr>
                <w:rFonts w:hint="default" w:ascii="Times New Roman" w:hAnsi="Times New Roman" w:eastAsia="宋体" w:cs="Times New Roman"/>
                <w:color w:val="auto"/>
                <w:kern w:val="2"/>
                <w:sz w:val="24"/>
                <w:szCs w:val="24"/>
                <w:highlight w:val="none"/>
                <w:lang w:val="en-US" w:eastAsia="zh-CN" w:bidi="ar-SA"/>
              </w:rPr>
              <w:t>《排污许可证申请与核发技术规范</w:t>
            </w:r>
            <w:r>
              <w:rPr>
                <w:rFonts w:hint="eastAsia" w:ascii="Times New Roman" w:hAnsi="Times New Roman" w:eastAsia="宋体" w:cs="Times New Roman"/>
                <w:color w:val="auto"/>
                <w:kern w:val="2"/>
                <w:sz w:val="24"/>
                <w:szCs w:val="24"/>
                <w:highlight w:val="none"/>
                <w:lang w:val="en-US" w:eastAsia="zh-CN" w:bidi="ar-SA"/>
              </w:rPr>
              <w:t xml:space="preserve"> 钢铁工业</w:t>
            </w:r>
            <w:r>
              <w:rPr>
                <w:rFonts w:hint="default" w:ascii="Times New Roman" w:hAnsi="Times New Roman" w:eastAsia="宋体" w:cs="Times New Roman"/>
                <w:color w:val="auto"/>
                <w:kern w:val="2"/>
                <w:sz w:val="24"/>
                <w:szCs w:val="24"/>
                <w:highlight w:val="none"/>
                <w:lang w:val="en-US" w:eastAsia="zh-CN" w:bidi="ar-SA"/>
              </w:rPr>
              <w:t>》（H</w:t>
            </w:r>
            <w:r>
              <w:rPr>
                <w:rFonts w:hint="eastAsia" w:ascii="Times New Roman" w:hAnsi="Times New Roman" w:eastAsia="宋体" w:cs="Times New Roman"/>
                <w:color w:val="auto"/>
                <w:kern w:val="2"/>
                <w:sz w:val="24"/>
                <w:szCs w:val="24"/>
                <w:highlight w:val="none"/>
                <w:lang w:val="en-US" w:eastAsia="zh-CN" w:bidi="ar-SA"/>
              </w:rPr>
              <w:t>J846-2017</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中原料系统管理要求</w:t>
            </w:r>
            <w:r>
              <w:rPr>
                <w:rFonts w:hint="default" w:ascii="Times New Roman" w:hAnsi="Times New Roman" w:cs="Times New Roman"/>
                <w:bCs/>
                <w:color w:val="auto"/>
                <w:sz w:val="24"/>
                <w:highlight w:val="none"/>
                <w:lang w:eastAsia="zh-CN"/>
              </w:rPr>
              <w:t>，本项目废气排放口为一般排放口，</w:t>
            </w:r>
            <w:r>
              <w:rPr>
                <w:rFonts w:ascii="Times New Roman" w:hAnsi="Times New Roman"/>
                <w:color w:val="auto"/>
                <w:kern w:val="0"/>
                <w:sz w:val="24"/>
                <w:highlight w:val="none"/>
                <w:lang w:bidi="ar"/>
              </w:rPr>
              <w:t>废气排放口基本情况见下表所示</w:t>
            </w:r>
            <w:r>
              <w:rPr>
                <w:rFonts w:hint="default" w:ascii="Times New Roman" w:hAnsi="Times New Roman" w:cs="Times New Roman" w:eastAsiaTheme="minorEastAsia"/>
                <w:color w:val="auto"/>
                <w:sz w:val="24"/>
                <w:highlight w:val="none"/>
                <w:lang w:val="en-US" w:eastAsia="zh-CN"/>
              </w:rPr>
              <w:t>。</w:t>
            </w:r>
          </w:p>
          <w:p w14:paraId="6DDCF56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TT"/>
              </w:rPr>
            </w:pPr>
            <w:r>
              <w:rPr>
                <w:rFonts w:hint="eastAsia" w:ascii="Times New Roman" w:hAnsi="Times New Roman" w:eastAsia="宋体" w:cs="Times New Roman"/>
                <w:b/>
                <w:color w:val="auto"/>
                <w:kern w:val="24"/>
                <w:sz w:val="24"/>
                <w:szCs w:val="24"/>
                <w:highlight w:val="none"/>
                <w:lang w:val="en-TT"/>
              </w:rPr>
              <w:t>表4.2.1-</w:t>
            </w:r>
            <w:r>
              <w:rPr>
                <w:rFonts w:hint="eastAsia" w:ascii="Times New Roman" w:hAnsi="Times New Roman" w:eastAsia="宋体" w:cs="Times New Roman"/>
                <w:b/>
                <w:color w:val="auto"/>
                <w:kern w:val="24"/>
                <w:sz w:val="24"/>
                <w:szCs w:val="24"/>
                <w:highlight w:val="none"/>
                <w:lang w:val="en-US" w:eastAsia="zh-CN"/>
              </w:rPr>
              <w:t xml:space="preserve">5 </w:t>
            </w:r>
            <w:r>
              <w:rPr>
                <w:rFonts w:hint="eastAsia" w:ascii="Times New Roman" w:hAnsi="Times New Roman" w:eastAsia="宋体" w:cs="Times New Roman"/>
                <w:b/>
                <w:color w:val="auto"/>
                <w:kern w:val="24"/>
                <w:sz w:val="24"/>
                <w:szCs w:val="24"/>
                <w:highlight w:val="none"/>
                <w:lang w:val="en-TT"/>
              </w:rPr>
              <w:t>排放口基本情况一览表</w:t>
            </w:r>
          </w:p>
          <w:tbl>
            <w:tblPr>
              <w:tblStyle w:val="3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393"/>
              <w:gridCol w:w="1568"/>
              <w:gridCol w:w="1009"/>
              <w:gridCol w:w="777"/>
              <w:gridCol w:w="2124"/>
            </w:tblGrid>
            <w:tr w14:paraId="0438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shd w:val="clear" w:color="auto" w:fill="D9D9D9"/>
                  <w:noWrap w:val="0"/>
                  <w:vAlign w:val="top"/>
                </w:tcPr>
                <w:p w14:paraId="6801E3E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highlight w:val="none"/>
                      <w:lang w:val="zh-CN"/>
                    </w:rPr>
                  </w:pPr>
                  <w:r>
                    <w:rPr>
                      <w:rFonts w:ascii="Times New Roman" w:hAnsi="Times New Roman" w:eastAsia="宋体" w:cs="宋体"/>
                      <w:snapToGrid w:val="0"/>
                      <w:color w:val="auto"/>
                      <w:kern w:val="0"/>
                      <w:sz w:val="21"/>
                      <w:szCs w:val="21"/>
                      <w:highlight w:val="none"/>
                      <w:lang w:val="zh-CN"/>
                    </w:rPr>
                    <w:t>编号及名称</w:t>
                  </w:r>
                </w:p>
              </w:tc>
              <w:tc>
                <w:tcPr>
                  <w:tcW w:w="1393" w:type="dxa"/>
                  <w:shd w:val="clear" w:color="auto" w:fill="D9D9D9"/>
                  <w:noWrap w:val="0"/>
                  <w:vAlign w:val="top"/>
                </w:tcPr>
                <w:p w14:paraId="1AB02B1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highlight w:val="none"/>
                      <w:lang w:val="zh-CN"/>
                    </w:rPr>
                  </w:pPr>
                  <w:r>
                    <w:rPr>
                      <w:rFonts w:ascii="Times New Roman" w:hAnsi="Times New Roman" w:eastAsia="宋体" w:cs="宋体"/>
                      <w:snapToGrid w:val="0"/>
                      <w:color w:val="auto"/>
                      <w:kern w:val="0"/>
                      <w:sz w:val="21"/>
                      <w:szCs w:val="21"/>
                      <w:highlight w:val="none"/>
                      <w:lang w:val="zh-CN"/>
                    </w:rPr>
                    <w:t>排放高度/m</w:t>
                  </w:r>
                </w:p>
              </w:tc>
              <w:tc>
                <w:tcPr>
                  <w:tcW w:w="1568" w:type="dxa"/>
                  <w:shd w:val="clear" w:color="auto" w:fill="D9D9D9"/>
                  <w:noWrap w:val="0"/>
                  <w:vAlign w:val="top"/>
                </w:tcPr>
                <w:p w14:paraId="69C64947">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highlight w:val="none"/>
                      <w:lang w:val="zh-CN"/>
                    </w:rPr>
                  </w:pPr>
                  <w:r>
                    <w:rPr>
                      <w:rFonts w:ascii="Times New Roman" w:hAnsi="Times New Roman" w:eastAsia="宋体" w:cs="宋体"/>
                      <w:snapToGrid w:val="0"/>
                      <w:color w:val="auto"/>
                      <w:kern w:val="0"/>
                      <w:sz w:val="21"/>
                      <w:szCs w:val="21"/>
                      <w:highlight w:val="none"/>
                      <w:lang w:val="zh-CN"/>
                    </w:rPr>
                    <w:t>排气筒内径/m</w:t>
                  </w:r>
                </w:p>
              </w:tc>
              <w:tc>
                <w:tcPr>
                  <w:tcW w:w="1009" w:type="dxa"/>
                  <w:shd w:val="clear" w:color="auto" w:fill="D9D9D9"/>
                  <w:noWrap w:val="0"/>
                  <w:vAlign w:val="top"/>
                </w:tcPr>
                <w:p w14:paraId="35F8247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highlight w:val="none"/>
                      <w:lang w:val="zh-CN"/>
                    </w:rPr>
                  </w:pPr>
                  <w:r>
                    <w:rPr>
                      <w:rFonts w:ascii="Times New Roman" w:hAnsi="Times New Roman" w:eastAsia="宋体" w:cs="宋体"/>
                      <w:snapToGrid w:val="0"/>
                      <w:color w:val="auto"/>
                      <w:kern w:val="0"/>
                      <w:sz w:val="21"/>
                      <w:szCs w:val="21"/>
                      <w:highlight w:val="none"/>
                      <w:lang w:val="zh-CN"/>
                    </w:rPr>
                    <w:t>温度/℃</w:t>
                  </w:r>
                </w:p>
              </w:tc>
              <w:tc>
                <w:tcPr>
                  <w:tcW w:w="777" w:type="dxa"/>
                  <w:shd w:val="clear" w:color="auto" w:fill="D9D9D9"/>
                  <w:noWrap w:val="0"/>
                  <w:vAlign w:val="top"/>
                </w:tcPr>
                <w:p w14:paraId="0592FA5D">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highlight w:val="none"/>
                      <w:lang w:val="zh-CN"/>
                    </w:rPr>
                  </w:pPr>
                  <w:r>
                    <w:rPr>
                      <w:rFonts w:ascii="Times New Roman" w:hAnsi="Times New Roman" w:eastAsia="宋体" w:cs="宋体"/>
                      <w:snapToGrid w:val="0"/>
                      <w:color w:val="auto"/>
                      <w:kern w:val="0"/>
                      <w:sz w:val="21"/>
                      <w:szCs w:val="21"/>
                      <w:highlight w:val="none"/>
                      <w:lang w:val="zh-CN"/>
                    </w:rPr>
                    <w:t>类型</w:t>
                  </w:r>
                </w:p>
              </w:tc>
              <w:tc>
                <w:tcPr>
                  <w:tcW w:w="2124" w:type="dxa"/>
                  <w:shd w:val="clear" w:color="auto" w:fill="D9D9D9"/>
                  <w:noWrap w:val="0"/>
                  <w:vAlign w:val="top"/>
                </w:tcPr>
                <w:p w14:paraId="4649A56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highlight w:val="none"/>
                      <w:lang w:val="zh-CN"/>
                    </w:rPr>
                  </w:pPr>
                  <w:r>
                    <w:rPr>
                      <w:rFonts w:ascii="Times New Roman" w:hAnsi="Times New Roman" w:eastAsia="宋体" w:cs="宋体"/>
                      <w:snapToGrid w:val="0"/>
                      <w:color w:val="auto"/>
                      <w:kern w:val="0"/>
                      <w:sz w:val="21"/>
                      <w:szCs w:val="21"/>
                      <w:highlight w:val="none"/>
                      <w:lang w:val="zh-CN"/>
                    </w:rPr>
                    <w:t>地理坐标</w:t>
                  </w:r>
                </w:p>
              </w:tc>
            </w:tr>
            <w:tr w14:paraId="1FD8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noWrap w:val="0"/>
                  <w:vAlign w:val="center"/>
                </w:tcPr>
                <w:p w14:paraId="12975A33">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highlight w:val="none"/>
                      <w:lang w:val="zh-CN"/>
                    </w:rPr>
                  </w:pPr>
                  <w:r>
                    <w:rPr>
                      <w:rFonts w:hint="eastAsia" w:ascii="Times New Roman" w:hAnsi="Times New Roman" w:eastAsia="宋体" w:cs="宋体"/>
                      <w:snapToGrid w:val="0"/>
                      <w:color w:val="auto"/>
                      <w:kern w:val="0"/>
                      <w:sz w:val="21"/>
                      <w:szCs w:val="21"/>
                      <w:highlight w:val="none"/>
                      <w:lang w:val="zh-CN"/>
                    </w:rPr>
                    <w:t>DA00</w:t>
                  </w:r>
                  <w:r>
                    <w:rPr>
                      <w:rFonts w:hint="eastAsia" w:ascii="Times New Roman" w:hAnsi="Times New Roman" w:cs="宋体"/>
                      <w:snapToGrid w:val="0"/>
                      <w:color w:val="auto"/>
                      <w:kern w:val="0"/>
                      <w:sz w:val="21"/>
                      <w:szCs w:val="21"/>
                      <w:highlight w:val="none"/>
                      <w:lang w:val="en-US" w:eastAsia="zh-CN"/>
                    </w:rPr>
                    <w:t>1</w:t>
                  </w:r>
                </w:p>
              </w:tc>
              <w:tc>
                <w:tcPr>
                  <w:tcW w:w="1393" w:type="dxa"/>
                  <w:noWrap w:val="0"/>
                  <w:vAlign w:val="center"/>
                </w:tcPr>
                <w:p w14:paraId="06B2D161">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highlight w:val="none"/>
                      <w:lang w:val="zh-CN" w:eastAsia="zh-CN"/>
                    </w:rPr>
                  </w:pPr>
                  <w:r>
                    <w:rPr>
                      <w:rFonts w:ascii="Times New Roman" w:hAnsi="Times New Roman" w:eastAsia="宋体" w:cs="宋体"/>
                      <w:snapToGrid w:val="0"/>
                      <w:color w:val="auto"/>
                      <w:kern w:val="0"/>
                      <w:sz w:val="21"/>
                      <w:szCs w:val="21"/>
                      <w:highlight w:val="none"/>
                      <w:lang w:val="zh-CN"/>
                    </w:rPr>
                    <w:t>1</w:t>
                  </w:r>
                  <w:r>
                    <w:rPr>
                      <w:rFonts w:hint="eastAsia" w:cs="宋体"/>
                      <w:snapToGrid w:val="0"/>
                      <w:color w:val="auto"/>
                      <w:kern w:val="0"/>
                      <w:sz w:val="21"/>
                      <w:szCs w:val="21"/>
                      <w:highlight w:val="none"/>
                      <w:lang w:val="en-US" w:eastAsia="zh-CN"/>
                    </w:rPr>
                    <w:t>6</w:t>
                  </w:r>
                </w:p>
              </w:tc>
              <w:tc>
                <w:tcPr>
                  <w:tcW w:w="1568" w:type="dxa"/>
                  <w:noWrap w:val="0"/>
                  <w:vAlign w:val="center"/>
                </w:tcPr>
                <w:p w14:paraId="6426E01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highlight w:val="none"/>
                      <w:lang w:val="en-US" w:eastAsia="zh-CN"/>
                    </w:rPr>
                  </w:pPr>
                  <w:r>
                    <w:rPr>
                      <w:rFonts w:hint="eastAsia" w:ascii="Times New Roman" w:hAnsi="Times New Roman" w:cs="宋体"/>
                      <w:snapToGrid w:val="0"/>
                      <w:color w:val="auto"/>
                      <w:kern w:val="0"/>
                      <w:sz w:val="21"/>
                      <w:szCs w:val="21"/>
                      <w:highlight w:val="none"/>
                      <w:lang w:val="en-US" w:eastAsia="zh-CN"/>
                    </w:rPr>
                    <w:t>1.35</w:t>
                  </w:r>
                </w:p>
              </w:tc>
              <w:tc>
                <w:tcPr>
                  <w:tcW w:w="1009" w:type="dxa"/>
                  <w:noWrap w:val="0"/>
                  <w:vAlign w:val="center"/>
                </w:tcPr>
                <w:p w14:paraId="541CB374">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highlight w:val="none"/>
                      <w:lang w:val="en-US" w:eastAsia="zh-CN"/>
                    </w:rPr>
                  </w:pPr>
                  <w:r>
                    <w:rPr>
                      <w:rFonts w:hint="eastAsia" w:ascii="Times New Roman" w:hAnsi="Times New Roman" w:cs="宋体"/>
                      <w:snapToGrid w:val="0"/>
                      <w:color w:val="auto"/>
                      <w:kern w:val="0"/>
                      <w:sz w:val="21"/>
                      <w:szCs w:val="21"/>
                      <w:highlight w:val="none"/>
                      <w:lang w:val="en-US" w:eastAsia="zh-CN"/>
                    </w:rPr>
                    <w:t>25</w:t>
                  </w:r>
                </w:p>
              </w:tc>
              <w:tc>
                <w:tcPr>
                  <w:tcW w:w="777" w:type="dxa"/>
                  <w:vMerge w:val="restart"/>
                  <w:noWrap w:val="0"/>
                  <w:vAlign w:val="center"/>
                </w:tcPr>
                <w:p w14:paraId="495888A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highlight w:val="none"/>
                      <w:lang w:val="zh-CN"/>
                    </w:rPr>
                  </w:pPr>
                  <w:r>
                    <w:rPr>
                      <w:rFonts w:hint="eastAsia" w:ascii="Times New Roman" w:hAnsi="Times New Roman" w:eastAsia="宋体" w:cs="宋体"/>
                      <w:snapToGrid w:val="0"/>
                      <w:color w:val="auto"/>
                      <w:kern w:val="0"/>
                      <w:sz w:val="21"/>
                      <w:szCs w:val="21"/>
                      <w:highlight w:val="none"/>
                      <w:lang w:val="en-US" w:eastAsia="zh-CN"/>
                    </w:rPr>
                    <w:t>一般</w:t>
                  </w:r>
                  <w:r>
                    <w:rPr>
                      <w:rFonts w:hint="eastAsia" w:ascii="Times New Roman" w:hAnsi="Times New Roman" w:eastAsia="宋体" w:cs="宋体"/>
                      <w:snapToGrid w:val="0"/>
                      <w:color w:val="auto"/>
                      <w:kern w:val="0"/>
                      <w:sz w:val="21"/>
                      <w:szCs w:val="21"/>
                      <w:highlight w:val="none"/>
                      <w:lang w:val="zh-CN"/>
                    </w:rPr>
                    <w:t>排放口</w:t>
                  </w:r>
                </w:p>
              </w:tc>
              <w:tc>
                <w:tcPr>
                  <w:tcW w:w="2124" w:type="dxa"/>
                  <w:noWrap w:val="0"/>
                  <w:vAlign w:val="center"/>
                </w:tcPr>
                <w:p w14:paraId="40CD17D3">
                  <w:pPr>
                    <w:widowControl/>
                    <w:tabs>
                      <w:tab w:val="left" w:pos="-2400"/>
                      <w:tab w:val="left" w:pos="1320"/>
                      <w:tab w:val="left" w:pos="3878"/>
                      <w:tab w:val="left" w:pos="6080"/>
                      <w:tab w:val="left" w:pos="6580"/>
                      <w:tab w:val="left" w:pos="8137"/>
                    </w:tabs>
                    <w:adjustRightInd w:val="0"/>
                    <w:snapToGrid w:val="0"/>
                    <w:textAlignment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东经102°31′30.61″</w:t>
                  </w:r>
                </w:p>
                <w:p w14:paraId="21AD5B04">
                  <w:pPr>
                    <w:widowControl/>
                    <w:tabs>
                      <w:tab w:val="left" w:pos="-2400"/>
                      <w:tab w:val="left" w:pos="1320"/>
                      <w:tab w:val="left" w:pos="3878"/>
                      <w:tab w:val="left" w:pos="6080"/>
                      <w:tab w:val="left" w:pos="6580"/>
                      <w:tab w:val="left" w:pos="8137"/>
                    </w:tabs>
                    <w:adjustRightInd w:val="0"/>
                    <w:snapToGrid w:val="0"/>
                    <w:textAlignment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cs="Times New Roman"/>
                      <w:snapToGrid w:val="0"/>
                      <w:color w:val="auto"/>
                      <w:kern w:val="0"/>
                      <w:sz w:val="21"/>
                      <w:szCs w:val="21"/>
                      <w:highlight w:val="none"/>
                      <w:lang w:val="en-US" w:eastAsia="zh-CN"/>
                    </w:rPr>
                    <w:t>北纬24°14′14.06″</w:t>
                  </w:r>
                </w:p>
              </w:tc>
            </w:tr>
            <w:tr w14:paraId="60E7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noWrap w:val="0"/>
                  <w:vAlign w:val="center"/>
                </w:tcPr>
                <w:p w14:paraId="4EF08F4D">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highlight w:val="none"/>
                      <w:lang w:val="en-US" w:eastAsia="zh-CN"/>
                    </w:rPr>
                  </w:pPr>
                  <w:r>
                    <w:rPr>
                      <w:rFonts w:hint="eastAsia" w:ascii="Times New Roman" w:hAnsi="Times New Roman" w:cs="宋体"/>
                      <w:snapToGrid w:val="0"/>
                      <w:color w:val="auto"/>
                      <w:kern w:val="0"/>
                      <w:sz w:val="21"/>
                      <w:szCs w:val="21"/>
                      <w:highlight w:val="none"/>
                      <w:lang w:val="en-US" w:eastAsia="zh-CN"/>
                    </w:rPr>
                    <w:t>DA002</w:t>
                  </w:r>
                </w:p>
              </w:tc>
              <w:tc>
                <w:tcPr>
                  <w:tcW w:w="1393" w:type="dxa"/>
                  <w:noWrap w:val="0"/>
                  <w:vAlign w:val="center"/>
                </w:tcPr>
                <w:p w14:paraId="29BF5AE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highlight w:val="none"/>
                      <w:lang w:val="en-US" w:eastAsia="zh-CN"/>
                    </w:rPr>
                  </w:pPr>
                  <w:r>
                    <w:rPr>
                      <w:rFonts w:hint="eastAsia" w:ascii="Times New Roman" w:hAnsi="Times New Roman" w:cs="宋体"/>
                      <w:snapToGrid w:val="0"/>
                      <w:color w:val="auto"/>
                      <w:kern w:val="0"/>
                      <w:sz w:val="21"/>
                      <w:szCs w:val="21"/>
                      <w:highlight w:val="none"/>
                      <w:lang w:val="en-US" w:eastAsia="zh-CN"/>
                    </w:rPr>
                    <w:t>1</w:t>
                  </w:r>
                  <w:r>
                    <w:rPr>
                      <w:rFonts w:hint="eastAsia" w:cs="宋体"/>
                      <w:snapToGrid w:val="0"/>
                      <w:color w:val="auto"/>
                      <w:kern w:val="0"/>
                      <w:sz w:val="21"/>
                      <w:szCs w:val="21"/>
                      <w:highlight w:val="none"/>
                      <w:lang w:val="en-US" w:eastAsia="zh-CN"/>
                    </w:rPr>
                    <w:t>6</w:t>
                  </w:r>
                </w:p>
              </w:tc>
              <w:tc>
                <w:tcPr>
                  <w:tcW w:w="1568" w:type="dxa"/>
                  <w:noWrap w:val="0"/>
                  <w:vAlign w:val="center"/>
                </w:tcPr>
                <w:p w14:paraId="2F6936B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highlight w:val="none"/>
                      <w:lang w:val="en-US" w:eastAsia="zh-CN"/>
                    </w:rPr>
                  </w:pPr>
                  <w:r>
                    <w:rPr>
                      <w:rFonts w:hint="eastAsia" w:cs="宋体"/>
                      <w:snapToGrid w:val="0"/>
                      <w:color w:val="auto"/>
                      <w:kern w:val="0"/>
                      <w:sz w:val="21"/>
                      <w:szCs w:val="21"/>
                      <w:highlight w:val="none"/>
                      <w:lang w:val="en-US" w:eastAsia="zh-CN"/>
                    </w:rPr>
                    <w:t>1.35</w:t>
                  </w:r>
                </w:p>
              </w:tc>
              <w:tc>
                <w:tcPr>
                  <w:tcW w:w="1009" w:type="dxa"/>
                  <w:noWrap w:val="0"/>
                  <w:vAlign w:val="center"/>
                </w:tcPr>
                <w:p w14:paraId="34B794CC">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cs="宋体"/>
                      <w:snapToGrid w:val="0"/>
                      <w:color w:val="auto"/>
                      <w:kern w:val="0"/>
                      <w:sz w:val="21"/>
                      <w:szCs w:val="21"/>
                      <w:highlight w:val="none"/>
                      <w:lang w:val="en-US" w:eastAsia="zh-CN"/>
                    </w:rPr>
                  </w:pPr>
                  <w:r>
                    <w:rPr>
                      <w:rFonts w:hint="eastAsia" w:ascii="Times New Roman" w:hAnsi="Times New Roman" w:cs="宋体"/>
                      <w:snapToGrid w:val="0"/>
                      <w:color w:val="auto"/>
                      <w:kern w:val="0"/>
                      <w:sz w:val="21"/>
                      <w:szCs w:val="21"/>
                      <w:highlight w:val="none"/>
                      <w:lang w:val="en-US" w:eastAsia="zh-CN"/>
                    </w:rPr>
                    <w:t>25</w:t>
                  </w:r>
                </w:p>
              </w:tc>
              <w:tc>
                <w:tcPr>
                  <w:tcW w:w="777" w:type="dxa"/>
                  <w:vMerge w:val="continue"/>
                  <w:noWrap w:val="0"/>
                  <w:vAlign w:val="center"/>
                </w:tcPr>
                <w:p w14:paraId="4ADB1D2A">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highlight w:val="none"/>
                      <w:lang w:val="en-US" w:eastAsia="zh-CN"/>
                    </w:rPr>
                  </w:pPr>
                </w:p>
              </w:tc>
              <w:tc>
                <w:tcPr>
                  <w:tcW w:w="2124" w:type="dxa"/>
                  <w:noWrap w:val="0"/>
                  <w:vAlign w:val="center"/>
                </w:tcPr>
                <w:p w14:paraId="25B5C138">
                  <w:pPr>
                    <w:widowControl/>
                    <w:tabs>
                      <w:tab w:val="left" w:pos="-2400"/>
                      <w:tab w:val="left" w:pos="1320"/>
                      <w:tab w:val="left" w:pos="3878"/>
                      <w:tab w:val="left" w:pos="6080"/>
                      <w:tab w:val="left" w:pos="6580"/>
                      <w:tab w:val="left" w:pos="8137"/>
                    </w:tabs>
                    <w:adjustRightInd w:val="0"/>
                    <w:snapToGrid w:val="0"/>
                    <w:textAlignment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东经102°31′32.89″</w:t>
                  </w:r>
                </w:p>
                <w:p w14:paraId="49E58C4A">
                  <w:pPr>
                    <w:widowControl/>
                    <w:tabs>
                      <w:tab w:val="left" w:pos="-2400"/>
                      <w:tab w:val="left" w:pos="1320"/>
                      <w:tab w:val="left" w:pos="3878"/>
                      <w:tab w:val="left" w:pos="6080"/>
                      <w:tab w:val="left" w:pos="6580"/>
                      <w:tab w:val="left" w:pos="8137"/>
                    </w:tabs>
                    <w:adjustRightInd w:val="0"/>
                    <w:snapToGrid w:val="0"/>
                    <w:textAlignment w:val="center"/>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北纬24°14′13.32″</w:t>
                  </w:r>
                </w:p>
              </w:tc>
            </w:tr>
            <w:tr w14:paraId="5956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noWrap w:val="0"/>
                  <w:vAlign w:val="center"/>
                </w:tcPr>
                <w:p w14:paraId="038DF66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highlight w:val="none"/>
                      <w:lang w:val="en-US" w:eastAsia="zh-CN"/>
                    </w:rPr>
                  </w:pPr>
                  <w:r>
                    <w:rPr>
                      <w:rFonts w:hint="eastAsia" w:ascii="Times New Roman" w:hAnsi="Times New Roman" w:cs="宋体"/>
                      <w:snapToGrid w:val="0"/>
                      <w:color w:val="auto"/>
                      <w:kern w:val="0"/>
                      <w:sz w:val="21"/>
                      <w:szCs w:val="21"/>
                      <w:highlight w:val="none"/>
                      <w:lang w:val="en-US" w:eastAsia="zh-CN"/>
                    </w:rPr>
                    <w:t>DA003</w:t>
                  </w:r>
                </w:p>
              </w:tc>
              <w:tc>
                <w:tcPr>
                  <w:tcW w:w="1393" w:type="dxa"/>
                  <w:noWrap w:val="0"/>
                  <w:vAlign w:val="center"/>
                </w:tcPr>
                <w:p w14:paraId="5D00EF3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highlight w:val="none"/>
                      <w:lang w:val="en-US" w:eastAsia="zh-CN"/>
                    </w:rPr>
                  </w:pPr>
                  <w:r>
                    <w:rPr>
                      <w:rFonts w:hint="eastAsia" w:ascii="Times New Roman" w:hAnsi="Times New Roman" w:cs="宋体"/>
                      <w:snapToGrid w:val="0"/>
                      <w:color w:val="auto"/>
                      <w:kern w:val="0"/>
                      <w:sz w:val="21"/>
                      <w:szCs w:val="21"/>
                      <w:highlight w:val="none"/>
                      <w:lang w:val="en-US" w:eastAsia="zh-CN"/>
                    </w:rPr>
                    <w:t>1</w:t>
                  </w:r>
                  <w:r>
                    <w:rPr>
                      <w:rFonts w:hint="eastAsia" w:cs="宋体"/>
                      <w:snapToGrid w:val="0"/>
                      <w:color w:val="auto"/>
                      <w:kern w:val="0"/>
                      <w:sz w:val="21"/>
                      <w:szCs w:val="21"/>
                      <w:highlight w:val="none"/>
                      <w:lang w:val="en-US" w:eastAsia="zh-CN"/>
                    </w:rPr>
                    <w:t>6</w:t>
                  </w:r>
                </w:p>
              </w:tc>
              <w:tc>
                <w:tcPr>
                  <w:tcW w:w="1568" w:type="dxa"/>
                  <w:noWrap w:val="0"/>
                  <w:vAlign w:val="center"/>
                </w:tcPr>
                <w:p w14:paraId="64DADA23">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highlight w:val="none"/>
                      <w:lang w:val="en-US" w:eastAsia="zh-CN"/>
                    </w:rPr>
                  </w:pPr>
                  <w:r>
                    <w:rPr>
                      <w:rFonts w:hint="eastAsia" w:ascii="Times New Roman" w:hAnsi="Times New Roman" w:cs="宋体"/>
                      <w:snapToGrid w:val="0"/>
                      <w:color w:val="auto"/>
                      <w:kern w:val="0"/>
                      <w:sz w:val="21"/>
                      <w:szCs w:val="21"/>
                      <w:highlight w:val="none"/>
                      <w:lang w:val="en-US" w:eastAsia="zh-CN"/>
                    </w:rPr>
                    <w:t>1.</w:t>
                  </w:r>
                  <w:r>
                    <w:rPr>
                      <w:rFonts w:hint="eastAsia" w:cs="宋体"/>
                      <w:snapToGrid w:val="0"/>
                      <w:color w:val="auto"/>
                      <w:kern w:val="0"/>
                      <w:sz w:val="21"/>
                      <w:szCs w:val="21"/>
                      <w:highlight w:val="none"/>
                      <w:lang w:val="en-US" w:eastAsia="zh-CN"/>
                    </w:rPr>
                    <w:t>5</w:t>
                  </w:r>
                </w:p>
              </w:tc>
              <w:tc>
                <w:tcPr>
                  <w:tcW w:w="1009" w:type="dxa"/>
                  <w:noWrap w:val="0"/>
                  <w:vAlign w:val="center"/>
                </w:tcPr>
                <w:p w14:paraId="0942DC4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cs="宋体"/>
                      <w:snapToGrid w:val="0"/>
                      <w:color w:val="auto"/>
                      <w:kern w:val="0"/>
                      <w:sz w:val="21"/>
                      <w:szCs w:val="21"/>
                      <w:highlight w:val="none"/>
                      <w:lang w:val="en-US" w:eastAsia="zh-CN"/>
                    </w:rPr>
                  </w:pPr>
                  <w:r>
                    <w:rPr>
                      <w:rFonts w:hint="eastAsia" w:ascii="Times New Roman" w:hAnsi="Times New Roman" w:cs="宋体"/>
                      <w:snapToGrid w:val="0"/>
                      <w:color w:val="auto"/>
                      <w:kern w:val="0"/>
                      <w:sz w:val="21"/>
                      <w:szCs w:val="21"/>
                      <w:highlight w:val="none"/>
                      <w:lang w:val="en-US" w:eastAsia="zh-CN"/>
                    </w:rPr>
                    <w:t>25</w:t>
                  </w:r>
                </w:p>
              </w:tc>
              <w:tc>
                <w:tcPr>
                  <w:tcW w:w="777" w:type="dxa"/>
                  <w:vMerge w:val="continue"/>
                  <w:noWrap w:val="0"/>
                  <w:vAlign w:val="center"/>
                </w:tcPr>
                <w:p w14:paraId="6281F4FB">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highlight w:val="none"/>
                      <w:lang w:val="en-US" w:eastAsia="zh-CN"/>
                    </w:rPr>
                  </w:pPr>
                </w:p>
              </w:tc>
              <w:tc>
                <w:tcPr>
                  <w:tcW w:w="2124" w:type="dxa"/>
                  <w:noWrap w:val="0"/>
                  <w:vAlign w:val="center"/>
                </w:tcPr>
                <w:p w14:paraId="63958BAE">
                  <w:pPr>
                    <w:widowControl/>
                    <w:tabs>
                      <w:tab w:val="left" w:pos="-2400"/>
                      <w:tab w:val="left" w:pos="1320"/>
                      <w:tab w:val="left" w:pos="3878"/>
                      <w:tab w:val="left" w:pos="6080"/>
                      <w:tab w:val="left" w:pos="6580"/>
                      <w:tab w:val="left" w:pos="8137"/>
                    </w:tabs>
                    <w:adjustRightInd w:val="0"/>
                    <w:snapToGrid w:val="0"/>
                    <w:textAlignment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东经102°31′34.51″</w:t>
                  </w:r>
                </w:p>
                <w:p w14:paraId="6B44CD8B">
                  <w:pPr>
                    <w:widowControl/>
                    <w:tabs>
                      <w:tab w:val="left" w:pos="-2400"/>
                      <w:tab w:val="left" w:pos="1320"/>
                      <w:tab w:val="left" w:pos="3878"/>
                      <w:tab w:val="left" w:pos="6080"/>
                      <w:tab w:val="left" w:pos="6580"/>
                      <w:tab w:val="left" w:pos="8137"/>
                    </w:tabs>
                    <w:adjustRightInd w:val="0"/>
                    <w:snapToGrid w:val="0"/>
                    <w:textAlignment w:val="center"/>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北纬24°14′13.25″</w:t>
                  </w:r>
                </w:p>
              </w:tc>
            </w:tr>
          </w:tbl>
          <w:p w14:paraId="0E30B1C8">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根据《铁矿采选工业污染物排放标准》（</w:t>
            </w:r>
            <w:r>
              <w:rPr>
                <w:rFonts w:hint="default" w:ascii="Times New Roman" w:hAnsi="Times New Roman" w:cs="Times New Roman" w:eastAsiaTheme="minorEastAsia"/>
                <w:color w:val="auto"/>
                <w:sz w:val="24"/>
                <w:highlight w:val="none"/>
                <w:lang w:val="en-US" w:eastAsia="zh-CN"/>
              </w:rPr>
              <w:t>GB</w:t>
            </w:r>
            <w:r>
              <w:rPr>
                <w:rFonts w:hint="eastAsia" w:ascii="Times New Roman" w:hAnsi="Times New Roman" w:cs="Times New Roman" w:eastAsiaTheme="minorEastAsia"/>
                <w:color w:val="auto"/>
                <w:sz w:val="24"/>
                <w:highlight w:val="none"/>
                <w:lang w:val="en-US" w:eastAsia="zh-CN"/>
              </w:rPr>
              <w:t>28661</w:t>
            </w:r>
            <w:r>
              <w:rPr>
                <w:rFonts w:hint="default" w:ascii="Times New Roman" w:hAnsi="Times New Roman" w:cs="Times New Roman" w:eastAsiaTheme="minorEastAsia"/>
                <w:color w:val="auto"/>
                <w:sz w:val="24"/>
                <w:highlight w:val="none"/>
                <w:lang w:val="en-US" w:eastAsia="zh-CN"/>
              </w:rPr>
              <w:t>-</w:t>
            </w:r>
            <w:r>
              <w:rPr>
                <w:rFonts w:hint="eastAsia" w:ascii="Times New Roman" w:hAnsi="Times New Roman" w:cs="Times New Roman" w:eastAsiaTheme="minorEastAsia"/>
                <w:color w:val="auto"/>
                <w:sz w:val="24"/>
                <w:highlight w:val="none"/>
                <w:lang w:val="en-US" w:eastAsia="zh-CN"/>
              </w:rPr>
              <w:t>2021</w:t>
            </w:r>
            <w:r>
              <w:rPr>
                <w:rFonts w:hint="default" w:ascii="Times New Roman" w:hAnsi="Times New Roman" w:cs="Times New Roman" w:eastAsiaTheme="minorEastAsia"/>
                <w:color w:val="auto"/>
                <w:sz w:val="24"/>
                <w:highlight w:val="none"/>
                <w:lang w:val="en-US" w:eastAsia="zh-CN"/>
              </w:rPr>
              <w:t>）</w:t>
            </w:r>
            <w:r>
              <w:rPr>
                <w:rFonts w:hint="eastAsia" w:ascii="Times New Roman" w:hAnsi="Times New Roman" w:cs="Times New Roman" w:eastAsiaTheme="minorEastAsia"/>
                <w:color w:val="auto"/>
                <w:sz w:val="24"/>
                <w:highlight w:val="none"/>
                <w:lang w:val="en-US" w:eastAsia="zh-CN"/>
              </w:rPr>
              <w:t>中“4.2.7产生大气污染物的生产工艺装置必须设立局部气体收集系统和集中净化处理装置，达标排放。所有排气筒高度应不低于15m。排气筒周围半径200m范围内有建筑物时，排气筒高度还应高出最高建筑物3m以上。”项目周围200m范围最高建筑高度为</w:t>
            </w:r>
            <w:r>
              <w:rPr>
                <w:rFonts w:hint="eastAsia" w:cs="Times New Roman" w:eastAsiaTheme="minorEastAsia"/>
                <w:color w:val="auto"/>
                <w:sz w:val="24"/>
                <w:highlight w:val="none"/>
                <w:lang w:val="en-US" w:eastAsia="zh-CN"/>
              </w:rPr>
              <w:t>13</w:t>
            </w:r>
            <w:r>
              <w:rPr>
                <w:rFonts w:hint="eastAsia" w:ascii="Times New Roman" w:hAnsi="Times New Roman" w:cs="Times New Roman" w:eastAsiaTheme="minorEastAsia"/>
                <w:color w:val="auto"/>
                <w:sz w:val="24"/>
                <w:highlight w:val="none"/>
                <w:lang w:val="en-US" w:eastAsia="zh-CN"/>
              </w:rPr>
              <w:t>m（项目</w:t>
            </w:r>
            <w:r>
              <w:rPr>
                <w:rFonts w:hint="eastAsia" w:cs="Times New Roman" w:eastAsiaTheme="minorEastAsia"/>
                <w:color w:val="auto"/>
                <w:sz w:val="24"/>
                <w:highlight w:val="none"/>
                <w:lang w:val="en-US" w:eastAsia="zh-CN"/>
              </w:rPr>
              <w:t>仓储大棚13m，</w:t>
            </w:r>
            <w:r>
              <w:rPr>
                <w:rFonts w:hint="eastAsia" w:ascii="Times New Roman" w:hAnsi="Times New Roman" w:cs="Times New Roman" w:eastAsiaTheme="minorEastAsia"/>
                <w:color w:val="auto"/>
                <w:sz w:val="24"/>
                <w:highlight w:val="none"/>
                <w:lang w:val="en-US" w:eastAsia="zh-CN"/>
              </w:rPr>
              <w:t>宿舍楼</w:t>
            </w:r>
            <w:r>
              <w:rPr>
                <w:rFonts w:hint="eastAsia" w:cs="Times New Roman" w:eastAsiaTheme="minorEastAsia"/>
                <w:color w:val="auto"/>
                <w:sz w:val="24"/>
                <w:highlight w:val="none"/>
                <w:lang w:val="en-US" w:eastAsia="zh-CN"/>
              </w:rPr>
              <w:t>12m</w:t>
            </w:r>
            <w:r>
              <w:rPr>
                <w:rFonts w:hint="eastAsia" w:ascii="Times New Roman" w:hAnsi="Times New Roman" w:cs="Times New Roman" w:eastAsiaTheme="minorEastAsia"/>
                <w:color w:val="auto"/>
                <w:sz w:val="24"/>
                <w:highlight w:val="none"/>
                <w:lang w:val="en-US" w:eastAsia="zh-CN"/>
              </w:rPr>
              <w:t>、办公楼</w:t>
            </w:r>
            <w:r>
              <w:rPr>
                <w:rFonts w:hint="eastAsia" w:cs="Times New Roman" w:eastAsiaTheme="minorEastAsia"/>
                <w:color w:val="auto"/>
                <w:sz w:val="24"/>
                <w:highlight w:val="none"/>
                <w:lang w:val="en-US" w:eastAsia="zh-CN"/>
              </w:rPr>
              <w:t>10m</w:t>
            </w:r>
            <w:r>
              <w:rPr>
                <w:rFonts w:hint="eastAsia" w:ascii="Times New Roman" w:hAnsi="Times New Roman" w:cs="Times New Roman" w:eastAsiaTheme="minorEastAsia"/>
                <w:color w:val="auto"/>
                <w:sz w:val="24"/>
                <w:highlight w:val="none"/>
                <w:lang w:val="en-US" w:eastAsia="zh-CN"/>
              </w:rPr>
              <w:t>），故项目排气筒（DA001、DA002、DA003）设置高度为1</w:t>
            </w:r>
            <w:r>
              <w:rPr>
                <w:rFonts w:hint="eastAsia" w:cs="Times New Roman" w:eastAsiaTheme="minorEastAsia"/>
                <w:color w:val="auto"/>
                <w:sz w:val="24"/>
                <w:highlight w:val="none"/>
                <w:lang w:val="en-US" w:eastAsia="zh-CN"/>
              </w:rPr>
              <w:t>6</w:t>
            </w:r>
            <w:r>
              <w:rPr>
                <w:rFonts w:hint="eastAsia" w:ascii="Times New Roman" w:hAnsi="Times New Roman" w:cs="Times New Roman" w:eastAsiaTheme="minorEastAsia"/>
                <w:color w:val="auto"/>
                <w:sz w:val="24"/>
                <w:highlight w:val="none"/>
                <w:lang w:val="en-US" w:eastAsia="zh-CN"/>
              </w:rPr>
              <w:t>m，其高度设置合理。</w:t>
            </w:r>
          </w:p>
          <w:p w14:paraId="60A9FEA6">
            <w:pPr>
              <w:pStyle w:val="7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三、</w:t>
            </w:r>
            <w:r>
              <w:rPr>
                <w:rFonts w:hint="eastAsia" w:ascii="Times New Roman" w:hAnsi="Times New Roman" w:eastAsia="宋体"/>
                <w:b/>
                <w:bCs/>
                <w:color w:val="auto"/>
                <w:highlight w:val="none"/>
              </w:rPr>
              <w:t>大气环境影响分析</w:t>
            </w:r>
          </w:p>
          <w:p w14:paraId="2474F8E7">
            <w:pPr>
              <w:pStyle w:val="70"/>
              <w:ind w:firstLine="482"/>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eastAsia="zh-CN"/>
              </w:rPr>
              <w:t>（</w:t>
            </w:r>
            <w:r>
              <w:rPr>
                <w:rFonts w:hint="eastAsia" w:ascii="Times New Roman" w:hAnsi="Times New Roman" w:eastAsia="宋体"/>
                <w:b/>
                <w:bCs/>
                <w:color w:val="auto"/>
                <w:highlight w:val="none"/>
                <w:lang w:val="en-US" w:eastAsia="zh-CN"/>
              </w:rPr>
              <w:t>1</w:t>
            </w:r>
            <w:r>
              <w:rPr>
                <w:rFonts w:hint="eastAsia" w:ascii="Times New Roman" w:hAnsi="Times New Roman" w:eastAsia="宋体"/>
                <w:b/>
                <w:bCs/>
                <w:color w:val="auto"/>
                <w:highlight w:val="none"/>
                <w:lang w:eastAsia="zh-CN"/>
              </w:rPr>
              <w:t>）</w:t>
            </w:r>
            <w:r>
              <w:rPr>
                <w:rFonts w:hint="eastAsia" w:ascii="Times New Roman" w:hAnsi="Times New Roman" w:eastAsia="宋体"/>
                <w:b/>
                <w:bCs/>
                <w:color w:val="auto"/>
                <w:highlight w:val="none"/>
                <w:lang w:val="en-US" w:eastAsia="zh-CN"/>
              </w:rPr>
              <w:t>有组织废气达标排放分析</w:t>
            </w:r>
          </w:p>
          <w:p w14:paraId="48775EAC">
            <w:pPr>
              <w:pStyle w:val="70"/>
              <w:ind w:firstLine="480"/>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项目有组织粉尘产生于</w:t>
            </w:r>
            <w:r>
              <w:rPr>
                <w:rFonts w:hint="eastAsia" w:ascii="Times New Roman" w:hAnsi="Times New Roman" w:cs="Times New Roman"/>
                <w:color w:val="auto"/>
                <w:sz w:val="24"/>
                <w:highlight w:val="none"/>
                <w:lang w:val="en-US" w:eastAsia="zh-CN"/>
              </w:rPr>
              <w:t>3</w:t>
            </w:r>
            <w:r>
              <w:rPr>
                <w:rFonts w:hint="eastAsia" w:ascii="Times New Roman" w:hAnsi="Times New Roman" w:eastAsia="宋体"/>
                <w:color w:val="auto"/>
                <w:sz w:val="24"/>
                <w:highlight w:val="none"/>
              </w:rPr>
              <w:t>条生产线</w:t>
            </w:r>
            <w:r>
              <w:rPr>
                <w:rFonts w:hint="eastAsia" w:ascii="Times New Roman" w:hAnsi="Times New Roman" w:eastAsia="宋体"/>
                <w:color w:val="auto"/>
                <w:sz w:val="24"/>
                <w:highlight w:val="none"/>
                <w:lang w:val="en-US" w:eastAsia="zh-CN"/>
              </w:rPr>
              <w:t>的</w:t>
            </w:r>
            <w:r>
              <w:rPr>
                <w:rFonts w:hint="eastAsia" w:ascii="Times New Roman" w:hAnsi="Times New Roman"/>
                <w:color w:val="auto"/>
                <w:sz w:val="24"/>
                <w:highlight w:val="none"/>
                <w:lang w:val="en-US" w:eastAsia="zh-CN"/>
              </w:rPr>
              <w:t>破碎筛分环节</w:t>
            </w:r>
            <w:r>
              <w:rPr>
                <w:rFonts w:hint="eastAsia" w:ascii="Times New Roman" w:hAnsi="Times New Roman" w:eastAsia="宋体"/>
                <w:color w:val="auto"/>
                <w:sz w:val="24"/>
                <w:highlight w:val="none"/>
                <w:lang w:val="en-US" w:eastAsia="zh-CN"/>
              </w:rPr>
              <w:t>，</w:t>
            </w:r>
            <w:r>
              <w:rPr>
                <w:rFonts w:hint="eastAsia" w:ascii="Times New Roman" w:hAnsi="Times New Roman" w:eastAsia="宋体" w:cs="宋体"/>
                <w:color w:val="auto"/>
                <w:sz w:val="24"/>
                <w:highlight w:val="none"/>
                <w:lang w:val="en-US" w:eastAsia="zh-CN"/>
              </w:rPr>
              <w:t>各生产设备均处于</w:t>
            </w:r>
            <w:r>
              <w:rPr>
                <w:rFonts w:hint="eastAsia" w:ascii="Times New Roman" w:hAnsi="Times New Roman" w:cs="宋体"/>
                <w:color w:val="auto"/>
                <w:sz w:val="24"/>
                <w:highlight w:val="none"/>
                <w:lang w:val="en-US" w:eastAsia="zh-CN"/>
              </w:rPr>
              <w:t>封</w:t>
            </w:r>
            <w:r>
              <w:rPr>
                <w:rFonts w:hint="eastAsia" w:ascii="Times New Roman" w:hAnsi="Times New Roman" w:eastAsia="宋体" w:cs="宋体"/>
                <w:color w:val="auto"/>
                <w:sz w:val="24"/>
                <w:highlight w:val="none"/>
                <w:lang w:val="en-US" w:eastAsia="zh-CN"/>
              </w:rPr>
              <w:t>闭的车间中，</w:t>
            </w:r>
            <w:r>
              <w:rPr>
                <w:rFonts w:hint="eastAsia" w:ascii="Times New Roman" w:hAnsi="Times New Roman" w:cs="宋体"/>
                <w:color w:val="auto"/>
                <w:sz w:val="24"/>
                <w:highlight w:val="none"/>
                <w:lang w:val="en-US" w:eastAsia="zh-CN"/>
              </w:rPr>
              <w:t>破碎、筛分粉尘</w:t>
            </w:r>
            <w:r>
              <w:rPr>
                <w:rFonts w:hint="eastAsia" w:ascii="Times New Roman" w:hAnsi="Times New Roman" w:eastAsia="宋体" w:cs="宋体"/>
                <w:color w:val="auto"/>
                <w:sz w:val="24"/>
                <w:highlight w:val="none"/>
                <w:lang w:val="en-US" w:eastAsia="zh-CN"/>
              </w:rPr>
              <w:t>均通过</w:t>
            </w:r>
            <w:r>
              <w:rPr>
                <w:rFonts w:hint="eastAsia" w:ascii="Times New Roman" w:hAnsi="Times New Roman" w:cs="宋体"/>
                <w:color w:val="auto"/>
                <w:sz w:val="24"/>
                <w:highlight w:val="none"/>
                <w:lang w:val="en-US" w:eastAsia="zh-CN"/>
              </w:rPr>
              <w:t>集气罩</w:t>
            </w:r>
            <w:r>
              <w:rPr>
                <w:rFonts w:hint="eastAsia" w:ascii="Times New Roman" w:hAnsi="Times New Roman" w:eastAsia="宋体" w:cs="宋体"/>
                <w:color w:val="auto"/>
                <w:sz w:val="24"/>
                <w:highlight w:val="none"/>
                <w:lang w:val="en-US" w:eastAsia="zh-CN"/>
              </w:rPr>
              <w:t>收集，各生产线的废气通过所在</w:t>
            </w:r>
            <w:r>
              <w:rPr>
                <w:rFonts w:hint="eastAsia" w:ascii="Times New Roman" w:hAnsi="Times New Roman" w:cs="宋体"/>
                <w:color w:val="auto"/>
                <w:sz w:val="24"/>
                <w:highlight w:val="none"/>
                <w:lang w:val="en-US" w:eastAsia="zh-CN"/>
              </w:rPr>
              <w:t>生产线</w:t>
            </w:r>
            <w:r>
              <w:rPr>
                <w:rFonts w:hint="eastAsia" w:ascii="Times New Roman" w:hAnsi="Times New Roman" w:eastAsia="宋体" w:cs="宋体"/>
                <w:color w:val="auto"/>
                <w:sz w:val="24"/>
                <w:highlight w:val="none"/>
                <w:lang w:val="en-US" w:eastAsia="zh-CN"/>
              </w:rPr>
              <w:t>设置的一套袋式除尘器处理（处理效率≥99%）（分别为</w:t>
            </w:r>
            <w:r>
              <w:rPr>
                <w:rFonts w:hint="eastAsia" w:ascii="Times New Roman" w:hAnsi="Times New Roman" w:eastAsia="宋体"/>
                <w:color w:val="auto"/>
                <w:sz w:val="24"/>
                <w:highlight w:val="none"/>
                <w:vertAlign w:val="baseline"/>
                <w:lang w:val="en-US" w:eastAsia="zh-CN"/>
              </w:rPr>
              <w:t>TA001、TA002、TA003</w:t>
            </w:r>
            <w:r>
              <w:rPr>
                <w:rFonts w:hint="eastAsia" w:ascii="Times New Roman" w:hAnsi="Times New Roman" w:eastAsia="宋体" w:cs="宋体"/>
                <w:color w:val="auto"/>
                <w:sz w:val="24"/>
                <w:highlight w:val="none"/>
                <w:lang w:val="en-US" w:eastAsia="zh-CN"/>
              </w:rPr>
              <w:t>）后，</w:t>
            </w:r>
            <w:r>
              <w:rPr>
                <w:rFonts w:hint="eastAsia" w:ascii="Times New Roman" w:hAnsi="Times New Roman" w:eastAsia="宋体"/>
                <w:color w:val="auto"/>
                <w:kern w:val="0"/>
                <w:sz w:val="24"/>
                <w:highlight w:val="none"/>
                <w:lang w:val="en-US" w:eastAsia="zh-CN"/>
              </w:rPr>
              <w:t>分别经</w:t>
            </w:r>
            <w:r>
              <w:rPr>
                <w:rFonts w:hint="eastAsia" w:ascii="Times New Roman" w:hAnsi="Times New Roman" w:eastAsia="宋体"/>
                <w:color w:val="auto"/>
                <w:sz w:val="24"/>
                <w:highlight w:val="none"/>
                <w:vertAlign w:val="baseline"/>
                <w:lang w:val="en-US" w:eastAsia="zh-CN"/>
              </w:rPr>
              <w:t>DA001、DA002、DA003</w:t>
            </w:r>
            <w:r>
              <w:rPr>
                <w:rFonts w:hint="eastAsia" w:ascii="Times New Roman" w:hAnsi="Times New Roman" w:eastAsia="宋体"/>
                <w:color w:val="auto"/>
                <w:kern w:val="0"/>
                <w:sz w:val="24"/>
                <w:highlight w:val="none"/>
                <w:lang w:val="en-US" w:eastAsia="zh-CN"/>
              </w:rPr>
              <w:t>排气筒排放</w:t>
            </w:r>
            <w:r>
              <w:rPr>
                <w:rFonts w:hint="eastAsia" w:ascii="Times New Roman" w:hAnsi="Times New Roman" w:eastAsia="宋体" w:cs="宋体"/>
                <w:color w:val="auto"/>
                <w:sz w:val="24"/>
                <w:highlight w:val="none"/>
                <w:lang w:val="en-US" w:eastAsia="zh-CN"/>
              </w:rPr>
              <w:t>。通过核算，</w:t>
            </w:r>
            <w:r>
              <w:rPr>
                <w:rFonts w:hint="eastAsia" w:ascii="Times New Roman" w:hAnsi="Times New Roman" w:eastAsia="宋体" w:cs="Times New Roman"/>
                <w:color w:val="auto"/>
                <w:sz w:val="24"/>
                <w:szCs w:val="24"/>
                <w:highlight w:val="none"/>
                <w:lang w:val="en-US" w:eastAsia="zh-CN"/>
              </w:rPr>
              <w:t>第一生产线</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第二生产线</w:t>
            </w:r>
            <w:r>
              <w:rPr>
                <w:rFonts w:hint="default" w:ascii="Times New Roman" w:hAnsi="Times New Roman" w:eastAsia="宋体" w:cs="Times New Roman"/>
                <w:color w:val="auto"/>
                <w:sz w:val="24"/>
                <w:szCs w:val="24"/>
                <w:highlight w:val="none"/>
              </w:rPr>
              <w:t>排放量</w:t>
            </w:r>
            <w:r>
              <w:rPr>
                <w:rFonts w:hint="eastAsia" w:ascii="Times New Roman" w:hAnsi="Times New Roman"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为</w:t>
            </w:r>
            <w:r>
              <w:rPr>
                <w:rFonts w:hint="eastAsia" w:ascii="Times New Roman" w:hAnsi="Times New Roman" w:cs="Times New Roman"/>
                <w:color w:val="auto"/>
                <w:sz w:val="24"/>
                <w:szCs w:val="24"/>
                <w:highlight w:val="none"/>
                <w:lang w:val="en-US" w:eastAsia="zh-CN"/>
              </w:rPr>
              <w:t>2.376</w:t>
            </w:r>
            <w:r>
              <w:rPr>
                <w:rFonts w:hint="default" w:ascii="Times New Roman" w:hAnsi="Times New Roman" w:eastAsia="宋体"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0.99</w:t>
            </w:r>
            <w:r>
              <w:rPr>
                <w:rFonts w:hint="default" w:ascii="Times New Roman" w:hAnsi="Times New Roman" w:eastAsia="宋体" w:cs="Times New Roman"/>
                <w:color w:val="auto"/>
                <w:sz w:val="24"/>
                <w:szCs w:val="24"/>
                <w:highlight w:val="none"/>
              </w:rPr>
              <w:t>kg/h</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第三生产线颗粒物</w:t>
            </w:r>
            <w:r>
              <w:rPr>
                <w:rFonts w:hint="default" w:ascii="Times New Roman" w:hAnsi="Times New Roman" w:eastAsia="宋体" w:cs="Times New Roman"/>
                <w:color w:val="auto"/>
                <w:sz w:val="24"/>
                <w:szCs w:val="24"/>
                <w:highlight w:val="none"/>
              </w:rPr>
              <w:t>排放量为</w:t>
            </w:r>
            <w:r>
              <w:rPr>
                <w:rFonts w:hint="eastAsia" w:ascii="Times New Roman" w:hAnsi="Times New Roman" w:cs="Times New Roman"/>
                <w:color w:val="auto"/>
                <w:sz w:val="24"/>
                <w:szCs w:val="24"/>
                <w:highlight w:val="none"/>
                <w:lang w:val="en-US" w:eastAsia="zh-CN"/>
              </w:rPr>
              <w:t>4.176</w:t>
            </w:r>
            <w:r>
              <w:rPr>
                <w:rFonts w:hint="default" w:ascii="Times New Roman" w:hAnsi="Times New Roman" w:eastAsia="宋体"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1.74</w:t>
            </w:r>
            <w:r>
              <w:rPr>
                <w:rFonts w:hint="default" w:ascii="Times New Roman" w:hAnsi="Times New Roman" w:eastAsia="宋体" w:cs="Times New Roman"/>
                <w:color w:val="auto"/>
                <w:sz w:val="24"/>
                <w:szCs w:val="24"/>
                <w:highlight w:val="none"/>
              </w:rPr>
              <w:t>kg/h，排放浓度为</w:t>
            </w:r>
            <w:r>
              <w:rPr>
                <w:rFonts w:hint="eastAsia" w:ascii="Times New Roman" w:hAnsi="Times New Roman" w:cs="Times New Roman"/>
                <w:color w:val="auto"/>
                <w:sz w:val="24"/>
                <w:szCs w:val="24"/>
                <w:highlight w:val="none"/>
                <w:lang w:val="en-US" w:eastAsia="zh-CN"/>
              </w:rPr>
              <w:t>12.86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vertAlign w:val="baseline"/>
                <w:lang w:val="en-US" w:eastAsia="zh-CN"/>
              </w:rPr>
              <w:t>(第三生产线</w:t>
            </w:r>
            <w:r>
              <w:rPr>
                <w:rFonts w:hint="eastAsia" w:ascii="Times New Roman" w:hAnsi="Times New Roman" w:cs="Times New Roman"/>
                <w:color w:val="auto"/>
                <w:sz w:val="24"/>
                <w:szCs w:val="24"/>
                <w:highlight w:val="none"/>
                <w:lang w:val="en-US" w:eastAsia="zh-CN"/>
              </w:rPr>
              <w:t>18.13</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olor w:val="auto"/>
                <w:sz w:val="24"/>
                <w:highlight w:val="none"/>
                <w:lang w:val="en-US" w:eastAsia="zh-CN"/>
              </w:rPr>
              <w:t>满足</w:t>
            </w:r>
            <w:r>
              <w:rPr>
                <w:rFonts w:hint="eastAsia" w:ascii="Times New Roman" w:hAnsi="Times New Roman" w:cs="Times New Roman" w:eastAsiaTheme="minorEastAsia"/>
                <w:color w:val="auto"/>
                <w:sz w:val="24"/>
                <w:highlight w:val="none"/>
                <w:lang w:val="en-US" w:eastAsia="zh-CN"/>
              </w:rPr>
              <w:t>《铁矿采选工业污染物排放标准》（</w:t>
            </w:r>
            <w:r>
              <w:rPr>
                <w:rFonts w:hint="default" w:ascii="Times New Roman" w:hAnsi="Times New Roman" w:cs="Times New Roman" w:eastAsiaTheme="minorEastAsia"/>
                <w:color w:val="auto"/>
                <w:sz w:val="24"/>
                <w:highlight w:val="none"/>
                <w:lang w:val="en-US" w:eastAsia="zh-CN"/>
              </w:rPr>
              <w:t>GB</w:t>
            </w:r>
            <w:r>
              <w:rPr>
                <w:rFonts w:hint="eastAsia" w:ascii="Times New Roman" w:hAnsi="Times New Roman" w:cs="Times New Roman" w:eastAsiaTheme="minorEastAsia"/>
                <w:color w:val="auto"/>
                <w:sz w:val="24"/>
                <w:highlight w:val="none"/>
                <w:lang w:val="en-US" w:eastAsia="zh-CN"/>
              </w:rPr>
              <w:t>28661</w:t>
            </w:r>
            <w:r>
              <w:rPr>
                <w:rFonts w:hint="default" w:ascii="Times New Roman" w:hAnsi="Times New Roman" w:cs="Times New Roman" w:eastAsiaTheme="minorEastAsia"/>
                <w:color w:val="auto"/>
                <w:sz w:val="24"/>
                <w:highlight w:val="none"/>
                <w:lang w:val="en-US" w:eastAsia="zh-CN"/>
              </w:rPr>
              <w:t>-</w:t>
            </w:r>
            <w:r>
              <w:rPr>
                <w:rFonts w:hint="eastAsia" w:ascii="Times New Roman" w:hAnsi="Times New Roman" w:cs="Times New Roman" w:eastAsiaTheme="minorEastAsia"/>
                <w:color w:val="auto"/>
                <w:sz w:val="24"/>
                <w:highlight w:val="none"/>
                <w:lang w:val="en-US" w:eastAsia="zh-CN"/>
              </w:rPr>
              <w:t>2021</w:t>
            </w:r>
            <w:r>
              <w:rPr>
                <w:rFonts w:hint="default" w:ascii="Times New Roman" w:hAnsi="Times New Roman" w:cs="Times New Roman" w:eastAsiaTheme="minorEastAsia"/>
                <w:color w:val="auto"/>
                <w:sz w:val="24"/>
                <w:highlight w:val="none"/>
                <w:lang w:val="en-US" w:eastAsia="zh-CN"/>
              </w:rPr>
              <w:t>）</w:t>
            </w:r>
            <w:r>
              <w:rPr>
                <w:rFonts w:ascii="Times New Roman" w:hAnsi="Times New Roman" w:eastAsia="宋体"/>
                <w:color w:val="auto"/>
                <w:sz w:val="24"/>
                <w:highlight w:val="none"/>
              </w:rPr>
              <w:t>表</w:t>
            </w:r>
            <w:r>
              <w:rPr>
                <w:rFonts w:hint="eastAsia" w:ascii="Times New Roman" w:hAnsi="Times New Roman"/>
                <w:color w:val="auto"/>
                <w:sz w:val="24"/>
                <w:highlight w:val="none"/>
                <w:lang w:val="en-US" w:eastAsia="zh-CN"/>
              </w:rPr>
              <w:t>5</w:t>
            </w:r>
            <w:r>
              <w:rPr>
                <w:rFonts w:ascii="Times New Roman" w:hAnsi="Times New Roman" w:eastAsia="宋体"/>
                <w:color w:val="auto"/>
                <w:sz w:val="24"/>
                <w:highlight w:val="none"/>
              </w:rPr>
              <w:t>标准</w:t>
            </w:r>
            <w:r>
              <w:rPr>
                <w:rFonts w:hint="eastAsia" w:ascii="Times New Roman" w:hAnsi="Times New Roman" w:eastAsia="宋体"/>
                <w:color w:val="auto"/>
                <w:sz w:val="24"/>
                <w:highlight w:val="none"/>
              </w:rPr>
              <w:t>（颗粒物≤</w:t>
            </w:r>
            <w:r>
              <w:rPr>
                <w:rFonts w:hint="eastAsia" w:ascii="Times New Roman" w:hAnsi="Times New Roman"/>
                <w:color w:val="auto"/>
                <w:sz w:val="24"/>
                <w:highlight w:val="none"/>
                <w:lang w:val="en-US" w:eastAsia="zh-CN"/>
              </w:rPr>
              <w:t>20</w:t>
            </w:r>
            <w:r>
              <w:rPr>
                <w:rFonts w:ascii="Times New Roman" w:hAnsi="Times New Roman" w:eastAsia="宋体"/>
                <w:color w:val="auto"/>
                <w:sz w:val="24"/>
                <w:highlight w:val="none"/>
              </w:rPr>
              <w:t>mg/m</w:t>
            </w:r>
            <w:r>
              <w:rPr>
                <w:rFonts w:ascii="Times New Roman" w:hAnsi="Times New Roman" w:eastAsia="宋体"/>
                <w:color w:val="auto"/>
                <w:sz w:val="24"/>
                <w:highlight w:val="none"/>
                <w:vertAlign w:val="superscript"/>
              </w:rPr>
              <w:t>3</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w:t>
            </w:r>
          </w:p>
          <w:p w14:paraId="25D6A2C0">
            <w:pPr>
              <w:pStyle w:val="70"/>
              <w:ind w:firstLine="482"/>
              <w:rPr>
                <w:rFonts w:ascii="Times New Roman" w:hAnsi="Times New Roman" w:eastAsia="宋体"/>
                <w:b/>
                <w:bCs/>
                <w:color w:val="auto"/>
                <w:highlight w:val="none"/>
              </w:rPr>
            </w:pPr>
            <w:r>
              <w:rPr>
                <w:rFonts w:hint="eastAsia" w:ascii="Times New Roman" w:hAnsi="Times New Roman" w:eastAsia="宋体"/>
                <w:b/>
                <w:bCs/>
                <w:color w:val="auto"/>
                <w:highlight w:val="none"/>
              </w:rPr>
              <w:t>（</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w:t>
            </w:r>
            <w:r>
              <w:rPr>
                <w:rFonts w:hint="eastAsia" w:ascii="Times New Roman" w:hAnsi="Times New Roman" w:eastAsia="宋体"/>
                <w:b/>
                <w:bCs/>
                <w:color w:val="auto"/>
                <w:highlight w:val="none"/>
                <w:lang w:val="en-US" w:eastAsia="zh-CN"/>
              </w:rPr>
              <w:t>无组织</w:t>
            </w:r>
            <w:r>
              <w:rPr>
                <w:rFonts w:hint="eastAsia" w:ascii="Times New Roman" w:hAnsi="Times New Roman" w:eastAsia="宋体"/>
                <w:b/>
                <w:bCs/>
                <w:color w:val="auto"/>
                <w:highlight w:val="none"/>
              </w:rPr>
              <w:t>废气达标排放情况分析</w:t>
            </w:r>
          </w:p>
          <w:p w14:paraId="0EFA6C5F">
            <w:pPr>
              <w:pStyle w:val="70"/>
              <w:ind w:firstLine="480"/>
              <w:rPr>
                <w:rFonts w:hint="eastAsia" w:ascii="Times New Roman" w:hAnsi="Times New Roman" w:eastAsia="宋体" w:cs="宋体"/>
                <w:b w:val="0"/>
                <w:bCs w:val="0"/>
                <w:color w:val="auto"/>
                <w:sz w:val="24"/>
                <w:szCs w:val="24"/>
                <w:highlight w:val="none"/>
                <w:lang w:val="en-US" w:eastAsia="zh-CN"/>
              </w:rPr>
            </w:pPr>
            <w:r>
              <w:rPr>
                <w:rFonts w:hint="eastAsia" w:ascii="Times New Roman" w:hAnsi="Times New Roman" w:eastAsia="宋体"/>
                <w:bCs/>
                <w:color w:val="auto"/>
                <w:sz w:val="24"/>
                <w:highlight w:val="none"/>
                <w:lang w:val="en-US" w:eastAsia="zh-CN"/>
              </w:rPr>
              <w:t>项目</w:t>
            </w:r>
            <w:r>
              <w:rPr>
                <w:rFonts w:hint="eastAsia" w:ascii="Times New Roman" w:hAnsi="Times New Roman"/>
                <w:bCs/>
                <w:color w:val="auto"/>
                <w:sz w:val="24"/>
                <w:highlight w:val="none"/>
                <w:lang w:val="en-US" w:eastAsia="zh-CN"/>
              </w:rPr>
              <w:t>无组织粉尘产生于原料仓库、成品仓库及装卸扬尘，以及破碎加工未收集处理的粉尘</w:t>
            </w:r>
            <w:r>
              <w:rPr>
                <w:rFonts w:ascii="Times New Roman" w:hAnsi="Times New Roman" w:eastAsia="宋体"/>
                <w:bCs/>
                <w:color w:val="auto"/>
                <w:sz w:val="24"/>
                <w:highlight w:val="none"/>
              </w:rPr>
              <w:t>，</w:t>
            </w:r>
            <w:r>
              <w:rPr>
                <w:rFonts w:hint="eastAsia" w:ascii="Times New Roman" w:hAnsi="Times New Roman" w:eastAsia="宋体"/>
                <w:bCs/>
                <w:color w:val="auto"/>
                <w:sz w:val="24"/>
                <w:highlight w:val="none"/>
                <w:lang w:val="en-US" w:eastAsia="zh-CN"/>
              </w:rPr>
              <w:t>根据前文核算</w:t>
            </w:r>
            <w:r>
              <w:rPr>
                <w:rFonts w:hint="eastAsia" w:ascii="Times New Roman" w:hAnsi="Times New Roman" w:eastAsia="宋体"/>
                <w:color w:val="auto"/>
                <w:kern w:val="0"/>
                <w:sz w:val="24"/>
                <w:highlight w:val="none"/>
              </w:rPr>
              <w:t>，</w:t>
            </w:r>
            <w:r>
              <w:rPr>
                <w:rFonts w:hint="eastAsia" w:ascii="Times New Roman" w:hAnsi="Times New Roman" w:eastAsia="宋体"/>
                <w:color w:val="auto"/>
                <w:kern w:val="0"/>
                <w:sz w:val="24"/>
                <w:highlight w:val="none"/>
                <w:lang w:val="en-US" w:eastAsia="zh-CN"/>
              </w:rPr>
              <w:t>本项目</w:t>
            </w:r>
            <w:r>
              <w:rPr>
                <w:rFonts w:hint="eastAsia" w:ascii="Times New Roman" w:hAnsi="Times New Roman" w:eastAsia="宋体"/>
                <w:color w:val="auto"/>
                <w:kern w:val="0"/>
                <w:sz w:val="24"/>
                <w:highlight w:val="none"/>
              </w:rPr>
              <w:t>无组织颗粒物</w:t>
            </w:r>
            <w:r>
              <w:rPr>
                <w:rFonts w:hint="eastAsia" w:ascii="Times New Roman" w:hAnsi="Times New Roman" w:eastAsia="宋体"/>
                <w:color w:val="auto"/>
                <w:kern w:val="0"/>
                <w:sz w:val="24"/>
                <w:highlight w:val="none"/>
                <w:lang w:val="en-US" w:eastAsia="zh-CN"/>
              </w:rPr>
              <w:t>总</w:t>
            </w:r>
            <w:r>
              <w:rPr>
                <w:rFonts w:hint="eastAsia" w:ascii="Times New Roman" w:hAnsi="Times New Roman" w:eastAsia="宋体"/>
                <w:color w:val="auto"/>
                <w:kern w:val="0"/>
                <w:sz w:val="24"/>
                <w:highlight w:val="none"/>
              </w:rPr>
              <w:t>排放速率为</w:t>
            </w:r>
            <w:r>
              <w:rPr>
                <w:rFonts w:hint="eastAsia" w:ascii="Times New Roman" w:hAnsi="Times New Roman"/>
                <w:color w:val="auto"/>
                <w:kern w:val="0"/>
                <w:sz w:val="24"/>
                <w:highlight w:val="none"/>
                <w:lang w:val="en-US" w:eastAsia="zh-CN"/>
              </w:rPr>
              <w:t>10.3792</w:t>
            </w:r>
            <w:r>
              <w:rPr>
                <w:rFonts w:hint="eastAsia" w:ascii="Times New Roman" w:hAnsi="Times New Roman" w:eastAsia="宋体"/>
                <w:color w:val="auto"/>
                <w:kern w:val="0"/>
                <w:sz w:val="24"/>
                <w:highlight w:val="none"/>
              </w:rPr>
              <w:t>kg/h</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lang w:val="en-US" w:eastAsia="zh-CN"/>
              </w:rPr>
              <w:t>本项目</w:t>
            </w:r>
            <w:r>
              <w:rPr>
                <w:rFonts w:hint="eastAsia" w:ascii="Times New Roman" w:hAnsi="Times New Roman" w:eastAsia="宋体" w:cs="Times New Roman"/>
                <w:b w:val="0"/>
                <w:bCs w:val="0"/>
                <w:color w:val="auto"/>
                <w:sz w:val="24"/>
                <w:szCs w:val="24"/>
                <w:highlight w:val="none"/>
                <w:lang w:val="en-US" w:eastAsia="zh-CN"/>
              </w:rPr>
              <w:t>无组织颗粒物排放浓度采用“环安科技在线模型计算平台”中的“Aerscreen模型”预测总厂界无组织排放浓度，预测结果取最大值进行分析，具体详见下表</w:t>
            </w:r>
            <w:r>
              <w:rPr>
                <w:rFonts w:hint="eastAsia" w:ascii="Times New Roman" w:hAnsi="Times New Roman" w:eastAsia="宋体" w:cs="宋体"/>
                <w:b w:val="0"/>
                <w:bCs w:val="0"/>
                <w:color w:val="auto"/>
                <w:sz w:val="24"/>
                <w:szCs w:val="24"/>
                <w:highlight w:val="none"/>
                <w:lang w:val="en-US" w:eastAsia="zh-CN"/>
              </w:rPr>
              <w:t>。</w:t>
            </w:r>
          </w:p>
          <w:p w14:paraId="5F330A2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US" w:eastAsia="zh-CN"/>
              </w:rPr>
            </w:pPr>
            <w:r>
              <w:rPr>
                <w:rFonts w:hint="eastAsia" w:ascii="Times New Roman" w:hAnsi="Times New Roman" w:eastAsia="宋体" w:cs="Times New Roman"/>
                <w:b/>
                <w:color w:val="auto"/>
                <w:kern w:val="24"/>
                <w:sz w:val="24"/>
                <w:szCs w:val="24"/>
                <w:highlight w:val="none"/>
                <w:lang w:val="en-US" w:eastAsia="zh-CN"/>
              </w:rPr>
              <w:t>表4.2.1-6   厂界无组织废气预测结果汇总表</w:t>
            </w:r>
          </w:p>
          <w:tbl>
            <w:tblPr>
              <w:tblStyle w:val="36"/>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172"/>
              <w:gridCol w:w="2028"/>
              <w:gridCol w:w="2107"/>
              <w:gridCol w:w="1798"/>
            </w:tblGrid>
            <w:tr w14:paraId="6612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shd w:val="clear" w:color="auto" w:fill="D7D7D7"/>
                  <w:noWrap w:val="0"/>
                  <w:vAlign w:val="center"/>
                </w:tcPr>
                <w:p w14:paraId="07EB027E">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序号</w:t>
                  </w:r>
                </w:p>
              </w:tc>
              <w:tc>
                <w:tcPr>
                  <w:tcW w:w="1172" w:type="dxa"/>
                  <w:shd w:val="clear" w:color="auto" w:fill="D7D7D7"/>
                  <w:noWrap w:val="0"/>
                  <w:vAlign w:val="center"/>
                </w:tcPr>
                <w:p w14:paraId="2C2D14DD">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方位</w:t>
                  </w:r>
                </w:p>
              </w:tc>
              <w:tc>
                <w:tcPr>
                  <w:tcW w:w="2028" w:type="dxa"/>
                  <w:shd w:val="clear" w:color="auto" w:fill="D7D7D7"/>
                  <w:noWrap w:val="0"/>
                  <w:vAlign w:val="center"/>
                </w:tcPr>
                <w:p w14:paraId="2ECCBA0E">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预测浓度（mg/m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vertAlign w:val="baseline"/>
                      <w:lang w:val="en-US" w:eastAsia="zh-CN"/>
                    </w:rPr>
                    <w:t>）</w:t>
                  </w:r>
                </w:p>
              </w:tc>
              <w:tc>
                <w:tcPr>
                  <w:tcW w:w="2107" w:type="dxa"/>
                  <w:shd w:val="clear" w:color="auto" w:fill="D7D7D7"/>
                  <w:noWrap w:val="0"/>
                  <w:vAlign w:val="center"/>
                </w:tcPr>
                <w:p w14:paraId="18BCDBD7">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标准限值（mg/m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vertAlign w:val="baseline"/>
                      <w:lang w:val="en-US" w:eastAsia="zh-CN"/>
                    </w:rPr>
                    <w:t>）</w:t>
                  </w:r>
                </w:p>
              </w:tc>
              <w:tc>
                <w:tcPr>
                  <w:tcW w:w="1798" w:type="dxa"/>
                  <w:shd w:val="clear" w:color="auto" w:fill="D7D7D7"/>
                  <w:noWrap w:val="0"/>
                  <w:vAlign w:val="center"/>
                </w:tcPr>
                <w:p w14:paraId="285A5699">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达标情况</w:t>
                  </w:r>
                </w:p>
              </w:tc>
            </w:tr>
            <w:tr w14:paraId="4EA7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noWrap w:val="0"/>
                  <w:vAlign w:val="center"/>
                </w:tcPr>
                <w:p w14:paraId="3A1DC90B">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1</w:t>
                  </w:r>
                </w:p>
              </w:tc>
              <w:tc>
                <w:tcPr>
                  <w:tcW w:w="1172" w:type="dxa"/>
                  <w:noWrap w:val="0"/>
                  <w:vAlign w:val="center"/>
                </w:tcPr>
                <w:p w14:paraId="455AC420">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厂界东</w:t>
                  </w:r>
                </w:p>
              </w:tc>
              <w:tc>
                <w:tcPr>
                  <w:tcW w:w="2028" w:type="dxa"/>
                  <w:noWrap w:val="0"/>
                  <w:vAlign w:val="center"/>
                </w:tcPr>
                <w:p w14:paraId="4F28F593">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color w:val="auto"/>
                      <w:highlight w:val="none"/>
                      <w:vertAlign w:val="baseline"/>
                      <w:lang w:val="en-US" w:eastAsia="zh-CN"/>
                    </w:rPr>
                    <w:t>0.</w:t>
                  </w:r>
                  <w:r>
                    <w:rPr>
                      <w:rFonts w:hint="eastAsia"/>
                      <w:color w:val="auto"/>
                      <w:highlight w:val="none"/>
                      <w:vertAlign w:val="baseline"/>
                      <w:lang w:val="en-US" w:eastAsia="zh-CN"/>
                    </w:rPr>
                    <w:t>8523</w:t>
                  </w:r>
                </w:p>
              </w:tc>
              <w:tc>
                <w:tcPr>
                  <w:tcW w:w="2107" w:type="dxa"/>
                  <w:vMerge w:val="restart"/>
                  <w:noWrap w:val="0"/>
                  <w:vAlign w:val="center"/>
                </w:tcPr>
                <w:p w14:paraId="56E2D79E">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1.0</w:t>
                  </w:r>
                </w:p>
              </w:tc>
              <w:tc>
                <w:tcPr>
                  <w:tcW w:w="1798" w:type="dxa"/>
                  <w:noWrap w:val="0"/>
                  <w:vAlign w:val="center"/>
                </w:tcPr>
                <w:p w14:paraId="4ABEA60C">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达标</w:t>
                  </w:r>
                </w:p>
              </w:tc>
            </w:tr>
            <w:tr w14:paraId="21A2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noWrap w:val="0"/>
                  <w:vAlign w:val="center"/>
                </w:tcPr>
                <w:p w14:paraId="43EA2ACB">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2</w:t>
                  </w:r>
                </w:p>
              </w:tc>
              <w:tc>
                <w:tcPr>
                  <w:tcW w:w="1172" w:type="dxa"/>
                  <w:noWrap w:val="0"/>
                  <w:vAlign w:val="center"/>
                </w:tcPr>
                <w:p w14:paraId="1DD00A78">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厂界南</w:t>
                  </w:r>
                </w:p>
              </w:tc>
              <w:tc>
                <w:tcPr>
                  <w:tcW w:w="2028" w:type="dxa"/>
                  <w:noWrap w:val="0"/>
                  <w:vAlign w:val="center"/>
                </w:tcPr>
                <w:p w14:paraId="400386F1">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color w:val="auto"/>
                      <w:highlight w:val="none"/>
                      <w:vertAlign w:val="baseline"/>
                      <w:lang w:val="en-US" w:eastAsia="zh-CN"/>
                    </w:rPr>
                    <w:t>0.</w:t>
                  </w:r>
                  <w:r>
                    <w:rPr>
                      <w:rFonts w:hint="eastAsia"/>
                      <w:color w:val="auto"/>
                      <w:highlight w:val="none"/>
                      <w:vertAlign w:val="baseline"/>
                      <w:lang w:val="en-US" w:eastAsia="zh-CN"/>
                    </w:rPr>
                    <w:t>7837</w:t>
                  </w:r>
                </w:p>
              </w:tc>
              <w:tc>
                <w:tcPr>
                  <w:tcW w:w="2107" w:type="dxa"/>
                  <w:vMerge w:val="continue"/>
                  <w:noWrap w:val="0"/>
                  <w:vAlign w:val="center"/>
                </w:tcPr>
                <w:p w14:paraId="5A749D3F">
                  <w:pPr>
                    <w:jc w:val="center"/>
                    <w:rPr>
                      <w:rFonts w:hint="default" w:ascii="Times New Roman" w:hAnsi="Times New Roman" w:eastAsia="宋体"/>
                      <w:color w:val="auto"/>
                      <w:highlight w:val="none"/>
                      <w:vertAlign w:val="baseline"/>
                      <w:lang w:val="en-US" w:eastAsia="zh-CN"/>
                    </w:rPr>
                  </w:pPr>
                </w:p>
              </w:tc>
              <w:tc>
                <w:tcPr>
                  <w:tcW w:w="1798" w:type="dxa"/>
                  <w:noWrap w:val="0"/>
                  <w:vAlign w:val="center"/>
                </w:tcPr>
                <w:p w14:paraId="02AE615A">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达标</w:t>
                  </w:r>
                </w:p>
              </w:tc>
            </w:tr>
            <w:tr w14:paraId="086F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noWrap w:val="0"/>
                  <w:vAlign w:val="center"/>
                </w:tcPr>
                <w:p w14:paraId="4515D9C9">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3</w:t>
                  </w:r>
                </w:p>
              </w:tc>
              <w:tc>
                <w:tcPr>
                  <w:tcW w:w="1172" w:type="dxa"/>
                  <w:noWrap w:val="0"/>
                  <w:vAlign w:val="center"/>
                </w:tcPr>
                <w:p w14:paraId="197E5E8B">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厂界西</w:t>
                  </w:r>
                </w:p>
              </w:tc>
              <w:tc>
                <w:tcPr>
                  <w:tcW w:w="2028" w:type="dxa"/>
                  <w:noWrap w:val="0"/>
                  <w:vAlign w:val="center"/>
                </w:tcPr>
                <w:p w14:paraId="429ADADA">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color w:val="auto"/>
                      <w:highlight w:val="none"/>
                      <w:vertAlign w:val="baseline"/>
                      <w:lang w:val="en-US" w:eastAsia="zh-CN"/>
                    </w:rPr>
                    <w:t>0.</w:t>
                  </w:r>
                  <w:r>
                    <w:rPr>
                      <w:rFonts w:hint="eastAsia"/>
                      <w:color w:val="auto"/>
                      <w:highlight w:val="none"/>
                      <w:vertAlign w:val="baseline"/>
                      <w:lang w:val="en-US" w:eastAsia="zh-CN"/>
                    </w:rPr>
                    <w:t>9</w:t>
                  </w:r>
                  <w:r>
                    <w:rPr>
                      <w:rFonts w:hint="eastAsia" w:ascii="Times New Roman" w:hAnsi="Times New Roman"/>
                      <w:color w:val="auto"/>
                      <w:highlight w:val="none"/>
                      <w:vertAlign w:val="baseline"/>
                      <w:lang w:val="en-US" w:eastAsia="zh-CN"/>
                    </w:rPr>
                    <w:t>2</w:t>
                  </w:r>
                  <w:r>
                    <w:rPr>
                      <w:rFonts w:hint="eastAsia"/>
                      <w:color w:val="auto"/>
                      <w:highlight w:val="none"/>
                      <w:vertAlign w:val="baseline"/>
                      <w:lang w:val="en-US" w:eastAsia="zh-CN"/>
                    </w:rPr>
                    <w:t>12</w:t>
                  </w:r>
                </w:p>
              </w:tc>
              <w:tc>
                <w:tcPr>
                  <w:tcW w:w="2107" w:type="dxa"/>
                  <w:vMerge w:val="continue"/>
                  <w:noWrap w:val="0"/>
                  <w:vAlign w:val="center"/>
                </w:tcPr>
                <w:p w14:paraId="766E69BB">
                  <w:pPr>
                    <w:jc w:val="center"/>
                    <w:rPr>
                      <w:rFonts w:hint="default" w:ascii="Times New Roman" w:hAnsi="Times New Roman" w:eastAsia="宋体"/>
                      <w:color w:val="auto"/>
                      <w:highlight w:val="none"/>
                      <w:vertAlign w:val="baseline"/>
                      <w:lang w:val="en-US" w:eastAsia="zh-CN"/>
                    </w:rPr>
                  </w:pPr>
                </w:p>
              </w:tc>
              <w:tc>
                <w:tcPr>
                  <w:tcW w:w="1798" w:type="dxa"/>
                  <w:noWrap w:val="0"/>
                  <w:vAlign w:val="center"/>
                </w:tcPr>
                <w:p w14:paraId="13FEA6C5">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达标</w:t>
                  </w:r>
                </w:p>
              </w:tc>
            </w:tr>
            <w:tr w14:paraId="72D3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noWrap w:val="0"/>
                  <w:vAlign w:val="center"/>
                </w:tcPr>
                <w:p w14:paraId="15B06BCF">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4</w:t>
                  </w:r>
                </w:p>
              </w:tc>
              <w:tc>
                <w:tcPr>
                  <w:tcW w:w="1172" w:type="dxa"/>
                  <w:noWrap w:val="0"/>
                  <w:vAlign w:val="center"/>
                </w:tcPr>
                <w:p w14:paraId="70F6839F">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厂界北</w:t>
                  </w:r>
                </w:p>
              </w:tc>
              <w:tc>
                <w:tcPr>
                  <w:tcW w:w="2028" w:type="dxa"/>
                  <w:noWrap w:val="0"/>
                  <w:vAlign w:val="center"/>
                </w:tcPr>
                <w:p w14:paraId="1807C0C8">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color w:val="auto"/>
                      <w:highlight w:val="none"/>
                      <w:vertAlign w:val="baseline"/>
                      <w:lang w:val="en-US" w:eastAsia="zh-CN"/>
                    </w:rPr>
                    <w:t>0.</w:t>
                  </w:r>
                  <w:r>
                    <w:rPr>
                      <w:rFonts w:hint="eastAsia"/>
                      <w:color w:val="auto"/>
                      <w:highlight w:val="none"/>
                      <w:vertAlign w:val="baseline"/>
                      <w:lang w:val="en-US" w:eastAsia="zh-CN"/>
                    </w:rPr>
                    <w:t>9232</w:t>
                  </w:r>
                </w:p>
              </w:tc>
              <w:tc>
                <w:tcPr>
                  <w:tcW w:w="2107" w:type="dxa"/>
                  <w:vMerge w:val="continue"/>
                  <w:noWrap w:val="0"/>
                  <w:vAlign w:val="center"/>
                </w:tcPr>
                <w:p w14:paraId="5462638B">
                  <w:pPr>
                    <w:jc w:val="center"/>
                    <w:rPr>
                      <w:rFonts w:hint="default" w:ascii="Times New Roman" w:hAnsi="Times New Roman" w:eastAsia="宋体"/>
                      <w:color w:val="auto"/>
                      <w:highlight w:val="none"/>
                      <w:vertAlign w:val="baseline"/>
                      <w:lang w:val="en-US" w:eastAsia="zh-CN"/>
                    </w:rPr>
                  </w:pPr>
                </w:p>
              </w:tc>
              <w:tc>
                <w:tcPr>
                  <w:tcW w:w="1798" w:type="dxa"/>
                  <w:noWrap w:val="0"/>
                  <w:vAlign w:val="center"/>
                </w:tcPr>
                <w:p w14:paraId="45A285DE">
                  <w:pPr>
                    <w:jc w:val="center"/>
                    <w:rPr>
                      <w:rFonts w:hint="default" w:ascii="Times New Roman" w:hAnsi="Times New Roman" w:eastAsia="宋体"/>
                      <w:color w:val="auto"/>
                      <w:highlight w:val="none"/>
                      <w:vertAlign w:val="baseline"/>
                      <w:lang w:val="en-US" w:eastAsia="zh-CN"/>
                    </w:rPr>
                  </w:pPr>
                  <w:r>
                    <w:rPr>
                      <w:rFonts w:hint="eastAsia" w:ascii="Times New Roman" w:hAnsi="Times New Roman" w:eastAsia="宋体"/>
                      <w:color w:val="auto"/>
                      <w:highlight w:val="none"/>
                      <w:vertAlign w:val="baseline"/>
                      <w:lang w:val="en-US" w:eastAsia="zh-CN"/>
                    </w:rPr>
                    <w:t>达标</w:t>
                  </w:r>
                </w:p>
              </w:tc>
            </w:tr>
          </w:tbl>
          <w:p w14:paraId="483CF563">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ascii="Times New Roman" w:hAnsi="Times New Roman" w:eastAsia="宋体"/>
                <w:color w:val="auto"/>
                <w:sz w:val="24"/>
                <w:highlight w:val="none"/>
              </w:rPr>
            </w:pPr>
            <w:r>
              <w:rPr>
                <w:rFonts w:hint="eastAsia" w:ascii="Times New Roman" w:hAnsi="Times New Roman" w:eastAsia="宋体" w:cs="宋体"/>
                <w:b w:val="0"/>
                <w:bCs w:val="0"/>
                <w:color w:val="auto"/>
                <w:sz w:val="24"/>
                <w:szCs w:val="24"/>
                <w:highlight w:val="none"/>
                <w:lang w:val="en-US" w:eastAsia="zh-CN"/>
              </w:rPr>
              <w:t>由上表可知，</w:t>
            </w:r>
            <w:r>
              <w:rPr>
                <w:rFonts w:hint="eastAsia" w:ascii="Times New Roman" w:hAnsi="Times New Roman" w:eastAsia="宋体"/>
                <w:color w:val="auto"/>
                <w:sz w:val="24"/>
                <w:highlight w:val="none"/>
              </w:rPr>
              <w:t>无组织排放的颗粒物厂界可满足</w:t>
            </w:r>
            <w:r>
              <w:rPr>
                <w:rFonts w:hint="eastAsia" w:ascii="Times New Roman" w:hAnsi="Times New Roman" w:cs="Times New Roman" w:eastAsiaTheme="minorEastAsia"/>
                <w:color w:val="auto"/>
                <w:sz w:val="24"/>
                <w:highlight w:val="none"/>
                <w:lang w:val="en-US" w:eastAsia="zh-CN"/>
              </w:rPr>
              <w:t>《铁矿采选工业污染物排放标准》（</w:t>
            </w:r>
            <w:r>
              <w:rPr>
                <w:rFonts w:hint="default" w:ascii="Times New Roman" w:hAnsi="Times New Roman" w:cs="Times New Roman" w:eastAsiaTheme="minorEastAsia"/>
                <w:color w:val="auto"/>
                <w:sz w:val="24"/>
                <w:highlight w:val="none"/>
                <w:lang w:val="en-US" w:eastAsia="zh-CN"/>
              </w:rPr>
              <w:t>GB</w:t>
            </w:r>
            <w:r>
              <w:rPr>
                <w:rFonts w:hint="eastAsia" w:ascii="Times New Roman" w:hAnsi="Times New Roman" w:cs="Times New Roman" w:eastAsiaTheme="minorEastAsia"/>
                <w:color w:val="auto"/>
                <w:sz w:val="24"/>
                <w:highlight w:val="none"/>
                <w:lang w:val="en-US" w:eastAsia="zh-CN"/>
              </w:rPr>
              <w:t>28661</w:t>
            </w:r>
            <w:r>
              <w:rPr>
                <w:rFonts w:hint="default" w:ascii="Times New Roman" w:hAnsi="Times New Roman" w:cs="Times New Roman" w:eastAsiaTheme="minorEastAsia"/>
                <w:color w:val="auto"/>
                <w:sz w:val="24"/>
                <w:highlight w:val="none"/>
                <w:lang w:val="en-US" w:eastAsia="zh-CN"/>
              </w:rPr>
              <w:t>-</w:t>
            </w:r>
            <w:r>
              <w:rPr>
                <w:rFonts w:hint="eastAsia" w:ascii="Times New Roman" w:hAnsi="Times New Roman" w:cs="Times New Roman" w:eastAsiaTheme="minorEastAsia"/>
                <w:color w:val="auto"/>
                <w:sz w:val="24"/>
                <w:highlight w:val="none"/>
                <w:lang w:val="en-US" w:eastAsia="zh-CN"/>
              </w:rPr>
              <w:t>2021</w:t>
            </w:r>
            <w:r>
              <w:rPr>
                <w:rFonts w:hint="default" w:ascii="Times New Roman" w:hAnsi="Times New Roman" w:cs="Times New Roman" w:eastAsiaTheme="minorEastAsia"/>
                <w:color w:val="auto"/>
                <w:sz w:val="24"/>
                <w:highlight w:val="none"/>
                <w:lang w:val="en-US" w:eastAsia="zh-CN"/>
              </w:rPr>
              <w:t>）</w:t>
            </w:r>
            <w:r>
              <w:rPr>
                <w:rFonts w:ascii="Times New Roman" w:hAnsi="Times New Roman" w:eastAsia="宋体"/>
                <w:color w:val="auto"/>
                <w:sz w:val="24"/>
                <w:highlight w:val="none"/>
              </w:rPr>
              <w:t>表</w:t>
            </w:r>
            <w:r>
              <w:rPr>
                <w:rFonts w:hint="eastAsia" w:ascii="Times New Roman" w:hAnsi="Times New Roman" w:eastAsia="宋体"/>
                <w:color w:val="auto"/>
                <w:sz w:val="24"/>
                <w:highlight w:val="none"/>
                <w:lang w:val="en-US" w:eastAsia="zh-CN"/>
              </w:rPr>
              <w:t>7</w:t>
            </w:r>
            <w:r>
              <w:rPr>
                <w:rFonts w:ascii="Times New Roman" w:hAnsi="Times New Roman" w:eastAsia="宋体"/>
                <w:color w:val="auto"/>
                <w:sz w:val="24"/>
                <w:highlight w:val="none"/>
              </w:rPr>
              <w:t>标准</w:t>
            </w:r>
            <w:r>
              <w:rPr>
                <w:rFonts w:hint="eastAsia" w:ascii="Times New Roman" w:hAnsi="Times New Roman" w:eastAsia="宋体"/>
                <w:color w:val="auto"/>
                <w:sz w:val="24"/>
                <w:highlight w:val="none"/>
              </w:rPr>
              <w:t>中无组织排放监控浓度限值（≤</w:t>
            </w:r>
            <w:r>
              <w:rPr>
                <w:rFonts w:ascii="Times New Roman" w:hAnsi="Times New Roman" w:eastAsia="宋体"/>
                <w:color w:val="auto"/>
                <w:sz w:val="24"/>
                <w:highlight w:val="none"/>
              </w:rPr>
              <w:t>1.0</w:t>
            </w:r>
            <w:r>
              <w:rPr>
                <w:rFonts w:hint="eastAsia" w:ascii="Times New Roman" w:hAnsi="Times New Roman" w:eastAsia="宋体"/>
                <w:color w:val="auto"/>
                <w:sz w:val="24"/>
                <w:highlight w:val="none"/>
              </w:rPr>
              <w:t>mg</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w:t>
            </w:r>
            <w:r>
              <w:rPr>
                <w:rFonts w:ascii="Times New Roman" w:hAnsi="Times New Roman" w:eastAsia="宋体"/>
                <w:color w:val="auto"/>
                <w:sz w:val="24"/>
                <w:highlight w:val="none"/>
              </w:rPr>
              <w:t>项目</w:t>
            </w:r>
            <w:r>
              <w:rPr>
                <w:rFonts w:hint="eastAsia" w:ascii="Times New Roman" w:hAnsi="Times New Roman" w:eastAsia="宋体"/>
                <w:color w:val="auto"/>
                <w:sz w:val="24"/>
                <w:highlight w:val="none"/>
              </w:rPr>
              <w:t>无组织粉尘排放量较少</w:t>
            </w:r>
            <w:r>
              <w:rPr>
                <w:rFonts w:ascii="Times New Roman" w:hAnsi="Times New Roman" w:eastAsia="宋体"/>
                <w:color w:val="auto"/>
                <w:sz w:val="24"/>
                <w:highlight w:val="none"/>
              </w:rPr>
              <w:t>，生产过</w:t>
            </w:r>
            <w:r>
              <w:rPr>
                <w:rFonts w:hint="eastAsia"/>
                <w:color w:val="auto"/>
                <w:sz w:val="24"/>
                <w:highlight w:val="none"/>
                <w:lang w:eastAsia="zh-CN"/>
              </w:rPr>
              <w:t>程中</w:t>
            </w:r>
            <w:r>
              <w:rPr>
                <w:rFonts w:ascii="Times New Roman" w:hAnsi="Times New Roman" w:eastAsia="宋体"/>
                <w:color w:val="auto"/>
                <w:sz w:val="24"/>
                <w:highlight w:val="none"/>
              </w:rPr>
              <w:t>产生的</w:t>
            </w:r>
            <w:r>
              <w:rPr>
                <w:rFonts w:hint="eastAsia" w:ascii="Times New Roman" w:hAnsi="Times New Roman" w:eastAsia="宋体"/>
                <w:color w:val="auto"/>
                <w:sz w:val="24"/>
                <w:highlight w:val="none"/>
              </w:rPr>
              <w:t>颗粒物</w:t>
            </w:r>
            <w:r>
              <w:rPr>
                <w:rFonts w:ascii="Times New Roman" w:hAnsi="Times New Roman" w:eastAsia="宋体"/>
                <w:color w:val="auto"/>
                <w:sz w:val="24"/>
                <w:highlight w:val="none"/>
              </w:rPr>
              <w:t>经空气自然稀释后对区域大气环境影响较小。</w:t>
            </w:r>
          </w:p>
          <w:p w14:paraId="1365055F">
            <w:pPr>
              <w:pStyle w:val="70"/>
              <w:ind w:firstLine="482"/>
              <w:rPr>
                <w:rFonts w:hint="default" w:ascii="Times New Roman" w:hAnsi="Times New Roman" w:eastAsia="宋体" w:cs="宋体"/>
                <w:b/>
                <w:bCs/>
                <w:color w:val="auto"/>
                <w:highlight w:val="none"/>
                <w:lang w:val="en-US" w:eastAsia="zh-CN"/>
              </w:rPr>
            </w:pPr>
            <w:r>
              <w:rPr>
                <w:rFonts w:hint="eastAsia" w:ascii="Times New Roman" w:hAnsi="Times New Roman" w:eastAsia="宋体" w:cs="宋体"/>
                <w:b/>
                <w:bCs/>
                <w:color w:val="auto"/>
                <w:highlight w:val="none"/>
                <w:lang w:eastAsia="zh-CN"/>
              </w:rPr>
              <w:t>（</w:t>
            </w:r>
            <w:r>
              <w:rPr>
                <w:rFonts w:hint="eastAsia" w:ascii="Times New Roman" w:hAnsi="Times New Roman" w:eastAsia="宋体" w:cs="宋体"/>
                <w:b/>
                <w:bCs/>
                <w:color w:val="auto"/>
                <w:highlight w:val="none"/>
                <w:lang w:val="en-US" w:eastAsia="zh-CN"/>
              </w:rPr>
              <w:t>3</w:t>
            </w:r>
            <w:r>
              <w:rPr>
                <w:rFonts w:hint="eastAsia" w:ascii="Times New Roman" w:hAnsi="Times New Roman" w:eastAsia="宋体" w:cs="宋体"/>
                <w:b/>
                <w:bCs/>
                <w:color w:val="auto"/>
                <w:highlight w:val="none"/>
                <w:lang w:eastAsia="zh-CN"/>
              </w:rPr>
              <w:t>）</w:t>
            </w:r>
            <w:r>
              <w:rPr>
                <w:rFonts w:hint="eastAsia" w:ascii="Times New Roman" w:hAnsi="Times New Roman" w:eastAsia="宋体" w:cs="宋体"/>
                <w:b/>
                <w:bCs/>
                <w:color w:val="auto"/>
                <w:highlight w:val="none"/>
                <w:lang w:val="en-US" w:eastAsia="zh-CN"/>
              </w:rPr>
              <w:t>运输扬尘分析</w:t>
            </w:r>
          </w:p>
          <w:p w14:paraId="1CF1988D">
            <w:pPr>
              <w:pStyle w:val="70"/>
              <w:ind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为防止运输过程产生的扬尘对周边环境的影响，本次环评建议采取以下防治措施：</w:t>
            </w:r>
          </w:p>
          <w:p w14:paraId="2D1C71E9">
            <w:pPr>
              <w:pStyle w:val="70"/>
              <w:ind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w:t>
            </w:r>
            <w:r>
              <w:rPr>
                <w:rFonts w:hint="eastAsia" w:ascii="Times New Roman" w:hAnsi="Times New Roman" w:eastAsia="宋体" w:cs="宋体"/>
                <w:color w:val="auto"/>
                <w:highlight w:val="none"/>
              </w:rPr>
              <w:t>运输车辆装载高度最高点不得超过车辆槽帮上沿40厘米，两侧边缘应当低于槽帮上缘10厘米，车斗应采用苫布覆盖，苫布边缘至少要遮住槽帮上沿以下15厘米，禁止露天转运散装物料；</w:t>
            </w:r>
          </w:p>
          <w:p w14:paraId="607864E9">
            <w:pPr>
              <w:pStyle w:val="70"/>
              <w:ind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2）</w:t>
            </w:r>
            <w:r>
              <w:rPr>
                <w:rFonts w:hint="eastAsia" w:ascii="Times New Roman" w:hAnsi="Times New Roman" w:eastAsia="宋体" w:cs="宋体"/>
                <w:color w:val="auto"/>
                <w:highlight w:val="none"/>
              </w:rPr>
              <w:t>配备专人对厂区及入厂道路定期清扫，防止积尘，采用管道洒水的方式对厂内运输道路进行洒水降尘，每天至少洒水4次，以降低扬尘污染；</w:t>
            </w:r>
          </w:p>
          <w:p w14:paraId="755D9426">
            <w:pPr>
              <w:pStyle w:val="70"/>
              <w:ind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车辆运输时</w:t>
            </w:r>
            <w:r>
              <w:rPr>
                <w:rFonts w:hint="eastAsia" w:ascii="Times New Roman" w:hAnsi="Times New Roman" w:cs="宋体"/>
                <w:color w:val="auto"/>
                <w:highlight w:val="none"/>
                <w:lang w:eastAsia="zh-CN"/>
              </w:rPr>
              <w:t>需</w:t>
            </w:r>
            <w:r>
              <w:rPr>
                <w:rFonts w:hint="eastAsia" w:ascii="Times New Roman" w:hAnsi="Times New Roman" w:eastAsia="宋体" w:cs="宋体"/>
                <w:color w:val="auto"/>
                <w:highlight w:val="none"/>
              </w:rPr>
              <w:t>加强管理，限制超载，限制车速，以减轻路面扬尘对运输道路环境的影响；低速行驶，不得超载运输。</w:t>
            </w:r>
          </w:p>
          <w:p w14:paraId="53AA0E43">
            <w:pPr>
              <w:pStyle w:val="70"/>
              <w:ind w:firstLine="482"/>
              <w:rPr>
                <w:rFonts w:ascii="Times New Roman" w:hAnsi="Times New Roman" w:eastAsia="宋体"/>
                <w:b/>
                <w:bCs/>
                <w:color w:val="auto"/>
                <w:highlight w:val="none"/>
              </w:rPr>
            </w:pPr>
            <w:r>
              <w:rPr>
                <w:rFonts w:hint="eastAsia" w:ascii="Times New Roman" w:hAnsi="Times New Roman" w:eastAsia="宋体"/>
                <w:b/>
                <w:bCs/>
                <w:color w:val="auto"/>
                <w:highlight w:val="none"/>
              </w:rPr>
              <w:t>（</w:t>
            </w:r>
            <w:r>
              <w:rPr>
                <w:rFonts w:hint="eastAsia" w:ascii="Times New Roman" w:hAnsi="Times New Roman"/>
                <w:b/>
                <w:bCs/>
                <w:color w:val="auto"/>
                <w:highlight w:val="none"/>
                <w:lang w:val="en-US" w:eastAsia="zh-CN"/>
              </w:rPr>
              <w:t>4</w:t>
            </w:r>
            <w:r>
              <w:rPr>
                <w:rFonts w:hint="eastAsia" w:ascii="Times New Roman" w:hAnsi="Times New Roman" w:eastAsia="宋体"/>
                <w:b/>
                <w:bCs/>
                <w:color w:val="auto"/>
                <w:highlight w:val="none"/>
              </w:rPr>
              <w:t>）非正常排放影响分析</w:t>
            </w:r>
          </w:p>
          <w:p w14:paraId="1DFB640E">
            <w:pPr>
              <w:pStyle w:val="70"/>
              <w:ind w:firstLine="480"/>
              <w:rPr>
                <w:rFonts w:hint="default" w:ascii="Times New Roman" w:hAnsi="Times New Roman" w:eastAsia="宋体"/>
                <w:color w:val="auto"/>
                <w:highlight w:val="none"/>
                <w:lang w:val="en-US" w:eastAsia="zh-CN"/>
              </w:rPr>
            </w:pPr>
            <w:r>
              <w:rPr>
                <w:rFonts w:hint="eastAsia" w:ascii="Times New Roman" w:hAnsi="Times New Roman" w:eastAsia="宋体" w:cs="宋体"/>
                <w:color w:val="auto"/>
                <w:highlight w:val="none"/>
              </w:rPr>
              <w:t>项目非正常情况考虑</w:t>
            </w:r>
            <w:r>
              <w:rPr>
                <w:rFonts w:hint="eastAsia" w:ascii="Times New Roman" w:hAnsi="Times New Roman" w:eastAsia="宋体" w:cs="宋体"/>
                <w:color w:val="auto"/>
                <w:highlight w:val="none"/>
                <w:lang w:eastAsia="zh-CN"/>
              </w:rPr>
              <w:t>：</w:t>
            </w:r>
            <w:r>
              <w:rPr>
                <w:rFonts w:hint="eastAsia" w:ascii="Times New Roman" w:hAnsi="Times New Roman" w:cs="宋体"/>
                <w:color w:val="auto"/>
                <w:highlight w:val="none"/>
                <w:lang w:val="en-US" w:eastAsia="zh-CN"/>
              </w:rPr>
              <w:t>铁矿石破碎筛分</w:t>
            </w:r>
            <w:r>
              <w:rPr>
                <w:rFonts w:hint="eastAsia" w:ascii="Times New Roman" w:hAnsi="Times New Roman" w:eastAsia="宋体"/>
                <w:color w:val="auto"/>
                <w:highlight w:val="none"/>
              </w:rPr>
              <w:t>废气通过</w:t>
            </w:r>
            <w:r>
              <w:rPr>
                <w:rFonts w:hint="eastAsia" w:ascii="Times New Roman" w:hAnsi="Times New Roman"/>
                <w:color w:val="auto"/>
                <w:highlight w:val="none"/>
                <w:lang w:eastAsia="zh-CN"/>
              </w:rPr>
              <w:t>“</w:t>
            </w:r>
            <w:r>
              <w:rPr>
                <w:rFonts w:hint="eastAsia" w:ascii="Times New Roman" w:hAnsi="Times New Roman" w:eastAsia="宋体"/>
                <w:color w:val="auto"/>
                <w:highlight w:val="none"/>
                <w:lang w:val="en-US" w:eastAsia="zh-CN"/>
              </w:rPr>
              <w:t>集气罩</w:t>
            </w:r>
            <w:r>
              <w:rPr>
                <w:rFonts w:hint="eastAsia" w:ascii="Times New Roman" w:hAnsi="Times New Roman" w:eastAsia="宋体"/>
                <w:color w:val="auto"/>
                <w:highlight w:val="none"/>
              </w:rPr>
              <w:t>+袋式除尘（</w:t>
            </w:r>
            <w:r>
              <w:rPr>
                <w:rFonts w:hint="eastAsia" w:ascii="Times New Roman" w:hAnsi="Times New Roman" w:eastAsia="宋体"/>
                <w:color w:val="auto"/>
                <w:sz w:val="24"/>
                <w:highlight w:val="none"/>
                <w:vertAlign w:val="baseline"/>
                <w:lang w:val="en-US" w:eastAsia="zh-CN"/>
              </w:rPr>
              <w:t>TA001、TA002、TA003</w:t>
            </w:r>
            <w:r>
              <w:rPr>
                <w:rFonts w:hint="eastAsia" w:ascii="Times New Roman" w:hAnsi="Times New Roman" w:eastAsia="宋体"/>
                <w:color w:val="auto"/>
                <w:highlight w:val="none"/>
              </w:rPr>
              <w:t>）</w:t>
            </w:r>
            <w:r>
              <w:rPr>
                <w:rFonts w:hint="eastAsia" w:ascii="Times New Roman" w:hAnsi="Times New Roman"/>
                <w:color w:val="auto"/>
                <w:highlight w:val="none"/>
                <w:lang w:eastAsia="zh-CN"/>
              </w:rPr>
              <w:t>”</w:t>
            </w:r>
            <w:r>
              <w:rPr>
                <w:rFonts w:ascii="Times New Roman" w:hAnsi="Times New Roman" w:eastAsia="宋体"/>
                <w:color w:val="auto"/>
                <w:highlight w:val="none"/>
              </w:rPr>
              <w:t>装置</w:t>
            </w:r>
            <w:r>
              <w:rPr>
                <w:rFonts w:hint="eastAsia" w:ascii="Times New Roman" w:hAnsi="Times New Roman" w:eastAsia="宋体"/>
                <w:color w:val="auto"/>
                <w:highlight w:val="none"/>
              </w:rPr>
              <w:t>处理，</w:t>
            </w:r>
            <w:r>
              <w:rPr>
                <w:rFonts w:hint="eastAsia" w:ascii="Times New Roman" w:hAnsi="Times New Roman" w:eastAsia="宋体"/>
                <w:color w:val="auto"/>
                <w:highlight w:val="none"/>
                <w:lang w:val="en-US" w:eastAsia="zh-CN"/>
              </w:rPr>
              <w:t>布袋发生破损，</w:t>
            </w:r>
            <w:r>
              <w:rPr>
                <w:rFonts w:hint="eastAsia" w:ascii="Times New Roman" w:hAnsi="Times New Roman" w:eastAsia="宋体"/>
                <w:color w:val="auto"/>
                <w:highlight w:val="none"/>
              </w:rPr>
              <w:t>颗粒物去除效率由</w:t>
            </w:r>
            <w:r>
              <w:rPr>
                <w:rFonts w:hint="eastAsia" w:ascii="Times New Roman" w:hAnsi="Times New Roman" w:eastAsia="宋体"/>
                <w:color w:val="auto"/>
                <w:highlight w:val="none"/>
                <w:lang w:val="en-US" w:eastAsia="zh-CN"/>
              </w:rPr>
              <w:t>99</w:t>
            </w:r>
            <w:r>
              <w:rPr>
                <w:rFonts w:hint="eastAsia" w:ascii="Times New Roman" w:hAnsi="Times New Roman" w:eastAsia="宋体"/>
                <w:color w:val="auto"/>
                <w:highlight w:val="none"/>
              </w:rPr>
              <w:t>%下降至</w:t>
            </w:r>
            <w:r>
              <w:rPr>
                <w:rFonts w:hint="eastAsia" w:ascii="Times New Roman" w:hAnsi="Times New Roman"/>
                <w:color w:val="auto"/>
                <w:highlight w:val="none"/>
                <w:lang w:val="en-US" w:eastAsia="zh-CN"/>
              </w:rPr>
              <w:t>90</w:t>
            </w:r>
            <w:r>
              <w:rPr>
                <w:rFonts w:hint="eastAsia" w:ascii="Times New Roman" w:hAnsi="Times New Roman" w:eastAsia="宋体"/>
                <w:color w:val="auto"/>
                <w:highlight w:val="none"/>
              </w:rPr>
              <w:t>%。</w:t>
            </w:r>
            <w:r>
              <w:rPr>
                <w:rFonts w:hint="eastAsia" w:ascii="Times New Roman" w:hAnsi="Times New Roman"/>
                <w:color w:val="auto"/>
                <w:highlight w:val="none"/>
                <w:lang w:val="en-US" w:eastAsia="zh-CN"/>
              </w:rPr>
              <w:t>由于项目</w:t>
            </w:r>
            <w:r>
              <w:rPr>
                <w:rFonts w:hint="eastAsia" w:ascii="Times New Roman" w:hAnsi="Times New Roman" w:eastAsia="宋体"/>
                <w:color w:val="auto"/>
                <w:sz w:val="24"/>
                <w:szCs w:val="24"/>
                <w:highlight w:val="none"/>
                <w:lang w:val="en-US" w:eastAsia="zh-CN"/>
              </w:rPr>
              <w:t>每条生产线设置</w:t>
            </w:r>
            <w:r>
              <w:rPr>
                <w:rFonts w:hint="eastAsia" w:ascii="Times New Roman" w:hAnsi="Times New Roman"/>
                <w:color w:val="auto"/>
                <w:sz w:val="24"/>
                <w:szCs w:val="24"/>
                <w:highlight w:val="none"/>
                <w:lang w:val="en-US" w:eastAsia="zh-CN"/>
              </w:rPr>
              <w:t>一套除尘设备，并配套1根16m高的排气筒，3套除尘设备同时出现非正常排放情况的概率极低，故本次评价设定其中一套设备出现非正常排放的情况进行核算：</w:t>
            </w:r>
          </w:p>
          <w:p w14:paraId="60F74A3D">
            <w:pPr>
              <w:pStyle w:val="70"/>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非正常废气排放源强如下表。</w:t>
            </w:r>
          </w:p>
          <w:p w14:paraId="6DAB3B0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highlight w:val="none"/>
                <w:lang w:val="en-US" w:eastAsia="zh-CN"/>
              </w:rPr>
            </w:pPr>
            <w:r>
              <w:rPr>
                <w:rFonts w:hint="eastAsia" w:ascii="Times New Roman" w:hAnsi="Times New Roman" w:eastAsia="宋体" w:cs="Times New Roman"/>
                <w:b/>
                <w:color w:val="auto"/>
                <w:kern w:val="24"/>
                <w:sz w:val="24"/>
                <w:szCs w:val="24"/>
                <w:highlight w:val="none"/>
                <w:lang w:val="en-US" w:eastAsia="zh-CN"/>
              </w:rPr>
              <w:t>表4.2.1-7   本项目运营期废气非正常排放情况一览表</w:t>
            </w:r>
          </w:p>
          <w:tbl>
            <w:tblPr>
              <w:tblStyle w:val="35"/>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333"/>
              <w:gridCol w:w="958"/>
              <w:gridCol w:w="602"/>
              <w:gridCol w:w="1134"/>
              <w:gridCol w:w="1276"/>
              <w:gridCol w:w="992"/>
              <w:gridCol w:w="850"/>
              <w:gridCol w:w="645"/>
            </w:tblGrid>
            <w:tr w14:paraId="1854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dxa"/>
                  <w:shd w:val="clear" w:color="auto" w:fill="D9D9D9"/>
                  <w:noWrap w:val="0"/>
                  <w:vAlign w:val="center"/>
                </w:tcPr>
                <w:p w14:paraId="1C943AFE">
                  <w:pPr>
                    <w:adjustRightInd w:val="0"/>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序号</w:t>
                  </w:r>
                </w:p>
              </w:tc>
              <w:tc>
                <w:tcPr>
                  <w:tcW w:w="1333" w:type="dxa"/>
                  <w:shd w:val="clear" w:color="auto" w:fill="D9D9D9"/>
                  <w:noWrap w:val="0"/>
                  <w:vAlign w:val="center"/>
                </w:tcPr>
                <w:p w14:paraId="03E11B8C">
                  <w:pPr>
                    <w:adjustRightInd w:val="0"/>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非正常排放源</w:t>
                  </w:r>
                </w:p>
              </w:tc>
              <w:tc>
                <w:tcPr>
                  <w:tcW w:w="958" w:type="dxa"/>
                  <w:shd w:val="clear" w:color="auto" w:fill="D9D9D9"/>
                  <w:noWrap w:val="0"/>
                  <w:vAlign w:val="center"/>
                </w:tcPr>
                <w:p w14:paraId="4F63706E">
                  <w:pPr>
                    <w:adjustRightInd w:val="0"/>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非正常排放原因</w:t>
                  </w:r>
                </w:p>
              </w:tc>
              <w:tc>
                <w:tcPr>
                  <w:tcW w:w="602" w:type="dxa"/>
                  <w:shd w:val="clear" w:color="auto" w:fill="D9D9D9"/>
                  <w:noWrap w:val="0"/>
                  <w:vAlign w:val="center"/>
                </w:tcPr>
                <w:p w14:paraId="79B533EF">
                  <w:pPr>
                    <w:adjustRightInd w:val="0"/>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污染物</w:t>
                  </w:r>
                </w:p>
              </w:tc>
              <w:tc>
                <w:tcPr>
                  <w:tcW w:w="1134" w:type="dxa"/>
                  <w:shd w:val="clear" w:color="auto" w:fill="D9D9D9"/>
                  <w:noWrap w:val="0"/>
                  <w:vAlign w:val="center"/>
                </w:tcPr>
                <w:p w14:paraId="5596359E">
                  <w:pPr>
                    <w:adjustRightInd w:val="0"/>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非正常排放速率（kg</w:t>
                  </w:r>
                  <w:r>
                    <w:rPr>
                      <w:rFonts w:ascii="Times New Roman" w:hAnsi="Times New Roman" w:eastAsia="宋体" w:cs="宋体"/>
                      <w:color w:val="auto"/>
                      <w:sz w:val="18"/>
                      <w:szCs w:val="18"/>
                      <w:highlight w:val="none"/>
                    </w:rPr>
                    <w:t>/h</w:t>
                  </w:r>
                  <w:r>
                    <w:rPr>
                      <w:rFonts w:hint="eastAsia" w:ascii="Times New Roman" w:hAnsi="Times New Roman" w:eastAsia="宋体" w:cs="宋体"/>
                      <w:color w:val="auto"/>
                      <w:sz w:val="18"/>
                      <w:szCs w:val="18"/>
                      <w:highlight w:val="none"/>
                    </w:rPr>
                    <w:t>）</w:t>
                  </w:r>
                </w:p>
              </w:tc>
              <w:tc>
                <w:tcPr>
                  <w:tcW w:w="1276" w:type="dxa"/>
                  <w:shd w:val="clear" w:color="auto" w:fill="D9D9D9"/>
                  <w:noWrap w:val="0"/>
                  <w:vAlign w:val="center"/>
                </w:tcPr>
                <w:p w14:paraId="18F6698E">
                  <w:pPr>
                    <w:adjustRightInd w:val="0"/>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非正常排放浓度（mg</w:t>
                  </w:r>
                  <w:r>
                    <w:rPr>
                      <w:rFonts w:ascii="Times New Roman" w:hAnsi="Times New Roman" w:eastAsia="宋体" w:cs="宋体"/>
                      <w:color w:val="auto"/>
                      <w:sz w:val="18"/>
                      <w:szCs w:val="18"/>
                      <w:highlight w:val="none"/>
                    </w:rPr>
                    <w:t>/</w:t>
                  </w:r>
                  <w:r>
                    <w:rPr>
                      <w:rFonts w:hint="eastAsia" w:ascii="Times New Roman" w:hAnsi="Times New Roman" w:eastAsia="宋体" w:cs="宋体"/>
                      <w:color w:val="auto"/>
                      <w:sz w:val="18"/>
                      <w:szCs w:val="18"/>
                      <w:highlight w:val="none"/>
                    </w:rPr>
                    <w:t>m</w:t>
                  </w:r>
                  <w:r>
                    <w:rPr>
                      <w:rFonts w:ascii="Times New Roman" w:hAnsi="Times New Roman" w:eastAsia="宋体" w:cs="宋体"/>
                      <w:color w:val="auto"/>
                      <w:sz w:val="18"/>
                      <w:szCs w:val="18"/>
                      <w:highlight w:val="none"/>
                      <w:vertAlign w:val="superscript"/>
                    </w:rPr>
                    <w:t>3</w:t>
                  </w:r>
                  <w:r>
                    <w:rPr>
                      <w:rFonts w:hint="eastAsia" w:ascii="Times New Roman" w:hAnsi="Times New Roman" w:eastAsia="宋体" w:cs="宋体"/>
                      <w:color w:val="auto"/>
                      <w:sz w:val="18"/>
                      <w:szCs w:val="18"/>
                      <w:highlight w:val="none"/>
                    </w:rPr>
                    <w:t>）</w:t>
                  </w:r>
                </w:p>
              </w:tc>
              <w:tc>
                <w:tcPr>
                  <w:tcW w:w="992" w:type="dxa"/>
                  <w:shd w:val="clear" w:color="auto" w:fill="D9D9D9"/>
                  <w:noWrap w:val="0"/>
                  <w:vAlign w:val="center"/>
                </w:tcPr>
                <w:p w14:paraId="054F7A58">
                  <w:pPr>
                    <w:adjustRightInd w:val="0"/>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单次持续时间（h）</w:t>
                  </w:r>
                </w:p>
              </w:tc>
              <w:tc>
                <w:tcPr>
                  <w:tcW w:w="850" w:type="dxa"/>
                  <w:shd w:val="clear" w:color="auto" w:fill="D9D9D9"/>
                  <w:noWrap w:val="0"/>
                  <w:vAlign w:val="center"/>
                </w:tcPr>
                <w:p w14:paraId="5F38728A">
                  <w:pPr>
                    <w:adjustRightInd w:val="0"/>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年发生频次/次</w:t>
                  </w:r>
                </w:p>
              </w:tc>
              <w:tc>
                <w:tcPr>
                  <w:tcW w:w="645" w:type="dxa"/>
                  <w:shd w:val="clear" w:color="auto" w:fill="D9D9D9"/>
                  <w:noWrap w:val="0"/>
                  <w:vAlign w:val="center"/>
                </w:tcPr>
                <w:p w14:paraId="077D92A1">
                  <w:pPr>
                    <w:adjustRightInd w:val="0"/>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达标情况</w:t>
                  </w:r>
                </w:p>
              </w:tc>
            </w:tr>
            <w:tr w14:paraId="42AA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dxa"/>
                  <w:noWrap w:val="0"/>
                  <w:vAlign w:val="center"/>
                </w:tcPr>
                <w:p w14:paraId="3BF817B7">
                  <w:pPr>
                    <w:adjustRightInd w:val="0"/>
                    <w:snapToGrid w:val="0"/>
                    <w:jc w:val="center"/>
                    <w:rPr>
                      <w:rFonts w:hint="eastAsia"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1</w:t>
                  </w:r>
                </w:p>
              </w:tc>
              <w:tc>
                <w:tcPr>
                  <w:tcW w:w="1333" w:type="dxa"/>
                  <w:noWrap w:val="0"/>
                  <w:vAlign w:val="center"/>
                </w:tcPr>
                <w:p w14:paraId="18A1119A">
                  <w:pPr>
                    <w:adjustRightInd w:val="0"/>
                    <w:snapToGrid w:val="0"/>
                    <w:jc w:val="center"/>
                    <w:rPr>
                      <w:rFonts w:hint="default" w:ascii="Times New Roman" w:hAnsi="Times New Roman" w:eastAsia="宋体" w:cs="宋体"/>
                      <w:color w:val="auto"/>
                      <w:sz w:val="18"/>
                      <w:szCs w:val="18"/>
                      <w:highlight w:val="none"/>
                      <w:lang w:val="en-US"/>
                    </w:rPr>
                  </w:pPr>
                  <w:r>
                    <w:rPr>
                      <w:rFonts w:hint="eastAsia" w:ascii="Times New Roman" w:hAnsi="Times New Roman" w:cs="宋体"/>
                      <w:color w:val="auto"/>
                      <w:sz w:val="18"/>
                      <w:szCs w:val="18"/>
                      <w:highlight w:val="none"/>
                      <w:lang w:val="en-US" w:eastAsia="zh-CN"/>
                    </w:rPr>
                    <w:t>第一生产线</w:t>
                  </w:r>
                </w:p>
              </w:tc>
              <w:tc>
                <w:tcPr>
                  <w:tcW w:w="958" w:type="dxa"/>
                  <w:noWrap w:val="0"/>
                  <w:vAlign w:val="center"/>
                </w:tcPr>
                <w:p w14:paraId="4D47C8F5">
                  <w:pPr>
                    <w:adjustRightInd w:val="0"/>
                    <w:snapToGrid w:val="0"/>
                    <w:jc w:val="center"/>
                    <w:rPr>
                      <w:rFonts w:hint="eastAsia"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袋式除尘器破损</w:t>
                  </w:r>
                </w:p>
              </w:tc>
              <w:tc>
                <w:tcPr>
                  <w:tcW w:w="602" w:type="dxa"/>
                  <w:noWrap w:val="0"/>
                  <w:vAlign w:val="center"/>
                </w:tcPr>
                <w:p w14:paraId="565F6511">
                  <w:pPr>
                    <w:adjustRightInd w:val="0"/>
                    <w:snapToGrid w:val="0"/>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val="en-US" w:eastAsia="zh-CN"/>
                    </w:rPr>
                    <w:t>颗粒物</w:t>
                  </w:r>
                </w:p>
              </w:tc>
              <w:tc>
                <w:tcPr>
                  <w:tcW w:w="1134" w:type="dxa"/>
                  <w:noWrap w:val="0"/>
                  <w:vAlign w:val="center"/>
                </w:tcPr>
                <w:p w14:paraId="05EA4ED0">
                  <w:pPr>
                    <w:adjustRightInd w:val="0"/>
                    <w:snapToGrid w:val="0"/>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9.9</w:t>
                  </w:r>
                </w:p>
              </w:tc>
              <w:tc>
                <w:tcPr>
                  <w:tcW w:w="1276" w:type="dxa"/>
                  <w:noWrap w:val="0"/>
                  <w:vAlign w:val="center"/>
                </w:tcPr>
                <w:p w14:paraId="07D1814D">
                  <w:pPr>
                    <w:adjustRightInd w:val="0"/>
                    <w:snapToGrid w:val="0"/>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128.57</w:t>
                  </w:r>
                </w:p>
              </w:tc>
              <w:tc>
                <w:tcPr>
                  <w:tcW w:w="992" w:type="dxa"/>
                  <w:noWrap w:val="0"/>
                  <w:vAlign w:val="center"/>
                </w:tcPr>
                <w:p w14:paraId="4609B6D1">
                  <w:pPr>
                    <w:adjustRightInd w:val="0"/>
                    <w:snapToGrid w:val="0"/>
                    <w:jc w:val="center"/>
                    <w:rPr>
                      <w:rFonts w:hint="eastAsia"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1</w:t>
                  </w:r>
                </w:p>
              </w:tc>
              <w:tc>
                <w:tcPr>
                  <w:tcW w:w="850" w:type="dxa"/>
                  <w:noWrap w:val="0"/>
                  <w:vAlign w:val="center"/>
                </w:tcPr>
                <w:p w14:paraId="120CC18D">
                  <w:pPr>
                    <w:adjustRightInd w:val="0"/>
                    <w:snapToGrid w:val="0"/>
                    <w:jc w:val="center"/>
                    <w:rPr>
                      <w:rFonts w:hint="eastAsia"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2</w:t>
                  </w:r>
                </w:p>
              </w:tc>
              <w:tc>
                <w:tcPr>
                  <w:tcW w:w="645" w:type="dxa"/>
                  <w:noWrap w:val="0"/>
                  <w:vAlign w:val="center"/>
                </w:tcPr>
                <w:p w14:paraId="42CF9389">
                  <w:pPr>
                    <w:adjustRightInd w:val="0"/>
                    <w:snapToGrid w:val="0"/>
                    <w:jc w:val="center"/>
                    <w:rPr>
                      <w:rFonts w:hint="eastAsia" w:ascii="Times New Roman" w:hAnsi="Times New Roman" w:eastAsia="宋体" w:cs="宋体"/>
                      <w:color w:val="auto"/>
                      <w:sz w:val="18"/>
                      <w:szCs w:val="18"/>
                      <w:highlight w:val="none"/>
                      <w:lang w:eastAsia="zh-CN"/>
                    </w:rPr>
                  </w:pPr>
                  <w:r>
                    <w:rPr>
                      <w:rFonts w:hint="eastAsia" w:ascii="Times New Roman" w:hAnsi="Times New Roman" w:cs="宋体"/>
                      <w:color w:val="auto"/>
                      <w:sz w:val="18"/>
                      <w:szCs w:val="18"/>
                      <w:highlight w:val="none"/>
                      <w:lang w:val="en-US" w:eastAsia="zh-CN"/>
                    </w:rPr>
                    <w:t>超标</w:t>
                  </w:r>
                </w:p>
              </w:tc>
            </w:tr>
          </w:tbl>
          <w:p w14:paraId="6F690763">
            <w:pPr>
              <w:pStyle w:val="70"/>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rPr>
              <w:t>由上表可知，项目废气非正常排放（废气处理设施失效）情况下，</w:t>
            </w:r>
            <w:r>
              <w:rPr>
                <w:rFonts w:hint="eastAsia" w:ascii="Times New Roman" w:hAnsi="Times New Roman" w:eastAsia="宋体" w:cs="宋体"/>
                <w:color w:val="auto"/>
                <w:highlight w:val="none"/>
                <w:lang w:val="en-US" w:eastAsia="zh-CN"/>
              </w:rPr>
              <w:t>项目第一生产线颗粒物排放浓度严重超标，较正常情况下排放量增加较大。</w:t>
            </w:r>
            <w:r>
              <w:rPr>
                <w:rFonts w:hint="eastAsia" w:ascii="Times New Roman" w:hAnsi="Times New Roman" w:eastAsia="宋体" w:cs="宋体"/>
                <w:color w:val="auto"/>
                <w:highlight w:val="none"/>
              </w:rPr>
              <w:t>项目应委派专人对废气处理装置进行定期维护，并记录其运行状态，保证废气处理设施的正常运行，从而减少非正常排放的情况。非项目正常工况下，项目废气不能达标排放，当出现非正常排放时，建设单位要及时停止生产，对设备关停检修，杜绝废气非正常排放的发生，尽量控制对周围环境的影响。为避免非正常工况，应对废气处理设施进行日常检查及定期维护。</w:t>
            </w:r>
          </w:p>
          <w:p w14:paraId="0FCDC32C">
            <w:pPr>
              <w:pStyle w:val="70"/>
              <w:ind w:firstLine="482"/>
              <w:rPr>
                <w:rFonts w:ascii="Times New Roman" w:hAnsi="Times New Roman" w:eastAsia="宋体"/>
                <w:b/>
                <w:bCs/>
                <w:color w:val="auto"/>
                <w:highlight w:val="none"/>
              </w:rPr>
            </w:pPr>
            <w:r>
              <w:rPr>
                <w:rFonts w:hint="eastAsia" w:ascii="Times New Roman" w:hAnsi="Times New Roman" w:eastAsia="宋体"/>
                <w:b/>
                <w:bCs/>
                <w:color w:val="auto"/>
                <w:highlight w:val="none"/>
              </w:rPr>
              <w:t>（</w:t>
            </w:r>
            <w:r>
              <w:rPr>
                <w:rFonts w:hint="eastAsia" w:ascii="Times New Roman" w:hAnsi="Times New Roman"/>
                <w:b/>
                <w:bCs/>
                <w:color w:val="auto"/>
                <w:highlight w:val="none"/>
                <w:lang w:val="en-US" w:eastAsia="zh-CN"/>
              </w:rPr>
              <w:t>5</w:t>
            </w:r>
            <w:r>
              <w:rPr>
                <w:rFonts w:hint="eastAsia" w:ascii="Times New Roman" w:hAnsi="Times New Roman" w:eastAsia="宋体"/>
                <w:b/>
                <w:bCs/>
                <w:color w:val="auto"/>
                <w:highlight w:val="none"/>
              </w:rPr>
              <w:t>）废气治理措施可行性分析</w:t>
            </w:r>
          </w:p>
          <w:p w14:paraId="11718514">
            <w:pPr>
              <w:pStyle w:val="70"/>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rPr>
              <w:t>项目</w:t>
            </w:r>
            <w:r>
              <w:rPr>
                <w:rFonts w:hint="eastAsia" w:ascii="Times New Roman" w:hAnsi="Times New Roman" w:eastAsia="宋体" w:cs="宋体"/>
                <w:color w:val="auto"/>
                <w:highlight w:val="none"/>
                <w:lang w:val="en-US" w:eastAsia="zh-CN"/>
              </w:rPr>
              <w:t>3条生产线破碎筛分</w:t>
            </w:r>
            <w:r>
              <w:rPr>
                <w:rFonts w:hint="eastAsia" w:ascii="Times New Roman" w:hAnsi="Times New Roman" w:eastAsia="宋体" w:cs="宋体"/>
                <w:color w:val="auto"/>
                <w:highlight w:val="none"/>
              </w:rPr>
              <w:t>过程中产生的废气污染物</w:t>
            </w:r>
            <w:r>
              <w:rPr>
                <w:rFonts w:hint="eastAsia" w:ascii="Times New Roman" w:hAnsi="Times New Roman" w:eastAsia="宋体" w:cs="宋体"/>
                <w:color w:val="auto"/>
                <w:highlight w:val="none"/>
                <w:lang w:val="en-US" w:eastAsia="zh-CN"/>
              </w:rPr>
              <w:t>分别通过</w:t>
            </w:r>
            <w:r>
              <w:rPr>
                <w:rFonts w:hint="eastAsia" w:ascii="Times New Roman" w:hAnsi="Times New Roman" w:eastAsia="宋体" w:cs="宋体"/>
                <w:color w:val="auto"/>
                <w:highlight w:val="none"/>
              </w:rPr>
              <w:t>“袋式除尘”装置</w:t>
            </w:r>
            <w:r>
              <w:rPr>
                <w:rFonts w:hint="eastAsia" w:ascii="Times New Roman" w:hAnsi="Times New Roman" w:eastAsia="宋体" w:cs="宋体"/>
                <w:color w:val="auto"/>
                <w:highlight w:val="none"/>
                <w:lang w:val="en-US" w:eastAsia="zh-CN"/>
              </w:rPr>
              <w:t>（TA001、TA002、TA003）</w:t>
            </w:r>
            <w:r>
              <w:rPr>
                <w:rFonts w:hint="eastAsia" w:ascii="Times New Roman" w:hAnsi="Times New Roman" w:eastAsia="宋体" w:cs="宋体"/>
                <w:color w:val="auto"/>
                <w:highlight w:val="none"/>
              </w:rPr>
              <w:t>处理</w:t>
            </w:r>
            <w:r>
              <w:rPr>
                <w:rFonts w:hint="eastAsia" w:ascii="Times New Roman" w:hAnsi="Times New Roman" w:eastAsia="宋体" w:cs="宋体"/>
                <w:color w:val="auto"/>
                <w:highlight w:val="none"/>
                <w:lang w:val="en-US" w:eastAsia="zh-CN"/>
              </w:rPr>
              <w:t>后，分别经DA001、DA002、DA003排气筒排放。</w:t>
            </w:r>
            <w:r>
              <w:rPr>
                <w:rFonts w:hint="eastAsia" w:ascii="Times New Roman" w:hAnsi="Times New Roman" w:eastAsia="宋体" w:cs="宋体"/>
                <w:color w:val="auto"/>
                <w:highlight w:val="none"/>
              </w:rPr>
              <w:t>本项目的废气治理设施采用排污许可证申请与核发技术规范推荐的“可行技术”，废气均能够实现达标排放。</w:t>
            </w:r>
          </w:p>
          <w:p w14:paraId="058DA62D">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本项目无对应行业的排污许可证申请与核发技术规范，参照</w:t>
            </w:r>
            <w:r>
              <w:rPr>
                <w:rFonts w:hint="eastAsia" w:ascii="Times New Roman" w:hAnsi="Times New Roman" w:cs="Times New Roman"/>
                <w:bCs/>
                <w:color w:val="auto"/>
                <w:sz w:val="24"/>
                <w:highlight w:val="none"/>
                <w:lang w:val="en-US" w:eastAsia="zh-CN"/>
              </w:rPr>
              <w:t>《排污许可证申请与核发技术规范 钢铁工业》（HJ846-2017）</w:t>
            </w:r>
            <w:r>
              <w:rPr>
                <w:rFonts w:hint="default" w:ascii="Times New Roman" w:hAnsi="Times New Roman" w:eastAsia="宋体" w:cs="Times New Roman"/>
                <w:bCs/>
                <w:color w:val="auto"/>
                <w:sz w:val="24"/>
                <w:highlight w:val="none"/>
                <w:lang w:val="en-US" w:eastAsia="zh-CN"/>
              </w:rPr>
              <w:t>表</w:t>
            </w:r>
            <w:r>
              <w:rPr>
                <w:rFonts w:hint="eastAsia" w:ascii="Times New Roman" w:hAnsi="Times New Roman" w:eastAsia="宋体" w:cs="Times New Roman"/>
                <w:bCs/>
                <w:color w:val="auto"/>
                <w:sz w:val="24"/>
                <w:highlight w:val="none"/>
                <w:lang w:val="en-US" w:eastAsia="zh-CN"/>
              </w:rPr>
              <w:t>6钢铁工业排污单位</w:t>
            </w:r>
            <w:r>
              <w:rPr>
                <w:rFonts w:hint="default" w:ascii="Times New Roman" w:hAnsi="Times New Roman" w:eastAsia="宋体" w:cs="Times New Roman"/>
                <w:bCs/>
                <w:color w:val="auto"/>
                <w:sz w:val="24"/>
                <w:highlight w:val="none"/>
                <w:lang w:val="en-US" w:eastAsia="zh-CN"/>
              </w:rPr>
              <w:t>废气可行技术</w:t>
            </w:r>
            <w:r>
              <w:rPr>
                <w:rFonts w:hint="eastAsia" w:ascii="Times New Roman" w:hAnsi="Times New Roman" w:eastAsia="宋体" w:cs="Times New Roman"/>
                <w:bCs/>
                <w:color w:val="auto"/>
                <w:sz w:val="24"/>
                <w:highlight w:val="none"/>
                <w:lang w:val="en-US" w:eastAsia="zh-CN"/>
              </w:rPr>
              <w:t>参照表中原料系统</w:t>
            </w:r>
            <w:r>
              <w:rPr>
                <w:rFonts w:hint="default" w:ascii="Times New Roman" w:hAnsi="Times New Roman" w:eastAsia="宋体" w:cs="Times New Roman"/>
                <w:bCs/>
                <w:color w:val="auto"/>
                <w:sz w:val="24"/>
                <w:highlight w:val="none"/>
                <w:lang w:val="en-US" w:eastAsia="zh-CN"/>
              </w:rPr>
              <w:t>进行分析</w:t>
            </w:r>
            <w:r>
              <w:rPr>
                <w:rFonts w:hint="eastAsia" w:ascii="Times New Roman" w:hAnsi="Times New Roman" w:eastAsia="宋体" w:cs="Times New Roman"/>
                <w:bCs/>
                <w:color w:val="auto"/>
                <w:sz w:val="24"/>
                <w:highlight w:val="none"/>
                <w:lang w:val="en-US" w:eastAsia="zh-CN"/>
              </w:rPr>
              <w:t>，详见下表</w:t>
            </w:r>
            <w:r>
              <w:rPr>
                <w:rFonts w:hint="default" w:ascii="Times New Roman" w:hAnsi="Times New Roman" w:eastAsia="宋体" w:cs="Times New Roman"/>
                <w:bCs/>
                <w:color w:val="auto"/>
                <w:sz w:val="24"/>
                <w:highlight w:val="none"/>
                <w:lang w:val="en-US" w:eastAsia="zh-CN"/>
              </w:rPr>
              <w:t>。</w:t>
            </w:r>
          </w:p>
          <w:p w14:paraId="6998AB5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b/>
                <w:color w:val="auto"/>
                <w:kern w:val="24"/>
                <w:sz w:val="24"/>
                <w:szCs w:val="24"/>
                <w:highlight w:val="none"/>
                <w:lang w:val="en-US" w:eastAsia="zh-CN"/>
              </w:rPr>
            </w:pPr>
            <w:r>
              <w:rPr>
                <w:rFonts w:hint="default" w:ascii="Times New Roman" w:hAnsi="Times New Roman" w:eastAsia="宋体" w:cs="Times New Roman"/>
                <w:b/>
                <w:color w:val="auto"/>
                <w:kern w:val="24"/>
                <w:sz w:val="24"/>
                <w:szCs w:val="24"/>
                <w:highlight w:val="none"/>
                <w:lang w:val="en-US" w:eastAsia="zh-CN"/>
              </w:rPr>
              <w:t>表4</w:t>
            </w:r>
            <w:r>
              <w:rPr>
                <w:rFonts w:hint="eastAsia" w:ascii="Times New Roman" w:hAnsi="Times New Roman" w:eastAsia="宋体" w:cs="Times New Roman"/>
                <w:b/>
                <w:color w:val="auto"/>
                <w:kern w:val="24"/>
                <w:sz w:val="24"/>
                <w:szCs w:val="24"/>
                <w:highlight w:val="none"/>
                <w:lang w:val="en-US" w:eastAsia="zh-CN"/>
              </w:rPr>
              <w:t>.2.1</w:t>
            </w:r>
            <w:r>
              <w:rPr>
                <w:rFonts w:hint="default" w:ascii="Times New Roman" w:hAnsi="Times New Roman" w:eastAsia="宋体" w:cs="Times New Roman"/>
                <w:b/>
                <w:color w:val="auto"/>
                <w:kern w:val="24"/>
                <w:sz w:val="24"/>
                <w:szCs w:val="24"/>
                <w:highlight w:val="none"/>
                <w:lang w:val="en-US" w:eastAsia="zh-CN"/>
              </w:rPr>
              <w:t>-</w:t>
            </w:r>
            <w:r>
              <w:rPr>
                <w:rFonts w:hint="eastAsia" w:ascii="Times New Roman" w:hAnsi="Times New Roman" w:eastAsia="宋体" w:cs="Times New Roman"/>
                <w:b/>
                <w:color w:val="auto"/>
                <w:kern w:val="24"/>
                <w:sz w:val="24"/>
                <w:szCs w:val="24"/>
                <w:highlight w:val="none"/>
                <w:lang w:val="en-US" w:eastAsia="zh-CN"/>
              </w:rPr>
              <w:t xml:space="preserve">8   </w:t>
            </w:r>
            <w:r>
              <w:rPr>
                <w:rFonts w:hint="default" w:ascii="Times New Roman" w:hAnsi="Times New Roman" w:eastAsia="宋体" w:cs="Times New Roman"/>
                <w:b/>
                <w:color w:val="auto"/>
                <w:kern w:val="24"/>
                <w:sz w:val="24"/>
                <w:szCs w:val="24"/>
                <w:highlight w:val="none"/>
                <w:lang w:val="en-US" w:eastAsia="zh-CN"/>
              </w:rPr>
              <w:t>项目废气污染防治措施的可</w:t>
            </w:r>
            <w:r>
              <w:rPr>
                <w:rFonts w:hint="eastAsia" w:cs="Times New Roman"/>
                <w:b/>
                <w:color w:val="auto"/>
                <w:kern w:val="24"/>
                <w:sz w:val="24"/>
                <w:szCs w:val="24"/>
                <w:highlight w:val="none"/>
                <w:lang w:val="en-US" w:eastAsia="zh-CN"/>
              </w:rPr>
              <w:t>行性</w:t>
            </w:r>
            <w:r>
              <w:rPr>
                <w:rFonts w:hint="default" w:ascii="Times New Roman" w:hAnsi="Times New Roman" w:eastAsia="宋体" w:cs="Times New Roman"/>
                <w:b/>
                <w:color w:val="auto"/>
                <w:kern w:val="24"/>
                <w:sz w:val="24"/>
                <w:szCs w:val="24"/>
                <w:highlight w:val="none"/>
                <w:lang w:val="en-US" w:eastAsia="zh-CN"/>
              </w:rPr>
              <w:t>对照表</w:t>
            </w:r>
          </w:p>
          <w:tbl>
            <w:tblPr>
              <w:tblStyle w:val="3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51"/>
              <w:gridCol w:w="826"/>
              <w:gridCol w:w="2860"/>
              <w:gridCol w:w="2066"/>
              <w:gridCol w:w="934"/>
            </w:tblGrid>
            <w:tr w14:paraId="2ABF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450" w:type="pct"/>
                  <w:shd w:val="clear" w:color="auto" w:fill="D7D7D7" w:themeFill="background1" w:themeFillShade="D8"/>
                  <w:noWrap w:val="0"/>
                  <w:vAlign w:val="center"/>
                </w:tcPr>
                <w:p w14:paraId="702FDB41">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生产单元</w:t>
                  </w:r>
                </w:p>
              </w:tc>
              <w:tc>
                <w:tcPr>
                  <w:tcW w:w="459" w:type="pct"/>
                  <w:shd w:val="clear" w:color="auto" w:fill="D7D7D7" w:themeFill="background1" w:themeFillShade="D8"/>
                  <w:noWrap w:val="0"/>
                  <w:vAlign w:val="center"/>
                </w:tcPr>
                <w:p w14:paraId="1B01F741">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排放形式</w:t>
                  </w:r>
                </w:p>
              </w:tc>
              <w:tc>
                <w:tcPr>
                  <w:tcW w:w="505" w:type="pct"/>
                  <w:shd w:val="clear" w:color="auto" w:fill="D7D7D7" w:themeFill="background1" w:themeFillShade="D8"/>
                  <w:noWrap w:val="0"/>
                  <w:vAlign w:val="center"/>
                </w:tcPr>
                <w:p w14:paraId="122EC764">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污染物名称</w:t>
                  </w:r>
                </w:p>
              </w:tc>
              <w:tc>
                <w:tcPr>
                  <w:tcW w:w="1749" w:type="pct"/>
                  <w:shd w:val="clear" w:color="auto" w:fill="D7D7D7" w:themeFill="background1" w:themeFillShade="D8"/>
                  <w:noWrap w:val="0"/>
                  <w:vAlign w:val="center"/>
                </w:tcPr>
                <w:p w14:paraId="3E9FC586">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可行技术</w:t>
                  </w:r>
                </w:p>
              </w:tc>
              <w:tc>
                <w:tcPr>
                  <w:tcW w:w="1263" w:type="pct"/>
                  <w:shd w:val="clear" w:color="auto" w:fill="D7D7D7" w:themeFill="background1" w:themeFillShade="D8"/>
                  <w:noWrap w:val="0"/>
                  <w:vAlign w:val="center"/>
                </w:tcPr>
                <w:p w14:paraId="53DA22CE">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本项目拟建设情况</w:t>
                  </w:r>
                </w:p>
              </w:tc>
              <w:tc>
                <w:tcPr>
                  <w:tcW w:w="571" w:type="pct"/>
                  <w:shd w:val="clear" w:color="auto" w:fill="D7D7D7" w:themeFill="background1" w:themeFillShade="D8"/>
                  <w:noWrap w:val="0"/>
                  <w:vAlign w:val="center"/>
                </w:tcPr>
                <w:p w14:paraId="3A05D037">
                  <w:pPr>
                    <w:pStyle w:val="96"/>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olor w:val="auto"/>
                      <w:highlight w:val="none"/>
                      <w:vertAlign w:val="baseline"/>
                      <w:lang w:val="en-US" w:eastAsia="zh-CN"/>
                    </w:rPr>
                  </w:pPr>
                  <w:r>
                    <w:rPr>
                      <w:rFonts w:hint="eastAsia" w:ascii="Times New Roman" w:hAnsi="Times New Roman"/>
                      <w:color w:val="auto"/>
                      <w:highlight w:val="none"/>
                      <w:vertAlign w:val="baseline"/>
                      <w:lang w:val="en-US" w:eastAsia="zh-CN"/>
                    </w:rPr>
                    <w:t>是否为可行技术</w:t>
                  </w:r>
                </w:p>
              </w:tc>
            </w:tr>
            <w:tr w14:paraId="5AE3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noWrap w:val="0"/>
                  <w:vAlign w:val="center"/>
                </w:tcPr>
                <w:p w14:paraId="3445AB60">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原料系统中供卸料、其他</w:t>
                  </w:r>
                </w:p>
              </w:tc>
              <w:tc>
                <w:tcPr>
                  <w:tcW w:w="459" w:type="pct"/>
                  <w:noWrap w:val="0"/>
                  <w:vAlign w:val="center"/>
                </w:tcPr>
                <w:p w14:paraId="025EA9B7">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有组织</w:t>
                  </w:r>
                </w:p>
              </w:tc>
              <w:tc>
                <w:tcPr>
                  <w:tcW w:w="505" w:type="pct"/>
                  <w:vMerge w:val="restart"/>
                  <w:noWrap w:val="0"/>
                  <w:vAlign w:val="center"/>
                </w:tcPr>
                <w:p w14:paraId="60C11398">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颗粒物</w:t>
                  </w:r>
                </w:p>
              </w:tc>
              <w:tc>
                <w:tcPr>
                  <w:tcW w:w="1749" w:type="pct"/>
                  <w:noWrap w:val="0"/>
                  <w:vAlign w:val="center"/>
                </w:tcPr>
                <w:p w14:paraId="274214D7">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袋式除尘</w:t>
                  </w:r>
                </w:p>
              </w:tc>
              <w:tc>
                <w:tcPr>
                  <w:tcW w:w="1263" w:type="pct"/>
                  <w:noWrap w:val="0"/>
                  <w:vAlign w:val="center"/>
                </w:tcPr>
                <w:p w14:paraId="0E8A950F">
                  <w:pPr>
                    <w:pStyle w:val="96"/>
                    <w:keepNext w:val="0"/>
                    <w:keepLines w:val="0"/>
                    <w:pageBreakBefore w:val="0"/>
                    <w:widowControl w:val="0"/>
                    <w:kinsoku/>
                    <w:wordWrap/>
                    <w:overflowPunct/>
                    <w:topLinePunct/>
                    <w:autoSpaceDE/>
                    <w:autoSpaceDN/>
                    <w:bidi w:val="0"/>
                    <w:adjustRightInd w:val="0"/>
                    <w:snapToGrid w:val="0"/>
                    <w:ind w:firstLine="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集气罩</w:t>
                  </w:r>
                  <w:r>
                    <w:rPr>
                      <w:rFonts w:hint="default" w:ascii="Times New Roman" w:hAnsi="Times New Roman" w:eastAsia="Times New Roman"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密闭管道+</w:t>
                  </w:r>
                  <w:r>
                    <w:rPr>
                      <w:rFonts w:hint="default" w:ascii="Times New Roman" w:hAnsi="Times New Roman" w:eastAsia="宋体" w:cs="Times New Roman"/>
                      <w:color w:val="auto"/>
                      <w:sz w:val="21"/>
                      <w:szCs w:val="21"/>
                      <w:highlight w:val="none"/>
                    </w:rPr>
                    <w:t>布袋除尘器</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m高排气筒</w:t>
                  </w:r>
                </w:p>
              </w:tc>
              <w:tc>
                <w:tcPr>
                  <w:tcW w:w="571" w:type="pct"/>
                  <w:noWrap w:val="0"/>
                  <w:vAlign w:val="center"/>
                </w:tcPr>
                <w:p w14:paraId="5E6E5FA3">
                  <w:pPr>
                    <w:pStyle w:val="96"/>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olor w:val="auto"/>
                      <w:highlight w:val="none"/>
                      <w:vertAlign w:val="baseline"/>
                      <w:lang w:val="en-US" w:eastAsia="zh-CN"/>
                    </w:rPr>
                  </w:pPr>
                  <w:r>
                    <w:rPr>
                      <w:rFonts w:hint="eastAsia" w:ascii="Times New Roman" w:hAnsi="Times New Roman"/>
                      <w:color w:val="auto"/>
                      <w:highlight w:val="none"/>
                      <w:vertAlign w:val="baseline"/>
                      <w:lang w:val="en-US" w:eastAsia="zh-CN"/>
                    </w:rPr>
                    <w:t>是</w:t>
                  </w:r>
                </w:p>
              </w:tc>
            </w:tr>
            <w:tr w14:paraId="1625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14:paraId="6671F32D">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459" w:type="pct"/>
                  <w:noWrap w:val="0"/>
                  <w:vAlign w:val="center"/>
                </w:tcPr>
                <w:p w14:paraId="0571CE22">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无组织</w:t>
                  </w:r>
                </w:p>
              </w:tc>
              <w:tc>
                <w:tcPr>
                  <w:tcW w:w="505" w:type="pct"/>
                  <w:vMerge w:val="continue"/>
                  <w:noWrap w:val="0"/>
                  <w:vAlign w:val="center"/>
                </w:tcPr>
                <w:p w14:paraId="25C4D29D">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749" w:type="pct"/>
                  <w:noWrap w:val="0"/>
                  <w:vAlign w:val="center"/>
                </w:tcPr>
                <w:p w14:paraId="34525BC5">
                  <w:pPr>
                    <w:pStyle w:val="96"/>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1.防风抑尘网、封闭皮带、洒水抑尘、苫盖、喷洒抑尘剂、原料场出口配备车轮清洗（扫）装置；2.各产尘点配备有效的废气捕集装置；3.定期清扫，保持厂区整洁无积尘。</w:t>
                  </w:r>
                </w:p>
              </w:tc>
              <w:tc>
                <w:tcPr>
                  <w:tcW w:w="1263" w:type="pct"/>
                  <w:noWrap w:val="0"/>
                  <w:vAlign w:val="center"/>
                </w:tcPr>
                <w:p w14:paraId="3AD8F80A">
                  <w:pPr>
                    <w:pStyle w:val="96"/>
                    <w:keepNext w:val="0"/>
                    <w:keepLines w:val="0"/>
                    <w:pageBreakBefore w:val="0"/>
                    <w:widowControl w:val="0"/>
                    <w:kinsoku/>
                    <w:wordWrap/>
                    <w:overflowPunct/>
                    <w:topLinePunct/>
                    <w:autoSpaceDE/>
                    <w:autoSpaceDN/>
                    <w:bidi w:val="0"/>
                    <w:adjustRightInd w:val="0"/>
                    <w:snapToGrid w:val="0"/>
                    <w:ind w:firstLine="0"/>
                    <w:jc w:val="both"/>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原料、成品</w:t>
                  </w:r>
                  <w:r>
                    <w:rPr>
                      <w:rFonts w:hint="eastAsia" w:cs="Times New Roman"/>
                      <w:b w:val="0"/>
                      <w:bCs w:val="0"/>
                      <w:color w:val="auto"/>
                      <w:kern w:val="2"/>
                      <w:sz w:val="21"/>
                      <w:szCs w:val="21"/>
                      <w:highlight w:val="none"/>
                      <w:lang w:val="en-US" w:eastAsia="zh-CN" w:bidi="ar-SA"/>
                    </w:rPr>
                    <w:t>仓库</w:t>
                  </w:r>
                  <w:r>
                    <w:rPr>
                      <w:rFonts w:hint="eastAsia" w:ascii="Times New Roman" w:hAnsi="Times New Roman" w:eastAsia="宋体" w:cs="Times New Roman"/>
                      <w:b w:val="0"/>
                      <w:bCs w:val="0"/>
                      <w:color w:val="auto"/>
                      <w:kern w:val="2"/>
                      <w:sz w:val="21"/>
                      <w:szCs w:val="21"/>
                      <w:highlight w:val="none"/>
                      <w:lang w:val="en-US" w:eastAsia="zh-CN" w:bidi="ar-SA"/>
                    </w:rPr>
                    <w:t>堆放和生产设备全部设置在半敞开式</w:t>
                  </w:r>
                  <w:r>
                    <w:rPr>
                      <w:rFonts w:hint="eastAsia" w:cs="Times New Roman"/>
                      <w:b w:val="0"/>
                      <w:bCs w:val="0"/>
                      <w:color w:val="auto"/>
                      <w:kern w:val="2"/>
                      <w:sz w:val="21"/>
                      <w:szCs w:val="21"/>
                      <w:highlight w:val="none"/>
                      <w:lang w:val="en-US" w:eastAsia="zh-CN" w:bidi="ar-SA"/>
                    </w:rPr>
                    <w:t>堆料大棚</w:t>
                  </w:r>
                  <w:r>
                    <w:rPr>
                      <w:rFonts w:hint="eastAsia" w:ascii="Times New Roman" w:hAnsi="Times New Roman" w:eastAsia="宋体" w:cs="Times New Roman"/>
                      <w:b w:val="0"/>
                      <w:bCs w:val="0"/>
                      <w:color w:val="auto"/>
                      <w:kern w:val="2"/>
                      <w:sz w:val="21"/>
                      <w:szCs w:val="21"/>
                      <w:highlight w:val="none"/>
                      <w:lang w:val="en-US" w:eastAsia="zh-CN" w:bidi="ar-SA"/>
                    </w:rPr>
                    <w:t>内，并设置喷雾降尘，道路硬化并洒水降尘</w:t>
                  </w:r>
                </w:p>
              </w:tc>
              <w:tc>
                <w:tcPr>
                  <w:tcW w:w="571" w:type="pct"/>
                  <w:noWrap w:val="0"/>
                  <w:vAlign w:val="center"/>
                </w:tcPr>
                <w:p w14:paraId="0C245F80">
                  <w:pPr>
                    <w:pStyle w:val="96"/>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olor w:val="auto"/>
                      <w:highlight w:val="none"/>
                      <w:vertAlign w:val="baseline"/>
                      <w:lang w:val="en-US" w:eastAsia="zh-CN"/>
                    </w:rPr>
                  </w:pPr>
                  <w:r>
                    <w:rPr>
                      <w:rFonts w:hint="eastAsia" w:ascii="Times New Roman" w:hAnsi="Times New Roman"/>
                      <w:color w:val="auto"/>
                      <w:highlight w:val="none"/>
                      <w:vertAlign w:val="baseline"/>
                      <w:lang w:val="en-US" w:eastAsia="zh-CN"/>
                    </w:rPr>
                    <w:t>是</w:t>
                  </w:r>
                </w:p>
              </w:tc>
            </w:tr>
          </w:tbl>
          <w:p w14:paraId="58033343">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由上表可知</w:t>
            </w:r>
            <w:r>
              <w:rPr>
                <w:rFonts w:hint="default" w:ascii="Times New Roman" w:hAnsi="Times New Roman" w:eastAsia="宋体" w:cs="Times New Roman"/>
                <w:bCs/>
                <w:color w:val="auto"/>
                <w:sz w:val="24"/>
                <w:highlight w:val="none"/>
                <w:lang w:val="en-US" w:eastAsia="zh-CN"/>
              </w:rPr>
              <w:t>，项目废气处理</w:t>
            </w:r>
            <w:r>
              <w:rPr>
                <w:rFonts w:hint="eastAsia" w:ascii="Times New Roman" w:hAnsi="Times New Roman" w:eastAsia="宋体" w:cs="Times New Roman"/>
                <w:bCs/>
                <w:color w:val="auto"/>
                <w:sz w:val="24"/>
                <w:highlight w:val="none"/>
                <w:lang w:val="en-US" w:eastAsia="zh-CN"/>
              </w:rPr>
              <w:t>方式</w:t>
            </w:r>
            <w:r>
              <w:rPr>
                <w:rFonts w:hint="default" w:ascii="Times New Roman" w:hAnsi="Times New Roman" w:eastAsia="宋体" w:cs="Times New Roman"/>
                <w:bCs/>
                <w:color w:val="auto"/>
                <w:sz w:val="24"/>
                <w:highlight w:val="none"/>
                <w:lang w:val="en-US" w:eastAsia="zh-CN"/>
              </w:rPr>
              <w:t>符合</w:t>
            </w:r>
            <w:r>
              <w:rPr>
                <w:rFonts w:hint="eastAsia" w:ascii="Times New Roman" w:hAnsi="Times New Roman" w:cs="Times New Roman"/>
                <w:bCs/>
                <w:color w:val="auto"/>
                <w:sz w:val="24"/>
                <w:highlight w:val="none"/>
                <w:lang w:val="en-US" w:eastAsia="zh-CN"/>
              </w:rPr>
              <w:t>《排污许可证申请与核发技术规范 钢铁工业》（HJ846-2017）</w:t>
            </w:r>
            <w:r>
              <w:rPr>
                <w:rFonts w:hint="default" w:ascii="Times New Roman" w:hAnsi="Times New Roman" w:eastAsia="宋体" w:cs="Times New Roman"/>
                <w:bCs/>
                <w:color w:val="auto"/>
                <w:sz w:val="24"/>
                <w:highlight w:val="none"/>
                <w:lang w:val="en-US" w:eastAsia="zh-CN"/>
              </w:rPr>
              <w:t>“表</w:t>
            </w:r>
            <w:r>
              <w:rPr>
                <w:rFonts w:hint="eastAsia" w:ascii="Times New Roman" w:hAnsi="Times New Roman" w:eastAsia="宋体" w:cs="Times New Roman"/>
                <w:bCs/>
                <w:color w:val="auto"/>
                <w:sz w:val="24"/>
                <w:highlight w:val="none"/>
                <w:lang w:val="en-US" w:eastAsia="zh-CN"/>
              </w:rPr>
              <w:t>6钢铁工业排污单位</w:t>
            </w:r>
            <w:r>
              <w:rPr>
                <w:rFonts w:hint="default" w:ascii="Times New Roman" w:hAnsi="Times New Roman" w:eastAsia="宋体" w:cs="Times New Roman"/>
                <w:bCs/>
                <w:color w:val="auto"/>
                <w:sz w:val="24"/>
                <w:highlight w:val="none"/>
                <w:lang w:val="en-US" w:eastAsia="zh-CN"/>
              </w:rPr>
              <w:t>废气可行技术</w:t>
            </w:r>
            <w:r>
              <w:rPr>
                <w:rFonts w:hint="eastAsia" w:ascii="Times New Roman" w:hAnsi="Times New Roman" w:eastAsia="宋体" w:cs="Times New Roman"/>
                <w:bCs/>
                <w:color w:val="auto"/>
                <w:sz w:val="24"/>
                <w:highlight w:val="none"/>
                <w:lang w:val="en-US" w:eastAsia="zh-CN"/>
              </w:rPr>
              <w:t>参照表</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中</w:t>
            </w:r>
            <w:r>
              <w:rPr>
                <w:rFonts w:hint="default" w:ascii="Times New Roman" w:hAnsi="Times New Roman" w:eastAsia="宋体" w:cs="Times New Roman"/>
                <w:bCs/>
                <w:color w:val="auto"/>
                <w:sz w:val="24"/>
                <w:highlight w:val="none"/>
                <w:lang w:val="en-US" w:eastAsia="zh-CN"/>
              </w:rPr>
              <w:t>的可行技术</w:t>
            </w:r>
            <w:r>
              <w:rPr>
                <w:rFonts w:hint="eastAsia" w:ascii="Times New Roman" w:hAnsi="Times New Roman" w:eastAsia="宋体" w:cs="Times New Roman"/>
                <w:bCs/>
                <w:color w:val="auto"/>
                <w:sz w:val="24"/>
                <w:highlight w:val="none"/>
                <w:lang w:val="en-US" w:eastAsia="zh-CN"/>
              </w:rPr>
              <w:t>要求，</w:t>
            </w:r>
            <w:r>
              <w:rPr>
                <w:rFonts w:hint="default" w:ascii="Times New Roman" w:hAnsi="Times New Roman" w:eastAsia="宋体" w:cs="Times New Roman"/>
                <w:bCs/>
                <w:color w:val="auto"/>
                <w:sz w:val="24"/>
                <w:highlight w:val="none"/>
                <w:lang w:val="en-US" w:eastAsia="zh-CN"/>
              </w:rPr>
              <w:t>因此项目</w:t>
            </w:r>
            <w:r>
              <w:rPr>
                <w:rFonts w:hint="eastAsia" w:ascii="Times New Roman" w:hAnsi="Times New Roman" w:eastAsia="宋体" w:cs="Times New Roman"/>
                <w:bCs/>
                <w:color w:val="auto"/>
                <w:sz w:val="24"/>
                <w:highlight w:val="none"/>
                <w:lang w:val="en-US" w:eastAsia="zh-CN"/>
              </w:rPr>
              <w:t>运营期</w:t>
            </w:r>
            <w:r>
              <w:rPr>
                <w:rFonts w:hint="default" w:ascii="Times New Roman" w:hAnsi="Times New Roman" w:eastAsia="宋体" w:cs="Times New Roman"/>
                <w:bCs/>
                <w:color w:val="auto"/>
                <w:sz w:val="24"/>
                <w:highlight w:val="none"/>
                <w:lang w:val="en-US" w:eastAsia="zh-CN"/>
              </w:rPr>
              <w:t>采取的废气</w:t>
            </w:r>
            <w:r>
              <w:rPr>
                <w:rFonts w:hint="eastAsia" w:ascii="Times New Roman" w:hAnsi="Times New Roman" w:eastAsia="宋体" w:cs="Times New Roman"/>
                <w:bCs/>
                <w:color w:val="auto"/>
                <w:sz w:val="24"/>
                <w:highlight w:val="none"/>
                <w:lang w:val="en-US" w:eastAsia="zh-CN"/>
              </w:rPr>
              <w:t>治理</w:t>
            </w:r>
            <w:r>
              <w:rPr>
                <w:rFonts w:hint="default" w:ascii="Times New Roman" w:hAnsi="Times New Roman" w:eastAsia="宋体" w:cs="Times New Roman"/>
                <w:bCs/>
                <w:color w:val="auto"/>
                <w:sz w:val="24"/>
                <w:highlight w:val="none"/>
                <w:lang w:val="en-US" w:eastAsia="zh-CN"/>
              </w:rPr>
              <w:t>措施属于可行技术。</w:t>
            </w:r>
          </w:p>
          <w:p w14:paraId="29D431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s="Times New Roman"/>
                <w:bCs/>
                <w:color w:val="auto"/>
                <w:sz w:val="24"/>
                <w:highlight w:val="none"/>
                <w:lang w:val="en-US" w:eastAsia="zh-CN"/>
              </w:rPr>
            </w:pPr>
            <w:r>
              <w:rPr>
                <w:rFonts w:hint="eastAsia" w:cs="Times New Roman"/>
                <w:bCs/>
                <w:color w:val="auto"/>
                <w:sz w:val="24"/>
                <w:highlight w:val="none"/>
                <w:lang w:val="en-US" w:eastAsia="zh-CN"/>
              </w:rPr>
              <w:t>项目外购符合质量要求的铁矿石通过暂存、加工和配比后生产出符合钢铁厂需求的铁矿，</w:t>
            </w:r>
            <w:r>
              <w:rPr>
                <w:rFonts w:hint="eastAsia" w:ascii="Times New Roman" w:hAnsi="Times New Roman" w:eastAsia="宋体" w:cs="Times New Roman"/>
                <w:bCs/>
                <w:color w:val="auto"/>
                <w:sz w:val="24"/>
                <w:highlight w:val="none"/>
                <w:lang w:val="en-US" w:eastAsia="zh-CN"/>
              </w:rPr>
              <w:t>参照</w:t>
            </w:r>
            <w:r>
              <w:rPr>
                <w:rFonts w:hint="eastAsia" w:cs="Times New Roman"/>
                <w:bCs/>
                <w:color w:val="auto"/>
                <w:sz w:val="24"/>
                <w:highlight w:val="none"/>
                <w:lang w:val="en-US" w:eastAsia="zh-CN"/>
              </w:rPr>
              <w:t>《钢铁行业采选矿工艺污染防治最佳可行技术指南（试行）》，对料堆采取覆盖层防尘、喷淋抑尘、装卸就地抑尘等扬尘控制措施；装卸作业控制物料落差并配套喷淋降尘，厂区道路硬化、清扫、洒水，出场车辆冲洗并密闭运输，有效控制无组织粉尘排放，符合堆场大气污染防治最佳可行技术要求。项目</w:t>
            </w:r>
            <w:r>
              <w:rPr>
                <w:rFonts w:hint="eastAsia" w:ascii="Times New Roman" w:hAnsi="Times New Roman"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条</w:t>
            </w:r>
            <w:r>
              <w:rPr>
                <w:rFonts w:ascii="Times New Roman" w:hAnsi="Times New Roman" w:eastAsia="宋体" w:cs="Times New Roman"/>
                <w:color w:val="auto"/>
                <w:sz w:val="24"/>
                <w:highlight w:val="none"/>
              </w:rPr>
              <w:t>生产线</w:t>
            </w:r>
            <w:r>
              <w:rPr>
                <w:rFonts w:hint="eastAsia" w:ascii="Times New Roman" w:hAnsi="Times New Roman" w:eastAsia="宋体" w:cs="Times New Roman"/>
                <w:color w:val="auto"/>
                <w:sz w:val="24"/>
                <w:highlight w:val="none"/>
                <w:lang w:val="en-US" w:eastAsia="zh-CN"/>
              </w:rPr>
              <w:t>全部设置在封闭</w:t>
            </w:r>
            <w:r>
              <w:rPr>
                <w:rFonts w:ascii="Times New Roman" w:hAnsi="Times New Roman" w:eastAsia="宋体" w:cs="Times New Roman"/>
                <w:color w:val="auto"/>
                <w:sz w:val="24"/>
                <w:highlight w:val="none"/>
              </w:rPr>
              <w:t>的</w:t>
            </w:r>
            <w:r>
              <w:rPr>
                <w:rFonts w:hint="eastAsia" w:ascii="Times New Roman" w:hAnsi="Times New Roman" w:eastAsia="宋体" w:cs="Times New Roman"/>
                <w:color w:val="auto"/>
                <w:sz w:val="24"/>
                <w:highlight w:val="none"/>
                <w:lang w:val="en-US" w:eastAsia="zh-CN"/>
              </w:rPr>
              <w:t>厂房内，</w:t>
            </w:r>
            <w:r>
              <w:rPr>
                <w:rFonts w:hint="eastAsia" w:ascii="Times New Roman" w:hAnsi="Times New Roman"/>
                <w:bCs/>
                <w:color w:val="auto"/>
                <w:sz w:val="24"/>
                <w:highlight w:val="none"/>
                <w:lang w:val="en-US" w:eastAsia="zh-CN"/>
              </w:rPr>
              <w:t>原料</w:t>
            </w:r>
            <w:r>
              <w:rPr>
                <w:rFonts w:hint="eastAsia"/>
                <w:bCs/>
                <w:color w:val="auto"/>
                <w:sz w:val="24"/>
                <w:highlight w:val="none"/>
                <w:lang w:val="en-US" w:eastAsia="zh-CN"/>
              </w:rPr>
              <w:t>仓库</w:t>
            </w:r>
            <w:r>
              <w:rPr>
                <w:rFonts w:hint="eastAsia" w:ascii="Times New Roman" w:hAnsi="Times New Roman"/>
                <w:bCs/>
                <w:color w:val="auto"/>
                <w:sz w:val="24"/>
                <w:highlight w:val="none"/>
                <w:lang w:val="en-US" w:eastAsia="zh-CN"/>
              </w:rPr>
              <w:t>、成品</w:t>
            </w:r>
            <w:r>
              <w:rPr>
                <w:rFonts w:hint="eastAsia"/>
                <w:bCs/>
                <w:color w:val="auto"/>
                <w:sz w:val="24"/>
                <w:highlight w:val="none"/>
                <w:lang w:val="en-US" w:eastAsia="zh-CN"/>
              </w:rPr>
              <w:t>仓库</w:t>
            </w:r>
            <w:r>
              <w:rPr>
                <w:rFonts w:hint="eastAsia" w:ascii="Times New Roman" w:hAnsi="Times New Roman"/>
                <w:bCs/>
                <w:color w:val="auto"/>
                <w:sz w:val="24"/>
                <w:highlight w:val="none"/>
                <w:lang w:val="en-US" w:eastAsia="zh-CN"/>
              </w:rPr>
              <w:t>及装卸均位于三面围挡的可封闭</w:t>
            </w:r>
            <w:r>
              <w:rPr>
                <w:rFonts w:hint="eastAsia"/>
                <w:bCs/>
                <w:color w:val="auto"/>
                <w:sz w:val="24"/>
                <w:highlight w:val="none"/>
                <w:lang w:val="en-US" w:eastAsia="zh-CN"/>
              </w:rPr>
              <w:t>堆料大棚</w:t>
            </w:r>
            <w:r>
              <w:rPr>
                <w:rFonts w:hint="eastAsia" w:ascii="Times New Roman" w:hAnsi="Times New Roman"/>
                <w:bCs/>
                <w:color w:val="auto"/>
                <w:sz w:val="24"/>
                <w:highlight w:val="none"/>
                <w:lang w:val="en-US" w:eastAsia="zh-CN"/>
              </w:rPr>
              <w:t>内，</w:t>
            </w:r>
            <w:r>
              <w:rPr>
                <w:rFonts w:hint="eastAsia" w:cs="Times New Roman"/>
                <w:color w:val="auto"/>
                <w:sz w:val="24"/>
                <w:highlight w:val="none"/>
                <w:lang w:val="en-US" w:eastAsia="zh-CN"/>
              </w:rPr>
              <w:t>堆料大棚</w:t>
            </w:r>
            <w:r>
              <w:rPr>
                <w:rFonts w:hint="eastAsia" w:ascii="Times New Roman" w:hAnsi="Times New Roman" w:cs="Times New Roman"/>
                <w:color w:val="auto"/>
                <w:sz w:val="24"/>
                <w:highlight w:val="none"/>
                <w:lang w:val="en-US" w:eastAsia="zh-CN"/>
              </w:rPr>
              <w:t>均设置喷雾抑尘设施，并对厂区道路洒水降尘</w:t>
            </w:r>
            <w:r>
              <w:rPr>
                <w:rFonts w:hint="eastAsia" w:ascii="Times New Roman" w:hAnsi="Times New Roman" w:eastAsia="宋体" w:cs="Times New Roman"/>
                <w:color w:val="auto"/>
                <w:sz w:val="24"/>
                <w:highlight w:val="none"/>
                <w:lang w:val="en-US" w:eastAsia="zh-CN"/>
              </w:rPr>
              <w:t>，</w:t>
            </w:r>
            <w:r>
              <w:rPr>
                <w:rFonts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rPr>
              <w:t>无组织</w:t>
            </w:r>
            <w:r>
              <w:rPr>
                <w:rFonts w:hint="eastAsia" w:ascii="Times New Roman" w:hAnsi="Times New Roman" w:eastAsia="宋体" w:cs="Times New Roman"/>
                <w:color w:val="auto"/>
                <w:sz w:val="24"/>
                <w:highlight w:val="none"/>
                <w:lang w:val="en-US" w:eastAsia="zh-CN"/>
              </w:rPr>
              <w:t>抑尘措施符合</w:t>
            </w:r>
            <w:r>
              <w:rPr>
                <w:rFonts w:hint="eastAsia" w:cs="Times New Roman"/>
                <w:bCs/>
                <w:color w:val="auto"/>
                <w:sz w:val="24"/>
                <w:highlight w:val="none"/>
                <w:lang w:val="en-US" w:eastAsia="zh-CN"/>
              </w:rPr>
              <w:t>《钢铁行业采选矿工艺污染防治最佳可行技术指南（试行）》中堆场大气污染防治最佳可行技术要求。</w:t>
            </w:r>
          </w:p>
          <w:p w14:paraId="38AD502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（6）大气防护距离</w:t>
            </w:r>
          </w:p>
          <w:p w14:paraId="1B992A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根据</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建设项目环境影响报告表内容、格式及编制技术指南常见问题解答</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中第二条第3条回复</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《建设项目环境影响评价技术导则 总纲》（HJ2.1-2016）未对卫生防护距离提出评价要求，建设项目环境影响报告表编制技术指南不</w:t>
            </w:r>
            <w:r>
              <w:rPr>
                <w:rFonts w:hint="eastAsia" w:cs="Times New Roman"/>
                <w:color w:val="auto"/>
                <w:sz w:val="24"/>
                <w:lang w:val="en-US" w:eastAsia="zh-CN"/>
              </w:rPr>
              <w:t>作</w:t>
            </w:r>
            <w:r>
              <w:rPr>
                <w:rFonts w:hint="eastAsia" w:ascii="Times New Roman" w:hAnsi="Times New Roman" w:eastAsia="宋体" w:cs="Times New Roman"/>
                <w:color w:val="auto"/>
                <w:sz w:val="24"/>
                <w:lang w:val="en-US" w:eastAsia="zh-CN"/>
              </w:rPr>
              <w:t>要求。</w:t>
            </w:r>
            <w:r>
              <w:rPr>
                <w:rFonts w:hint="default" w:ascii="Times New Roman" w:hAnsi="Times New Roman" w:eastAsia="宋体" w:cs="Times New Roman"/>
                <w:color w:val="auto"/>
                <w:sz w:val="24"/>
              </w:rPr>
              <w:t>对于</w:t>
            </w:r>
            <w:r>
              <w:rPr>
                <w:rFonts w:hint="eastAsia" w:ascii="Times New Roman" w:hAnsi="Times New Roman" w:eastAsia="宋体" w:cs="Times New Roman"/>
                <w:color w:val="auto"/>
                <w:sz w:val="24"/>
                <w:lang w:val="en-US" w:eastAsia="zh-CN"/>
              </w:rPr>
              <w:t>判定为需要开展大气专项评价的建设项目，根据《环境影响评价技术导则 大气环境》（HJ2.2-2018）需要计算大气环境防护距离的，应按要求计算。”</w:t>
            </w:r>
          </w:p>
          <w:p w14:paraId="62CD07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color w:val="auto"/>
                <w:sz w:val="24"/>
                <w:lang w:val="en-US" w:eastAsia="zh-CN"/>
              </w:rPr>
              <w:t>本</w:t>
            </w:r>
            <w:r>
              <w:rPr>
                <w:rFonts w:hint="eastAsia" w:cs="Times New Roman"/>
                <w:color w:val="auto"/>
                <w:sz w:val="24"/>
                <w:szCs w:val="24"/>
                <w:lang w:val="en-US" w:eastAsia="zh-CN"/>
              </w:rPr>
              <w:t>项目编制环境影响报告表</w:t>
            </w:r>
            <w:r>
              <w:rPr>
                <w:rFonts w:hint="eastAsia" w:ascii="Times New Roman" w:hAnsi="Times New Roman" w:eastAsia="宋体" w:cs="Times New Roman"/>
                <w:color w:val="auto"/>
                <w:sz w:val="24"/>
                <w:szCs w:val="24"/>
                <w:lang w:val="en-US" w:eastAsia="zh-CN"/>
              </w:rPr>
              <w:t>，项目废气污染物主要为颗粒物，不涉及排放《有毒有害大气污染物名录》中确定的有毒有害污染物及二噁英、苯并[a]芘、氰化物、氯气等污染物，无需设置大气专项评价，因此</w:t>
            </w:r>
            <w:r>
              <w:rPr>
                <w:rFonts w:hint="default" w:ascii="Times New Roman" w:hAnsi="Times New Roman" w:eastAsia="宋体" w:cs="Times New Roman"/>
                <w:color w:val="auto"/>
                <w:sz w:val="24"/>
              </w:rPr>
              <w:t>不</w:t>
            </w:r>
            <w:r>
              <w:rPr>
                <w:rFonts w:hint="eastAsia" w:ascii="Times New Roman" w:hAnsi="Times New Roman" w:eastAsia="宋体" w:cs="Times New Roman"/>
                <w:color w:val="auto"/>
                <w:sz w:val="24"/>
                <w:lang w:val="en-US" w:eastAsia="zh-CN"/>
              </w:rPr>
              <w:t>计算</w:t>
            </w:r>
            <w:r>
              <w:rPr>
                <w:rFonts w:hint="default" w:ascii="Times New Roman" w:hAnsi="Times New Roman" w:eastAsia="宋体" w:cs="Times New Roman"/>
                <w:color w:val="auto"/>
                <w:sz w:val="24"/>
              </w:rPr>
              <w:t>大气环境防护距离</w:t>
            </w:r>
            <w:r>
              <w:rPr>
                <w:rFonts w:hint="eastAsia" w:ascii="Times New Roman" w:hAnsi="Times New Roman" w:cs="Times New Roman"/>
                <w:color w:val="auto"/>
                <w:sz w:val="24"/>
                <w:lang w:eastAsia="zh-CN"/>
              </w:rPr>
              <w:t>。</w:t>
            </w:r>
          </w:p>
          <w:p w14:paraId="29E53524">
            <w:pPr>
              <w:pStyle w:val="70"/>
              <w:keepNext w:val="0"/>
              <w:keepLines w:val="0"/>
              <w:pageBreakBefore w:val="0"/>
              <w:widowControl w:val="0"/>
              <w:kinsoku/>
              <w:wordWrap/>
              <w:overflowPunct/>
              <w:topLinePunct w:val="0"/>
              <w:autoSpaceDE/>
              <w:autoSpaceDN/>
              <w:bidi w:val="0"/>
              <w:adjustRightInd w:val="0"/>
              <w:snapToGrid w:val="0"/>
              <w:spacing w:before="160" w:beforeLines="50"/>
              <w:ind w:firstLine="482" w:firstLineChars="200"/>
              <w:textAlignment w:val="auto"/>
              <w:rPr>
                <w:rFonts w:hint="eastAsia" w:ascii="Times New Roman" w:hAnsi="Times New Roman" w:eastAsia="宋体"/>
                <w:b/>
                <w:bCs/>
                <w:color w:val="auto"/>
                <w:highlight w:val="none"/>
                <w:lang w:eastAsia="zh-CN"/>
              </w:rPr>
            </w:pPr>
            <w:r>
              <w:rPr>
                <w:rFonts w:hint="eastAsia" w:ascii="Times New Roman" w:hAnsi="Times New Roman" w:eastAsia="宋体"/>
                <w:b/>
                <w:bCs/>
                <w:color w:val="auto"/>
                <w:highlight w:val="none"/>
                <w:lang w:val="en-US" w:eastAsia="zh-CN"/>
              </w:rPr>
              <w:t>四、</w:t>
            </w:r>
            <w:r>
              <w:rPr>
                <w:rFonts w:hint="eastAsia" w:ascii="Times New Roman" w:hAnsi="Times New Roman" w:eastAsia="宋体"/>
                <w:b/>
                <w:bCs/>
                <w:color w:val="auto"/>
                <w:highlight w:val="none"/>
              </w:rPr>
              <w:t>大气环境</w:t>
            </w:r>
            <w:r>
              <w:rPr>
                <w:rFonts w:hint="eastAsia" w:ascii="Times New Roman" w:hAnsi="Times New Roman"/>
                <w:b/>
                <w:bCs/>
                <w:color w:val="auto"/>
                <w:highlight w:val="none"/>
                <w:lang w:val="en-US" w:eastAsia="zh-CN"/>
              </w:rPr>
              <w:t>自行监测计划</w:t>
            </w:r>
          </w:p>
          <w:p w14:paraId="1CFF41A0">
            <w:pPr>
              <w:adjustRightInd w:val="0"/>
              <w:snapToGrid w:val="0"/>
              <w:spacing w:line="360" w:lineRule="auto"/>
              <w:ind w:firstLine="480" w:firstLineChars="200"/>
              <w:rPr>
                <w:rFonts w:hint="eastAsia" w:ascii="Times New Roman" w:hAnsi="Times New Roman" w:eastAsia="宋体"/>
                <w:color w:val="auto"/>
                <w:sz w:val="24"/>
                <w:highlight w:val="none"/>
              </w:rPr>
            </w:pPr>
            <w:r>
              <w:rPr>
                <w:rFonts w:ascii="Times New Roman" w:hAnsi="Times New Roman" w:eastAsia="宋体"/>
                <w:color w:val="auto"/>
                <w:sz w:val="24"/>
                <w:highlight w:val="none"/>
              </w:rPr>
              <w:t>根据《排污单位自行监测技术指南总则》（HJ819-2017）</w:t>
            </w:r>
            <w:r>
              <w:rPr>
                <w:rFonts w:hint="eastAsia" w:ascii="Times New Roman" w:hAnsi="Times New Roman" w:eastAsia="宋体"/>
                <w:color w:val="auto"/>
                <w:sz w:val="24"/>
                <w:highlight w:val="none"/>
                <w:lang w:val="en-US" w:eastAsia="zh-CN"/>
              </w:rPr>
              <w:t>并参考</w:t>
            </w:r>
            <w:r>
              <w:rPr>
                <w:rFonts w:hint="eastAsia" w:ascii="Times New Roman" w:hAnsi="Times New Roman" w:eastAsia="宋体"/>
                <w:color w:val="auto"/>
                <w:sz w:val="24"/>
                <w:highlight w:val="none"/>
                <w:lang w:eastAsia="zh-CN"/>
              </w:rPr>
              <w:t>《排污单位自行监测技术指南钢铁工业及炼焦化学工业》（HJ878-2017）</w:t>
            </w:r>
            <w:r>
              <w:rPr>
                <w:rFonts w:ascii="Times New Roman" w:hAnsi="Times New Roman" w:eastAsia="宋体"/>
                <w:color w:val="auto"/>
                <w:sz w:val="24"/>
                <w:highlight w:val="none"/>
              </w:rPr>
              <w:t>，项目废气监测计划具体如下表</w:t>
            </w:r>
            <w:r>
              <w:rPr>
                <w:rFonts w:hint="eastAsia" w:ascii="Times New Roman" w:hAnsi="Times New Roman" w:eastAsia="宋体"/>
                <w:color w:val="auto"/>
                <w:sz w:val="24"/>
                <w:highlight w:val="none"/>
              </w:rPr>
              <w:t>。</w:t>
            </w:r>
          </w:p>
          <w:p w14:paraId="4BB6157B">
            <w:pPr>
              <w:adjustRightInd w:val="0"/>
              <w:snapToGrid w:val="0"/>
              <w:spacing w:after="158" w:afterLines="50"/>
              <w:jc w:val="center"/>
              <w:rPr>
                <w:rFonts w:hint="eastAsia" w:ascii="Times New Roman" w:hAnsi="Times New Roman" w:eastAsia="宋体" w:cs="宋体"/>
                <w:b/>
                <w:bCs/>
                <w:color w:val="auto"/>
                <w:spacing w:val="4"/>
                <w:kern w:val="0"/>
                <w:sz w:val="24"/>
                <w:highlight w:val="none"/>
                <w:lang w:bidi="ar"/>
              </w:rPr>
            </w:pPr>
            <w:r>
              <w:rPr>
                <w:rFonts w:hint="eastAsia" w:ascii="Times New Roman" w:hAnsi="Times New Roman" w:eastAsia="宋体" w:cs="宋体"/>
                <w:b/>
                <w:bCs/>
                <w:color w:val="auto"/>
                <w:spacing w:val="4"/>
                <w:kern w:val="0"/>
                <w:sz w:val="24"/>
                <w:highlight w:val="none"/>
                <w:lang w:bidi="ar"/>
              </w:rPr>
              <w:t>表4.2.1-</w:t>
            </w:r>
            <w:r>
              <w:rPr>
                <w:rFonts w:hint="eastAsia" w:ascii="Times New Roman" w:hAnsi="Times New Roman" w:cs="宋体"/>
                <w:b/>
                <w:bCs/>
                <w:color w:val="auto"/>
                <w:spacing w:val="4"/>
                <w:kern w:val="0"/>
                <w:sz w:val="24"/>
                <w:highlight w:val="none"/>
                <w:lang w:val="en-US" w:eastAsia="zh-CN" w:bidi="ar"/>
              </w:rPr>
              <w:t>9</w:t>
            </w:r>
            <w:r>
              <w:rPr>
                <w:rFonts w:hint="eastAsia" w:ascii="Times New Roman" w:hAnsi="Times New Roman" w:eastAsia="宋体" w:cs="宋体"/>
                <w:b/>
                <w:bCs/>
                <w:color w:val="auto"/>
                <w:spacing w:val="4"/>
                <w:kern w:val="0"/>
                <w:sz w:val="24"/>
                <w:highlight w:val="none"/>
                <w:lang w:val="en-US" w:eastAsia="zh-CN" w:bidi="ar"/>
              </w:rPr>
              <w:t xml:space="preserve">    </w:t>
            </w:r>
            <w:r>
              <w:rPr>
                <w:rFonts w:hint="eastAsia" w:ascii="Times New Roman" w:hAnsi="Times New Roman" w:eastAsia="宋体" w:cs="宋体"/>
                <w:b/>
                <w:bCs/>
                <w:color w:val="auto"/>
                <w:spacing w:val="4"/>
                <w:kern w:val="0"/>
                <w:sz w:val="24"/>
                <w:highlight w:val="none"/>
                <w:lang w:bidi="ar"/>
              </w:rPr>
              <w:t>项目废气监测频次与最低监测频次</w:t>
            </w:r>
          </w:p>
          <w:tbl>
            <w:tblPr>
              <w:tblStyle w:val="35"/>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75"/>
              <w:gridCol w:w="1681"/>
              <w:gridCol w:w="900"/>
              <w:gridCol w:w="1258"/>
              <w:gridCol w:w="1025"/>
              <w:gridCol w:w="5"/>
              <w:gridCol w:w="2453"/>
            </w:tblGrid>
            <w:tr w14:paraId="7CA2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478" w:type="pct"/>
                  <w:shd w:val="clear" w:color="auto" w:fill="D9D9D9"/>
                  <w:noWrap w:val="0"/>
                  <w:vAlign w:val="center"/>
                </w:tcPr>
                <w:p w14:paraId="4F196794">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类别</w:t>
                  </w:r>
                </w:p>
              </w:tc>
              <w:tc>
                <w:tcPr>
                  <w:tcW w:w="1038" w:type="pct"/>
                  <w:shd w:val="clear" w:color="auto" w:fill="D9D9D9"/>
                  <w:noWrap w:val="0"/>
                  <w:vAlign w:val="center"/>
                </w:tcPr>
                <w:p w14:paraId="0559E4D9">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监测位置</w:t>
                  </w:r>
                </w:p>
              </w:tc>
              <w:tc>
                <w:tcPr>
                  <w:tcW w:w="555" w:type="pct"/>
                  <w:shd w:val="clear" w:color="auto" w:fill="D9D9D9"/>
                  <w:noWrap w:val="0"/>
                  <w:vAlign w:val="center"/>
                </w:tcPr>
                <w:p w14:paraId="706989D4">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点数</w:t>
                  </w:r>
                </w:p>
              </w:tc>
              <w:tc>
                <w:tcPr>
                  <w:tcW w:w="776" w:type="pct"/>
                  <w:shd w:val="clear" w:color="auto" w:fill="D9D9D9"/>
                  <w:noWrap w:val="0"/>
                  <w:vAlign w:val="center"/>
                </w:tcPr>
                <w:p w14:paraId="666085FF">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监测项目</w:t>
                  </w:r>
                </w:p>
              </w:tc>
              <w:tc>
                <w:tcPr>
                  <w:tcW w:w="636" w:type="pct"/>
                  <w:gridSpan w:val="2"/>
                  <w:shd w:val="clear" w:color="auto" w:fill="D9D9D9"/>
                  <w:noWrap w:val="0"/>
                  <w:vAlign w:val="center"/>
                </w:tcPr>
                <w:p w14:paraId="12FB55B9">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监测频率</w:t>
                  </w:r>
                </w:p>
              </w:tc>
              <w:tc>
                <w:tcPr>
                  <w:tcW w:w="1514" w:type="pct"/>
                  <w:shd w:val="clear" w:color="auto" w:fill="D9D9D9"/>
                  <w:noWrap w:val="0"/>
                  <w:vAlign w:val="center"/>
                </w:tcPr>
                <w:p w14:paraId="16754BAA">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执行标准</w:t>
                  </w:r>
                </w:p>
              </w:tc>
            </w:tr>
            <w:tr w14:paraId="5BDB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6" w:hRule="atLeast"/>
                <w:jc w:val="center"/>
              </w:trPr>
              <w:tc>
                <w:tcPr>
                  <w:tcW w:w="478" w:type="pct"/>
                  <w:noWrap w:val="0"/>
                  <w:vAlign w:val="center"/>
                </w:tcPr>
                <w:p w14:paraId="037FADB3">
                  <w:pPr>
                    <w:pStyle w:val="84"/>
                    <w:spacing w:before="0" w:after="0"/>
                    <w:rPr>
                      <w:rFonts w:hint="eastAsia"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有组织</w:t>
                  </w:r>
                </w:p>
              </w:tc>
              <w:tc>
                <w:tcPr>
                  <w:tcW w:w="1038" w:type="pct"/>
                  <w:noWrap w:val="0"/>
                  <w:vAlign w:val="center"/>
                </w:tcPr>
                <w:p w14:paraId="372EAB08">
                  <w:pPr>
                    <w:pStyle w:val="84"/>
                    <w:spacing w:before="0" w:after="0"/>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DA001、DA002</w:t>
                  </w:r>
                  <w:r>
                    <w:rPr>
                      <w:rFonts w:hint="eastAsia" w:ascii="Times New Roman" w:hAnsi="Times New Roman"/>
                      <w:bCs/>
                      <w:color w:val="auto"/>
                      <w:sz w:val="21"/>
                      <w:szCs w:val="21"/>
                      <w:highlight w:val="none"/>
                      <w:lang w:val="en-US" w:eastAsia="zh-CN"/>
                    </w:rPr>
                    <w:t>、DA003</w:t>
                  </w:r>
                </w:p>
              </w:tc>
              <w:tc>
                <w:tcPr>
                  <w:tcW w:w="555" w:type="pct"/>
                  <w:noWrap w:val="0"/>
                  <w:vAlign w:val="center"/>
                </w:tcPr>
                <w:p w14:paraId="596FD801">
                  <w:pPr>
                    <w:pStyle w:val="84"/>
                    <w:spacing w:before="0" w:after="0"/>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3</w:t>
                  </w:r>
                </w:p>
              </w:tc>
              <w:tc>
                <w:tcPr>
                  <w:tcW w:w="776" w:type="pct"/>
                  <w:noWrap w:val="0"/>
                  <w:vAlign w:val="center"/>
                </w:tcPr>
                <w:p w14:paraId="580F7E13">
                  <w:pPr>
                    <w:pStyle w:val="84"/>
                    <w:ind w:firstLine="92"/>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颗粒物</w:t>
                  </w:r>
                </w:p>
              </w:tc>
              <w:tc>
                <w:tcPr>
                  <w:tcW w:w="632" w:type="pct"/>
                  <w:noWrap w:val="0"/>
                  <w:vAlign w:val="center"/>
                </w:tcPr>
                <w:p w14:paraId="2801358D">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1次/</w:t>
                  </w:r>
                  <w:r>
                    <w:rPr>
                      <w:rFonts w:hint="eastAsia" w:ascii="Times New Roman" w:hAnsi="Times New Roman" w:eastAsia="宋体"/>
                      <w:bCs/>
                      <w:color w:val="auto"/>
                      <w:sz w:val="21"/>
                      <w:szCs w:val="21"/>
                      <w:highlight w:val="none"/>
                      <w:lang w:val="en-US" w:eastAsia="zh-CN"/>
                    </w:rPr>
                    <w:t>2年</w:t>
                  </w:r>
                </w:p>
              </w:tc>
              <w:tc>
                <w:tcPr>
                  <w:tcW w:w="1517" w:type="pct"/>
                  <w:gridSpan w:val="2"/>
                  <w:vMerge w:val="restart"/>
                  <w:noWrap w:val="0"/>
                  <w:vAlign w:val="center"/>
                </w:tcPr>
                <w:p w14:paraId="1F9BBECC">
                  <w:pPr>
                    <w:pStyle w:val="84"/>
                    <w:spacing w:before="0" w:after="0"/>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铁矿采选工业污染物</w:t>
                  </w:r>
                  <w:r>
                    <w:rPr>
                      <w:rFonts w:hint="default" w:ascii="Times New Roman" w:hAnsi="Times New Roman" w:eastAsia="宋体" w:cs="Times New Roman"/>
                      <w:color w:val="auto"/>
                      <w:sz w:val="21"/>
                      <w:szCs w:val="21"/>
                      <w:highlight w:val="none"/>
                    </w:rPr>
                    <w:t>排放标准》（GB</w:t>
                  </w:r>
                  <w:r>
                    <w:rPr>
                      <w:rFonts w:hint="default" w:ascii="Times New Roman" w:hAnsi="Times New Roman" w:eastAsia="宋体" w:cs="Times New Roman"/>
                      <w:color w:val="auto"/>
                      <w:sz w:val="21"/>
                      <w:szCs w:val="21"/>
                      <w:highlight w:val="none"/>
                      <w:lang w:val="en-US" w:eastAsia="zh-CN"/>
                    </w:rPr>
                    <w:t>28661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2012</w:t>
                  </w:r>
                  <w:r>
                    <w:rPr>
                      <w:rFonts w:hint="default" w:ascii="Times New Roman" w:hAnsi="Times New Roman" w:eastAsia="宋体" w:cs="Times New Roman"/>
                      <w:color w:val="auto"/>
                      <w:sz w:val="21"/>
                      <w:szCs w:val="21"/>
                      <w:highlight w:val="none"/>
                    </w:rPr>
                    <w:t>）</w:t>
                  </w:r>
                </w:p>
              </w:tc>
            </w:tr>
            <w:tr w14:paraId="63B7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6" w:hRule="atLeast"/>
                <w:jc w:val="center"/>
              </w:trPr>
              <w:tc>
                <w:tcPr>
                  <w:tcW w:w="478" w:type="pct"/>
                  <w:noWrap w:val="0"/>
                  <w:vAlign w:val="center"/>
                </w:tcPr>
                <w:p w14:paraId="1060200A">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无组织</w:t>
                  </w:r>
                </w:p>
              </w:tc>
              <w:tc>
                <w:tcPr>
                  <w:tcW w:w="1038" w:type="pct"/>
                  <w:noWrap w:val="0"/>
                  <w:vAlign w:val="center"/>
                </w:tcPr>
                <w:p w14:paraId="4964B18E">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厂界</w:t>
                  </w:r>
                </w:p>
              </w:tc>
              <w:tc>
                <w:tcPr>
                  <w:tcW w:w="555" w:type="pct"/>
                  <w:noWrap w:val="0"/>
                  <w:vAlign w:val="center"/>
                </w:tcPr>
                <w:p w14:paraId="10E1F0F3">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4</w:t>
                  </w:r>
                </w:p>
              </w:tc>
              <w:tc>
                <w:tcPr>
                  <w:tcW w:w="776" w:type="pct"/>
                  <w:noWrap w:val="0"/>
                  <w:vAlign w:val="center"/>
                </w:tcPr>
                <w:p w14:paraId="01EBBFB6">
                  <w:pPr>
                    <w:pStyle w:val="84"/>
                    <w:ind w:firstLine="92"/>
                    <w:jc w:val="center"/>
                    <w:rPr>
                      <w:rFonts w:hint="default" w:ascii="Times New Roman" w:hAnsi="Times New Roman" w:eastAsia="宋体"/>
                      <w:bCs/>
                      <w:color w:val="auto"/>
                      <w:sz w:val="21"/>
                      <w:szCs w:val="21"/>
                      <w:highlight w:val="none"/>
                      <w:lang w:val="en-US" w:eastAsia="zh-CN"/>
                    </w:rPr>
                  </w:pPr>
                  <w:r>
                    <w:rPr>
                      <w:rFonts w:ascii="Times New Roman" w:hAnsi="Times New Roman" w:eastAsia="宋体"/>
                      <w:bCs/>
                      <w:color w:val="auto"/>
                      <w:sz w:val="21"/>
                      <w:szCs w:val="21"/>
                      <w:highlight w:val="none"/>
                    </w:rPr>
                    <w:t>颗粒物</w:t>
                  </w:r>
                </w:p>
              </w:tc>
              <w:tc>
                <w:tcPr>
                  <w:tcW w:w="632" w:type="pct"/>
                  <w:noWrap w:val="0"/>
                  <w:vAlign w:val="center"/>
                </w:tcPr>
                <w:p w14:paraId="5615B107">
                  <w:pPr>
                    <w:pStyle w:val="84"/>
                    <w:spacing w:before="0" w:after="0"/>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1次/</w:t>
                  </w:r>
                  <w:r>
                    <w:rPr>
                      <w:rFonts w:hint="eastAsia" w:ascii="Times New Roman" w:hAnsi="Times New Roman" w:eastAsia="宋体"/>
                      <w:bCs/>
                      <w:color w:val="auto"/>
                      <w:sz w:val="21"/>
                      <w:szCs w:val="21"/>
                      <w:highlight w:val="none"/>
                      <w:lang w:val="en-US" w:eastAsia="zh-CN"/>
                    </w:rPr>
                    <w:t>季度</w:t>
                  </w:r>
                </w:p>
              </w:tc>
              <w:tc>
                <w:tcPr>
                  <w:tcW w:w="1517" w:type="pct"/>
                  <w:gridSpan w:val="2"/>
                  <w:vMerge w:val="continue"/>
                  <w:noWrap w:val="0"/>
                  <w:vAlign w:val="center"/>
                </w:tcPr>
                <w:p w14:paraId="4C472C5F">
                  <w:pPr>
                    <w:pStyle w:val="84"/>
                    <w:spacing w:before="0" w:after="0"/>
                    <w:rPr>
                      <w:rFonts w:ascii="Times New Roman" w:hAnsi="Times New Roman" w:eastAsia="宋体"/>
                      <w:bCs/>
                      <w:color w:val="auto"/>
                      <w:sz w:val="21"/>
                      <w:szCs w:val="21"/>
                      <w:highlight w:val="none"/>
                    </w:rPr>
                  </w:pPr>
                </w:p>
              </w:tc>
            </w:tr>
          </w:tbl>
          <w:p w14:paraId="0EF7BBB0">
            <w:pPr>
              <w:pStyle w:val="70"/>
              <w:keepNext w:val="0"/>
              <w:keepLines w:val="0"/>
              <w:pageBreakBefore w:val="0"/>
              <w:widowControl w:val="0"/>
              <w:kinsoku/>
              <w:wordWrap/>
              <w:overflowPunct/>
              <w:topLinePunct w:val="0"/>
              <w:autoSpaceDE/>
              <w:autoSpaceDN/>
              <w:bidi w:val="0"/>
              <w:adjustRightInd w:val="0"/>
              <w:snapToGrid w:val="0"/>
              <w:spacing w:before="160" w:beforeLines="50"/>
              <w:ind w:firstLine="482" w:firstLineChars="200"/>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五、</w:t>
            </w:r>
            <w:r>
              <w:rPr>
                <w:rFonts w:hint="eastAsia" w:ascii="Times New Roman" w:hAnsi="Times New Roman" w:eastAsia="宋体"/>
                <w:b/>
                <w:bCs/>
                <w:color w:val="auto"/>
                <w:highlight w:val="none"/>
              </w:rPr>
              <w:t>项目环境空气影响分析结论</w:t>
            </w:r>
          </w:p>
          <w:p w14:paraId="4A1366E7">
            <w:pPr>
              <w:keepNext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highlight w:val="none"/>
                <w:lang w:val="en-US" w:eastAsia="zh-CN"/>
              </w:rPr>
            </w:pPr>
            <w:r>
              <w:rPr>
                <w:rFonts w:ascii="Times New Roman" w:hAnsi="Times New Roman" w:eastAsia="宋体" w:cs="Times New Roman"/>
                <w:color w:val="auto"/>
                <w:sz w:val="24"/>
                <w:highlight w:val="none"/>
              </w:rPr>
              <w:t>综上所述，</w:t>
            </w:r>
            <w:r>
              <w:rPr>
                <w:rFonts w:hint="eastAsia" w:ascii="Times New Roman" w:hAnsi="Times New Roman" w:eastAsia="宋体" w:cs="Times New Roman"/>
                <w:color w:val="auto"/>
                <w:sz w:val="24"/>
                <w:highlight w:val="none"/>
              </w:rPr>
              <w:t>项目所在区域属于环境空气质量达标区。厂界外</w:t>
            </w:r>
            <w:r>
              <w:rPr>
                <w:rFonts w:ascii="Times New Roman" w:hAnsi="Times New Roman" w:eastAsia="宋体" w:cs="Times New Roman"/>
                <w:color w:val="auto"/>
                <w:sz w:val="24"/>
                <w:highlight w:val="none"/>
              </w:rPr>
              <w:t>500m范围</w:t>
            </w:r>
            <w:r>
              <w:rPr>
                <w:rFonts w:hint="eastAsia" w:ascii="Times New Roman" w:hAnsi="Times New Roman" w:cs="Times New Roman"/>
                <w:color w:val="auto"/>
                <w:sz w:val="24"/>
                <w:highlight w:val="none"/>
                <w:lang w:val="en-US" w:eastAsia="zh-CN"/>
              </w:rPr>
              <w:t>无大气</w:t>
            </w:r>
            <w:r>
              <w:rPr>
                <w:rFonts w:hint="eastAsia" w:ascii="Times New Roman" w:hAnsi="Times New Roman" w:eastAsia="宋体" w:cs="Times New Roman"/>
                <w:color w:val="auto"/>
                <w:sz w:val="24"/>
                <w:highlight w:val="none"/>
              </w:rPr>
              <w:t>环境保护目标，</w:t>
            </w:r>
            <w:r>
              <w:rPr>
                <w:rFonts w:ascii="Times New Roman" w:hAnsi="Times New Roman" w:eastAsia="宋体" w:cs="Times New Roman"/>
                <w:color w:val="auto"/>
                <w:sz w:val="24"/>
                <w:highlight w:val="none"/>
              </w:rPr>
              <w:t>本项目</w:t>
            </w:r>
            <w:r>
              <w:rPr>
                <w:rFonts w:hint="eastAsia" w:ascii="Times New Roman" w:hAnsi="Times New Roman" w:cs="Times New Roman"/>
                <w:color w:val="auto"/>
                <w:sz w:val="24"/>
                <w:highlight w:val="none"/>
                <w:lang w:val="en-US" w:eastAsia="zh-CN"/>
              </w:rPr>
              <w:t>3条生产线</w:t>
            </w:r>
            <w:r>
              <w:rPr>
                <w:rFonts w:hint="eastAsia" w:ascii="Times New Roman" w:hAnsi="Times New Roman" w:eastAsia="宋体" w:cs="Times New Roman"/>
                <w:color w:val="auto"/>
                <w:sz w:val="24"/>
                <w:highlight w:val="none"/>
                <w:lang w:val="en-US" w:eastAsia="zh-CN"/>
              </w:rPr>
              <w:t>产生的</w:t>
            </w:r>
            <w:r>
              <w:rPr>
                <w:rFonts w:hint="eastAsia" w:ascii="Times New Roman" w:hAnsi="Times New Roman" w:cs="Times New Roman"/>
                <w:color w:val="auto"/>
                <w:sz w:val="24"/>
                <w:highlight w:val="none"/>
                <w:lang w:val="en-US" w:eastAsia="zh-CN"/>
              </w:rPr>
              <w:t>破碎筛分粉尘</w:t>
            </w:r>
            <w:r>
              <w:rPr>
                <w:rFonts w:hint="eastAsia" w:ascii="Times New Roman" w:hAnsi="Times New Roman" w:eastAsia="宋体" w:cs="Times New Roman"/>
                <w:color w:val="auto"/>
                <w:sz w:val="24"/>
                <w:highlight w:val="none"/>
                <w:lang w:val="en-US" w:eastAsia="zh-CN"/>
              </w:rPr>
              <w:t>通过集气罩收集后进入</w:t>
            </w:r>
            <w:r>
              <w:rPr>
                <w:rFonts w:hint="eastAsia" w:ascii="Times New Roman" w:hAnsi="Times New Roman"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套袋式除尘器</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olor w:val="auto"/>
                <w:sz w:val="24"/>
                <w:highlight w:val="none"/>
                <w:vertAlign w:val="baseline"/>
                <w:lang w:val="en-US" w:eastAsia="zh-CN"/>
              </w:rPr>
              <w:t>TA001、TA002、TA003</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处理后</w:t>
            </w:r>
            <w:r>
              <w:rPr>
                <w:rFonts w:hint="eastAsia" w:ascii="Times New Roman" w:hAnsi="Times New Roman" w:eastAsia="宋体"/>
                <w:color w:val="auto"/>
                <w:kern w:val="0"/>
                <w:sz w:val="24"/>
                <w:highlight w:val="none"/>
                <w:lang w:val="en-US" w:eastAsia="zh-CN"/>
              </w:rPr>
              <w:t>分别经</w:t>
            </w:r>
            <w:r>
              <w:rPr>
                <w:rFonts w:hint="eastAsia" w:ascii="Times New Roman" w:hAnsi="Times New Roman" w:eastAsia="宋体"/>
                <w:color w:val="auto"/>
                <w:sz w:val="24"/>
                <w:highlight w:val="none"/>
                <w:vertAlign w:val="baseline"/>
                <w:lang w:val="en-US" w:eastAsia="zh-CN"/>
              </w:rPr>
              <w:t>DA001、DA002、DA003</w:t>
            </w:r>
            <w:r>
              <w:rPr>
                <w:rFonts w:hint="eastAsia" w:ascii="Times New Roman" w:hAnsi="Times New Roman" w:eastAsia="宋体"/>
                <w:color w:val="auto"/>
                <w:kern w:val="0"/>
                <w:sz w:val="24"/>
                <w:highlight w:val="none"/>
                <w:lang w:val="en-US" w:eastAsia="zh-CN"/>
              </w:rPr>
              <w:t>排气筒排放，</w:t>
            </w:r>
            <w:r>
              <w:rPr>
                <w:rFonts w:hint="eastAsia" w:ascii="Times New Roman" w:hAnsi="Times New Roman" w:eastAsia="宋体"/>
                <w:color w:val="auto"/>
                <w:sz w:val="24"/>
                <w:highlight w:val="none"/>
                <w:lang w:val="en-US" w:eastAsia="zh-CN"/>
              </w:rPr>
              <w:t>满足</w:t>
            </w:r>
            <w:r>
              <w:rPr>
                <w:rFonts w:hint="eastAsia" w:ascii="Times New Roman" w:hAnsi="Times New Roman" w:cs="Times New Roman" w:eastAsiaTheme="minorEastAsia"/>
                <w:color w:val="auto"/>
                <w:sz w:val="24"/>
                <w:highlight w:val="none"/>
                <w:lang w:val="en-US" w:eastAsia="zh-CN"/>
              </w:rPr>
              <w:t>《铁矿采选工业污染物排放标准》（</w:t>
            </w:r>
            <w:r>
              <w:rPr>
                <w:rFonts w:hint="default" w:ascii="Times New Roman" w:hAnsi="Times New Roman" w:cs="Times New Roman" w:eastAsiaTheme="minorEastAsia"/>
                <w:color w:val="auto"/>
                <w:sz w:val="24"/>
                <w:highlight w:val="none"/>
                <w:lang w:val="en-US" w:eastAsia="zh-CN"/>
              </w:rPr>
              <w:t>GB</w:t>
            </w:r>
            <w:r>
              <w:rPr>
                <w:rFonts w:hint="eastAsia" w:ascii="Times New Roman" w:hAnsi="Times New Roman" w:cs="Times New Roman" w:eastAsiaTheme="minorEastAsia"/>
                <w:color w:val="auto"/>
                <w:sz w:val="24"/>
                <w:highlight w:val="none"/>
                <w:lang w:val="en-US" w:eastAsia="zh-CN"/>
              </w:rPr>
              <w:t>28661</w:t>
            </w:r>
            <w:r>
              <w:rPr>
                <w:rFonts w:hint="default" w:ascii="Times New Roman" w:hAnsi="Times New Roman" w:cs="Times New Roman" w:eastAsiaTheme="minorEastAsia"/>
                <w:color w:val="auto"/>
                <w:sz w:val="24"/>
                <w:highlight w:val="none"/>
                <w:lang w:val="en-US" w:eastAsia="zh-CN"/>
              </w:rPr>
              <w:t>-</w:t>
            </w:r>
            <w:r>
              <w:rPr>
                <w:rFonts w:hint="eastAsia" w:ascii="Times New Roman" w:hAnsi="Times New Roman" w:cs="Times New Roman" w:eastAsiaTheme="minorEastAsia"/>
                <w:color w:val="auto"/>
                <w:sz w:val="24"/>
                <w:highlight w:val="none"/>
                <w:lang w:val="en-US" w:eastAsia="zh-CN"/>
              </w:rPr>
              <w:t>2021</w:t>
            </w:r>
            <w:r>
              <w:rPr>
                <w:rFonts w:hint="default" w:ascii="Times New Roman" w:hAnsi="Times New Roman" w:cs="Times New Roman" w:eastAsiaTheme="minorEastAsia"/>
                <w:color w:val="auto"/>
                <w:sz w:val="24"/>
                <w:highlight w:val="none"/>
                <w:lang w:val="en-US" w:eastAsia="zh-CN"/>
              </w:rPr>
              <w:t>）</w:t>
            </w:r>
            <w:r>
              <w:rPr>
                <w:rFonts w:ascii="Times New Roman" w:hAnsi="Times New Roman" w:eastAsia="宋体"/>
                <w:color w:val="auto"/>
                <w:sz w:val="24"/>
                <w:highlight w:val="none"/>
              </w:rPr>
              <w:t>表</w:t>
            </w:r>
            <w:r>
              <w:rPr>
                <w:rFonts w:hint="eastAsia" w:ascii="Times New Roman" w:hAnsi="Times New Roman"/>
                <w:color w:val="auto"/>
                <w:sz w:val="24"/>
                <w:highlight w:val="none"/>
                <w:lang w:val="en-US" w:eastAsia="zh-CN"/>
              </w:rPr>
              <w:t>5</w:t>
            </w:r>
            <w:r>
              <w:rPr>
                <w:rFonts w:ascii="Times New Roman" w:hAnsi="Times New Roman" w:eastAsia="宋体"/>
                <w:color w:val="auto"/>
                <w:sz w:val="24"/>
                <w:highlight w:val="none"/>
              </w:rPr>
              <w:t>标准</w:t>
            </w:r>
            <w:r>
              <w:rPr>
                <w:rFonts w:hint="eastAsia" w:ascii="Times New Roman" w:hAnsi="Times New Roman" w:eastAsia="宋体"/>
                <w:color w:val="auto"/>
                <w:sz w:val="24"/>
                <w:highlight w:val="none"/>
              </w:rPr>
              <w:t>（颗粒物≤</w:t>
            </w:r>
            <w:r>
              <w:rPr>
                <w:rFonts w:hint="eastAsia" w:ascii="Times New Roman" w:hAnsi="Times New Roman"/>
                <w:color w:val="auto"/>
                <w:sz w:val="24"/>
                <w:highlight w:val="none"/>
                <w:lang w:val="en-US" w:eastAsia="zh-CN"/>
              </w:rPr>
              <w:t>20</w:t>
            </w:r>
            <w:r>
              <w:rPr>
                <w:rFonts w:ascii="Times New Roman" w:hAnsi="Times New Roman" w:eastAsia="宋体"/>
                <w:color w:val="auto"/>
                <w:sz w:val="24"/>
                <w:highlight w:val="none"/>
              </w:rPr>
              <w:t>mg/m</w:t>
            </w:r>
            <w:r>
              <w:rPr>
                <w:rFonts w:ascii="Times New Roman" w:hAnsi="Times New Roman" w:eastAsia="宋体"/>
                <w:color w:val="auto"/>
                <w:sz w:val="24"/>
                <w:highlight w:val="none"/>
                <w:vertAlign w:val="superscript"/>
              </w:rPr>
              <w:t>3</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w:t>
            </w:r>
            <w:r>
              <w:rPr>
                <w:rFonts w:hint="eastAsia" w:ascii="Times New Roman" w:hAnsi="Times New Roman" w:eastAsia="宋体" w:cs="Times New Roman"/>
                <w:color w:val="auto"/>
                <w:sz w:val="24"/>
                <w:highlight w:val="none"/>
                <w:lang w:val="en-US" w:eastAsia="zh-CN"/>
              </w:rPr>
              <w:t>且</w:t>
            </w:r>
            <w:r>
              <w:rPr>
                <w:rFonts w:hint="eastAsia" w:ascii="Times New Roman" w:hAnsi="Times New Roman"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条</w:t>
            </w:r>
            <w:r>
              <w:rPr>
                <w:rFonts w:ascii="Times New Roman" w:hAnsi="Times New Roman" w:eastAsia="宋体" w:cs="Times New Roman"/>
                <w:color w:val="auto"/>
                <w:sz w:val="24"/>
                <w:highlight w:val="none"/>
              </w:rPr>
              <w:t>生产线</w:t>
            </w:r>
            <w:r>
              <w:rPr>
                <w:rFonts w:hint="eastAsia" w:ascii="Times New Roman" w:hAnsi="Times New Roman" w:eastAsia="宋体" w:cs="Times New Roman"/>
                <w:color w:val="auto"/>
                <w:sz w:val="24"/>
                <w:highlight w:val="none"/>
                <w:lang w:val="en-US" w:eastAsia="zh-CN"/>
              </w:rPr>
              <w:t>全部设置在封闭</w:t>
            </w:r>
            <w:r>
              <w:rPr>
                <w:rFonts w:ascii="Times New Roman" w:hAnsi="Times New Roman" w:eastAsia="宋体" w:cs="Times New Roman"/>
                <w:color w:val="auto"/>
                <w:sz w:val="24"/>
                <w:highlight w:val="none"/>
              </w:rPr>
              <w:t>的</w:t>
            </w:r>
            <w:r>
              <w:rPr>
                <w:rFonts w:hint="eastAsia" w:ascii="Times New Roman" w:hAnsi="Times New Roman" w:eastAsia="宋体" w:cs="Times New Roman"/>
                <w:color w:val="auto"/>
                <w:sz w:val="24"/>
                <w:highlight w:val="none"/>
                <w:lang w:val="en-US" w:eastAsia="zh-CN"/>
              </w:rPr>
              <w:t>厂房内，</w:t>
            </w:r>
            <w:r>
              <w:rPr>
                <w:rFonts w:hint="eastAsia" w:ascii="Times New Roman" w:hAnsi="Times New Roman"/>
                <w:bCs/>
                <w:color w:val="auto"/>
                <w:sz w:val="24"/>
                <w:highlight w:val="none"/>
                <w:lang w:val="en-US" w:eastAsia="zh-CN"/>
              </w:rPr>
              <w:t>原料</w:t>
            </w:r>
            <w:r>
              <w:rPr>
                <w:rFonts w:hint="eastAsia"/>
                <w:bCs/>
                <w:color w:val="auto"/>
                <w:sz w:val="24"/>
                <w:highlight w:val="none"/>
                <w:lang w:val="en-US" w:eastAsia="zh-CN"/>
              </w:rPr>
              <w:t>仓库</w:t>
            </w:r>
            <w:r>
              <w:rPr>
                <w:rFonts w:hint="eastAsia" w:ascii="Times New Roman" w:hAnsi="Times New Roman"/>
                <w:bCs/>
                <w:color w:val="auto"/>
                <w:sz w:val="24"/>
                <w:highlight w:val="none"/>
                <w:lang w:val="en-US" w:eastAsia="zh-CN"/>
              </w:rPr>
              <w:t>、成品</w:t>
            </w:r>
            <w:r>
              <w:rPr>
                <w:rFonts w:hint="eastAsia"/>
                <w:bCs/>
                <w:color w:val="auto"/>
                <w:sz w:val="24"/>
                <w:highlight w:val="none"/>
                <w:lang w:val="en-US" w:eastAsia="zh-CN"/>
              </w:rPr>
              <w:t>仓库</w:t>
            </w:r>
            <w:r>
              <w:rPr>
                <w:rFonts w:hint="eastAsia" w:ascii="Times New Roman" w:hAnsi="Times New Roman"/>
                <w:bCs/>
                <w:color w:val="auto"/>
                <w:sz w:val="24"/>
                <w:highlight w:val="none"/>
                <w:lang w:val="en-US" w:eastAsia="zh-CN"/>
              </w:rPr>
              <w:t>及装卸均位于三面围挡的可封闭</w:t>
            </w:r>
            <w:r>
              <w:rPr>
                <w:rFonts w:hint="eastAsia"/>
                <w:bCs/>
                <w:color w:val="auto"/>
                <w:sz w:val="24"/>
                <w:highlight w:val="none"/>
                <w:lang w:val="en-US" w:eastAsia="zh-CN"/>
              </w:rPr>
              <w:t>堆料大棚内</w:t>
            </w:r>
            <w:r>
              <w:rPr>
                <w:rFonts w:hint="eastAsia" w:ascii="Times New Roman" w:hAnsi="Times New Roman"/>
                <w:bCs/>
                <w:color w:val="auto"/>
                <w:sz w:val="24"/>
                <w:highlight w:val="none"/>
                <w:lang w:val="en-US" w:eastAsia="zh-CN"/>
              </w:rPr>
              <w:t>，</w:t>
            </w:r>
            <w:r>
              <w:rPr>
                <w:rFonts w:hint="eastAsia" w:ascii="Times New Roman" w:hAnsi="Times New Roman" w:cs="Times New Roman"/>
                <w:color w:val="auto"/>
                <w:sz w:val="24"/>
                <w:highlight w:val="none"/>
                <w:lang w:val="en-US" w:eastAsia="zh-CN"/>
              </w:rPr>
              <w:t>项目区</w:t>
            </w:r>
            <w:r>
              <w:rPr>
                <w:rFonts w:hint="eastAsia" w:cs="Times New Roman"/>
                <w:color w:val="auto"/>
                <w:sz w:val="24"/>
                <w:highlight w:val="none"/>
                <w:lang w:val="en-US" w:eastAsia="zh-CN"/>
              </w:rPr>
              <w:t>堆料大棚</w:t>
            </w:r>
            <w:r>
              <w:rPr>
                <w:rFonts w:hint="eastAsia" w:ascii="Times New Roman" w:hAnsi="Times New Roman" w:cs="Times New Roman"/>
                <w:color w:val="auto"/>
                <w:sz w:val="24"/>
                <w:highlight w:val="none"/>
                <w:lang w:val="en-US" w:eastAsia="zh-CN"/>
              </w:rPr>
              <w:t>均设置喷雾抑尘设施，并对厂区道路洒水降尘</w:t>
            </w:r>
            <w:r>
              <w:rPr>
                <w:rFonts w:hint="eastAsia" w:ascii="Times New Roman" w:hAnsi="Times New Roman" w:eastAsia="宋体" w:cs="Times New Roman"/>
                <w:color w:val="auto"/>
                <w:sz w:val="24"/>
                <w:highlight w:val="none"/>
                <w:lang w:val="en-US" w:eastAsia="zh-CN"/>
              </w:rPr>
              <w:t>，</w:t>
            </w:r>
            <w:r>
              <w:rPr>
                <w:rFonts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rPr>
              <w:t>无组织排放的颗粒物</w:t>
            </w:r>
            <w:r>
              <w:rPr>
                <w:rFonts w:ascii="Times New Roman" w:hAnsi="Times New Roman" w:eastAsia="宋体" w:cs="Times New Roman"/>
                <w:color w:val="auto"/>
                <w:sz w:val="24"/>
                <w:highlight w:val="none"/>
              </w:rPr>
              <w:t>排放浓度满足</w:t>
            </w:r>
            <w:r>
              <w:rPr>
                <w:rFonts w:hint="eastAsia" w:ascii="Times New Roman" w:hAnsi="Times New Roman" w:cs="Times New Roman" w:eastAsiaTheme="minorEastAsia"/>
                <w:color w:val="auto"/>
                <w:sz w:val="24"/>
                <w:highlight w:val="none"/>
                <w:lang w:val="en-US" w:eastAsia="zh-CN"/>
              </w:rPr>
              <w:t>《铁矿采选工业污染物排放标准》（</w:t>
            </w:r>
            <w:r>
              <w:rPr>
                <w:rFonts w:hint="default" w:ascii="Times New Roman" w:hAnsi="Times New Roman" w:cs="Times New Roman" w:eastAsiaTheme="minorEastAsia"/>
                <w:color w:val="auto"/>
                <w:sz w:val="24"/>
                <w:highlight w:val="none"/>
                <w:lang w:val="en-US" w:eastAsia="zh-CN"/>
              </w:rPr>
              <w:t>GB</w:t>
            </w:r>
            <w:r>
              <w:rPr>
                <w:rFonts w:hint="eastAsia" w:ascii="Times New Roman" w:hAnsi="Times New Roman" w:cs="Times New Roman" w:eastAsiaTheme="minorEastAsia"/>
                <w:color w:val="auto"/>
                <w:sz w:val="24"/>
                <w:highlight w:val="none"/>
                <w:lang w:val="en-US" w:eastAsia="zh-CN"/>
              </w:rPr>
              <w:t>28661</w:t>
            </w:r>
            <w:r>
              <w:rPr>
                <w:rFonts w:hint="default" w:ascii="Times New Roman" w:hAnsi="Times New Roman" w:cs="Times New Roman" w:eastAsiaTheme="minorEastAsia"/>
                <w:color w:val="auto"/>
                <w:sz w:val="24"/>
                <w:highlight w:val="none"/>
                <w:lang w:val="en-US" w:eastAsia="zh-CN"/>
              </w:rPr>
              <w:t>-</w:t>
            </w:r>
            <w:r>
              <w:rPr>
                <w:rFonts w:hint="eastAsia" w:ascii="Times New Roman" w:hAnsi="Times New Roman" w:cs="Times New Roman" w:eastAsiaTheme="minorEastAsia"/>
                <w:color w:val="auto"/>
                <w:sz w:val="24"/>
                <w:highlight w:val="none"/>
                <w:lang w:val="en-US" w:eastAsia="zh-CN"/>
              </w:rPr>
              <w:t>2021</w:t>
            </w:r>
            <w:r>
              <w:rPr>
                <w:rFonts w:hint="default" w:ascii="Times New Roman" w:hAnsi="Times New Roman" w:cs="Times New Roman" w:eastAsiaTheme="minorEastAsia"/>
                <w:color w:val="auto"/>
                <w:sz w:val="24"/>
                <w:highlight w:val="none"/>
                <w:lang w:val="en-US" w:eastAsia="zh-CN"/>
              </w:rPr>
              <w:t>）</w:t>
            </w:r>
            <w:r>
              <w:rPr>
                <w:rFonts w:ascii="Times New Roman" w:hAnsi="Times New Roman" w:eastAsia="宋体"/>
                <w:color w:val="auto"/>
                <w:sz w:val="24"/>
                <w:highlight w:val="none"/>
              </w:rPr>
              <w:t>表</w:t>
            </w:r>
            <w:r>
              <w:rPr>
                <w:rFonts w:hint="eastAsia" w:ascii="Times New Roman" w:hAnsi="Times New Roman" w:eastAsia="宋体"/>
                <w:color w:val="auto"/>
                <w:sz w:val="24"/>
                <w:highlight w:val="none"/>
                <w:lang w:val="en-US" w:eastAsia="zh-CN"/>
              </w:rPr>
              <w:t>7</w:t>
            </w:r>
            <w:r>
              <w:rPr>
                <w:rFonts w:ascii="Times New Roman" w:hAnsi="Times New Roman" w:eastAsia="宋体"/>
                <w:color w:val="auto"/>
                <w:sz w:val="24"/>
                <w:highlight w:val="none"/>
              </w:rPr>
              <w:t>标准</w:t>
            </w:r>
            <w:r>
              <w:rPr>
                <w:rFonts w:hint="eastAsia" w:ascii="Times New Roman" w:hAnsi="Times New Roman" w:eastAsia="宋体"/>
                <w:color w:val="auto"/>
                <w:sz w:val="24"/>
                <w:highlight w:val="none"/>
              </w:rPr>
              <w:t>中无组织排放监控浓度限值（≤</w:t>
            </w:r>
            <w:r>
              <w:rPr>
                <w:rFonts w:ascii="Times New Roman" w:hAnsi="Times New Roman" w:eastAsia="宋体"/>
                <w:color w:val="auto"/>
                <w:sz w:val="24"/>
                <w:highlight w:val="none"/>
              </w:rPr>
              <w:t>1.0</w:t>
            </w:r>
            <w:r>
              <w:rPr>
                <w:rFonts w:hint="eastAsia" w:ascii="Times New Roman" w:hAnsi="Times New Roman" w:eastAsia="宋体"/>
                <w:color w:val="auto"/>
                <w:sz w:val="24"/>
                <w:highlight w:val="none"/>
              </w:rPr>
              <w:t>mg</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hint="eastAsia" w:ascii="Times New Roman" w:hAnsi="Times New Roman" w:eastAsia="宋体"/>
                <w:color w:val="auto"/>
                <w:sz w:val="24"/>
                <w:highlight w:val="none"/>
              </w:rPr>
              <w:t>）</w:t>
            </w:r>
            <w:r>
              <w:rPr>
                <w:rFonts w:hint="eastAsia" w:ascii="Times New Roman" w:hAnsi="Times New Roman" w:eastAsia="宋体" w:cs="Times New Roman"/>
                <w:color w:val="auto"/>
                <w:sz w:val="24"/>
                <w:highlight w:val="none"/>
                <w:lang w:val="en-US" w:eastAsia="zh-CN"/>
              </w:rPr>
              <w:t>。</w:t>
            </w:r>
          </w:p>
          <w:p w14:paraId="51D1E6EA">
            <w:pPr>
              <w:pStyle w:val="70"/>
              <w:ind w:firstLine="482"/>
              <w:rPr>
                <w:rFonts w:hint="eastAsia" w:ascii="Times New Roman" w:hAnsi="Times New Roman" w:eastAsia="宋体" w:cs="Times New Roman"/>
                <w:color w:val="auto"/>
                <w:sz w:val="24"/>
                <w:szCs w:val="24"/>
                <w:highlight w:val="none"/>
                <w:lang w:val="en-US" w:eastAsia="zh-CN"/>
              </w:rPr>
            </w:pPr>
          </w:p>
          <w:p w14:paraId="595F4A6A">
            <w:pPr>
              <w:pStyle w:val="70"/>
              <w:ind w:firstLine="482"/>
              <w:rPr>
                <w:rFonts w:hint="eastAsia" w:ascii="Times New Roman" w:hAnsi="Times New Roman" w:eastAsia="宋体" w:cs="Times New Roman"/>
                <w:color w:val="auto"/>
                <w:sz w:val="24"/>
                <w:szCs w:val="24"/>
                <w:highlight w:val="none"/>
                <w:lang w:val="en-US" w:eastAsia="zh-CN"/>
              </w:rPr>
            </w:pPr>
          </w:p>
          <w:p w14:paraId="1543AF2E">
            <w:pPr>
              <w:pStyle w:val="70"/>
              <w:ind w:firstLine="482"/>
              <w:rPr>
                <w:rFonts w:hint="eastAsia" w:ascii="Times New Roman" w:hAnsi="Times New Roman" w:eastAsia="宋体" w:cs="Times New Roman"/>
                <w:color w:val="auto"/>
                <w:sz w:val="24"/>
                <w:szCs w:val="24"/>
                <w:highlight w:val="none"/>
                <w:lang w:val="en-US" w:eastAsia="zh-CN"/>
              </w:rPr>
            </w:pPr>
          </w:p>
          <w:p w14:paraId="6FD1D484">
            <w:pPr>
              <w:pStyle w:val="70"/>
              <w:ind w:firstLine="482"/>
              <w:rPr>
                <w:rFonts w:hint="eastAsia" w:ascii="Times New Roman" w:hAnsi="Times New Roman" w:eastAsia="宋体" w:cs="Times New Roman"/>
                <w:color w:val="auto"/>
                <w:sz w:val="24"/>
                <w:szCs w:val="24"/>
                <w:highlight w:val="none"/>
                <w:lang w:val="en-US" w:eastAsia="zh-CN"/>
              </w:rPr>
            </w:pPr>
          </w:p>
          <w:p w14:paraId="7623F539">
            <w:pPr>
              <w:pStyle w:val="70"/>
              <w:ind w:left="0" w:leftChars="0" w:firstLine="0" w:firstLineChars="0"/>
              <w:rPr>
                <w:rFonts w:hint="eastAsia" w:ascii="Times New Roman" w:hAnsi="Times New Roman"/>
                <w:color w:val="auto"/>
                <w:sz w:val="10"/>
                <w:szCs w:val="10"/>
                <w:highlight w:val="none"/>
              </w:rPr>
            </w:pPr>
          </w:p>
        </w:tc>
      </w:tr>
    </w:tbl>
    <w:p w14:paraId="48CE785A">
      <w:pPr>
        <w:pStyle w:val="34"/>
        <w:ind w:left="0" w:leftChars="0" w:firstLine="0" w:firstLineChars="0"/>
        <w:rPr>
          <w:rFonts w:hint="eastAsia" w:ascii="Times New Roman" w:hAnsi="Times New Roman"/>
          <w:color w:val="auto"/>
          <w:highlight w:val="none"/>
        </w:rPr>
        <w:sectPr>
          <w:pgSz w:w="11905" w:h="16838"/>
          <w:pgMar w:top="1440" w:right="1701" w:bottom="1440" w:left="1701" w:header="851" w:footer="1077" w:gutter="0"/>
          <w:cols w:space="720" w:num="1"/>
          <w:docGrid w:type="lines" w:linePitch="317" w:charSpace="0"/>
        </w:sect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3358"/>
      </w:tblGrid>
      <w:tr w14:paraId="2E4E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6" w:hRule="atLeast"/>
        </w:trPr>
        <w:tc>
          <w:tcPr>
            <w:tcW w:w="893" w:type="dxa"/>
            <w:noWrap w:val="0"/>
            <w:vAlign w:val="center"/>
          </w:tcPr>
          <w:p w14:paraId="3E0E477A">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运营</w:t>
            </w:r>
          </w:p>
          <w:p w14:paraId="0AE2B0C6">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期环</w:t>
            </w:r>
          </w:p>
          <w:p w14:paraId="46C0DEAF">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境影</w:t>
            </w:r>
          </w:p>
          <w:p w14:paraId="7421F400">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响和</w:t>
            </w:r>
          </w:p>
          <w:p w14:paraId="4BABBC0F">
            <w:pPr>
              <w:adjustRightInd w:val="0"/>
              <w:snapToGrid w:val="0"/>
              <w:jc w:val="center"/>
              <w:rPr>
                <w:rFonts w:hint="eastAsia" w:ascii="Times New Roman" w:hAnsi="Times New Roman"/>
                <w:color w:val="auto"/>
                <w:highlight w:val="none"/>
                <w:vertAlign w:val="baseline"/>
              </w:rPr>
            </w:pPr>
            <w:r>
              <w:rPr>
                <w:rFonts w:hint="default" w:ascii="Times New Roman" w:hAnsi="Times New Roman" w:cs="Times New Roman"/>
                <w:bCs/>
                <w:color w:val="auto"/>
                <w:sz w:val="24"/>
                <w:szCs w:val="24"/>
                <w:highlight w:val="none"/>
              </w:rPr>
              <w:t>保护措施</w:t>
            </w:r>
          </w:p>
        </w:tc>
        <w:tc>
          <w:tcPr>
            <w:tcW w:w="14003" w:type="dxa"/>
            <w:noWrap w:val="0"/>
            <w:vAlign w:val="top"/>
          </w:tcPr>
          <w:p w14:paraId="4B5A020B">
            <w:pPr>
              <w:pStyle w:val="83"/>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4.2.2废水</w:t>
            </w:r>
          </w:p>
          <w:p w14:paraId="2BDD2996">
            <w:pPr>
              <w:pStyle w:val="83"/>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一、</w:t>
            </w:r>
            <w:r>
              <w:rPr>
                <w:rFonts w:ascii="Times New Roman" w:hAnsi="Times New Roman"/>
                <w:b/>
                <w:bCs/>
                <w:color w:val="auto"/>
                <w:spacing w:val="0"/>
                <w:kern w:val="2"/>
                <w:sz w:val="24"/>
                <w:highlight w:val="none"/>
                <w:lang w:val="en-US"/>
              </w:rPr>
              <w:t>废水污染源源强核算结果及相关参数</w:t>
            </w:r>
          </w:p>
          <w:p w14:paraId="5CBEC3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olor w:val="auto"/>
                <w:sz w:val="24"/>
                <w:szCs w:val="24"/>
                <w:highlight w:val="none"/>
                <w:lang w:val="en-US" w:eastAsia="zh-CN"/>
              </w:rPr>
            </w:pPr>
            <w:r>
              <w:rPr>
                <w:rFonts w:hint="default" w:ascii="Times New Roman" w:hAnsi="Times New Roman"/>
                <w:color w:val="auto"/>
                <w:sz w:val="24"/>
                <w:szCs w:val="24"/>
                <w:highlight w:val="none"/>
                <w:lang w:val="en-US" w:eastAsia="zh-CN"/>
              </w:rPr>
              <w:t>本项目运营期废</w:t>
            </w:r>
            <w:r>
              <w:rPr>
                <w:rFonts w:hint="eastAsia" w:ascii="Times New Roman" w:hAnsi="Times New Roman"/>
                <w:color w:val="auto"/>
                <w:sz w:val="24"/>
                <w:szCs w:val="24"/>
                <w:highlight w:val="none"/>
                <w:lang w:val="en-US" w:eastAsia="zh-CN"/>
              </w:rPr>
              <w:t>水</w:t>
            </w:r>
            <w:r>
              <w:rPr>
                <w:rFonts w:hint="default" w:ascii="Times New Roman" w:hAnsi="Times New Roman"/>
                <w:color w:val="auto"/>
                <w:sz w:val="24"/>
                <w:szCs w:val="24"/>
                <w:highlight w:val="none"/>
                <w:lang w:val="en-US" w:eastAsia="zh-CN"/>
              </w:rPr>
              <w:t>污染物源强核算及相关参数详见</w:t>
            </w:r>
            <w:r>
              <w:rPr>
                <w:rFonts w:hint="eastAsia" w:ascii="Times New Roman" w:hAnsi="Times New Roman"/>
                <w:color w:val="auto"/>
                <w:sz w:val="24"/>
                <w:szCs w:val="24"/>
                <w:highlight w:val="none"/>
                <w:lang w:val="en-US" w:eastAsia="zh-CN"/>
              </w:rPr>
              <w:t>下表</w:t>
            </w:r>
            <w:r>
              <w:rPr>
                <w:rFonts w:hint="default" w:ascii="Times New Roman" w:hAnsi="Times New Roman"/>
                <w:color w:val="auto"/>
                <w:sz w:val="24"/>
                <w:szCs w:val="24"/>
                <w:highlight w:val="none"/>
                <w:lang w:val="en-US" w:eastAsia="zh-CN"/>
              </w:rPr>
              <w:t>。</w:t>
            </w:r>
          </w:p>
          <w:p w14:paraId="5D7C0897">
            <w:pPr>
              <w:pStyle w:val="8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表4.2.2-1</w:t>
            </w:r>
            <w:r>
              <w:rPr>
                <w:rFonts w:hint="default" w:ascii="Times New Roman" w:hAnsi="Times New Roman" w:eastAsia="宋体" w:cs="Times New Roman"/>
                <w:b/>
                <w:bCs/>
                <w:color w:val="auto"/>
                <w:kern w:val="2"/>
                <w:sz w:val="24"/>
                <w:szCs w:val="24"/>
                <w:highlight w:val="none"/>
                <w:lang w:val="en-US" w:eastAsia="zh-CN" w:bidi="ar-SA"/>
              </w:rPr>
              <w:t>运营期废</w:t>
            </w:r>
            <w:r>
              <w:rPr>
                <w:rFonts w:hint="eastAsia" w:ascii="Times New Roman" w:hAnsi="Times New Roman" w:eastAsia="宋体" w:cs="Times New Roman"/>
                <w:b/>
                <w:bCs/>
                <w:color w:val="auto"/>
                <w:kern w:val="2"/>
                <w:sz w:val="24"/>
                <w:szCs w:val="24"/>
                <w:highlight w:val="none"/>
                <w:lang w:val="en-US" w:eastAsia="zh-CN" w:bidi="ar-SA"/>
              </w:rPr>
              <w:t>水</w:t>
            </w:r>
            <w:r>
              <w:rPr>
                <w:rFonts w:hint="default" w:ascii="Times New Roman" w:hAnsi="Times New Roman" w:eastAsia="宋体" w:cs="Times New Roman"/>
                <w:b/>
                <w:bCs/>
                <w:color w:val="auto"/>
                <w:kern w:val="2"/>
                <w:sz w:val="24"/>
                <w:szCs w:val="24"/>
                <w:highlight w:val="none"/>
                <w:lang w:val="en-US" w:eastAsia="zh-CN" w:bidi="ar-SA"/>
              </w:rPr>
              <w:t>污染物源强核算及相关参数</w:t>
            </w:r>
            <w:r>
              <w:rPr>
                <w:rFonts w:hint="eastAsia" w:ascii="Times New Roman" w:hAnsi="Times New Roman" w:eastAsia="宋体" w:cs="Times New Roman"/>
                <w:b/>
                <w:bCs/>
                <w:color w:val="auto"/>
                <w:kern w:val="2"/>
                <w:sz w:val="24"/>
                <w:szCs w:val="24"/>
                <w:highlight w:val="none"/>
                <w:lang w:val="en-US" w:eastAsia="zh-CN" w:bidi="ar-SA"/>
              </w:rPr>
              <w:t>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09"/>
              <w:gridCol w:w="914"/>
              <w:gridCol w:w="1004"/>
              <w:gridCol w:w="3"/>
              <w:gridCol w:w="1090"/>
              <w:gridCol w:w="620"/>
              <w:gridCol w:w="1634"/>
              <w:gridCol w:w="977"/>
              <w:gridCol w:w="1038"/>
              <w:gridCol w:w="886"/>
              <w:gridCol w:w="1264"/>
              <w:gridCol w:w="2362"/>
            </w:tblGrid>
            <w:tr w14:paraId="33E9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2" w:type="pct"/>
                  <w:vMerge w:val="restart"/>
                  <w:noWrap w:val="0"/>
                  <w:vAlign w:val="center"/>
                </w:tcPr>
                <w:p w14:paraId="5D5190AB">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序号</w:t>
                  </w:r>
                </w:p>
              </w:tc>
              <w:tc>
                <w:tcPr>
                  <w:tcW w:w="346" w:type="pct"/>
                  <w:vMerge w:val="restart"/>
                  <w:noWrap w:val="0"/>
                  <w:vAlign w:val="center"/>
                </w:tcPr>
                <w:p w14:paraId="28E30DFF">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产排污环节</w:t>
                  </w:r>
                </w:p>
              </w:tc>
              <w:tc>
                <w:tcPr>
                  <w:tcW w:w="348" w:type="pct"/>
                  <w:vMerge w:val="restart"/>
                  <w:noWrap w:val="0"/>
                  <w:vAlign w:val="center"/>
                </w:tcPr>
                <w:p w14:paraId="64FDDA3F">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污染物</w:t>
                  </w:r>
                </w:p>
              </w:tc>
              <w:tc>
                <w:tcPr>
                  <w:tcW w:w="798" w:type="pct"/>
                  <w:gridSpan w:val="3"/>
                  <w:noWrap w:val="0"/>
                  <w:vAlign w:val="center"/>
                </w:tcPr>
                <w:p w14:paraId="3C37E4CA">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废水产生</w:t>
                  </w:r>
                </w:p>
              </w:tc>
              <w:tc>
                <w:tcPr>
                  <w:tcW w:w="236" w:type="pct"/>
                  <w:vMerge w:val="restart"/>
                  <w:noWrap w:val="0"/>
                  <w:vAlign w:val="center"/>
                </w:tcPr>
                <w:p w14:paraId="552A0CE5">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排放方式</w:t>
                  </w:r>
                </w:p>
              </w:tc>
              <w:tc>
                <w:tcPr>
                  <w:tcW w:w="1389" w:type="pct"/>
                  <w:gridSpan w:val="3"/>
                  <w:noWrap w:val="0"/>
                  <w:vAlign w:val="center"/>
                </w:tcPr>
                <w:p w14:paraId="2DB69991">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治理设施</w:t>
                  </w:r>
                </w:p>
              </w:tc>
              <w:tc>
                <w:tcPr>
                  <w:tcW w:w="818" w:type="pct"/>
                  <w:gridSpan w:val="2"/>
                  <w:noWrap w:val="0"/>
                  <w:vAlign w:val="center"/>
                </w:tcPr>
                <w:p w14:paraId="27B9A9B7">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废水排放</w:t>
                  </w:r>
                </w:p>
              </w:tc>
              <w:tc>
                <w:tcPr>
                  <w:tcW w:w="899" w:type="pct"/>
                  <w:vMerge w:val="restart"/>
                  <w:noWrap w:val="0"/>
                  <w:vAlign w:val="center"/>
                </w:tcPr>
                <w:p w14:paraId="289F3FC4">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排放标准</w:t>
                  </w:r>
                </w:p>
              </w:tc>
            </w:tr>
            <w:tr w14:paraId="2535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 w:type="pct"/>
                  <w:vMerge w:val="continue"/>
                  <w:noWrap w:val="0"/>
                  <w:vAlign w:val="center"/>
                </w:tcPr>
                <w:p w14:paraId="2DD3D917">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c>
                <w:tcPr>
                  <w:tcW w:w="346" w:type="pct"/>
                  <w:vMerge w:val="continue"/>
                  <w:noWrap w:val="0"/>
                  <w:vAlign w:val="center"/>
                </w:tcPr>
                <w:p w14:paraId="36C09454">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c>
                <w:tcPr>
                  <w:tcW w:w="348" w:type="pct"/>
                  <w:vMerge w:val="continue"/>
                  <w:noWrap w:val="0"/>
                  <w:vAlign w:val="center"/>
                </w:tcPr>
                <w:p w14:paraId="39D668BC">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c>
                <w:tcPr>
                  <w:tcW w:w="382" w:type="pct"/>
                  <w:noWrap w:val="0"/>
                  <w:vAlign w:val="center"/>
                </w:tcPr>
                <w:p w14:paraId="202522A7">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产生量（t/a）</w:t>
                  </w:r>
                </w:p>
              </w:tc>
              <w:tc>
                <w:tcPr>
                  <w:tcW w:w="416" w:type="pct"/>
                  <w:gridSpan w:val="2"/>
                  <w:noWrap w:val="0"/>
                  <w:vAlign w:val="center"/>
                </w:tcPr>
                <w:p w14:paraId="5655DE4B">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产生浓度（mg/L）</w:t>
                  </w:r>
                </w:p>
              </w:tc>
              <w:tc>
                <w:tcPr>
                  <w:tcW w:w="236" w:type="pct"/>
                  <w:vMerge w:val="continue"/>
                  <w:noWrap w:val="0"/>
                  <w:vAlign w:val="center"/>
                </w:tcPr>
                <w:p w14:paraId="6DE49147">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c>
                <w:tcPr>
                  <w:tcW w:w="622" w:type="pct"/>
                  <w:noWrap w:val="0"/>
                  <w:vAlign w:val="center"/>
                </w:tcPr>
                <w:p w14:paraId="532BF8FA">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治理设施</w:t>
                  </w:r>
                </w:p>
              </w:tc>
              <w:tc>
                <w:tcPr>
                  <w:tcW w:w="372" w:type="pct"/>
                  <w:noWrap w:val="0"/>
                  <w:vAlign w:val="center"/>
                </w:tcPr>
                <w:p w14:paraId="62AF58F7">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效率（%）</w:t>
                  </w:r>
                </w:p>
              </w:tc>
              <w:tc>
                <w:tcPr>
                  <w:tcW w:w="395" w:type="pct"/>
                  <w:noWrap w:val="0"/>
                  <w:vAlign w:val="center"/>
                </w:tcPr>
                <w:p w14:paraId="38D6880E">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是否为可行性技术</w:t>
                  </w:r>
                </w:p>
              </w:tc>
              <w:tc>
                <w:tcPr>
                  <w:tcW w:w="337" w:type="pct"/>
                  <w:noWrap w:val="0"/>
                  <w:vAlign w:val="center"/>
                </w:tcPr>
                <w:p w14:paraId="3D5FCB49">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排放量（t/a）</w:t>
                  </w:r>
                </w:p>
              </w:tc>
              <w:tc>
                <w:tcPr>
                  <w:tcW w:w="481" w:type="pct"/>
                  <w:noWrap w:val="0"/>
                  <w:vAlign w:val="center"/>
                </w:tcPr>
                <w:p w14:paraId="3EEC70DF">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排放浓度（mg/L）</w:t>
                  </w:r>
                </w:p>
              </w:tc>
              <w:tc>
                <w:tcPr>
                  <w:tcW w:w="899" w:type="pct"/>
                  <w:vMerge w:val="continue"/>
                  <w:noWrap w:val="0"/>
                  <w:vAlign w:val="center"/>
                </w:tcPr>
                <w:p w14:paraId="276B92D7">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r>
            <w:tr w14:paraId="1893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2" w:type="pct"/>
                  <w:vMerge w:val="restart"/>
                  <w:noWrap w:val="0"/>
                  <w:vAlign w:val="center"/>
                </w:tcPr>
                <w:p w14:paraId="7486CE3D">
                  <w:pPr>
                    <w:keepNext w:val="0"/>
                    <w:keepLines w:val="0"/>
                    <w:pageBreakBefore w:val="0"/>
                    <w:widowControl w:val="0"/>
                    <w:wordWrap/>
                    <w:topLinePunct w:val="0"/>
                    <w:autoSpaceDN/>
                    <w:bidi w:val="0"/>
                    <w:adjustRightInd/>
                    <w:spacing w:line="240" w:lineRule="exact"/>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1</w:t>
                  </w:r>
                </w:p>
              </w:tc>
              <w:tc>
                <w:tcPr>
                  <w:tcW w:w="346" w:type="pct"/>
                  <w:vMerge w:val="restart"/>
                  <w:noWrap w:val="0"/>
                  <w:vAlign w:val="center"/>
                </w:tcPr>
                <w:p w14:paraId="2C4E5AEE">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rPr>
                    <w:t>生活</w:t>
                  </w:r>
                  <w:r>
                    <w:rPr>
                      <w:rFonts w:hint="eastAsia" w:ascii="Times New Roman" w:hAnsi="Times New Roman" w:eastAsia="宋体"/>
                      <w:color w:val="auto"/>
                      <w:sz w:val="21"/>
                      <w:szCs w:val="21"/>
                      <w:highlight w:val="none"/>
                      <w:lang w:val="en-US" w:eastAsia="zh-CN"/>
                    </w:rPr>
                    <w:t>污水</w:t>
                  </w:r>
                </w:p>
              </w:tc>
              <w:tc>
                <w:tcPr>
                  <w:tcW w:w="348" w:type="pct"/>
                  <w:noWrap w:val="0"/>
                  <w:vAlign w:val="center"/>
                </w:tcPr>
                <w:p w14:paraId="6570D6BF">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废水量</w:t>
                  </w:r>
                </w:p>
              </w:tc>
              <w:tc>
                <w:tcPr>
                  <w:tcW w:w="382" w:type="pct"/>
                  <w:noWrap w:val="0"/>
                  <w:vAlign w:val="center"/>
                </w:tcPr>
                <w:p w14:paraId="2151A0B3">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840</w:t>
                  </w:r>
                </w:p>
              </w:tc>
              <w:tc>
                <w:tcPr>
                  <w:tcW w:w="416" w:type="pct"/>
                  <w:gridSpan w:val="2"/>
                  <w:noWrap w:val="0"/>
                  <w:vAlign w:val="center"/>
                </w:tcPr>
                <w:p w14:paraId="34DC9AE9">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236" w:type="pct"/>
                  <w:vMerge w:val="restart"/>
                  <w:noWrap w:val="0"/>
                  <w:vAlign w:val="center"/>
                </w:tcPr>
                <w:p w14:paraId="18C20CE2">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不排放</w:t>
                  </w:r>
                </w:p>
              </w:tc>
              <w:tc>
                <w:tcPr>
                  <w:tcW w:w="622" w:type="pct"/>
                  <w:vMerge w:val="restart"/>
                  <w:noWrap w:val="0"/>
                  <w:vAlign w:val="center"/>
                </w:tcPr>
                <w:p w14:paraId="58E40763">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食堂废水通过隔油池处理后，与其他生活污水一起进入化粪池处理，最后进入新建的污水处理站处理</w:t>
                  </w:r>
                </w:p>
              </w:tc>
              <w:tc>
                <w:tcPr>
                  <w:tcW w:w="372" w:type="pct"/>
                  <w:noWrap w:val="0"/>
                  <w:vAlign w:val="center"/>
                </w:tcPr>
                <w:p w14:paraId="7020974D">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395" w:type="pct"/>
                  <w:vMerge w:val="restart"/>
                  <w:noWrap w:val="0"/>
                  <w:vAlign w:val="center"/>
                </w:tcPr>
                <w:p w14:paraId="237ACF2E">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是</w:t>
                  </w:r>
                </w:p>
              </w:tc>
              <w:tc>
                <w:tcPr>
                  <w:tcW w:w="337" w:type="pct"/>
                  <w:noWrap w:val="0"/>
                  <w:vAlign w:val="center"/>
                </w:tcPr>
                <w:p w14:paraId="3DC6BBC8">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w:t>
                  </w:r>
                </w:p>
              </w:tc>
              <w:tc>
                <w:tcPr>
                  <w:tcW w:w="481" w:type="pct"/>
                  <w:noWrap w:val="0"/>
                  <w:vAlign w:val="center"/>
                </w:tcPr>
                <w:p w14:paraId="070F3DB6">
                  <w:pPr>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899" w:type="pct"/>
                  <w:vMerge w:val="restart"/>
                  <w:noWrap w:val="0"/>
                  <w:vAlign w:val="center"/>
                </w:tcPr>
                <w:p w14:paraId="55C4BCA2">
                  <w:pPr>
                    <w:keepNext w:val="0"/>
                    <w:keepLines w:val="0"/>
                    <w:pageBreakBefore w:val="0"/>
                    <w:widowControl w:val="0"/>
                    <w:wordWrap/>
                    <w:topLinePunct w:val="0"/>
                    <w:autoSpaceDN/>
                    <w:bidi w:val="0"/>
                    <w:adjustRightInd/>
                    <w:spacing w:line="240" w:lineRule="exact"/>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s="Times New Roman"/>
                      <w:color w:val="auto"/>
                      <w:spacing w:val="0"/>
                      <w:sz w:val="21"/>
                      <w:highlight w:val="none"/>
                      <w:lang w:val="en-US" w:eastAsia="zh-CN"/>
                    </w:rPr>
                    <w:t>《城市污水再生利用城市杂用水水质》（GB/T18920-2020）中的城市绿化标准</w:t>
                  </w:r>
                </w:p>
              </w:tc>
            </w:tr>
            <w:tr w14:paraId="01B9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2" w:type="pct"/>
                  <w:vMerge w:val="continue"/>
                  <w:noWrap w:val="0"/>
                  <w:vAlign w:val="center"/>
                </w:tcPr>
                <w:p w14:paraId="0AD0C9F6">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c>
                <w:tcPr>
                  <w:tcW w:w="346" w:type="pct"/>
                  <w:vMerge w:val="continue"/>
                  <w:noWrap w:val="0"/>
                  <w:vAlign w:val="center"/>
                </w:tcPr>
                <w:p w14:paraId="425DC231">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ascii="Times New Roman" w:hAnsi="Times New Roman" w:eastAsia="宋体"/>
                      <w:color w:val="auto"/>
                      <w:kern w:val="44"/>
                      <w:sz w:val="21"/>
                      <w:szCs w:val="21"/>
                      <w:highlight w:val="none"/>
                    </w:rPr>
                  </w:pPr>
                </w:p>
              </w:tc>
              <w:tc>
                <w:tcPr>
                  <w:tcW w:w="348" w:type="pct"/>
                  <w:noWrap w:val="0"/>
                  <w:vAlign w:val="center"/>
                </w:tcPr>
                <w:p w14:paraId="2406883F">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SS</w:t>
                  </w:r>
                </w:p>
              </w:tc>
              <w:tc>
                <w:tcPr>
                  <w:tcW w:w="382" w:type="pct"/>
                  <w:noWrap w:val="0"/>
                  <w:vAlign w:val="center"/>
                </w:tcPr>
                <w:p w14:paraId="55CE710D">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0.168</w:t>
                  </w:r>
                </w:p>
              </w:tc>
              <w:tc>
                <w:tcPr>
                  <w:tcW w:w="416" w:type="pct"/>
                  <w:gridSpan w:val="2"/>
                  <w:noWrap w:val="0"/>
                  <w:vAlign w:val="center"/>
                </w:tcPr>
                <w:p w14:paraId="1CEA6F40">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200</w:t>
                  </w:r>
                </w:p>
              </w:tc>
              <w:tc>
                <w:tcPr>
                  <w:tcW w:w="236" w:type="pct"/>
                  <w:vMerge w:val="continue"/>
                  <w:noWrap w:val="0"/>
                  <w:vAlign w:val="center"/>
                </w:tcPr>
                <w:p w14:paraId="1C8EE867">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622" w:type="pct"/>
                  <w:vMerge w:val="continue"/>
                  <w:noWrap w:val="0"/>
                  <w:vAlign w:val="center"/>
                </w:tcPr>
                <w:p w14:paraId="26F238EF">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72" w:type="pct"/>
                  <w:noWrap w:val="0"/>
                  <w:vAlign w:val="center"/>
                </w:tcPr>
                <w:p w14:paraId="1D861609">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95</w:t>
                  </w:r>
                </w:p>
              </w:tc>
              <w:tc>
                <w:tcPr>
                  <w:tcW w:w="395" w:type="pct"/>
                  <w:vMerge w:val="continue"/>
                  <w:noWrap w:val="0"/>
                  <w:vAlign w:val="center"/>
                </w:tcPr>
                <w:p w14:paraId="047F47A3">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37" w:type="pct"/>
                  <w:noWrap w:val="0"/>
                  <w:vAlign w:val="center"/>
                </w:tcPr>
                <w:p w14:paraId="1C190E1C">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w:t>
                  </w:r>
                </w:p>
              </w:tc>
              <w:tc>
                <w:tcPr>
                  <w:tcW w:w="481" w:type="pct"/>
                  <w:noWrap w:val="0"/>
                  <w:vAlign w:val="center"/>
                </w:tcPr>
                <w:p w14:paraId="67DDB828">
                  <w:pPr>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899" w:type="pct"/>
                  <w:vMerge w:val="continue"/>
                  <w:noWrap w:val="0"/>
                  <w:vAlign w:val="center"/>
                </w:tcPr>
                <w:p w14:paraId="09541560">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r>
            <w:tr w14:paraId="0D1F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2" w:type="pct"/>
                  <w:vMerge w:val="continue"/>
                  <w:noWrap w:val="0"/>
                  <w:vAlign w:val="center"/>
                </w:tcPr>
                <w:p w14:paraId="3798EAE5">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c>
                <w:tcPr>
                  <w:tcW w:w="346" w:type="pct"/>
                  <w:vMerge w:val="continue"/>
                  <w:noWrap w:val="0"/>
                  <w:vAlign w:val="center"/>
                </w:tcPr>
                <w:p w14:paraId="1FC14912">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ascii="Times New Roman" w:hAnsi="Times New Roman" w:eastAsia="宋体"/>
                      <w:color w:val="auto"/>
                      <w:sz w:val="21"/>
                      <w:szCs w:val="21"/>
                      <w:highlight w:val="none"/>
                    </w:rPr>
                  </w:pPr>
                </w:p>
              </w:tc>
              <w:tc>
                <w:tcPr>
                  <w:tcW w:w="348" w:type="pct"/>
                  <w:noWrap w:val="0"/>
                  <w:vAlign w:val="center"/>
                </w:tcPr>
                <w:p w14:paraId="5948CD59">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pH</w:t>
                  </w:r>
                </w:p>
              </w:tc>
              <w:tc>
                <w:tcPr>
                  <w:tcW w:w="382" w:type="pct"/>
                  <w:noWrap w:val="0"/>
                  <w:vAlign w:val="center"/>
                </w:tcPr>
                <w:p w14:paraId="2E1177A1">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416" w:type="pct"/>
                  <w:gridSpan w:val="2"/>
                  <w:noWrap w:val="0"/>
                  <w:vAlign w:val="center"/>
                </w:tcPr>
                <w:p w14:paraId="47206D18">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7～8</w:t>
                  </w:r>
                </w:p>
              </w:tc>
              <w:tc>
                <w:tcPr>
                  <w:tcW w:w="236" w:type="pct"/>
                  <w:vMerge w:val="continue"/>
                  <w:noWrap w:val="0"/>
                  <w:vAlign w:val="center"/>
                </w:tcPr>
                <w:p w14:paraId="64217DA5">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622" w:type="pct"/>
                  <w:vMerge w:val="continue"/>
                  <w:noWrap w:val="0"/>
                  <w:vAlign w:val="center"/>
                </w:tcPr>
                <w:p w14:paraId="47EB1B37">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72" w:type="pct"/>
                  <w:noWrap w:val="0"/>
                  <w:vAlign w:val="center"/>
                </w:tcPr>
                <w:p w14:paraId="7B37C36B">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395" w:type="pct"/>
                  <w:vMerge w:val="continue"/>
                  <w:noWrap w:val="0"/>
                  <w:vAlign w:val="center"/>
                </w:tcPr>
                <w:p w14:paraId="36866AE4">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37" w:type="pct"/>
                  <w:noWrap w:val="0"/>
                  <w:vAlign w:val="center"/>
                </w:tcPr>
                <w:p w14:paraId="04568A24">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w:t>
                  </w:r>
                </w:p>
              </w:tc>
              <w:tc>
                <w:tcPr>
                  <w:tcW w:w="481" w:type="pct"/>
                  <w:noWrap w:val="0"/>
                  <w:vAlign w:val="center"/>
                </w:tcPr>
                <w:p w14:paraId="19B85C32">
                  <w:pPr>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899" w:type="pct"/>
                  <w:vMerge w:val="continue"/>
                  <w:noWrap w:val="0"/>
                  <w:vAlign w:val="center"/>
                </w:tcPr>
                <w:p w14:paraId="5F494238">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r>
            <w:tr w14:paraId="6D97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2" w:type="pct"/>
                  <w:vMerge w:val="continue"/>
                  <w:noWrap w:val="0"/>
                  <w:vAlign w:val="center"/>
                </w:tcPr>
                <w:p w14:paraId="2AE711AA">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c>
                <w:tcPr>
                  <w:tcW w:w="346" w:type="pct"/>
                  <w:vMerge w:val="continue"/>
                  <w:noWrap w:val="0"/>
                  <w:vAlign w:val="center"/>
                </w:tcPr>
                <w:p w14:paraId="636633C4">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ascii="Times New Roman" w:hAnsi="Times New Roman" w:eastAsia="宋体"/>
                      <w:color w:val="auto"/>
                      <w:sz w:val="21"/>
                      <w:szCs w:val="21"/>
                      <w:highlight w:val="none"/>
                    </w:rPr>
                  </w:pPr>
                </w:p>
              </w:tc>
              <w:tc>
                <w:tcPr>
                  <w:tcW w:w="348" w:type="pct"/>
                  <w:noWrap w:val="0"/>
                  <w:vAlign w:val="center"/>
                </w:tcPr>
                <w:p w14:paraId="30AA9443">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CODcr</w:t>
                  </w:r>
                </w:p>
              </w:tc>
              <w:tc>
                <w:tcPr>
                  <w:tcW w:w="382" w:type="pct"/>
                  <w:noWrap w:val="0"/>
                  <w:vAlign w:val="center"/>
                </w:tcPr>
                <w:p w14:paraId="26B1C258">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0.252</w:t>
                  </w:r>
                </w:p>
              </w:tc>
              <w:tc>
                <w:tcPr>
                  <w:tcW w:w="416" w:type="pct"/>
                  <w:gridSpan w:val="2"/>
                  <w:noWrap w:val="0"/>
                  <w:vAlign w:val="center"/>
                </w:tcPr>
                <w:p w14:paraId="61C913EC">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300</w:t>
                  </w:r>
                </w:p>
              </w:tc>
              <w:tc>
                <w:tcPr>
                  <w:tcW w:w="236" w:type="pct"/>
                  <w:vMerge w:val="continue"/>
                  <w:noWrap w:val="0"/>
                  <w:vAlign w:val="center"/>
                </w:tcPr>
                <w:p w14:paraId="4AC34C87">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622" w:type="pct"/>
                  <w:vMerge w:val="continue"/>
                  <w:noWrap w:val="0"/>
                  <w:vAlign w:val="center"/>
                </w:tcPr>
                <w:p w14:paraId="1011DC66">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72" w:type="pct"/>
                  <w:noWrap w:val="0"/>
                  <w:vAlign w:val="center"/>
                </w:tcPr>
                <w:p w14:paraId="271F5506">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95</w:t>
                  </w:r>
                </w:p>
              </w:tc>
              <w:tc>
                <w:tcPr>
                  <w:tcW w:w="395" w:type="pct"/>
                  <w:vMerge w:val="continue"/>
                  <w:noWrap w:val="0"/>
                  <w:vAlign w:val="center"/>
                </w:tcPr>
                <w:p w14:paraId="0CE06E68">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37" w:type="pct"/>
                  <w:noWrap w:val="0"/>
                  <w:vAlign w:val="center"/>
                </w:tcPr>
                <w:p w14:paraId="02DFA1EE">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w:t>
                  </w:r>
                </w:p>
              </w:tc>
              <w:tc>
                <w:tcPr>
                  <w:tcW w:w="481" w:type="pct"/>
                  <w:noWrap w:val="0"/>
                  <w:vAlign w:val="center"/>
                </w:tcPr>
                <w:p w14:paraId="1EED5B25">
                  <w:pPr>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899" w:type="pct"/>
                  <w:vMerge w:val="continue"/>
                  <w:noWrap w:val="0"/>
                  <w:vAlign w:val="center"/>
                </w:tcPr>
                <w:p w14:paraId="10857ABE">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r>
            <w:tr w14:paraId="15A6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2" w:type="pct"/>
                  <w:vMerge w:val="continue"/>
                  <w:noWrap w:val="0"/>
                  <w:vAlign w:val="center"/>
                </w:tcPr>
                <w:p w14:paraId="2739AB88">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c>
                <w:tcPr>
                  <w:tcW w:w="346" w:type="pct"/>
                  <w:vMerge w:val="continue"/>
                  <w:noWrap w:val="0"/>
                  <w:vAlign w:val="center"/>
                </w:tcPr>
                <w:p w14:paraId="315CC8EF">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ascii="Times New Roman" w:hAnsi="Times New Roman" w:eastAsia="宋体"/>
                      <w:color w:val="auto"/>
                      <w:sz w:val="21"/>
                      <w:szCs w:val="21"/>
                      <w:highlight w:val="none"/>
                    </w:rPr>
                  </w:pPr>
                </w:p>
              </w:tc>
              <w:tc>
                <w:tcPr>
                  <w:tcW w:w="348" w:type="pct"/>
                  <w:noWrap w:val="0"/>
                  <w:vAlign w:val="center"/>
                </w:tcPr>
                <w:p w14:paraId="395022D1">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BOD5</w:t>
                  </w:r>
                </w:p>
              </w:tc>
              <w:tc>
                <w:tcPr>
                  <w:tcW w:w="382" w:type="pct"/>
                  <w:noWrap w:val="0"/>
                  <w:vAlign w:val="center"/>
                </w:tcPr>
                <w:p w14:paraId="1B49EF6B">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0.168</w:t>
                  </w:r>
                </w:p>
              </w:tc>
              <w:tc>
                <w:tcPr>
                  <w:tcW w:w="416" w:type="pct"/>
                  <w:gridSpan w:val="2"/>
                  <w:noWrap w:val="0"/>
                  <w:vAlign w:val="center"/>
                </w:tcPr>
                <w:p w14:paraId="29495B01">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200</w:t>
                  </w:r>
                </w:p>
              </w:tc>
              <w:tc>
                <w:tcPr>
                  <w:tcW w:w="236" w:type="pct"/>
                  <w:vMerge w:val="continue"/>
                  <w:noWrap w:val="0"/>
                  <w:vAlign w:val="center"/>
                </w:tcPr>
                <w:p w14:paraId="2B18E753">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622" w:type="pct"/>
                  <w:vMerge w:val="continue"/>
                  <w:noWrap w:val="0"/>
                  <w:vAlign w:val="center"/>
                </w:tcPr>
                <w:p w14:paraId="63C20A88">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72" w:type="pct"/>
                  <w:noWrap w:val="0"/>
                  <w:vAlign w:val="center"/>
                </w:tcPr>
                <w:p w14:paraId="2DA69B89">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95</w:t>
                  </w:r>
                </w:p>
              </w:tc>
              <w:tc>
                <w:tcPr>
                  <w:tcW w:w="395" w:type="pct"/>
                  <w:vMerge w:val="continue"/>
                  <w:noWrap w:val="0"/>
                  <w:vAlign w:val="center"/>
                </w:tcPr>
                <w:p w14:paraId="5DEEF073">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37" w:type="pct"/>
                  <w:noWrap w:val="0"/>
                  <w:vAlign w:val="center"/>
                </w:tcPr>
                <w:p w14:paraId="203C665F">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w:t>
                  </w:r>
                </w:p>
              </w:tc>
              <w:tc>
                <w:tcPr>
                  <w:tcW w:w="481" w:type="pct"/>
                  <w:noWrap w:val="0"/>
                  <w:vAlign w:val="center"/>
                </w:tcPr>
                <w:p w14:paraId="0B46E239">
                  <w:pPr>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899" w:type="pct"/>
                  <w:vMerge w:val="continue"/>
                  <w:noWrap w:val="0"/>
                  <w:vAlign w:val="center"/>
                </w:tcPr>
                <w:p w14:paraId="7F480B6A">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r>
            <w:tr w14:paraId="43CF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 w:type="pct"/>
                  <w:vMerge w:val="continue"/>
                  <w:noWrap w:val="0"/>
                  <w:vAlign w:val="center"/>
                </w:tcPr>
                <w:p w14:paraId="7CC6C293">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c>
                <w:tcPr>
                  <w:tcW w:w="346" w:type="pct"/>
                  <w:vMerge w:val="continue"/>
                  <w:noWrap w:val="0"/>
                  <w:vAlign w:val="center"/>
                </w:tcPr>
                <w:p w14:paraId="6CEEC529">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ascii="Times New Roman" w:hAnsi="Times New Roman" w:eastAsia="宋体"/>
                      <w:color w:val="auto"/>
                      <w:sz w:val="21"/>
                      <w:szCs w:val="21"/>
                      <w:highlight w:val="none"/>
                    </w:rPr>
                  </w:pPr>
                </w:p>
              </w:tc>
              <w:tc>
                <w:tcPr>
                  <w:tcW w:w="348" w:type="pct"/>
                  <w:noWrap w:val="0"/>
                  <w:vAlign w:val="center"/>
                </w:tcPr>
                <w:p w14:paraId="684C93A9">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氨氮</w:t>
                  </w:r>
                </w:p>
              </w:tc>
              <w:tc>
                <w:tcPr>
                  <w:tcW w:w="382" w:type="pct"/>
                  <w:noWrap w:val="0"/>
                  <w:vAlign w:val="center"/>
                </w:tcPr>
                <w:p w14:paraId="4F51B75E">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0.0252</w:t>
                  </w:r>
                </w:p>
              </w:tc>
              <w:tc>
                <w:tcPr>
                  <w:tcW w:w="416" w:type="pct"/>
                  <w:gridSpan w:val="2"/>
                  <w:noWrap w:val="0"/>
                  <w:vAlign w:val="center"/>
                </w:tcPr>
                <w:p w14:paraId="29A4BBED">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30</w:t>
                  </w:r>
                </w:p>
              </w:tc>
              <w:tc>
                <w:tcPr>
                  <w:tcW w:w="236" w:type="pct"/>
                  <w:vMerge w:val="continue"/>
                  <w:noWrap w:val="0"/>
                  <w:vAlign w:val="center"/>
                </w:tcPr>
                <w:p w14:paraId="64D2F2DF">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622" w:type="pct"/>
                  <w:vMerge w:val="continue"/>
                  <w:noWrap w:val="0"/>
                  <w:vAlign w:val="center"/>
                </w:tcPr>
                <w:p w14:paraId="5D018522">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72" w:type="pct"/>
                  <w:noWrap w:val="0"/>
                  <w:vAlign w:val="center"/>
                </w:tcPr>
                <w:p w14:paraId="06E49427">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75</w:t>
                  </w:r>
                </w:p>
              </w:tc>
              <w:tc>
                <w:tcPr>
                  <w:tcW w:w="395" w:type="pct"/>
                  <w:vMerge w:val="continue"/>
                  <w:noWrap w:val="0"/>
                  <w:vAlign w:val="center"/>
                </w:tcPr>
                <w:p w14:paraId="7744496D">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37" w:type="pct"/>
                  <w:noWrap w:val="0"/>
                  <w:vAlign w:val="center"/>
                </w:tcPr>
                <w:p w14:paraId="6967FFF1">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w:t>
                  </w:r>
                </w:p>
              </w:tc>
              <w:tc>
                <w:tcPr>
                  <w:tcW w:w="481" w:type="pct"/>
                  <w:noWrap w:val="0"/>
                  <w:vAlign w:val="center"/>
                </w:tcPr>
                <w:p w14:paraId="62ADFC7F">
                  <w:pPr>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899" w:type="pct"/>
                  <w:vMerge w:val="continue"/>
                  <w:noWrap w:val="0"/>
                  <w:vAlign w:val="center"/>
                </w:tcPr>
                <w:p w14:paraId="3AAC41F7">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r>
            <w:tr w14:paraId="4C0A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2" w:type="pct"/>
                  <w:vMerge w:val="continue"/>
                  <w:noWrap w:val="0"/>
                  <w:vAlign w:val="center"/>
                </w:tcPr>
                <w:p w14:paraId="170CF162">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c>
                <w:tcPr>
                  <w:tcW w:w="346" w:type="pct"/>
                  <w:vMerge w:val="continue"/>
                  <w:noWrap w:val="0"/>
                  <w:vAlign w:val="center"/>
                </w:tcPr>
                <w:p w14:paraId="287AE9FC">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ascii="Times New Roman" w:hAnsi="Times New Roman" w:eastAsia="宋体"/>
                      <w:color w:val="auto"/>
                      <w:sz w:val="21"/>
                      <w:szCs w:val="21"/>
                      <w:highlight w:val="none"/>
                    </w:rPr>
                  </w:pPr>
                </w:p>
              </w:tc>
              <w:tc>
                <w:tcPr>
                  <w:tcW w:w="348" w:type="pct"/>
                  <w:noWrap w:val="0"/>
                  <w:vAlign w:val="center"/>
                </w:tcPr>
                <w:p w14:paraId="697E2F18">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总磷</w:t>
                  </w:r>
                </w:p>
              </w:tc>
              <w:tc>
                <w:tcPr>
                  <w:tcW w:w="382" w:type="pct"/>
                  <w:noWrap w:val="0"/>
                  <w:vAlign w:val="center"/>
                </w:tcPr>
                <w:p w14:paraId="654873B7">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0.0042</w:t>
                  </w:r>
                </w:p>
              </w:tc>
              <w:tc>
                <w:tcPr>
                  <w:tcW w:w="416" w:type="pct"/>
                  <w:gridSpan w:val="2"/>
                  <w:noWrap w:val="0"/>
                  <w:vAlign w:val="center"/>
                </w:tcPr>
                <w:p w14:paraId="14252E87">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5</w:t>
                  </w:r>
                </w:p>
              </w:tc>
              <w:tc>
                <w:tcPr>
                  <w:tcW w:w="236" w:type="pct"/>
                  <w:vMerge w:val="continue"/>
                  <w:noWrap w:val="0"/>
                  <w:vAlign w:val="center"/>
                </w:tcPr>
                <w:p w14:paraId="7C57A1A4">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622" w:type="pct"/>
                  <w:vMerge w:val="continue"/>
                  <w:noWrap w:val="0"/>
                  <w:vAlign w:val="center"/>
                </w:tcPr>
                <w:p w14:paraId="043BBAB2">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72" w:type="pct"/>
                  <w:noWrap w:val="0"/>
                  <w:vAlign w:val="center"/>
                </w:tcPr>
                <w:p w14:paraId="3B92881E">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70</w:t>
                  </w:r>
                </w:p>
              </w:tc>
              <w:tc>
                <w:tcPr>
                  <w:tcW w:w="395" w:type="pct"/>
                  <w:vMerge w:val="continue"/>
                  <w:noWrap w:val="0"/>
                  <w:vAlign w:val="center"/>
                </w:tcPr>
                <w:p w14:paraId="60FE57A7">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37" w:type="pct"/>
                  <w:noWrap w:val="0"/>
                  <w:vAlign w:val="center"/>
                </w:tcPr>
                <w:p w14:paraId="39ACFBA6">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w:t>
                  </w:r>
                </w:p>
              </w:tc>
              <w:tc>
                <w:tcPr>
                  <w:tcW w:w="481" w:type="pct"/>
                  <w:noWrap w:val="0"/>
                  <w:vAlign w:val="center"/>
                </w:tcPr>
                <w:p w14:paraId="73F904C8">
                  <w:pPr>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899" w:type="pct"/>
                  <w:vMerge w:val="continue"/>
                  <w:noWrap w:val="0"/>
                  <w:vAlign w:val="center"/>
                </w:tcPr>
                <w:p w14:paraId="7F5FF286">
                  <w:pPr>
                    <w:keepNext w:val="0"/>
                    <w:keepLines w:val="0"/>
                    <w:pageBreakBefore w:val="0"/>
                    <w:widowControl w:val="0"/>
                    <w:wordWrap/>
                    <w:topLinePunct w:val="0"/>
                    <w:autoSpaceDN/>
                    <w:bidi w:val="0"/>
                    <w:adjustRightInd/>
                    <w:spacing w:line="240" w:lineRule="exact"/>
                    <w:jc w:val="center"/>
                    <w:textAlignment w:val="auto"/>
                    <w:rPr>
                      <w:rFonts w:ascii="Times New Roman" w:hAnsi="Times New Roman" w:eastAsia="宋体"/>
                      <w:color w:val="auto"/>
                      <w:sz w:val="21"/>
                      <w:szCs w:val="21"/>
                      <w:highlight w:val="none"/>
                    </w:rPr>
                  </w:pPr>
                </w:p>
              </w:tc>
            </w:tr>
            <w:tr w14:paraId="43E4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62" w:type="pct"/>
                  <w:vMerge w:val="restart"/>
                  <w:noWrap w:val="0"/>
                  <w:vAlign w:val="center"/>
                </w:tcPr>
                <w:p w14:paraId="5AF1D06F">
                  <w:pPr>
                    <w:keepNext w:val="0"/>
                    <w:keepLines w:val="0"/>
                    <w:pageBreakBefore w:val="0"/>
                    <w:widowControl w:val="0"/>
                    <w:wordWrap/>
                    <w:topLinePunct w:val="0"/>
                    <w:autoSpaceDN/>
                    <w:bidi w:val="0"/>
                    <w:adjustRightInd/>
                    <w:spacing w:line="240" w:lineRule="exact"/>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w:t>
                  </w:r>
                </w:p>
              </w:tc>
              <w:tc>
                <w:tcPr>
                  <w:tcW w:w="346" w:type="pct"/>
                  <w:vMerge w:val="restart"/>
                  <w:noWrap w:val="0"/>
                  <w:vAlign w:val="center"/>
                </w:tcPr>
                <w:p w14:paraId="7EEC1071">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洗车废水</w:t>
                  </w:r>
                </w:p>
              </w:tc>
              <w:tc>
                <w:tcPr>
                  <w:tcW w:w="348" w:type="pct"/>
                  <w:noWrap w:val="0"/>
                  <w:vAlign w:val="center"/>
                </w:tcPr>
                <w:p w14:paraId="7918A00C">
                  <w:pPr>
                    <w:adjustRightInd w:val="0"/>
                    <w:snapToGrid w:val="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olor w:val="auto"/>
                      <w:sz w:val="21"/>
                      <w:szCs w:val="21"/>
                      <w:lang w:val="en-US" w:eastAsia="zh-CN"/>
                    </w:rPr>
                    <w:t>废水量</w:t>
                  </w:r>
                </w:p>
              </w:tc>
              <w:tc>
                <w:tcPr>
                  <w:tcW w:w="383" w:type="pct"/>
                  <w:gridSpan w:val="2"/>
                  <w:noWrap w:val="0"/>
                  <w:vAlign w:val="center"/>
                </w:tcPr>
                <w:p w14:paraId="2925D6E3">
                  <w:pPr>
                    <w:adjustRightInd w:val="0"/>
                    <w:snapToGrid w:val="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olor w:val="auto"/>
                      <w:sz w:val="21"/>
                      <w:szCs w:val="21"/>
                      <w:lang w:val="en-US" w:eastAsia="zh-CN"/>
                    </w:rPr>
                    <w:t>10992</w:t>
                  </w:r>
                </w:p>
              </w:tc>
              <w:tc>
                <w:tcPr>
                  <w:tcW w:w="415" w:type="pct"/>
                  <w:noWrap w:val="0"/>
                  <w:vAlign w:val="center"/>
                </w:tcPr>
                <w:p w14:paraId="0086C35E">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s="宋体"/>
                      <w:color w:val="auto"/>
                      <w:sz w:val="21"/>
                      <w:szCs w:val="21"/>
                      <w:highlight w:val="none"/>
                      <w:lang w:val="en-US" w:eastAsia="zh-CN"/>
                    </w:rPr>
                    <w:t>/</w:t>
                  </w:r>
                </w:p>
              </w:tc>
              <w:tc>
                <w:tcPr>
                  <w:tcW w:w="236" w:type="pct"/>
                  <w:vMerge w:val="restart"/>
                  <w:noWrap w:val="0"/>
                  <w:vAlign w:val="center"/>
                </w:tcPr>
                <w:p w14:paraId="0FF0AD67">
                  <w:pPr>
                    <w:keepNext w:val="0"/>
                    <w:keepLines w:val="0"/>
                    <w:pageBreakBefore w:val="0"/>
                    <w:widowControl w:val="0"/>
                    <w:wordWrap/>
                    <w:topLinePunct w:val="0"/>
                    <w:autoSpaceDN/>
                    <w:bidi w:val="0"/>
                    <w:adjustRightInd/>
                    <w:spacing w:line="240" w:lineRule="exact"/>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olor w:val="auto"/>
                      <w:sz w:val="21"/>
                      <w:szCs w:val="21"/>
                      <w:lang w:val="en-US" w:eastAsia="zh-CN"/>
                    </w:rPr>
                    <w:t>不外排</w:t>
                  </w:r>
                </w:p>
              </w:tc>
              <w:tc>
                <w:tcPr>
                  <w:tcW w:w="622" w:type="pct"/>
                  <w:vMerge w:val="restart"/>
                  <w:noWrap w:val="0"/>
                  <w:vAlign w:val="center"/>
                </w:tcPr>
                <w:p w14:paraId="4878A30D">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rPr>
                    <w:t>经三级沉淀后循环使用不外排</w:t>
                  </w:r>
                </w:p>
              </w:tc>
              <w:tc>
                <w:tcPr>
                  <w:tcW w:w="372" w:type="pct"/>
                  <w:noWrap w:val="0"/>
                  <w:vAlign w:val="center"/>
                </w:tcPr>
                <w:p w14:paraId="4F8BFDA0">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395" w:type="pct"/>
                  <w:vMerge w:val="restart"/>
                  <w:noWrap w:val="0"/>
                  <w:vAlign w:val="center"/>
                </w:tcPr>
                <w:p w14:paraId="44AC438B">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是</w:t>
                  </w:r>
                </w:p>
              </w:tc>
              <w:tc>
                <w:tcPr>
                  <w:tcW w:w="337" w:type="pct"/>
                  <w:noWrap w:val="0"/>
                  <w:vAlign w:val="center"/>
                </w:tcPr>
                <w:p w14:paraId="6F413E78">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w:t>
                  </w:r>
                </w:p>
              </w:tc>
              <w:tc>
                <w:tcPr>
                  <w:tcW w:w="481" w:type="pct"/>
                  <w:noWrap w:val="0"/>
                  <w:vAlign w:val="center"/>
                </w:tcPr>
                <w:p w14:paraId="04913319">
                  <w:pPr>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899" w:type="pct"/>
                  <w:vMerge w:val="restart"/>
                  <w:noWrap w:val="0"/>
                  <w:vAlign w:val="center"/>
                </w:tcPr>
                <w:p w14:paraId="69FAFA79">
                  <w:pPr>
                    <w:keepNext w:val="0"/>
                    <w:keepLines w:val="0"/>
                    <w:pageBreakBefore w:val="0"/>
                    <w:widowControl w:val="0"/>
                    <w:wordWrap/>
                    <w:topLinePunct w:val="0"/>
                    <w:autoSpaceDN/>
                    <w:bidi w:val="0"/>
                    <w:adjustRightInd/>
                    <w:spacing w:line="240" w:lineRule="exact"/>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回用，不排放</w:t>
                  </w:r>
                </w:p>
              </w:tc>
            </w:tr>
            <w:tr w14:paraId="4E70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62" w:type="pct"/>
                  <w:vMerge w:val="continue"/>
                  <w:noWrap w:val="0"/>
                  <w:vAlign w:val="center"/>
                </w:tcPr>
                <w:p w14:paraId="01CA9D43">
                  <w:pPr>
                    <w:keepNext w:val="0"/>
                    <w:keepLines w:val="0"/>
                    <w:pageBreakBefore w:val="0"/>
                    <w:widowControl w:val="0"/>
                    <w:wordWrap/>
                    <w:topLinePunct w:val="0"/>
                    <w:autoSpaceDN/>
                    <w:bidi w:val="0"/>
                    <w:adjustRightInd/>
                    <w:spacing w:line="240" w:lineRule="exact"/>
                    <w:jc w:val="center"/>
                    <w:textAlignment w:val="auto"/>
                    <w:rPr>
                      <w:rFonts w:hint="eastAsia" w:ascii="Times New Roman" w:hAnsi="Times New Roman" w:eastAsia="宋体"/>
                      <w:color w:val="auto"/>
                      <w:sz w:val="21"/>
                      <w:szCs w:val="21"/>
                      <w:highlight w:val="none"/>
                      <w:lang w:val="en-US" w:eastAsia="zh-CN"/>
                    </w:rPr>
                  </w:pPr>
                </w:p>
              </w:tc>
              <w:tc>
                <w:tcPr>
                  <w:tcW w:w="346" w:type="pct"/>
                  <w:vMerge w:val="continue"/>
                  <w:noWrap w:val="0"/>
                  <w:vAlign w:val="center"/>
                </w:tcPr>
                <w:p w14:paraId="75A90492">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olor w:val="auto"/>
                      <w:sz w:val="21"/>
                      <w:szCs w:val="21"/>
                      <w:highlight w:val="none"/>
                      <w:lang w:val="en-US" w:eastAsia="zh-CN"/>
                    </w:rPr>
                  </w:pPr>
                </w:p>
              </w:tc>
              <w:tc>
                <w:tcPr>
                  <w:tcW w:w="348" w:type="pct"/>
                  <w:noWrap w:val="0"/>
                  <w:vAlign w:val="center"/>
                </w:tcPr>
                <w:p w14:paraId="5137BE83">
                  <w:pPr>
                    <w:adjustRightInd w:val="0"/>
                    <w:snapToGrid w:val="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olor w:val="auto"/>
                      <w:sz w:val="21"/>
                      <w:szCs w:val="21"/>
                      <w:lang w:val="en-US" w:eastAsia="zh-CN"/>
                    </w:rPr>
                    <w:t>SS</w:t>
                  </w:r>
                </w:p>
              </w:tc>
              <w:tc>
                <w:tcPr>
                  <w:tcW w:w="383" w:type="pct"/>
                  <w:gridSpan w:val="2"/>
                  <w:noWrap w:val="0"/>
                  <w:vAlign w:val="center"/>
                </w:tcPr>
                <w:p w14:paraId="71159095">
                  <w:pPr>
                    <w:adjustRightInd w:val="0"/>
                    <w:snapToGrid w:val="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olor w:val="auto"/>
                      <w:sz w:val="21"/>
                      <w:szCs w:val="21"/>
                      <w:lang w:val="en-US" w:eastAsia="zh-CN"/>
                    </w:rPr>
                    <w:t>5.496</w:t>
                  </w:r>
                </w:p>
              </w:tc>
              <w:tc>
                <w:tcPr>
                  <w:tcW w:w="415" w:type="pct"/>
                  <w:noWrap w:val="0"/>
                  <w:vAlign w:val="center"/>
                </w:tcPr>
                <w:p w14:paraId="5AC3BE5F">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500</w:t>
                  </w:r>
                </w:p>
              </w:tc>
              <w:tc>
                <w:tcPr>
                  <w:tcW w:w="236" w:type="pct"/>
                  <w:vMerge w:val="continue"/>
                  <w:noWrap w:val="0"/>
                  <w:vAlign w:val="center"/>
                </w:tcPr>
                <w:p w14:paraId="7BB5F96E">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622" w:type="pct"/>
                  <w:vMerge w:val="continue"/>
                  <w:noWrap w:val="0"/>
                  <w:vAlign w:val="center"/>
                </w:tcPr>
                <w:p w14:paraId="1295A882">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ascii="Times New Roman" w:hAnsi="Times New Roman" w:eastAsia="宋体"/>
                      <w:color w:val="auto"/>
                      <w:sz w:val="21"/>
                      <w:szCs w:val="21"/>
                      <w:highlight w:val="none"/>
                    </w:rPr>
                  </w:pPr>
                </w:p>
              </w:tc>
              <w:tc>
                <w:tcPr>
                  <w:tcW w:w="372" w:type="pct"/>
                  <w:noWrap w:val="0"/>
                  <w:vAlign w:val="center"/>
                </w:tcPr>
                <w:p w14:paraId="40161350">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395" w:type="pct"/>
                  <w:vMerge w:val="continue"/>
                  <w:noWrap w:val="0"/>
                  <w:vAlign w:val="center"/>
                </w:tcPr>
                <w:p w14:paraId="1ED71B58">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p>
              </w:tc>
              <w:tc>
                <w:tcPr>
                  <w:tcW w:w="337" w:type="pct"/>
                  <w:noWrap w:val="0"/>
                  <w:vAlign w:val="center"/>
                </w:tcPr>
                <w:p w14:paraId="7E47B402">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w:t>
                  </w:r>
                </w:p>
              </w:tc>
              <w:tc>
                <w:tcPr>
                  <w:tcW w:w="481" w:type="pct"/>
                  <w:noWrap w:val="0"/>
                  <w:vAlign w:val="center"/>
                </w:tcPr>
                <w:p w14:paraId="34BF1CDF">
                  <w:pPr>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899" w:type="pct"/>
                  <w:vMerge w:val="continue"/>
                  <w:noWrap w:val="0"/>
                  <w:vAlign w:val="center"/>
                </w:tcPr>
                <w:p w14:paraId="3EBF787F">
                  <w:pPr>
                    <w:keepNext w:val="0"/>
                    <w:keepLines w:val="0"/>
                    <w:pageBreakBefore w:val="0"/>
                    <w:widowControl w:val="0"/>
                    <w:wordWrap/>
                    <w:topLinePunct w:val="0"/>
                    <w:autoSpaceDN/>
                    <w:bidi w:val="0"/>
                    <w:adjustRightInd/>
                    <w:spacing w:line="240" w:lineRule="exact"/>
                    <w:jc w:val="center"/>
                    <w:textAlignment w:val="auto"/>
                    <w:rPr>
                      <w:rFonts w:hint="eastAsia" w:ascii="Times New Roman" w:hAnsi="Times New Roman" w:eastAsia="宋体"/>
                      <w:color w:val="auto"/>
                      <w:sz w:val="21"/>
                      <w:szCs w:val="21"/>
                      <w:highlight w:val="none"/>
                      <w:lang w:val="en-US" w:eastAsia="zh-CN"/>
                    </w:rPr>
                  </w:pPr>
                </w:p>
              </w:tc>
            </w:tr>
            <w:tr w14:paraId="28C2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2" w:type="pct"/>
                  <w:noWrap w:val="0"/>
                  <w:vAlign w:val="center"/>
                </w:tcPr>
                <w:p w14:paraId="62D8F084">
                  <w:pPr>
                    <w:keepNext w:val="0"/>
                    <w:keepLines w:val="0"/>
                    <w:pageBreakBefore w:val="0"/>
                    <w:widowControl w:val="0"/>
                    <w:wordWrap/>
                    <w:topLinePunct w:val="0"/>
                    <w:autoSpaceDN/>
                    <w:bidi w:val="0"/>
                    <w:adjustRightInd/>
                    <w:spacing w:line="240" w:lineRule="exact"/>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w:t>
                  </w:r>
                </w:p>
              </w:tc>
              <w:tc>
                <w:tcPr>
                  <w:tcW w:w="346" w:type="pct"/>
                  <w:noWrap w:val="0"/>
                  <w:vAlign w:val="center"/>
                </w:tcPr>
                <w:p w14:paraId="13FE1339">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初期雨水</w:t>
                  </w:r>
                </w:p>
              </w:tc>
              <w:tc>
                <w:tcPr>
                  <w:tcW w:w="348" w:type="pct"/>
                  <w:noWrap w:val="0"/>
                  <w:vAlign w:val="center"/>
                </w:tcPr>
                <w:p w14:paraId="214069A0">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水量</w:t>
                  </w:r>
                </w:p>
              </w:tc>
              <w:tc>
                <w:tcPr>
                  <w:tcW w:w="798" w:type="pct"/>
                  <w:gridSpan w:val="3"/>
                  <w:noWrap w:val="0"/>
                  <w:vAlign w:val="center"/>
                </w:tcPr>
                <w:p w14:paraId="7280C2AA">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287.496</w:t>
                  </w:r>
                  <w:r>
                    <w:rPr>
                      <w:rFonts w:hint="eastAsia" w:ascii="Times New Roman" w:hAnsi="Times New Roman" w:eastAsia="宋体" w:cs="宋体"/>
                      <w:color w:val="auto"/>
                      <w:sz w:val="21"/>
                      <w:szCs w:val="21"/>
                      <w:highlight w:val="none"/>
                      <w:lang w:val="en-US" w:eastAsia="zh-CN"/>
                    </w:rPr>
                    <w:t>m</w:t>
                  </w:r>
                  <w:r>
                    <w:rPr>
                      <w:rFonts w:hint="eastAsia" w:ascii="Times New Roman" w:hAnsi="Times New Roman" w:eastAsia="宋体" w:cs="宋体"/>
                      <w:color w:val="auto"/>
                      <w:sz w:val="21"/>
                      <w:szCs w:val="21"/>
                      <w:highlight w:val="none"/>
                      <w:vertAlign w:val="superscript"/>
                      <w:lang w:val="en-US" w:eastAsia="zh-CN"/>
                    </w:rPr>
                    <w:t>3</w:t>
                  </w:r>
                  <w:r>
                    <w:rPr>
                      <w:rFonts w:hint="eastAsia" w:ascii="Times New Roman" w:hAnsi="Times New Roman" w:eastAsia="宋体" w:cs="宋体"/>
                      <w:color w:val="auto"/>
                      <w:sz w:val="21"/>
                      <w:szCs w:val="21"/>
                      <w:highlight w:val="none"/>
                      <w:vertAlign w:val="baseline"/>
                      <w:lang w:val="en-US" w:eastAsia="zh-CN"/>
                    </w:rPr>
                    <w:t>/次</w:t>
                  </w:r>
                </w:p>
              </w:tc>
              <w:tc>
                <w:tcPr>
                  <w:tcW w:w="236" w:type="pct"/>
                  <w:noWrap w:val="0"/>
                  <w:vAlign w:val="center"/>
                </w:tcPr>
                <w:p w14:paraId="785A7BBD">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不排放</w:t>
                  </w:r>
                </w:p>
              </w:tc>
              <w:tc>
                <w:tcPr>
                  <w:tcW w:w="622" w:type="pct"/>
                  <w:noWrap w:val="0"/>
                  <w:vAlign w:val="center"/>
                </w:tcPr>
                <w:p w14:paraId="58C09FD9">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ascii="Times New Roman" w:hAnsi="Times New Roman" w:eastAsia="宋体"/>
                      <w:color w:val="auto"/>
                      <w:sz w:val="21"/>
                      <w:szCs w:val="21"/>
                      <w:highlight w:val="none"/>
                    </w:rPr>
                    <w:t>初期雨水收集池</w:t>
                  </w:r>
                  <w:r>
                    <w:rPr>
                      <w:rFonts w:hint="eastAsia" w:ascii="Times New Roman" w:hAnsi="Times New Roman"/>
                      <w:color w:val="auto"/>
                      <w:sz w:val="21"/>
                      <w:szCs w:val="21"/>
                      <w:highlight w:val="none"/>
                      <w:lang w:val="en-US" w:eastAsia="zh-CN"/>
                    </w:rPr>
                    <w:t>310</w:t>
                  </w:r>
                  <w:r>
                    <w:rPr>
                      <w:rFonts w:hint="eastAsia" w:ascii="Times New Roman" w:hAnsi="Times New Roman" w:eastAsia="宋体"/>
                      <w:color w:val="auto"/>
                      <w:sz w:val="21"/>
                      <w:szCs w:val="21"/>
                      <w:highlight w:val="none"/>
                      <w:lang w:val="en-US" w:eastAsia="zh-CN"/>
                    </w:rPr>
                    <w:t>m</w:t>
                  </w:r>
                  <w:r>
                    <w:rPr>
                      <w:rFonts w:hint="eastAsia" w:ascii="Times New Roman" w:hAnsi="Times New Roman" w:eastAsia="宋体"/>
                      <w:color w:val="auto"/>
                      <w:sz w:val="21"/>
                      <w:szCs w:val="21"/>
                      <w:highlight w:val="none"/>
                      <w:vertAlign w:val="superscript"/>
                      <w:lang w:val="en-US" w:eastAsia="zh-CN"/>
                    </w:rPr>
                    <w:t>3</w:t>
                  </w:r>
                </w:p>
              </w:tc>
              <w:tc>
                <w:tcPr>
                  <w:tcW w:w="372" w:type="pct"/>
                  <w:noWrap w:val="0"/>
                  <w:vAlign w:val="center"/>
                </w:tcPr>
                <w:p w14:paraId="17F60A09">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395" w:type="pct"/>
                  <w:noWrap w:val="0"/>
                  <w:vAlign w:val="center"/>
                </w:tcPr>
                <w:p w14:paraId="679B2782">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是</w:t>
                  </w:r>
                </w:p>
              </w:tc>
              <w:tc>
                <w:tcPr>
                  <w:tcW w:w="337" w:type="pct"/>
                  <w:noWrap w:val="0"/>
                  <w:vAlign w:val="center"/>
                </w:tcPr>
                <w:p w14:paraId="0AF661F5">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0</w:t>
                  </w:r>
                </w:p>
              </w:tc>
              <w:tc>
                <w:tcPr>
                  <w:tcW w:w="481" w:type="pct"/>
                  <w:noWrap w:val="0"/>
                  <w:vAlign w:val="center"/>
                </w:tcPr>
                <w:p w14:paraId="3F327657">
                  <w:pPr>
                    <w:pStyle w:val="71"/>
                    <w:keepNext w:val="0"/>
                    <w:keepLines w:val="0"/>
                    <w:pageBreakBefore w:val="0"/>
                    <w:widowControl w:val="0"/>
                    <w:kinsoku w:val="0"/>
                    <w:wordWrap/>
                    <w:overflowPunct w:val="0"/>
                    <w:topLinePunct w:val="0"/>
                    <w:autoSpaceDE w:val="0"/>
                    <w:autoSpaceDN/>
                    <w:bidi w:val="0"/>
                    <w:adjustRightInd/>
                    <w:snapToGrid w:val="0"/>
                    <w:spacing w:line="240" w:lineRule="exact"/>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w:t>
                  </w:r>
                </w:p>
              </w:tc>
              <w:tc>
                <w:tcPr>
                  <w:tcW w:w="899" w:type="pct"/>
                  <w:noWrap w:val="0"/>
                  <w:vAlign w:val="center"/>
                </w:tcPr>
                <w:p w14:paraId="1398EDCE">
                  <w:pPr>
                    <w:keepNext w:val="0"/>
                    <w:keepLines w:val="0"/>
                    <w:pageBreakBefore w:val="0"/>
                    <w:widowControl w:val="0"/>
                    <w:wordWrap/>
                    <w:topLinePunct w:val="0"/>
                    <w:autoSpaceDN/>
                    <w:bidi w:val="0"/>
                    <w:adjustRightInd/>
                    <w:spacing w:line="240" w:lineRule="exact"/>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回用，不排放</w:t>
                  </w:r>
                </w:p>
              </w:tc>
            </w:tr>
          </w:tbl>
          <w:p w14:paraId="487ACD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14:paraId="44677D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14:paraId="1E9A2D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14:paraId="74735D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14:paraId="50CF126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color w:val="auto"/>
                <w:sz w:val="24"/>
                <w:szCs w:val="24"/>
                <w:highlight w:val="none"/>
                <w:lang w:val="en-US" w:eastAsia="zh-CN"/>
              </w:rPr>
            </w:pPr>
          </w:p>
          <w:p w14:paraId="16520046">
            <w:pPr>
              <w:rPr>
                <w:rFonts w:hint="eastAsia" w:ascii="Times New Roman" w:hAnsi="Times New Roman"/>
                <w:color w:val="auto"/>
                <w:highlight w:val="none"/>
              </w:rPr>
            </w:pPr>
          </w:p>
        </w:tc>
      </w:tr>
    </w:tbl>
    <w:p w14:paraId="3CE29E15">
      <w:pPr>
        <w:pStyle w:val="33"/>
        <w:rPr>
          <w:rFonts w:hint="eastAsia" w:ascii="Times New Roman" w:hAnsi="Times New Roman"/>
          <w:color w:val="auto"/>
          <w:highlight w:val="none"/>
        </w:rPr>
        <w:sectPr>
          <w:pgSz w:w="16838" w:h="11905" w:orient="landscape"/>
          <w:pgMar w:top="1701" w:right="1440" w:bottom="1701" w:left="1440" w:header="851" w:footer="1077" w:gutter="0"/>
          <w:cols w:space="720" w:num="1"/>
          <w:docGrid w:type="lines" w:linePitch="317" w:charSpace="0"/>
        </w:sectPr>
      </w:pPr>
    </w:p>
    <w:tbl>
      <w:tblPr>
        <w:tblStyle w:val="35"/>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06"/>
      </w:tblGrid>
      <w:tr w14:paraId="2FD74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4" w:hRule="atLeast"/>
          <w:jc w:val="center"/>
        </w:trPr>
        <w:tc>
          <w:tcPr>
            <w:tcW w:w="485" w:type="dxa"/>
            <w:noWrap w:val="0"/>
            <w:tcMar>
              <w:left w:w="28" w:type="dxa"/>
              <w:right w:w="28" w:type="dxa"/>
            </w:tcMar>
            <w:vAlign w:val="center"/>
          </w:tcPr>
          <w:p w14:paraId="075D144D">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运营</w:t>
            </w:r>
          </w:p>
          <w:p w14:paraId="0F29D7FD">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期环</w:t>
            </w:r>
          </w:p>
          <w:p w14:paraId="67A75D3E">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境影</w:t>
            </w:r>
          </w:p>
          <w:p w14:paraId="749D587D">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响和</w:t>
            </w:r>
          </w:p>
          <w:p w14:paraId="5A46DD13">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保护</w:t>
            </w:r>
          </w:p>
          <w:p w14:paraId="4954CFDF">
            <w:pPr>
              <w:adjustRightInd w:val="0"/>
              <w:snapToGrid w:val="0"/>
              <w:jc w:val="center"/>
              <w:rPr>
                <w:rFonts w:ascii="Times New Roman" w:hAnsi="Times New Roman" w:cs="宋体"/>
                <w:b/>
                <w:bCs/>
                <w:color w:val="auto"/>
                <w:sz w:val="24"/>
                <w:highlight w:val="none"/>
              </w:rPr>
            </w:pPr>
            <w:r>
              <w:rPr>
                <w:rFonts w:hint="eastAsia" w:ascii="Times New Roman" w:hAnsi="Times New Roman" w:cs="宋体"/>
                <w:b/>
                <w:bCs/>
                <w:color w:val="auto"/>
                <w:sz w:val="24"/>
                <w:highlight w:val="none"/>
              </w:rPr>
              <w:t>措施</w:t>
            </w:r>
          </w:p>
        </w:tc>
        <w:tc>
          <w:tcPr>
            <w:tcW w:w="8406" w:type="dxa"/>
            <w:noWrap w:val="0"/>
            <w:vAlign w:val="top"/>
          </w:tcPr>
          <w:p w14:paraId="71B27004">
            <w:pPr>
              <w:keepNext w:val="0"/>
              <w:keepLines w:val="0"/>
              <w:pageBreakBefore w:val="0"/>
              <w:widowControl w:val="0"/>
              <w:numPr>
                <w:ilvl w:val="0"/>
                <w:numId w:val="9"/>
              </w:numPr>
              <w:kinsoku/>
              <w:wordWrap/>
              <w:overflowPunct/>
              <w:topLinePunct w:val="0"/>
              <w:autoSpaceDE/>
              <w:autoSpaceDN/>
              <w:bidi w:val="0"/>
              <w:adjustRightInd w:val="0"/>
              <w:snapToGrid w:val="0"/>
              <w:spacing w:before="160" w:beforeLines="50" w:line="360" w:lineRule="auto"/>
              <w:ind w:left="0" w:leftChars="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主要污染工序及源强分析</w:t>
            </w:r>
          </w:p>
          <w:p w14:paraId="1C3B22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本项目运营期产生的废水主要有</w:t>
            </w:r>
            <w:r>
              <w:rPr>
                <w:rFonts w:hint="eastAsia" w:ascii="Times New Roman" w:hAnsi="Times New Roman" w:cs="Times New Roman"/>
                <w:b w:val="0"/>
                <w:bCs w:val="0"/>
                <w:color w:val="auto"/>
                <w:sz w:val="24"/>
                <w:szCs w:val="24"/>
                <w:highlight w:val="none"/>
                <w:lang w:val="en-US" w:eastAsia="zh-CN"/>
              </w:rPr>
              <w:t>生活污水</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洗车废水沉淀后回用</w:t>
            </w:r>
            <w:r>
              <w:rPr>
                <w:rFonts w:hint="eastAsia" w:ascii="Times New Roman" w:hAnsi="Times New Roman" w:eastAsia="宋体" w:cs="Times New Roman"/>
                <w:b w:val="0"/>
                <w:bCs w:val="0"/>
                <w:color w:val="auto"/>
                <w:sz w:val="24"/>
                <w:szCs w:val="24"/>
                <w:highlight w:val="none"/>
                <w:lang w:val="en-US" w:eastAsia="zh-CN"/>
              </w:rPr>
              <w:t>，通过合理的方式处置。</w:t>
            </w:r>
          </w:p>
          <w:p w14:paraId="0E16F6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1、</w:t>
            </w:r>
            <w:r>
              <w:rPr>
                <w:rFonts w:hint="eastAsia" w:ascii="Times New Roman" w:hAnsi="Times New Roman" w:eastAsia="宋体" w:cs="Times New Roman"/>
                <w:b/>
                <w:bCs/>
                <w:color w:val="auto"/>
                <w:sz w:val="24"/>
                <w:szCs w:val="24"/>
                <w:highlight w:val="none"/>
                <w:lang w:val="en-US" w:eastAsia="zh-CN"/>
              </w:rPr>
              <w:t>生活</w:t>
            </w:r>
            <w:r>
              <w:rPr>
                <w:rFonts w:hint="eastAsia" w:cs="Times New Roman"/>
                <w:b/>
                <w:bCs/>
                <w:color w:val="auto"/>
                <w:sz w:val="24"/>
                <w:szCs w:val="24"/>
                <w:highlight w:val="none"/>
                <w:lang w:val="en-US" w:eastAsia="zh-CN"/>
              </w:rPr>
              <w:t>污水</w:t>
            </w:r>
          </w:p>
          <w:p w14:paraId="34DB791F">
            <w:pPr>
              <w:pStyle w:val="70"/>
              <w:ind w:firstLine="480"/>
              <w:rPr>
                <w:rFonts w:ascii="Times New Roman" w:hAnsi="Times New Roman" w:eastAsia="宋体"/>
                <w:color w:val="auto"/>
                <w:sz w:val="24"/>
                <w:highlight w:val="none"/>
              </w:rPr>
            </w:pPr>
            <w:r>
              <w:rPr>
                <w:rFonts w:ascii="Times New Roman" w:hAnsi="Times New Roman" w:eastAsia="宋体"/>
                <w:color w:val="auto"/>
                <w:sz w:val="24"/>
                <w:highlight w:val="none"/>
              </w:rPr>
              <w:t>厂区内共有员工</w:t>
            </w:r>
            <w:r>
              <w:rPr>
                <w:rFonts w:hint="eastAsia" w:ascii="Times New Roman" w:hAnsi="Times New Roman"/>
                <w:color w:val="auto"/>
                <w:sz w:val="24"/>
                <w:highlight w:val="none"/>
                <w:lang w:val="en-US" w:eastAsia="zh-CN"/>
              </w:rPr>
              <w:t>35</w:t>
            </w:r>
            <w:r>
              <w:rPr>
                <w:rFonts w:ascii="Times New Roman" w:hAnsi="Times New Roman" w:eastAsia="宋体"/>
                <w:color w:val="auto"/>
                <w:sz w:val="24"/>
                <w:highlight w:val="none"/>
              </w:rPr>
              <w:t>人，</w:t>
            </w:r>
            <w:r>
              <w:rPr>
                <w:rFonts w:hint="eastAsia" w:ascii="Times New Roman" w:hAnsi="Times New Roman" w:eastAsia="宋体"/>
                <w:color w:val="auto"/>
                <w:sz w:val="24"/>
                <w:highlight w:val="none"/>
              </w:rPr>
              <w:t>项目区内提供住宿和</w:t>
            </w:r>
            <w:r>
              <w:rPr>
                <w:rFonts w:hint="eastAsia" w:ascii="Times New Roman" w:hAnsi="Times New Roman" w:eastAsia="宋体"/>
                <w:color w:val="auto"/>
                <w:sz w:val="24"/>
                <w:highlight w:val="none"/>
                <w:lang w:val="en-US" w:eastAsia="zh-CN"/>
              </w:rPr>
              <w:t>用</w:t>
            </w:r>
            <w:r>
              <w:rPr>
                <w:rFonts w:hint="eastAsia" w:ascii="Times New Roman" w:hAnsi="Times New Roman" w:eastAsia="宋体"/>
                <w:color w:val="auto"/>
                <w:sz w:val="24"/>
                <w:highlight w:val="none"/>
              </w:rPr>
              <w:t>餐，通过工程分析核算，生产员工</w:t>
            </w:r>
            <w:r>
              <w:rPr>
                <w:rFonts w:ascii="Times New Roman" w:hAnsi="Times New Roman" w:eastAsia="宋体"/>
                <w:color w:val="auto"/>
                <w:sz w:val="24"/>
                <w:highlight w:val="none"/>
              </w:rPr>
              <w:t>日用水量</w:t>
            </w:r>
            <w:r>
              <w:rPr>
                <w:rFonts w:hint="eastAsia" w:ascii="Times New Roman" w:hAnsi="Times New Roman"/>
                <w:color w:val="auto"/>
                <w:sz w:val="24"/>
                <w:highlight w:val="none"/>
                <w:lang w:val="en-US" w:eastAsia="zh-CN"/>
              </w:rPr>
              <w:t>3.5</w:t>
            </w:r>
            <w:r>
              <w:rPr>
                <w:rFonts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/d，年用水量为</w:t>
            </w:r>
            <w:r>
              <w:rPr>
                <w:rFonts w:hint="eastAsia" w:ascii="Times New Roman" w:hAnsi="Times New Roman"/>
                <w:color w:val="auto"/>
                <w:sz w:val="24"/>
                <w:highlight w:val="none"/>
                <w:lang w:val="en-US" w:eastAsia="zh-CN"/>
              </w:rPr>
              <w:t>1050</w:t>
            </w:r>
            <w:r>
              <w:rPr>
                <w:rFonts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/a。生活污水按生活用水量的0.8计，最高日生活污水排放量约</w:t>
            </w:r>
            <w:r>
              <w:rPr>
                <w:rFonts w:hint="eastAsia" w:ascii="Times New Roman" w:hAnsi="Times New Roman"/>
                <w:color w:val="auto"/>
                <w:sz w:val="24"/>
                <w:highlight w:val="none"/>
                <w:lang w:val="en-US" w:eastAsia="zh-CN"/>
              </w:rPr>
              <w:t>2.8</w:t>
            </w:r>
            <w:r>
              <w:rPr>
                <w:rFonts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/d，全年约</w:t>
            </w:r>
            <w:r>
              <w:rPr>
                <w:rFonts w:hint="eastAsia" w:ascii="Times New Roman" w:hAnsi="Times New Roman"/>
                <w:color w:val="auto"/>
                <w:sz w:val="24"/>
                <w:highlight w:val="none"/>
                <w:lang w:val="en-US" w:eastAsia="zh-CN"/>
              </w:rPr>
              <w:t>840</w:t>
            </w:r>
            <w:r>
              <w:rPr>
                <w:rFonts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/a。</w:t>
            </w:r>
            <w:r>
              <w:rPr>
                <w:rFonts w:hint="eastAsia" w:ascii="Times New Roman" w:hAnsi="Times New Roman" w:eastAsia="宋体"/>
                <w:color w:val="auto"/>
                <w:sz w:val="24"/>
                <w:szCs w:val="24"/>
                <w:highlight w:val="none"/>
                <w:lang w:val="en-US" w:eastAsia="zh-CN"/>
              </w:rPr>
              <w:t>生活</w:t>
            </w:r>
            <w:r>
              <w:rPr>
                <w:rFonts w:hint="eastAsia" w:ascii="Times New Roman" w:hAnsi="Times New Roman"/>
                <w:color w:val="auto"/>
                <w:sz w:val="24"/>
                <w:szCs w:val="24"/>
                <w:highlight w:val="none"/>
                <w:lang w:val="en-US" w:eastAsia="zh-CN"/>
              </w:rPr>
              <w:t>污水</w:t>
            </w:r>
            <w:r>
              <w:rPr>
                <w:rFonts w:hint="eastAsia" w:ascii="Times New Roman" w:hAnsi="Times New Roman" w:eastAsia="宋体"/>
                <w:color w:val="auto"/>
                <w:sz w:val="24"/>
                <w:szCs w:val="24"/>
                <w:highlight w:val="none"/>
                <w:lang w:val="en-US" w:eastAsia="zh-CN"/>
              </w:rPr>
              <w:t>中主要污染物浓度为COD</w:t>
            </w:r>
            <w:r>
              <w:rPr>
                <w:rFonts w:hint="eastAsia" w:ascii="Times New Roman" w:hAnsi="Times New Roman" w:eastAsia="宋体"/>
                <w:color w:val="auto"/>
                <w:sz w:val="24"/>
                <w:szCs w:val="24"/>
                <w:highlight w:val="none"/>
                <w:vertAlign w:val="subscript"/>
                <w:lang w:val="en-US" w:eastAsia="zh-CN"/>
              </w:rPr>
              <w:t>cr</w:t>
            </w:r>
            <w:r>
              <w:rPr>
                <w:rFonts w:hint="eastAsia" w:ascii="Times New Roman" w:hAnsi="Times New Roman" w:eastAsia="宋体"/>
                <w:color w:val="auto"/>
                <w:sz w:val="24"/>
                <w:szCs w:val="24"/>
                <w:highlight w:val="none"/>
                <w:lang w:val="en-US" w:eastAsia="zh-CN"/>
              </w:rPr>
              <w:t>：300mg/L，BOD</w:t>
            </w:r>
            <w:r>
              <w:rPr>
                <w:rFonts w:hint="eastAsia" w:ascii="Times New Roman" w:hAnsi="Times New Roman" w:eastAsia="宋体"/>
                <w:color w:val="auto"/>
                <w:sz w:val="24"/>
                <w:szCs w:val="24"/>
                <w:highlight w:val="none"/>
                <w:vertAlign w:val="subscript"/>
                <w:lang w:val="en-US" w:eastAsia="zh-CN"/>
              </w:rPr>
              <w:t>5</w:t>
            </w:r>
            <w:r>
              <w:rPr>
                <w:rFonts w:hint="eastAsia" w:ascii="Times New Roman" w:hAnsi="Times New Roman" w:eastAsia="宋体"/>
                <w:color w:val="auto"/>
                <w:sz w:val="24"/>
                <w:szCs w:val="24"/>
                <w:highlight w:val="none"/>
                <w:lang w:val="en-US" w:eastAsia="zh-CN"/>
              </w:rPr>
              <w:t>：200mg/L，NH</w:t>
            </w:r>
            <w:r>
              <w:rPr>
                <w:rFonts w:hint="eastAsia" w:ascii="Times New Roman" w:hAnsi="Times New Roman" w:eastAsia="宋体"/>
                <w:color w:val="auto"/>
                <w:sz w:val="24"/>
                <w:szCs w:val="24"/>
                <w:highlight w:val="none"/>
                <w:vertAlign w:val="subscript"/>
                <w:lang w:val="en-US" w:eastAsia="zh-CN"/>
              </w:rPr>
              <w:t>3</w:t>
            </w:r>
            <w:r>
              <w:rPr>
                <w:rFonts w:hint="eastAsia" w:ascii="Times New Roman" w:hAnsi="Times New Roman" w:eastAsia="宋体"/>
                <w:color w:val="auto"/>
                <w:sz w:val="24"/>
                <w:szCs w:val="24"/>
                <w:highlight w:val="none"/>
                <w:lang w:val="en-US" w:eastAsia="zh-CN"/>
              </w:rPr>
              <w:t>-N：30mg/L、SS：200mg/L，</w:t>
            </w:r>
            <w:r>
              <w:rPr>
                <w:rFonts w:hint="eastAsia" w:ascii="Times New Roman" w:hAnsi="Times New Roman"/>
                <w:color w:val="auto"/>
                <w:sz w:val="24"/>
                <w:szCs w:val="24"/>
                <w:highlight w:val="none"/>
                <w:lang w:val="en-US" w:eastAsia="zh-CN"/>
              </w:rPr>
              <w:t>食堂废水通过隔油池处理后，与其他生活污水一起进入化粪池处理，最后</w:t>
            </w:r>
            <w:r>
              <w:rPr>
                <w:rFonts w:hint="eastAsia" w:ascii="Times New Roman" w:hAnsi="Times New Roman" w:eastAsia="宋体" w:cs="宋体"/>
                <w:color w:val="auto"/>
                <w:sz w:val="24"/>
                <w:highlight w:val="none"/>
                <w:lang w:val="en-US" w:eastAsia="zh-CN"/>
              </w:rPr>
              <w:t>进入新建的污水处理站</w:t>
            </w:r>
            <w:r>
              <w:rPr>
                <w:rFonts w:hint="eastAsia" w:ascii="Times New Roman" w:hAnsi="Times New Roman" w:cs="宋体"/>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处理达</w:t>
            </w:r>
            <w:r>
              <w:rPr>
                <w:rFonts w:hint="eastAsia" w:ascii="Times New Roman" w:hAnsi="Times New Roman" w:eastAsia="宋体" w:cs="Times New Roman"/>
                <w:color w:val="auto"/>
                <w:sz w:val="24"/>
                <w:szCs w:val="24"/>
                <w:highlight w:val="none"/>
                <w:lang w:val="en-US" w:eastAsia="zh-CN"/>
              </w:rPr>
              <w:t>到</w:t>
            </w:r>
            <w:r>
              <w:rPr>
                <w:rFonts w:hint="default" w:ascii="Times New Roman" w:hAnsi="Times New Roman" w:eastAsia="宋体" w:cs="Times New Roman"/>
                <w:color w:val="auto"/>
                <w:sz w:val="24"/>
                <w:szCs w:val="24"/>
                <w:highlight w:val="none"/>
                <w:lang w:val="en-US" w:eastAsia="zh-CN"/>
              </w:rPr>
              <w:t>《城市污水再生利用城市杂用水水质》（GB/T18920-2020）中的城市绿化标准后，回用于厂区绿化</w:t>
            </w:r>
            <w:r>
              <w:rPr>
                <w:rFonts w:ascii="Times New Roman" w:hAnsi="Times New Roman" w:eastAsia="宋体"/>
                <w:color w:val="auto"/>
                <w:sz w:val="24"/>
                <w:highlight w:val="none"/>
              </w:rPr>
              <w:t>。</w:t>
            </w:r>
          </w:p>
          <w:p w14:paraId="6458BB9F">
            <w:pPr>
              <w:pStyle w:val="70"/>
              <w:ind w:firstLine="480"/>
              <w:rPr>
                <w:rFonts w:hint="eastAsia" w:ascii="Times New Roman" w:hAnsi="Times New Roman" w:eastAsia="宋体" w:cs="宋体"/>
                <w:b/>
                <w:bCs/>
                <w:color w:val="auto"/>
                <w:sz w:val="24"/>
                <w:highlight w:val="none"/>
                <w:lang w:val="en-US" w:eastAsia="zh-CN"/>
              </w:rPr>
            </w:pPr>
            <w:r>
              <w:rPr>
                <w:rFonts w:hint="eastAsia" w:ascii="Times New Roman" w:hAnsi="Times New Roman" w:cs="宋体"/>
                <w:b/>
                <w:bCs/>
                <w:color w:val="auto"/>
                <w:sz w:val="24"/>
                <w:highlight w:val="none"/>
                <w:lang w:val="en-US" w:eastAsia="zh-CN"/>
              </w:rPr>
              <w:t>2</w:t>
            </w:r>
            <w:r>
              <w:rPr>
                <w:rFonts w:hint="eastAsia" w:ascii="Times New Roman" w:hAnsi="Times New Roman" w:eastAsia="宋体" w:cs="宋体"/>
                <w:b/>
                <w:bCs/>
                <w:color w:val="auto"/>
                <w:sz w:val="24"/>
                <w:highlight w:val="none"/>
                <w:lang w:val="en-US" w:eastAsia="zh-CN"/>
              </w:rPr>
              <w:t>、运输车辆轮胎清洗废水</w:t>
            </w:r>
          </w:p>
          <w:p w14:paraId="5DF63FF4">
            <w:pPr>
              <w:pStyle w:val="70"/>
              <w:ind w:firstLine="480"/>
              <w:rPr>
                <w:color w:val="auto"/>
              </w:rPr>
            </w:pPr>
            <w:r>
              <w:rPr>
                <w:rFonts w:hint="eastAsia"/>
                <w:color w:val="auto"/>
              </w:rPr>
              <w:t>本项目车辆进出厂区时需对车辆轮胎进行冲洗，冲洗用水量约为0.2m</w:t>
            </w:r>
            <w:r>
              <w:rPr>
                <w:rFonts w:hint="eastAsia"/>
                <w:color w:val="auto"/>
                <w:vertAlign w:val="superscript"/>
              </w:rPr>
              <w:t>3</w:t>
            </w:r>
            <w:r>
              <w:rPr>
                <w:rFonts w:hint="eastAsia"/>
                <w:color w:val="auto"/>
              </w:rPr>
              <w:t>/辆，本项目主要对运输污泥及产品车辆进行轮胎冲洗，项目车辆轮胎清洗废水产生量为</w:t>
            </w:r>
            <w:r>
              <w:rPr>
                <w:rFonts w:hint="eastAsia"/>
                <w:color w:val="auto"/>
                <w:lang w:val="en-US" w:eastAsia="zh-CN"/>
              </w:rPr>
              <w:t>36.64</w:t>
            </w:r>
            <w:r>
              <w:rPr>
                <w:rFonts w:hint="eastAsia"/>
                <w:color w:val="auto"/>
              </w:rPr>
              <w:t>m</w:t>
            </w:r>
            <w:r>
              <w:rPr>
                <w:rFonts w:hint="eastAsia"/>
                <w:color w:val="auto"/>
                <w:vertAlign w:val="superscript"/>
              </w:rPr>
              <w:t>3</w:t>
            </w:r>
            <w:r>
              <w:rPr>
                <w:rFonts w:hint="eastAsia"/>
                <w:color w:val="auto"/>
              </w:rPr>
              <w:t>/d，主要成分为SS，经三级沉淀后循环使用不外排</w:t>
            </w:r>
            <w:r>
              <w:rPr>
                <w:color w:val="auto"/>
              </w:rPr>
              <w:t>。</w:t>
            </w:r>
          </w:p>
          <w:p w14:paraId="26CEFE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sz w:val="24"/>
                <w:szCs w:val="24"/>
                <w:highlight w:val="none"/>
                <w:lang w:val="en-US" w:eastAsia="zh-CN"/>
              </w:rPr>
              <w:t>初期雨水</w:t>
            </w:r>
          </w:p>
          <w:p w14:paraId="05B65B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初期雨水产生量为</w:t>
            </w:r>
            <w:r>
              <w:rPr>
                <w:rFonts w:hint="eastAsia" w:ascii="Times New Roman" w:hAnsi="Times New Roman" w:eastAsia="宋体"/>
                <w:color w:val="auto"/>
                <w:sz w:val="24"/>
                <w:highlight w:val="none"/>
                <w:lang w:val="en-US" w:eastAsia="zh-CN"/>
              </w:rPr>
              <w:t>287.469</w:t>
            </w:r>
            <w:r>
              <w:rPr>
                <w:rFonts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次</w:t>
            </w:r>
            <w:r>
              <w:rPr>
                <w:rFonts w:hint="eastAsia"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宋体"/>
                <w:color w:val="auto"/>
                <w:sz w:val="24"/>
                <w:szCs w:val="24"/>
                <w:highlight w:val="none"/>
                <w:vertAlign w:val="baseline"/>
                <w:lang w:val="en-US" w:eastAsia="zh-CN"/>
              </w:rPr>
              <w:t>项目区实行雨污分流，初期雨水经管道收集至初期雨水收集池沉淀后回用于洒水降尘，不外排。项目区周边雨水通过周边截水沟外排，项目区初期雨水经雨水沟收集至初期雨水收集池（</w:t>
            </w:r>
            <w:r>
              <w:rPr>
                <w:rFonts w:hint="eastAsia" w:ascii="Times New Roman" w:hAnsi="Times New Roman" w:eastAsia="宋体"/>
                <w:color w:val="auto"/>
                <w:sz w:val="24"/>
                <w:highlight w:val="none"/>
                <w:lang w:val="en-US" w:eastAsia="zh-CN"/>
              </w:rPr>
              <w:t>共修建3个，</w:t>
            </w:r>
            <w:r>
              <w:rPr>
                <w:rFonts w:hint="eastAsia" w:ascii="Times New Roman" w:hAnsi="Times New Roman" w:eastAsia="宋体" w:cs="Times New Roman"/>
                <w:color w:val="auto"/>
                <w:sz w:val="24"/>
                <w:szCs w:val="21"/>
                <w:highlight w:val="none"/>
                <w:vertAlign w:val="baseline"/>
                <w:lang w:val="en-US" w:eastAsia="zh-CN"/>
              </w:rPr>
              <w:t>1#初期雨水池位于值班室附近，容积45m</w:t>
            </w:r>
            <w:r>
              <w:rPr>
                <w:rFonts w:hint="eastAsia" w:ascii="Times New Roman" w:hAnsi="Times New Roman" w:eastAsia="宋体" w:cs="Times New Roman"/>
                <w:color w:val="auto"/>
                <w:sz w:val="24"/>
                <w:szCs w:val="21"/>
                <w:highlight w:val="none"/>
                <w:vertAlign w:val="superscript"/>
                <w:lang w:val="en-US" w:eastAsia="zh-CN"/>
              </w:rPr>
              <w:t>3</w:t>
            </w:r>
            <w:r>
              <w:rPr>
                <w:rFonts w:hint="eastAsia" w:ascii="Times New Roman" w:hAnsi="Times New Roman" w:eastAsia="宋体" w:cs="Times New Roman"/>
                <w:color w:val="auto"/>
                <w:sz w:val="24"/>
                <w:szCs w:val="21"/>
                <w:highlight w:val="none"/>
                <w:vertAlign w:val="baseline"/>
                <w:lang w:val="en-US" w:eastAsia="zh-CN"/>
              </w:rPr>
              <w:t>，2#初期雨水沉淀池位于地磅房附近，容积75m</w:t>
            </w:r>
            <w:r>
              <w:rPr>
                <w:rFonts w:hint="eastAsia" w:ascii="Times New Roman" w:hAnsi="Times New Roman" w:eastAsia="宋体" w:cs="Times New Roman"/>
                <w:color w:val="auto"/>
                <w:sz w:val="24"/>
                <w:szCs w:val="21"/>
                <w:highlight w:val="none"/>
                <w:vertAlign w:val="superscript"/>
                <w:lang w:val="en-US" w:eastAsia="zh-CN"/>
              </w:rPr>
              <w:t>3</w:t>
            </w:r>
            <w:r>
              <w:rPr>
                <w:rFonts w:hint="eastAsia" w:ascii="Times New Roman" w:hAnsi="Times New Roman" w:eastAsia="宋体"/>
                <w:color w:val="auto"/>
                <w:sz w:val="24"/>
                <w:lang w:val="en-US" w:eastAsia="zh-CN"/>
              </w:rPr>
              <w:t>,3#初期雨水池位于2#初期雨水池东侧，容积190m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highlight w:val="none"/>
                <w:lang w:eastAsia="zh-CN"/>
              </w:rPr>
              <w:t>）</w:t>
            </w:r>
            <w:r>
              <w:rPr>
                <w:rFonts w:hint="eastAsia" w:ascii="Times New Roman" w:hAnsi="Times New Roman" w:eastAsia="宋体" w:cs="Times New Roman"/>
                <w:color w:val="auto"/>
                <w:sz w:val="24"/>
                <w:szCs w:val="24"/>
                <w:highlight w:val="none"/>
                <w:vertAlign w:val="baseline"/>
                <w:lang w:val="en-US" w:eastAsia="zh-CN"/>
              </w:rPr>
              <w:t>。</w:t>
            </w:r>
          </w:p>
          <w:p w14:paraId="018581A1">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废水排放口基本情况表</w:t>
            </w:r>
          </w:p>
          <w:p w14:paraId="48970725">
            <w:pPr>
              <w:pStyle w:val="7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color w:val="auto"/>
                <w:highlight w:val="none"/>
                <w:lang w:val="en-US" w:eastAsia="zh-CN"/>
              </w:rPr>
              <w:t>洗车废水沉淀后回用，</w:t>
            </w:r>
            <w:r>
              <w:rPr>
                <w:rFonts w:hint="eastAsia" w:ascii="Times New Roman" w:hAnsi="Times New Roman"/>
                <w:color w:val="auto"/>
                <w:sz w:val="24"/>
                <w:szCs w:val="24"/>
                <w:highlight w:val="none"/>
                <w:lang w:val="en-US" w:eastAsia="zh-CN"/>
              </w:rPr>
              <w:t>食堂废水通过隔油池处理后，与其他生活污水一起进入化粪池处理，最后</w:t>
            </w:r>
            <w:r>
              <w:rPr>
                <w:rFonts w:hint="eastAsia" w:ascii="Times New Roman" w:hAnsi="Times New Roman" w:eastAsia="宋体" w:cs="宋体"/>
                <w:color w:val="auto"/>
                <w:sz w:val="24"/>
                <w:highlight w:val="none"/>
                <w:lang w:val="en-US" w:eastAsia="zh-CN"/>
              </w:rPr>
              <w:t>进入新建的污水处理站</w:t>
            </w:r>
            <w:r>
              <w:rPr>
                <w:rFonts w:hint="eastAsia" w:ascii="Times New Roman" w:hAnsi="Times New Roman" w:cs="宋体"/>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处理达</w:t>
            </w:r>
            <w:r>
              <w:rPr>
                <w:rFonts w:hint="eastAsia" w:ascii="Times New Roman" w:hAnsi="Times New Roman" w:eastAsia="宋体" w:cs="Times New Roman"/>
                <w:color w:val="auto"/>
                <w:sz w:val="24"/>
                <w:szCs w:val="24"/>
                <w:highlight w:val="none"/>
                <w:lang w:val="en-US" w:eastAsia="zh-CN"/>
              </w:rPr>
              <w:t>到</w:t>
            </w:r>
            <w:r>
              <w:rPr>
                <w:rFonts w:hint="default" w:ascii="Times New Roman" w:hAnsi="Times New Roman" w:eastAsia="宋体" w:cs="Times New Roman"/>
                <w:color w:val="auto"/>
                <w:sz w:val="24"/>
                <w:szCs w:val="24"/>
                <w:highlight w:val="none"/>
                <w:lang w:val="en-US" w:eastAsia="zh-CN"/>
              </w:rPr>
              <w:t>《城市污水再生利用城市杂用水水质》（GB/T18920-2020）中的城市绿化标准后，回用于厂区绿化</w:t>
            </w:r>
            <w:r>
              <w:rPr>
                <w:rFonts w:hint="eastAsia" w:ascii="Times New Roman" w:hAnsi="Times New Roman" w:eastAsia="宋体" w:cs="宋体"/>
                <w:color w:val="auto"/>
                <w:sz w:val="24"/>
                <w:highlight w:val="none"/>
                <w:lang w:val="en-US" w:eastAsia="zh-CN"/>
              </w:rPr>
              <w:t>，不外排</w:t>
            </w:r>
            <w:r>
              <w:rPr>
                <w:rFonts w:hint="eastAsia" w:ascii="Times New Roman" w:hAnsi="Times New Roman" w:eastAsia="宋体"/>
                <w:color w:val="auto"/>
                <w:highlight w:val="none"/>
              </w:rPr>
              <w:t>。本项目不需要设置废水排放口。</w:t>
            </w:r>
          </w:p>
          <w:p w14:paraId="78FD2CB5">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监测要求</w:t>
            </w:r>
          </w:p>
          <w:p w14:paraId="0E989F58">
            <w:pPr>
              <w:pStyle w:val="7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本项目无废水外排，不设置监测要求。</w:t>
            </w:r>
          </w:p>
          <w:p w14:paraId="07284BD6">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废水不外排可行性分析</w:t>
            </w:r>
          </w:p>
          <w:p w14:paraId="232E73A1">
            <w:pPr>
              <w:pStyle w:val="70"/>
              <w:ind w:firstLine="488"/>
              <w:rPr>
                <w:rFonts w:hint="default" w:ascii="Times New Roman" w:hAnsi="Times New Roman" w:eastAsia="宋体"/>
                <w:b/>
                <w:bCs/>
                <w:color w:val="auto"/>
                <w:sz w:val="24"/>
                <w:highlight w:val="none"/>
                <w:lang w:val="en-US" w:eastAsia="zh-CN"/>
              </w:rPr>
            </w:pPr>
            <w:r>
              <w:rPr>
                <w:rFonts w:hint="eastAsia" w:ascii="Times New Roman" w:hAnsi="Times New Roman" w:eastAsia="宋体"/>
                <w:b/>
                <w:bCs/>
                <w:color w:val="auto"/>
                <w:sz w:val="24"/>
                <w:highlight w:val="none"/>
                <w:lang w:eastAsia="zh-CN"/>
              </w:rPr>
              <w:t>（</w:t>
            </w:r>
            <w:r>
              <w:rPr>
                <w:rFonts w:hint="eastAsia" w:ascii="Times New Roman" w:hAnsi="Times New Roman" w:eastAsia="宋体"/>
                <w:b/>
                <w:bCs/>
                <w:color w:val="auto"/>
                <w:sz w:val="24"/>
                <w:highlight w:val="none"/>
                <w:lang w:val="en-US" w:eastAsia="zh-CN"/>
              </w:rPr>
              <w:t>1</w:t>
            </w:r>
            <w:r>
              <w:rPr>
                <w:rFonts w:hint="eastAsia" w:ascii="Times New Roman" w:hAnsi="Times New Roman" w:eastAsia="宋体"/>
                <w:b/>
                <w:bCs/>
                <w:color w:val="auto"/>
                <w:sz w:val="24"/>
                <w:highlight w:val="none"/>
                <w:lang w:eastAsia="zh-CN"/>
              </w:rPr>
              <w:t>）</w:t>
            </w:r>
            <w:r>
              <w:rPr>
                <w:rFonts w:hint="eastAsia" w:ascii="Times New Roman" w:hAnsi="Times New Roman" w:eastAsia="宋体"/>
                <w:b/>
                <w:bCs/>
                <w:color w:val="auto"/>
                <w:sz w:val="24"/>
                <w:highlight w:val="none"/>
                <w:lang w:val="en-US" w:eastAsia="zh-CN"/>
              </w:rPr>
              <w:t>项目生活</w:t>
            </w:r>
            <w:r>
              <w:rPr>
                <w:rFonts w:hint="eastAsia" w:ascii="Times New Roman" w:hAnsi="Times New Roman"/>
                <w:b/>
                <w:bCs/>
                <w:color w:val="auto"/>
                <w:sz w:val="24"/>
                <w:highlight w:val="none"/>
                <w:lang w:val="en-US" w:eastAsia="zh-CN"/>
              </w:rPr>
              <w:t>污水</w:t>
            </w:r>
          </w:p>
          <w:p w14:paraId="5A48FFBB">
            <w:pPr>
              <w:pStyle w:val="70"/>
              <w:ind w:firstLine="488"/>
              <w:rPr>
                <w:rFonts w:ascii="Times New Roman" w:hAnsi="Times New Roman" w:eastAsia="宋体"/>
                <w:color w:val="auto"/>
                <w:sz w:val="24"/>
                <w:highlight w:val="none"/>
              </w:rPr>
            </w:pPr>
            <w:r>
              <w:rPr>
                <w:rFonts w:hint="eastAsia" w:ascii="Times New Roman" w:hAnsi="Times New Roman" w:eastAsia="宋体"/>
                <w:color w:val="auto"/>
                <w:sz w:val="24"/>
                <w:highlight w:val="none"/>
              </w:rPr>
              <w:t>运营期有工作人员</w:t>
            </w:r>
            <w:r>
              <w:rPr>
                <w:rFonts w:hint="eastAsia" w:ascii="Times New Roman" w:hAnsi="Times New Roman"/>
                <w:color w:val="auto"/>
                <w:sz w:val="24"/>
                <w:highlight w:val="none"/>
                <w:lang w:val="en-US" w:eastAsia="zh-CN"/>
              </w:rPr>
              <w:t>35</w:t>
            </w:r>
            <w:r>
              <w:rPr>
                <w:rFonts w:hint="eastAsia" w:ascii="Times New Roman" w:hAnsi="Times New Roman" w:eastAsia="宋体"/>
                <w:color w:val="auto"/>
                <w:sz w:val="24"/>
                <w:highlight w:val="none"/>
              </w:rPr>
              <w:t>人，项目区内提供</w:t>
            </w:r>
            <w:r>
              <w:rPr>
                <w:rFonts w:hint="eastAsia" w:ascii="Times New Roman" w:hAnsi="Times New Roman" w:eastAsia="宋体"/>
                <w:color w:val="auto"/>
                <w:sz w:val="24"/>
                <w:highlight w:val="none"/>
                <w:lang w:eastAsia="zh-CN"/>
              </w:rPr>
              <w:t>饮食</w:t>
            </w:r>
            <w:r>
              <w:rPr>
                <w:rFonts w:hint="eastAsia" w:ascii="Times New Roman" w:hAnsi="Times New Roman"/>
                <w:color w:val="auto"/>
                <w:sz w:val="24"/>
                <w:highlight w:val="none"/>
                <w:lang w:val="en-US" w:eastAsia="zh-CN"/>
              </w:rPr>
              <w:t>和</w:t>
            </w:r>
            <w:r>
              <w:rPr>
                <w:rFonts w:hint="eastAsia" w:ascii="Times New Roman" w:hAnsi="Times New Roman" w:eastAsia="宋体"/>
                <w:color w:val="auto"/>
                <w:sz w:val="24"/>
                <w:highlight w:val="none"/>
                <w:lang w:eastAsia="zh-CN"/>
              </w:rPr>
              <w:t>住宿</w:t>
            </w:r>
            <w:r>
              <w:rPr>
                <w:rFonts w:hint="eastAsia" w:ascii="Times New Roman" w:hAnsi="Times New Roman" w:eastAsia="宋体"/>
                <w:color w:val="auto"/>
                <w:sz w:val="24"/>
                <w:highlight w:val="none"/>
              </w:rPr>
              <w:t>，</w:t>
            </w:r>
            <w:r>
              <w:rPr>
                <w:rFonts w:hint="eastAsia" w:ascii="Times New Roman" w:hAnsi="Times New Roman"/>
                <w:color w:val="auto"/>
                <w:sz w:val="24"/>
                <w:highlight w:val="none"/>
                <w:lang w:eastAsia="zh-CN"/>
              </w:rPr>
              <w:t>生活污水</w:t>
            </w:r>
            <w:r>
              <w:rPr>
                <w:rFonts w:hint="eastAsia" w:ascii="Times New Roman" w:hAnsi="Times New Roman" w:eastAsia="宋体"/>
                <w:bCs/>
                <w:color w:val="auto"/>
                <w:sz w:val="24"/>
                <w:highlight w:val="none"/>
              </w:rPr>
              <w:t>主要是</w:t>
            </w:r>
            <w:r>
              <w:rPr>
                <w:rFonts w:hint="eastAsia" w:ascii="Times New Roman" w:hAnsi="Times New Roman"/>
                <w:bCs/>
                <w:color w:val="auto"/>
                <w:sz w:val="24"/>
                <w:highlight w:val="none"/>
                <w:lang w:val="en-US" w:eastAsia="zh-CN"/>
              </w:rPr>
              <w:t>食堂、</w:t>
            </w:r>
            <w:r>
              <w:rPr>
                <w:rFonts w:hint="eastAsia" w:ascii="Times New Roman" w:hAnsi="Times New Roman" w:eastAsia="宋体"/>
                <w:bCs/>
                <w:color w:val="auto"/>
                <w:sz w:val="24"/>
                <w:highlight w:val="none"/>
              </w:rPr>
              <w:t>冲厕</w:t>
            </w:r>
            <w:r>
              <w:rPr>
                <w:rFonts w:hint="eastAsia" w:ascii="Times New Roman" w:hAnsi="Times New Roman"/>
                <w:bCs/>
                <w:color w:val="auto"/>
                <w:sz w:val="24"/>
                <w:highlight w:val="none"/>
                <w:lang w:val="en-US" w:eastAsia="zh-CN"/>
              </w:rPr>
              <w:t>和洗澡</w:t>
            </w:r>
            <w:r>
              <w:rPr>
                <w:rFonts w:hint="eastAsia" w:ascii="Times New Roman" w:hAnsi="Times New Roman" w:eastAsia="宋体"/>
                <w:bCs/>
                <w:color w:val="auto"/>
                <w:sz w:val="24"/>
                <w:highlight w:val="none"/>
              </w:rPr>
              <w:t>废水</w:t>
            </w:r>
            <w:r>
              <w:rPr>
                <w:rFonts w:ascii="Times New Roman" w:hAnsi="Times New Roman" w:eastAsia="宋体"/>
                <w:color w:val="auto"/>
                <w:sz w:val="24"/>
                <w:highlight w:val="none"/>
              </w:rPr>
              <w:t>，其污水量为</w:t>
            </w:r>
            <w:r>
              <w:rPr>
                <w:rFonts w:hint="eastAsia" w:ascii="Times New Roman" w:hAnsi="Times New Roman"/>
                <w:color w:val="auto"/>
                <w:sz w:val="24"/>
                <w:highlight w:val="none"/>
                <w:lang w:val="en-US" w:eastAsia="zh-CN"/>
              </w:rPr>
              <w:t>2.8</w:t>
            </w:r>
            <w:r>
              <w:rPr>
                <w:rFonts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/d，</w:t>
            </w:r>
            <w:r>
              <w:rPr>
                <w:rFonts w:hint="eastAsia" w:ascii="Times New Roman" w:hAnsi="Times New Roman"/>
                <w:color w:val="auto"/>
                <w:sz w:val="24"/>
                <w:szCs w:val="24"/>
                <w:highlight w:val="none"/>
                <w:lang w:val="en-US" w:eastAsia="zh-CN"/>
              </w:rPr>
              <w:t>食堂废水通过隔油池处理后，与其他生活污水一起进入化粪池处理，最后</w:t>
            </w:r>
            <w:r>
              <w:rPr>
                <w:rFonts w:hint="eastAsia" w:ascii="Times New Roman" w:hAnsi="Times New Roman" w:eastAsia="宋体" w:cs="宋体"/>
                <w:color w:val="auto"/>
                <w:sz w:val="24"/>
                <w:highlight w:val="none"/>
                <w:lang w:val="en-US" w:eastAsia="zh-CN"/>
              </w:rPr>
              <w:t>进入新建的污水处理站</w:t>
            </w:r>
            <w:r>
              <w:rPr>
                <w:rFonts w:hint="eastAsia" w:ascii="Times New Roman" w:hAnsi="Times New Roman" w:cs="宋体"/>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处理达</w:t>
            </w:r>
            <w:r>
              <w:rPr>
                <w:rFonts w:hint="eastAsia" w:ascii="Times New Roman" w:hAnsi="Times New Roman" w:eastAsia="宋体" w:cs="Times New Roman"/>
                <w:color w:val="auto"/>
                <w:sz w:val="24"/>
                <w:szCs w:val="24"/>
                <w:highlight w:val="none"/>
                <w:lang w:val="en-US" w:eastAsia="zh-CN"/>
              </w:rPr>
              <w:t>到</w:t>
            </w:r>
            <w:r>
              <w:rPr>
                <w:rFonts w:hint="default" w:ascii="Times New Roman" w:hAnsi="Times New Roman" w:eastAsia="宋体" w:cs="Times New Roman"/>
                <w:color w:val="auto"/>
                <w:sz w:val="24"/>
                <w:szCs w:val="24"/>
                <w:highlight w:val="none"/>
                <w:lang w:val="en-US" w:eastAsia="zh-CN"/>
              </w:rPr>
              <w:t>《城市污水再生利用城市杂用水水质》（GB/T18920-2020）中的城市绿化标准后，回用于厂区绿化</w:t>
            </w:r>
            <w:r>
              <w:rPr>
                <w:rFonts w:hint="eastAsia" w:ascii="Times New Roman" w:hAnsi="Times New Roman" w:eastAsia="宋体" w:cs="宋体"/>
                <w:color w:val="auto"/>
                <w:sz w:val="24"/>
                <w:highlight w:val="none"/>
                <w:lang w:val="en-US" w:eastAsia="zh-CN"/>
              </w:rPr>
              <w:t>，不外排</w:t>
            </w:r>
            <w:r>
              <w:rPr>
                <w:rFonts w:ascii="Times New Roman" w:hAnsi="Times New Roman" w:eastAsia="宋体"/>
                <w:color w:val="auto"/>
                <w:sz w:val="24"/>
                <w:highlight w:val="none"/>
              </w:rPr>
              <w:t>。</w:t>
            </w:r>
          </w:p>
          <w:p w14:paraId="0A878308">
            <w:pPr>
              <w:pStyle w:val="70"/>
              <w:ind w:firstLine="480"/>
              <w:rPr>
                <w:rFonts w:ascii="Times New Roman" w:hAnsi="Times New Roman"/>
                <w:color w:val="auto"/>
                <w:highlight w:val="none"/>
              </w:rPr>
            </w:pPr>
            <w:r>
              <w:rPr>
                <w:rFonts w:hint="eastAsia" w:ascii="Times New Roman" w:hAnsi="Times New Roman"/>
                <w:color w:val="auto"/>
                <w:highlight w:val="none"/>
              </w:rPr>
              <w:t>通过上文分析，项目运行期生产</w:t>
            </w:r>
            <w:r>
              <w:rPr>
                <w:rFonts w:hint="eastAsia" w:ascii="Times New Roman" w:hAnsi="Times New Roman"/>
                <w:color w:val="auto"/>
                <w:highlight w:val="none"/>
                <w:lang w:eastAsia="zh-CN"/>
              </w:rPr>
              <w:t>、生活污水</w:t>
            </w:r>
            <w:r>
              <w:rPr>
                <w:rFonts w:hint="eastAsia" w:ascii="Times New Roman" w:hAnsi="Times New Roman"/>
                <w:color w:val="auto"/>
                <w:highlight w:val="none"/>
              </w:rPr>
              <w:t>产生量核算具体如下表：</w:t>
            </w:r>
          </w:p>
          <w:p w14:paraId="22ACE3E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bCs/>
                <w:color w:val="auto"/>
                <w:spacing w:val="6"/>
                <w:kern w:val="0"/>
                <w:sz w:val="24"/>
                <w:highlight w:val="none"/>
                <w:lang w:eastAsia="zh-CN" w:bidi="ar"/>
              </w:rPr>
            </w:pPr>
            <w:r>
              <w:rPr>
                <w:rFonts w:hint="eastAsia" w:ascii="Times New Roman" w:hAnsi="Times New Roman" w:eastAsia="宋体" w:cs="宋体"/>
                <w:b/>
                <w:bCs/>
                <w:color w:val="auto"/>
                <w:spacing w:val="6"/>
                <w:kern w:val="0"/>
                <w:sz w:val="24"/>
                <w:highlight w:val="none"/>
                <w:lang w:eastAsia="zh-CN" w:bidi="ar"/>
              </w:rPr>
              <w:t>表4.2.2-</w:t>
            </w:r>
            <w:r>
              <w:rPr>
                <w:rFonts w:hint="eastAsia" w:ascii="Times New Roman" w:hAnsi="Times New Roman" w:cs="宋体"/>
                <w:b/>
                <w:bCs/>
                <w:color w:val="auto"/>
                <w:spacing w:val="6"/>
                <w:kern w:val="0"/>
                <w:sz w:val="24"/>
                <w:highlight w:val="none"/>
                <w:lang w:val="en-US" w:eastAsia="zh-CN" w:bidi="ar"/>
              </w:rPr>
              <w:t xml:space="preserve">2 </w:t>
            </w:r>
            <w:r>
              <w:rPr>
                <w:rFonts w:hint="eastAsia" w:ascii="Times New Roman" w:hAnsi="Times New Roman" w:eastAsia="宋体" w:cs="宋体"/>
                <w:b/>
                <w:bCs/>
                <w:color w:val="auto"/>
                <w:spacing w:val="6"/>
                <w:kern w:val="0"/>
                <w:sz w:val="24"/>
                <w:highlight w:val="none"/>
                <w:lang w:eastAsia="zh-CN" w:bidi="ar"/>
              </w:rPr>
              <w:t>项目运营期废水污染物产生情况表</w:t>
            </w:r>
          </w:p>
          <w:tbl>
            <w:tblPr>
              <w:tblStyle w:val="35"/>
              <w:tblpPr w:leftFromText="180" w:rightFromText="180" w:vertAnchor="text" w:tblpXSpec="center" w:tblpY="1"/>
              <w:tblOverlap w:val="never"/>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958"/>
              <w:gridCol w:w="992"/>
              <w:gridCol w:w="992"/>
              <w:gridCol w:w="993"/>
              <w:gridCol w:w="850"/>
              <w:gridCol w:w="851"/>
              <w:gridCol w:w="992"/>
            </w:tblGrid>
            <w:tr w14:paraId="0793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589" w:type="dxa"/>
                  <w:vMerge w:val="restart"/>
                  <w:shd w:val="clear" w:color="auto" w:fill="D9D9D9"/>
                  <w:vAlign w:val="center"/>
                </w:tcPr>
                <w:p w14:paraId="69B34AA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ascii="Times New Roman" w:hAnsi="Times New Roman" w:eastAsia="宋体" w:cs="宋体"/>
                      <w:snapToGrid w:val="0"/>
                      <w:color w:val="auto"/>
                      <w:kern w:val="0"/>
                      <w:szCs w:val="21"/>
                      <w:highlight w:val="none"/>
                      <w:lang w:val="zh-CN"/>
                    </w:rPr>
                    <w:t>污水种类</w:t>
                  </w:r>
                </w:p>
              </w:tc>
              <w:tc>
                <w:tcPr>
                  <w:tcW w:w="958" w:type="dxa"/>
                  <w:vMerge w:val="restart"/>
                  <w:shd w:val="clear" w:color="auto" w:fill="D9D9D9"/>
                  <w:vAlign w:val="center"/>
                </w:tcPr>
                <w:p w14:paraId="250A2C25">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污水</w:t>
                  </w:r>
                  <w:r>
                    <w:rPr>
                      <w:rFonts w:ascii="Times New Roman" w:hAnsi="Times New Roman" w:eastAsia="宋体" w:cs="宋体"/>
                      <w:snapToGrid w:val="0"/>
                      <w:color w:val="auto"/>
                      <w:kern w:val="0"/>
                      <w:szCs w:val="21"/>
                      <w:highlight w:val="none"/>
                      <w:lang w:val="zh-CN"/>
                    </w:rPr>
                    <w:t>m</w:t>
                  </w:r>
                  <w:r>
                    <w:rPr>
                      <w:rFonts w:ascii="Times New Roman" w:hAnsi="Times New Roman" w:eastAsia="宋体" w:cs="宋体"/>
                      <w:snapToGrid w:val="0"/>
                      <w:color w:val="auto"/>
                      <w:kern w:val="0"/>
                      <w:szCs w:val="21"/>
                      <w:highlight w:val="none"/>
                      <w:vertAlign w:val="superscript"/>
                      <w:lang w:val="zh-CN"/>
                    </w:rPr>
                    <w:t>3</w:t>
                  </w:r>
                  <w:r>
                    <w:rPr>
                      <w:rFonts w:ascii="Times New Roman" w:hAnsi="Times New Roman" w:eastAsia="宋体" w:cs="宋体"/>
                      <w:snapToGrid w:val="0"/>
                      <w:color w:val="auto"/>
                      <w:kern w:val="0"/>
                      <w:szCs w:val="21"/>
                      <w:highlight w:val="none"/>
                      <w:lang w:val="zh-CN"/>
                    </w:rPr>
                    <w:t>/</w:t>
                  </w:r>
                  <w:r>
                    <w:rPr>
                      <w:rFonts w:hint="eastAsia" w:ascii="Times New Roman" w:hAnsi="Times New Roman" w:eastAsia="宋体" w:cs="宋体"/>
                      <w:snapToGrid w:val="0"/>
                      <w:color w:val="auto"/>
                      <w:kern w:val="0"/>
                      <w:szCs w:val="21"/>
                      <w:highlight w:val="none"/>
                      <w:lang w:val="zh-CN"/>
                    </w:rPr>
                    <w:t>a</w:t>
                  </w:r>
                </w:p>
              </w:tc>
              <w:tc>
                <w:tcPr>
                  <w:tcW w:w="5670" w:type="dxa"/>
                  <w:gridSpan w:val="6"/>
                  <w:shd w:val="clear" w:color="auto" w:fill="D9D9D9"/>
                  <w:vAlign w:val="center"/>
                </w:tcPr>
                <w:p w14:paraId="6564C08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ascii="Times New Roman" w:hAnsi="Times New Roman" w:eastAsia="宋体" w:cs="宋体"/>
                      <w:snapToGrid w:val="0"/>
                      <w:color w:val="auto"/>
                      <w:kern w:val="0"/>
                      <w:szCs w:val="21"/>
                      <w:highlight w:val="none"/>
                      <w:lang w:val="zh-CN"/>
                    </w:rPr>
                    <w:t>水质（</w:t>
                  </w:r>
                  <w:r>
                    <w:rPr>
                      <w:rFonts w:hint="eastAsia" w:ascii="Times New Roman" w:hAnsi="Times New Roman" w:eastAsia="宋体" w:cs="宋体"/>
                      <w:snapToGrid w:val="0"/>
                      <w:color w:val="auto"/>
                      <w:kern w:val="0"/>
                      <w:szCs w:val="21"/>
                      <w:highlight w:val="none"/>
                      <w:lang w:val="zh-CN"/>
                    </w:rPr>
                    <w:t>m</w:t>
                  </w:r>
                  <w:r>
                    <w:rPr>
                      <w:rFonts w:ascii="Times New Roman" w:hAnsi="Times New Roman" w:eastAsia="宋体" w:cs="宋体"/>
                      <w:snapToGrid w:val="0"/>
                      <w:color w:val="auto"/>
                      <w:kern w:val="0"/>
                      <w:szCs w:val="21"/>
                      <w:highlight w:val="none"/>
                      <w:lang w:val="zh-CN"/>
                    </w:rPr>
                    <w:t>g/L）</w:t>
                  </w:r>
                </w:p>
              </w:tc>
            </w:tr>
            <w:tr w14:paraId="0FC9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89" w:type="dxa"/>
                  <w:vMerge w:val="continue"/>
                  <w:shd w:val="clear" w:color="auto" w:fill="D9D9D9"/>
                  <w:vAlign w:val="center"/>
                </w:tcPr>
                <w:p w14:paraId="1CB484F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p>
              </w:tc>
              <w:tc>
                <w:tcPr>
                  <w:tcW w:w="958" w:type="dxa"/>
                  <w:vMerge w:val="continue"/>
                  <w:shd w:val="clear" w:color="auto" w:fill="D9D9D9"/>
                  <w:vAlign w:val="center"/>
                </w:tcPr>
                <w:p w14:paraId="6B27164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p>
              </w:tc>
              <w:tc>
                <w:tcPr>
                  <w:tcW w:w="992" w:type="dxa"/>
                  <w:shd w:val="clear" w:color="auto" w:fill="D9D9D9"/>
                  <w:vAlign w:val="center"/>
                </w:tcPr>
                <w:p w14:paraId="6DCB834B">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ascii="Times New Roman" w:hAnsi="Times New Roman" w:eastAsia="宋体" w:cs="宋体"/>
                      <w:snapToGrid w:val="0"/>
                      <w:color w:val="auto"/>
                      <w:kern w:val="0"/>
                      <w:szCs w:val="21"/>
                      <w:highlight w:val="none"/>
                      <w:lang w:val="zh-CN"/>
                    </w:rPr>
                    <w:t>COD</w:t>
                  </w:r>
                  <w:r>
                    <w:rPr>
                      <w:rFonts w:hint="eastAsia" w:ascii="Times New Roman" w:hAnsi="Times New Roman" w:eastAsia="宋体" w:cs="宋体"/>
                      <w:snapToGrid w:val="0"/>
                      <w:color w:val="auto"/>
                      <w:kern w:val="0"/>
                      <w:szCs w:val="21"/>
                      <w:highlight w:val="none"/>
                      <w:lang w:val="zh-CN"/>
                    </w:rPr>
                    <w:t>cr</w:t>
                  </w:r>
                </w:p>
              </w:tc>
              <w:tc>
                <w:tcPr>
                  <w:tcW w:w="992" w:type="dxa"/>
                  <w:shd w:val="clear" w:color="auto" w:fill="D9D9D9"/>
                  <w:vAlign w:val="center"/>
                </w:tcPr>
                <w:p w14:paraId="4906406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BOD</w:t>
                  </w:r>
                  <w:r>
                    <w:rPr>
                      <w:rFonts w:hint="eastAsia" w:ascii="Times New Roman" w:hAnsi="Times New Roman" w:eastAsia="宋体" w:cs="宋体"/>
                      <w:snapToGrid w:val="0"/>
                      <w:color w:val="auto"/>
                      <w:kern w:val="0"/>
                      <w:szCs w:val="21"/>
                      <w:highlight w:val="none"/>
                      <w:vertAlign w:val="subscript"/>
                      <w:lang w:val="zh-CN"/>
                    </w:rPr>
                    <w:t>5</w:t>
                  </w:r>
                </w:p>
              </w:tc>
              <w:tc>
                <w:tcPr>
                  <w:tcW w:w="993" w:type="dxa"/>
                  <w:shd w:val="clear" w:color="auto" w:fill="D9D9D9"/>
                  <w:vAlign w:val="center"/>
                </w:tcPr>
                <w:p w14:paraId="1AA37E5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SS</w:t>
                  </w:r>
                </w:p>
              </w:tc>
              <w:tc>
                <w:tcPr>
                  <w:tcW w:w="850" w:type="dxa"/>
                  <w:shd w:val="clear" w:color="auto" w:fill="D9D9D9"/>
                  <w:vAlign w:val="center"/>
                </w:tcPr>
                <w:p w14:paraId="5D2C210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氨氮</w:t>
                  </w:r>
                </w:p>
              </w:tc>
              <w:tc>
                <w:tcPr>
                  <w:tcW w:w="851" w:type="dxa"/>
                  <w:shd w:val="clear" w:color="auto" w:fill="D9D9D9"/>
                  <w:vAlign w:val="center"/>
                </w:tcPr>
                <w:p w14:paraId="24308DC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T</w:t>
                  </w:r>
                  <w:r>
                    <w:rPr>
                      <w:rFonts w:ascii="Times New Roman" w:hAnsi="Times New Roman" w:eastAsia="宋体" w:cs="宋体"/>
                      <w:snapToGrid w:val="0"/>
                      <w:color w:val="auto"/>
                      <w:kern w:val="0"/>
                      <w:szCs w:val="21"/>
                      <w:highlight w:val="none"/>
                      <w:lang w:val="zh-CN"/>
                    </w:rPr>
                    <w:t>P</w:t>
                  </w:r>
                </w:p>
              </w:tc>
              <w:tc>
                <w:tcPr>
                  <w:tcW w:w="992" w:type="dxa"/>
                  <w:shd w:val="clear" w:color="auto" w:fill="D9D9D9"/>
                  <w:vAlign w:val="center"/>
                </w:tcPr>
                <w:p w14:paraId="4E2C763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T</w:t>
                  </w:r>
                  <w:r>
                    <w:rPr>
                      <w:rFonts w:ascii="Times New Roman" w:hAnsi="Times New Roman" w:eastAsia="宋体" w:cs="宋体"/>
                      <w:snapToGrid w:val="0"/>
                      <w:color w:val="auto"/>
                      <w:kern w:val="0"/>
                      <w:szCs w:val="21"/>
                      <w:highlight w:val="none"/>
                      <w:lang w:val="zh-CN"/>
                    </w:rPr>
                    <w:t>N</w:t>
                  </w:r>
                </w:p>
              </w:tc>
            </w:tr>
            <w:tr w14:paraId="24CA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589" w:type="dxa"/>
                </w:tcPr>
                <w:p w14:paraId="370011E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员工</w:t>
                  </w:r>
                  <w:r>
                    <w:rPr>
                      <w:rFonts w:hint="eastAsia" w:ascii="Times New Roman" w:hAnsi="Times New Roman" w:cs="宋体"/>
                      <w:snapToGrid w:val="0"/>
                      <w:color w:val="auto"/>
                      <w:kern w:val="0"/>
                      <w:szCs w:val="21"/>
                      <w:highlight w:val="none"/>
                      <w:lang w:val="zh-CN"/>
                    </w:rPr>
                    <w:t>生活污水</w:t>
                  </w:r>
                </w:p>
              </w:tc>
              <w:tc>
                <w:tcPr>
                  <w:tcW w:w="958" w:type="dxa"/>
                  <w:vAlign w:val="center"/>
                </w:tcPr>
                <w:p w14:paraId="3C0171F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840</w:t>
                  </w:r>
                </w:p>
              </w:tc>
              <w:tc>
                <w:tcPr>
                  <w:tcW w:w="992" w:type="dxa"/>
                  <w:vAlign w:val="center"/>
                </w:tcPr>
                <w:p w14:paraId="3CCBC455">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300</w:t>
                  </w:r>
                </w:p>
              </w:tc>
              <w:tc>
                <w:tcPr>
                  <w:tcW w:w="992" w:type="dxa"/>
                  <w:vAlign w:val="center"/>
                </w:tcPr>
                <w:p w14:paraId="6B967B6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200</w:t>
                  </w:r>
                </w:p>
              </w:tc>
              <w:tc>
                <w:tcPr>
                  <w:tcW w:w="993" w:type="dxa"/>
                  <w:vAlign w:val="center"/>
                </w:tcPr>
                <w:p w14:paraId="2F27733D">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200</w:t>
                  </w:r>
                </w:p>
              </w:tc>
              <w:tc>
                <w:tcPr>
                  <w:tcW w:w="850" w:type="dxa"/>
                  <w:vAlign w:val="center"/>
                </w:tcPr>
                <w:p w14:paraId="3E558F4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30</w:t>
                  </w:r>
                </w:p>
              </w:tc>
              <w:tc>
                <w:tcPr>
                  <w:tcW w:w="851" w:type="dxa"/>
                  <w:vAlign w:val="center"/>
                </w:tcPr>
                <w:p w14:paraId="69B4031A">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5</w:t>
                  </w:r>
                </w:p>
              </w:tc>
              <w:tc>
                <w:tcPr>
                  <w:tcW w:w="992" w:type="dxa"/>
                  <w:vAlign w:val="center"/>
                </w:tcPr>
                <w:p w14:paraId="65CA66C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45</w:t>
                  </w:r>
                </w:p>
              </w:tc>
            </w:tr>
            <w:tr w14:paraId="4005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589" w:type="dxa"/>
                  <w:vAlign w:val="center"/>
                </w:tcPr>
                <w:p w14:paraId="6B9F763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最低去除效率</w:t>
                  </w:r>
                </w:p>
              </w:tc>
              <w:tc>
                <w:tcPr>
                  <w:tcW w:w="958" w:type="dxa"/>
                  <w:vAlign w:val="center"/>
                </w:tcPr>
                <w:p w14:paraId="10BBC55A">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w:t>
                  </w:r>
                </w:p>
              </w:tc>
              <w:tc>
                <w:tcPr>
                  <w:tcW w:w="992" w:type="dxa"/>
                </w:tcPr>
                <w:p w14:paraId="7EAEF65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95</w:t>
                  </w:r>
                  <w:r>
                    <w:rPr>
                      <w:rFonts w:hint="eastAsia" w:ascii="Times New Roman" w:hAnsi="Times New Roman" w:eastAsia="宋体" w:cs="宋体"/>
                      <w:snapToGrid w:val="0"/>
                      <w:color w:val="auto"/>
                      <w:kern w:val="0"/>
                      <w:szCs w:val="21"/>
                      <w:highlight w:val="none"/>
                      <w:lang w:val="en-US" w:eastAsia="zh-CN"/>
                    </w:rPr>
                    <w:t>%</w:t>
                  </w:r>
                </w:p>
              </w:tc>
              <w:tc>
                <w:tcPr>
                  <w:tcW w:w="992" w:type="dxa"/>
                </w:tcPr>
                <w:p w14:paraId="153A396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95</w:t>
                  </w:r>
                  <w:r>
                    <w:rPr>
                      <w:rFonts w:hint="eastAsia" w:ascii="Times New Roman" w:hAnsi="Times New Roman" w:eastAsia="宋体" w:cs="宋体"/>
                      <w:snapToGrid w:val="0"/>
                      <w:color w:val="auto"/>
                      <w:kern w:val="0"/>
                      <w:szCs w:val="21"/>
                      <w:highlight w:val="none"/>
                      <w:lang w:val="en-US" w:eastAsia="zh-CN"/>
                    </w:rPr>
                    <w:t>%</w:t>
                  </w:r>
                </w:p>
              </w:tc>
              <w:tc>
                <w:tcPr>
                  <w:tcW w:w="993" w:type="dxa"/>
                </w:tcPr>
                <w:p w14:paraId="71911F6D">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eastAsia="宋体" w:cs="宋体"/>
                      <w:snapToGrid w:val="0"/>
                      <w:color w:val="auto"/>
                      <w:kern w:val="0"/>
                      <w:szCs w:val="21"/>
                      <w:highlight w:val="none"/>
                      <w:lang w:val="en-US" w:eastAsia="zh-CN"/>
                    </w:rPr>
                    <w:t>95%</w:t>
                  </w:r>
                </w:p>
              </w:tc>
              <w:tc>
                <w:tcPr>
                  <w:tcW w:w="850" w:type="dxa"/>
                </w:tcPr>
                <w:p w14:paraId="5F14DBB5">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75</w:t>
                  </w:r>
                  <w:r>
                    <w:rPr>
                      <w:rFonts w:hint="eastAsia" w:ascii="Times New Roman" w:hAnsi="Times New Roman" w:eastAsia="宋体" w:cs="宋体"/>
                      <w:snapToGrid w:val="0"/>
                      <w:color w:val="auto"/>
                      <w:kern w:val="0"/>
                      <w:szCs w:val="21"/>
                      <w:highlight w:val="none"/>
                      <w:lang w:val="en-US" w:eastAsia="zh-CN"/>
                    </w:rPr>
                    <w:t>%</w:t>
                  </w:r>
                </w:p>
              </w:tc>
              <w:tc>
                <w:tcPr>
                  <w:tcW w:w="851" w:type="dxa"/>
                </w:tcPr>
                <w:p w14:paraId="1579104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70</w:t>
                  </w:r>
                  <w:r>
                    <w:rPr>
                      <w:rFonts w:hint="eastAsia" w:ascii="Times New Roman" w:hAnsi="Times New Roman" w:eastAsia="宋体" w:cs="宋体"/>
                      <w:snapToGrid w:val="0"/>
                      <w:color w:val="auto"/>
                      <w:kern w:val="0"/>
                      <w:szCs w:val="21"/>
                      <w:highlight w:val="none"/>
                      <w:lang w:val="en-US" w:eastAsia="zh-CN"/>
                    </w:rPr>
                    <w:t>%</w:t>
                  </w:r>
                </w:p>
              </w:tc>
              <w:tc>
                <w:tcPr>
                  <w:tcW w:w="992" w:type="dxa"/>
                </w:tcPr>
                <w:p w14:paraId="77EC0BF1">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eastAsia="宋体" w:cs="宋体"/>
                      <w:snapToGrid w:val="0"/>
                      <w:color w:val="auto"/>
                      <w:kern w:val="0"/>
                      <w:szCs w:val="21"/>
                      <w:highlight w:val="none"/>
                      <w:lang w:val="en-US" w:eastAsia="zh-CN"/>
                    </w:rPr>
                    <w:t>7</w:t>
                  </w:r>
                  <w:r>
                    <w:rPr>
                      <w:rFonts w:hint="eastAsia" w:ascii="Times New Roman" w:hAnsi="Times New Roman" w:cs="宋体"/>
                      <w:snapToGrid w:val="0"/>
                      <w:color w:val="auto"/>
                      <w:kern w:val="0"/>
                      <w:szCs w:val="21"/>
                      <w:highlight w:val="none"/>
                      <w:lang w:val="en-US" w:eastAsia="zh-CN"/>
                    </w:rPr>
                    <w:t>5</w:t>
                  </w:r>
                  <w:r>
                    <w:rPr>
                      <w:rFonts w:hint="eastAsia" w:ascii="Times New Roman" w:hAnsi="Times New Roman" w:eastAsia="宋体" w:cs="宋体"/>
                      <w:snapToGrid w:val="0"/>
                      <w:color w:val="auto"/>
                      <w:kern w:val="0"/>
                      <w:szCs w:val="21"/>
                      <w:highlight w:val="none"/>
                      <w:lang w:val="en-US" w:eastAsia="zh-CN"/>
                    </w:rPr>
                    <w:t>%</w:t>
                  </w:r>
                </w:p>
              </w:tc>
            </w:tr>
            <w:tr w14:paraId="2774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589" w:type="dxa"/>
                  <w:vAlign w:val="center"/>
                </w:tcPr>
                <w:p w14:paraId="151ADF4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项目出水水质</w:t>
                  </w:r>
                </w:p>
              </w:tc>
              <w:tc>
                <w:tcPr>
                  <w:tcW w:w="958" w:type="dxa"/>
                  <w:vAlign w:val="center"/>
                </w:tcPr>
                <w:p w14:paraId="55C0494B">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w:t>
                  </w:r>
                </w:p>
              </w:tc>
              <w:tc>
                <w:tcPr>
                  <w:tcW w:w="992" w:type="dxa"/>
                  <w:vAlign w:val="center"/>
                </w:tcPr>
                <w:p w14:paraId="38310E5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15</w:t>
                  </w:r>
                </w:p>
              </w:tc>
              <w:tc>
                <w:tcPr>
                  <w:tcW w:w="992" w:type="dxa"/>
                  <w:vAlign w:val="center"/>
                </w:tcPr>
                <w:p w14:paraId="2C7F308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10</w:t>
                  </w:r>
                </w:p>
              </w:tc>
              <w:tc>
                <w:tcPr>
                  <w:tcW w:w="993" w:type="dxa"/>
                  <w:vAlign w:val="center"/>
                </w:tcPr>
                <w:p w14:paraId="036093B5">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10</w:t>
                  </w:r>
                </w:p>
              </w:tc>
              <w:tc>
                <w:tcPr>
                  <w:tcW w:w="850" w:type="dxa"/>
                  <w:vAlign w:val="center"/>
                </w:tcPr>
                <w:p w14:paraId="5406EF95">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7.5</w:t>
                  </w:r>
                </w:p>
              </w:tc>
              <w:tc>
                <w:tcPr>
                  <w:tcW w:w="851" w:type="dxa"/>
                  <w:vAlign w:val="center"/>
                </w:tcPr>
                <w:p w14:paraId="138D15C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1.5</w:t>
                  </w:r>
                </w:p>
              </w:tc>
              <w:tc>
                <w:tcPr>
                  <w:tcW w:w="992" w:type="dxa"/>
                  <w:vAlign w:val="center"/>
                </w:tcPr>
                <w:p w14:paraId="42E1008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11.25</w:t>
                  </w:r>
                </w:p>
              </w:tc>
            </w:tr>
            <w:tr w14:paraId="4D29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589" w:type="dxa"/>
                  <w:vAlign w:val="center"/>
                </w:tcPr>
                <w:p w14:paraId="5A9889F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出水标准</w:t>
                  </w:r>
                </w:p>
              </w:tc>
              <w:tc>
                <w:tcPr>
                  <w:tcW w:w="958" w:type="dxa"/>
                  <w:vAlign w:val="center"/>
                </w:tcPr>
                <w:p w14:paraId="15B0B364">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w:t>
                  </w:r>
                </w:p>
              </w:tc>
              <w:tc>
                <w:tcPr>
                  <w:tcW w:w="992" w:type="dxa"/>
                </w:tcPr>
                <w:p w14:paraId="67D2EC5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w:t>
                  </w:r>
                </w:p>
              </w:tc>
              <w:tc>
                <w:tcPr>
                  <w:tcW w:w="992" w:type="dxa"/>
                </w:tcPr>
                <w:p w14:paraId="6FE401D1">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10</w:t>
                  </w:r>
                </w:p>
              </w:tc>
              <w:tc>
                <w:tcPr>
                  <w:tcW w:w="993" w:type="dxa"/>
                </w:tcPr>
                <w:p w14:paraId="30B8528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w:t>
                  </w:r>
                </w:p>
              </w:tc>
              <w:tc>
                <w:tcPr>
                  <w:tcW w:w="850" w:type="dxa"/>
                </w:tcPr>
                <w:p w14:paraId="2B93E87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8</w:t>
                  </w:r>
                </w:p>
              </w:tc>
              <w:tc>
                <w:tcPr>
                  <w:tcW w:w="851" w:type="dxa"/>
                </w:tcPr>
                <w:p w14:paraId="4EBF7E2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w:t>
                  </w:r>
                </w:p>
              </w:tc>
              <w:tc>
                <w:tcPr>
                  <w:tcW w:w="992" w:type="dxa"/>
                </w:tcPr>
                <w:p w14:paraId="53CEF801">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cs="宋体"/>
                      <w:snapToGrid w:val="0"/>
                      <w:color w:val="auto"/>
                      <w:kern w:val="0"/>
                      <w:szCs w:val="21"/>
                      <w:highlight w:val="none"/>
                      <w:lang w:val="en-US" w:eastAsia="zh-CN"/>
                    </w:rPr>
                    <w:t>——</w:t>
                  </w:r>
                </w:p>
              </w:tc>
            </w:tr>
            <w:tr w14:paraId="5768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8217" w:type="dxa"/>
                  <w:gridSpan w:val="8"/>
                  <w:vAlign w:val="center"/>
                </w:tcPr>
                <w:p w14:paraId="5E430122">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highlight w:val="none"/>
                      <w:lang w:val="zh-CN"/>
                    </w:rPr>
                  </w:pPr>
                  <w:r>
                    <w:rPr>
                      <w:rFonts w:hint="eastAsia" w:ascii="Times New Roman" w:hAnsi="Times New Roman" w:eastAsia="宋体" w:cs="宋体"/>
                      <w:snapToGrid w:val="0"/>
                      <w:color w:val="auto"/>
                      <w:kern w:val="0"/>
                      <w:szCs w:val="21"/>
                      <w:highlight w:val="none"/>
                      <w:lang w:val="zh-CN"/>
                    </w:rPr>
                    <w:t>食堂废水通过隔油池处理后，与其他</w:t>
                  </w:r>
                  <w:r>
                    <w:rPr>
                      <w:rFonts w:hint="eastAsia" w:ascii="Times New Roman" w:hAnsi="Times New Roman" w:cs="宋体"/>
                      <w:snapToGrid w:val="0"/>
                      <w:color w:val="auto"/>
                      <w:kern w:val="0"/>
                      <w:szCs w:val="21"/>
                      <w:highlight w:val="none"/>
                      <w:lang w:val="zh-CN"/>
                    </w:rPr>
                    <w:t>生活污水</w:t>
                  </w:r>
                  <w:r>
                    <w:rPr>
                      <w:rFonts w:hint="eastAsia" w:ascii="Times New Roman" w:hAnsi="Times New Roman" w:eastAsia="宋体" w:cs="宋体"/>
                      <w:snapToGrid w:val="0"/>
                      <w:color w:val="auto"/>
                      <w:kern w:val="0"/>
                      <w:szCs w:val="21"/>
                      <w:highlight w:val="none"/>
                      <w:lang w:val="zh-CN"/>
                    </w:rPr>
                    <w:t>一起进入化粪池处理</w:t>
                  </w:r>
                  <w:r>
                    <w:rPr>
                      <w:rFonts w:hint="eastAsia" w:ascii="Times New Roman" w:hAnsi="Times New Roman" w:cs="宋体"/>
                      <w:snapToGrid w:val="0"/>
                      <w:color w:val="auto"/>
                      <w:kern w:val="0"/>
                      <w:szCs w:val="21"/>
                      <w:highlight w:val="none"/>
                      <w:lang w:val="en-US" w:eastAsia="zh-CN"/>
                    </w:rPr>
                    <w:t>，再经</w:t>
                  </w:r>
                  <w:r>
                    <w:rPr>
                      <w:rFonts w:hint="eastAsia" w:ascii="Times New Roman" w:hAnsi="Times New Roman" w:eastAsia="宋体" w:cs="宋体"/>
                      <w:snapToGrid w:val="0"/>
                      <w:color w:val="auto"/>
                      <w:kern w:val="0"/>
                      <w:szCs w:val="21"/>
                      <w:highlight w:val="none"/>
                      <w:lang w:val="zh-CN"/>
                    </w:rPr>
                    <w:t>污水处理站处理，处理工艺为“</w:t>
                  </w:r>
                  <w:r>
                    <w:rPr>
                      <w:rFonts w:hint="eastAsia" w:ascii="Times New Roman" w:hAnsi="Times New Roman" w:eastAsia="宋体" w:cs="宋体"/>
                      <w:snapToGrid w:val="0"/>
                      <w:color w:val="auto"/>
                      <w:kern w:val="0"/>
                      <w:szCs w:val="21"/>
                      <w:highlight w:val="none"/>
                      <w:lang w:val="en-US" w:eastAsia="zh-CN"/>
                    </w:rPr>
                    <w:t>A</w:t>
                  </w:r>
                  <w:r>
                    <w:rPr>
                      <w:rFonts w:hint="eastAsia" w:ascii="Times New Roman" w:hAnsi="Times New Roman" w:cs="宋体"/>
                      <w:snapToGrid w:val="0"/>
                      <w:color w:val="auto"/>
                      <w:kern w:val="0"/>
                      <w:szCs w:val="21"/>
                      <w:highlight w:val="none"/>
                      <w:vertAlign w:val="superscript"/>
                      <w:lang w:val="en-US" w:eastAsia="zh-CN"/>
                    </w:rPr>
                    <w:t>2</w:t>
                  </w:r>
                  <w:r>
                    <w:rPr>
                      <w:rFonts w:hint="eastAsia" w:ascii="Times New Roman" w:hAnsi="Times New Roman" w:eastAsia="宋体" w:cs="宋体"/>
                      <w:snapToGrid w:val="0"/>
                      <w:color w:val="auto"/>
                      <w:kern w:val="0"/>
                      <w:szCs w:val="21"/>
                      <w:highlight w:val="none"/>
                      <w:lang w:val="en-US" w:eastAsia="zh-CN"/>
                    </w:rPr>
                    <w:t>/O</w:t>
                  </w:r>
                  <w:r>
                    <w:rPr>
                      <w:rFonts w:hint="eastAsia" w:ascii="Times New Roman" w:hAnsi="Times New Roman" w:eastAsia="宋体" w:cs="宋体"/>
                      <w:snapToGrid w:val="0"/>
                      <w:color w:val="auto"/>
                      <w:kern w:val="0"/>
                      <w:szCs w:val="21"/>
                      <w:highlight w:val="none"/>
                      <w:lang w:val="zh-CN"/>
                    </w:rPr>
                    <w:t>”组合处理工艺，</w:t>
                  </w:r>
                  <w:r>
                    <w:rPr>
                      <w:rFonts w:hint="eastAsia" w:ascii="Times New Roman" w:hAnsi="Times New Roman" w:eastAsia="宋体" w:cs="宋体"/>
                      <w:snapToGrid w:val="0"/>
                      <w:color w:val="auto"/>
                      <w:kern w:val="0"/>
                      <w:szCs w:val="21"/>
                      <w:highlight w:val="none"/>
                    </w:rPr>
                    <w:t>处理达到《城市污水再生利用城市杂用水水质》（GB/T18920-2020）中的城市绿化标准后，回用于厂区绿化，废水不外排。</w:t>
                  </w:r>
                </w:p>
              </w:tc>
            </w:tr>
          </w:tbl>
          <w:p w14:paraId="275973B7">
            <w:pPr>
              <w:pStyle w:val="70"/>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（2）项目</w:t>
            </w:r>
            <w:r>
              <w:rPr>
                <w:rFonts w:hint="eastAsia" w:ascii="Times New Roman" w:hAnsi="Times New Roman"/>
                <w:b/>
                <w:bCs/>
                <w:color w:val="auto"/>
                <w:highlight w:val="none"/>
                <w:lang w:val="en-US" w:eastAsia="zh-CN"/>
              </w:rPr>
              <w:t>生活污水处理</w:t>
            </w:r>
            <w:r>
              <w:rPr>
                <w:rFonts w:hint="eastAsia" w:ascii="Times New Roman" w:hAnsi="Times New Roman" w:eastAsia="宋体"/>
                <w:b/>
                <w:bCs/>
                <w:color w:val="auto"/>
                <w:highlight w:val="none"/>
                <w:lang w:val="en-US" w:eastAsia="zh-CN"/>
              </w:rPr>
              <w:t>设施处理可行性</w:t>
            </w:r>
          </w:p>
          <w:p w14:paraId="58AF9DB6">
            <w:pPr>
              <w:pStyle w:val="70"/>
              <w:ind w:firstLine="482"/>
              <w:rPr>
                <w:rFonts w:ascii="Times New Roman" w:hAnsi="Times New Roman" w:eastAsia="宋体"/>
                <w:b w:val="0"/>
                <w:bCs w:val="0"/>
                <w:color w:val="auto"/>
                <w:sz w:val="24"/>
                <w:highlight w:val="none"/>
              </w:rPr>
            </w:pPr>
            <w:r>
              <w:rPr>
                <w:rFonts w:hint="eastAsia" w:ascii="Times New Roman" w:hAnsi="Times New Roman" w:eastAsia="宋体"/>
                <w:b w:val="0"/>
                <w:bCs w:val="0"/>
                <w:color w:val="auto"/>
                <w:sz w:val="24"/>
                <w:highlight w:val="none"/>
                <w:lang w:eastAsia="zh-CN"/>
              </w:rPr>
              <w:t>①</w:t>
            </w:r>
            <w:r>
              <w:rPr>
                <w:rFonts w:hint="eastAsia" w:ascii="Times New Roman" w:hAnsi="Times New Roman" w:eastAsia="宋体"/>
                <w:b w:val="0"/>
                <w:bCs w:val="0"/>
                <w:color w:val="auto"/>
                <w:sz w:val="24"/>
                <w:highlight w:val="none"/>
              </w:rPr>
              <w:t>污水处理站规模</w:t>
            </w:r>
          </w:p>
          <w:p w14:paraId="541FC689">
            <w:pPr>
              <w:pStyle w:val="70"/>
              <w:ind w:firstLine="480"/>
              <w:rPr>
                <w:rFonts w:ascii="Times New Roman" w:hAnsi="Times New Roman" w:eastAsia="宋体"/>
                <w:color w:val="auto"/>
                <w:sz w:val="24"/>
                <w:highlight w:val="none"/>
              </w:rPr>
            </w:pPr>
            <w:r>
              <w:rPr>
                <w:rFonts w:hint="eastAsia" w:ascii="Times New Roman" w:hAnsi="Times New Roman" w:eastAsia="宋体"/>
                <w:color w:val="auto"/>
                <w:sz w:val="24"/>
                <w:highlight w:val="none"/>
                <w:lang w:eastAsia="zh-CN"/>
              </w:rPr>
              <w:t>项目</w:t>
            </w:r>
            <w:r>
              <w:rPr>
                <w:rFonts w:hint="eastAsia" w:ascii="Times New Roman" w:hAnsi="Times New Roman"/>
                <w:color w:val="auto"/>
                <w:sz w:val="24"/>
                <w:highlight w:val="none"/>
                <w:lang w:eastAsia="zh-CN"/>
              </w:rPr>
              <w:t>生活污水</w:t>
            </w:r>
            <w:r>
              <w:rPr>
                <w:rFonts w:hint="eastAsia" w:ascii="Times New Roman" w:hAnsi="Times New Roman" w:eastAsia="宋体"/>
                <w:color w:val="auto"/>
                <w:sz w:val="24"/>
                <w:highlight w:val="none"/>
              </w:rPr>
              <w:t>总量为</w:t>
            </w:r>
            <w:r>
              <w:rPr>
                <w:rFonts w:hint="eastAsia" w:ascii="Times New Roman" w:hAnsi="Times New Roman"/>
                <w:color w:val="auto"/>
                <w:sz w:val="24"/>
                <w:highlight w:val="none"/>
                <w:lang w:val="en-US" w:eastAsia="zh-CN"/>
              </w:rPr>
              <w:t>2.8</w:t>
            </w:r>
            <w:r>
              <w:rPr>
                <w:rFonts w:hint="eastAsia"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/d</w:t>
            </w:r>
            <w:r>
              <w:rPr>
                <w:rFonts w:hint="eastAsia" w:ascii="Times New Roman" w:hAnsi="Times New Roman" w:eastAsia="宋体"/>
                <w:color w:val="auto"/>
                <w:sz w:val="24"/>
                <w:highlight w:val="none"/>
              </w:rPr>
              <w:t>，</w:t>
            </w:r>
            <w:r>
              <w:rPr>
                <w:rFonts w:ascii="Times New Roman" w:hAnsi="Times New Roman" w:eastAsia="宋体"/>
                <w:color w:val="auto"/>
                <w:sz w:val="24"/>
                <w:highlight w:val="none"/>
              </w:rPr>
              <w:t>污水处理站设计余量宜取实测或预测值的</w:t>
            </w:r>
            <w:r>
              <w:rPr>
                <w:rFonts w:hint="eastAsia" w:ascii="Times New Roman" w:hAnsi="Times New Roman" w:eastAsia="宋体"/>
                <w:color w:val="auto"/>
                <w:sz w:val="24"/>
                <w:highlight w:val="none"/>
                <w:lang w:val="en-US" w:eastAsia="zh-CN"/>
              </w:rPr>
              <w:t>20</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经计算其规模为</w:t>
            </w:r>
            <w:r>
              <w:rPr>
                <w:rFonts w:hint="eastAsia" w:ascii="Times New Roman" w:hAnsi="Times New Roman"/>
                <w:color w:val="auto"/>
                <w:sz w:val="24"/>
                <w:highlight w:val="none"/>
                <w:lang w:val="en-US" w:eastAsia="zh-CN"/>
              </w:rPr>
              <w:t>3.36</w:t>
            </w:r>
            <w:r>
              <w:rPr>
                <w:rFonts w:hint="eastAsia"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d，为便于</w:t>
            </w:r>
            <w:r>
              <w:rPr>
                <w:rFonts w:hint="eastAsia" w:ascii="Times New Roman" w:hAnsi="Times New Roman"/>
                <w:color w:val="auto"/>
                <w:sz w:val="24"/>
                <w:highlight w:val="none"/>
                <w:lang w:val="en-US" w:eastAsia="zh-CN"/>
              </w:rPr>
              <w:t>设置</w:t>
            </w:r>
            <w:r>
              <w:rPr>
                <w:rFonts w:ascii="Times New Roman" w:hAnsi="Times New Roman" w:eastAsia="宋体"/>
                <w:color w:val="auto"/>
                <w:sz w:val="24"/>
                <w:highlight w:val="none"/>
              </w:rPr>
              <w:t>本项目污水处理站规模不应低于</w:t>
            </w:r>
            <w:r>
              <w:rPr>
                <w:rFonts w:hint="eastAsia" w:ascii="Times New Roman" w:hAnsi="Times New Roman"/>
                <w:color w:val="auto"/>
                <w:sz w:val="24"/>
                <w:highlight w:val="none"/>
                <w:lang w:val="en-US" w:eastAsia="zh-CN"/>
              </w:rPr>
              <w:t>3.5</w:t>
            </w:r>
            <w:r>
              <w:rPr>
                <w:rFonts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/d。</w:t>
            </w:r>
          </w:p>
          <w:p w14:paraId="79464FBD">
            <w:pPr>
              <w:pStyle w:val="70"/>
              <w:ind w:firstLine="480"/>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②污水处理工艺</w:t>
            </w:r>
          </w:p>
          <w:p w14:paraId="364FFF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val="en-US" w:eastAsia="zh-CN"/>
              </w:rPr>
              <w:t>A、隔油池</w:t>
            </w:r>
          </w:p>
          <w:p w14:paraId="44FA4BF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b w:val="0"/>
                <w:bCs/>
                <w:color w:val="auto"/>
                <w:sz w:val="24"/>
                <w:highlight w:val="none"/>
                <w:lang w:eastAsia="zh-CN"/>
              </w:rPr>
            </w:pPr>
            <w:r>
              <w:rPr>
                <w:rFonts w:hint="default" w:ascii="Times New Roman" w:hAnsi="Times New Roman" w:cs="Times New Roman"/>
                <w:b w:val="0"/>
                <w:bCs/>
                <w:color w:val="auto"/>
                <w:sz w:val="24"/>
                <w:highlight w:val="none"/>
              </w:rPr>
              <w:t>根据《饮食业环境保护技术规范》(HJ554-2010)</w:t>
            </w:r>
            <w:r>
              <w:rPr>
                <w:rFonts w:hint="eastAsia"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rPr>
              <w:t>7.2.4  当选用隔油池时，隔油池应符合下列要求：a）含油污水的水力停留时间不宜小于0.5 h；b）池内水流流速不宜大于0.005m/s；c）池内分格宜取二档三格；d）人工除油的隔油池内存油部分容积不宜小于该池有效容积的25%；隔油池出水管管底至池底的深度，不宜小于0.6m；e）与隔油池相连的管道均应防酸碱、耐高温。</w:t>
            </w:r>
            <w:r>
              <w:rPr>
                <w:rFonts w:hint="eastAsia" w:ascii="Times New Roman" w:hAnsi="Times New Roman" w:cs="Times New Roman"/>
                <w:b w:val="0"/>
                <w:bCs/>
                <w:color w:val="auto"/>
                <w:sz w:val="24"/>
                <w:highlight w:val="none"/>
                <w:lang w:eastAsia="zh-CN"/>
              </w:rPr>
              <w:t>”</w:t>
            </w:r>
          </w:p>
          <w:p w14:paraId="729E6E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szCs w:val="24"/>
                <w:highlight w:val="none"/>
                <w:lang w:val="en-US" w:eastAsia="zh-CN"/>
              </w:rPr>
            </w:pPr>
            <w:r>
              <w:rPr>
                <w:rFonts w:hint="default" w:ascii="Times New Roman" w:hAnsi="Times New Roman" w:cs="Times New Roman"/>
                <w:b w:val="0"/>
                <w:bCs/>
                <w:color w:val="auto"/>
                <w:sz w:val="24"/>
                <w:highlight w:val="none"/>
                <w:lang w:val="en-US" w:eastAsia="zh-CN"/>
              </w:rPr>
              <w:t>本项目</w:t>
            </w:r>
            <w:r>
              <w:rPr>
                <w:rFonts w:hint="default" w:ascii="Times New Roman" w:hAnsi="Times New Roman" w:cs="Times New Roman"/>
                <w:b w:val="0"/>
                <w:bCs/>
                <w:color w:val="auto"/>
                <w:sz w:val="24"/>
                <w:highlight w:val="none"/>
              </w:rPr>
              <w:t>食堂</w:t>
            </w:r>
            <w:r>
              <w:rPr>
                <w:rFonts w:hint="eastAsia" w:ascii="Times New Roman" w:hAnsi="Times New Roman" w:cs="Times New Roman"/>
                <w:b w:val="0"/>
                <w:bCs/>
                <w:color w:val="auto"/>
                <w:sz w:val="24"/>
                <w:highlight w:val="none"/>
                <w:lang w:val="en-US" w:eastAsia="zh-CN"/>
              </w:rPr>
              <w:t>每天工作3</w:t>
            </w:r>
            <w:r>
              <w:rPr>
                <w:rFonts w:hint="default" w:ascii="Times New Roman" w:hAnsi="Times New Roman" w:cs="Times New Roman"/>
                <w:b w:val="0"/>
                <w:bCs/>
                <w:color w:val="auto"/>
                <w:sz w:val="24"/>
                <w:highlight w:val="none"/>
              </w:rPr>
              <w:t>小时，</w:t>
            </w:r>
            <w:r>
              <w:rPr>
                <w:rFonts w:hint="default" w:ascii="Times New Roman" w:hAnsi="Times New Roman" w:cs="Times New Roman"/>
                <w:b w:val="0"/>
                <w:bCs/>
                <w:color w:val="auto"/>
                <w:sz w:val="24"/>
                <w:highlight w:val="none"/>
                <w:lang w:val="en-US" w:eastAsia="zh-CN"/>
              </w:rPr>
              <w:t>食堂含油废水量</w:t>
            </w:r>
            <w:r>
              <w:rPr>
                <w:rFonts w:hint="eastAsia" w:ascii="Times New Roman" w:hAnsi="Times New Roman" w:cs="Times New Roman"/>
                <w:b w:val="0"/>
                <w:bCs/>
                <w:color w:val="auto"/>
                <w:sz w:val="24"/>
                <w:highlight w:val="none"/>
                <w:lang w:val="en-US" w:eastAsia="zh-CN"/>
              </w:rPr>
              <w:t>1.12</w:t>
            </w:r>
            <w:r>
              <w:rPr>
                <w:rFonts w:hint="default" w:ascii="Times New Roman" w:hAnsi="Times New Roman" w:cs="Times New Roman"/>
                <w:b w:val="0"/>
                <w:bCs/>
                <w:color w:val="auto"/>
                <w:sz w:val="24"/>
                <w:highlight w:val="none"/>
              </w:rPr>
              <w:t>m</w:t>
            </w:r>
            <w:r>
              <w:rPr>
                <w:rFonts w:hint="default" w:ascii="Times New Roman" w:hAnsi="Times New Roman" w:cs="Times New Roman"/>
                <w:b w:val="0"/>
                <w:bCs/>
                <w:color w:val="auto"/>
                <w:sz w:val="24"/>
                <w:highlight w:val="none"/>
                <w:vertAlign w:val="superscript"/>
              </w:rPr>
              <w:t>3</w:t>
            </w:r>
            <w:r>
              <w:rPr>
                <w:rFonts w:hint="default" w:ascii="Times New Roman" w:hAnsi="Times New Roman" w:cs="Times New Roman"/>
                <w:b w:val="0"/>
                <w:bCs/>
                <w:color w:val="auto"/>
                <w:sz w:val="24"/>
                <w:highlight w:val="none"/>
              </w:rPr>
              <w:t>/d</w:t>
            </w:r>
            <w:r>
              <w:rPr>
                <w:rFonts w:hint="default" w:ascii="Times New Roman" w:hAnsi="Times New Roman" w:cs="Times New Roman"/>
                <w:b w:val="0"/>
                <w:bCs/>
                <w:color w:val="auto"/>
                <w:sz w:val="24"/>
                <w:highlight w:val="none"/>
                <w:lang w:eastAsia="zh-CN"/>
              </w:rPr>
              <w:t>，</w:t>
            </w:r>
            <w:r>
              <w:rPr>
                <w:rFonts w:hint="eastAsia" w:ascii="Times New Roman" w:hAnsi="Times New Roman" w:cs="Times New Roman"/>
                <w:b w:val="0"/>
                <w:bCs/>
                <w:color w:val="auto"/>
                <w:sz w:val="24"/>
                <w:highlight w:val="none"/>
                <w:lang w:val="en-US" w:eastAsia="zh-CN"/>
              </w:rPr>
              <w:t>0.3733</w:t>
            </w:r>
            <w:r>
              <w:rPr>
                <w:rFonts w:hint="default" w:ascii="Times New Roman" w:hAnsi="Times New Roman" w:cs="Times New Roman"/>
                <w:b w:val="0"/>
                <w:bCs/>
                <w:color w:val="auto"/>
                <w:sz w:val="24"/>
                <w:highlight w:val="none"/>
              </w:rPr>
              <w:t>m</w:t>
            </w:r>
            <w:r>
              <w:rPr>
                <w:rFonts w:hint="default" w:ascii="Times New Roman" w:hAnsi="Times New Roman" w:cs="Times New Roman"/>
                <w:b w:val="0"/>
                <w:bCs/>
                <w:color w:val="auto"/>
                <w:sz w:val="24"/>
                <w:highlight w:val="none"/>
                <w:vertAlign w:val="superscript"/>
              </w:rPr>
              <w:t>3</w:t>
            </w:r>
            <w:r>
              <w:rPr>
                <w:rFonts w:hint="default" w:ascii="Times New Roman" w:hAnsi="Times New Roman" w:cs="Times New Roman"/>
                <w:b w:val="0"/>
                <w:bCs/>
                <w:color w:val="auto"/>
                <w:sz w:val="24"/>
                <w:highlight w:val="none"/>
              </w:rPr>
              <w:t>/</w:t>
            </w:r>
            <w:r>
              <w:rPr>
                <w:rFonts w:hint="eastAsia" w:ascii="Times New Roman" w:hAnsi="Times New Roman" w:cs="Times New Roman"/>
                <w:b w:val="0"/>
                <w:bCs/>
                <w:color w:val="auto"/>
                <w:sz w:val="24"/>
                <w:highlight w:val="none"/>
                <w:lang w:val="en-US" w:eastAsia="zh-CN"/>
              </w:rPr>
              <w:t>h，</w:t>
            </w:r>
            <w:r>
              <w:rPr>
                <w:rFonts w:hint="eastAsia" w:ascii="Times New Roman" w:hAnsi="Times New Roman" w:cs="Times New Roman"/>
                <w:color w:val="auto"/>
                <w:sz w:val="24"/>
                <w:szCs w:val="24"/>
                <w:highlight w:val="none"/>
                <w:lang w:val="en-US" w:eastAsia="zh-CN"/>
              </w:rPr>
              <w:t>0.000104m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/s</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b w:val="0"/>
                <w:bCs/>
                <w:color w:val="auto"/>
                <w:sz w:val="24"/>
                <w:highlight w:val="none"/>
              </w:rPr>
              <w:t>根据《饮食业环境保护技术规范》(HJ554-2010)</w:t>
            </w:r>
            <w:r>
              <w:rPr>
                <w:rFonts w:hint="eastAsia" w:ascii="Times New Roman" w:hAnsi="Times New Roman" w:cs="Times New Roman"/>
                <w:b w:val="0"/>
                <w:bCs/>
                <w:color w:val="auto"/>
                <w:sz w:val="24"/>
                <w:highlight w:val="none"/>
                <w:lang w:eastAsia="zh-CN"/>
              </w:rPr>
              <w:t>，</w:t>
            </w:r>
            <w:r>
              <w:rPr>
                <w:rFonts w:hint="eastAsia" w:ascii="Times New Roman" w:hAnsi="Times New Roman" w:cs="Times New Roman"/>
                <w:b w:val="0"/>
                <w:bCs/>
                <w:color w:val="auto"/>
                <w:sz w:val="24"/>
                <w:highlight w:val="none"/>
                <w:lang w:val="en-US" w:eastAsia="zh-CN"/>
              </w:rPr>
              <w:t>项目</w:t>
            </w:r>
            <w:r>
              <w:rPr>
                <w:rFonts w:hint="eastAsia" w:ascii="Times New Roman" w:hAnsi="Times New Roman" w:cs="Times New Roman"/>
                <w:color w:val="auto"/>
                <w:sz w:val="24"/>
                <w:szCs w:val="24"/>
                <w:highlight w:val="none"/>
                <w:lang w:val="en-US" w:eastAsia="zh-CN"/>
              </w:rPr>
              <w:t>食堂隔油池有效容积不小于0.20m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，存油容积不小于0.05m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，采用三格结构，出水管深度≥0.6m，流速≤0.005m/s</w:t>
            </w:r>
            <w:r>
              <w:rPr>
                <w:rFonts w:hint="eastAsia" w:ascii="Times New Roman" w:hAnsi="Times New Roman" w:cs="Times New Roman"/>
                <w:b w:val="0"/>
                <w:bCs/>
                <w:color w:val="auto"/>
                <w:sz w:val="24"/>
                <w:highlight w:val="none"/>
                <w:lang w:val="en-US" w:eastAsia="zh-CN"/>
              </w:rPr>
              <w:t>。建设单位拟有效容积为0.5m</w:t>
            </w:r>
            <w:r>
              <w:rPr>
                <w:rFonts w:hint="eastAsia" w:ascii="Times New Roman" w:hAnsi="Times New Roman" w:cs="Times New Roman"/>
                <w:b w:val="0"/>
                <w:bCs/>
                <w:color w:val="auto"/>
                <w:sz w:val="24"/>
                <w:highlight w:val="none"/>
                <w:vertAlign w:val="superscript"/>
                <w:lang w:val="en-US" w:eastAsia="zh-CN"/>
              </w:rPr>
              <w:t>3</w:t>
            </w:r>
            <w:r>
              <w:rPr>
                <w:rFonts w:hint="eastAsia" w:ascii="Times New Roman" w:hAnsi="Times New Roman" w:cs="Times New Roman"/>
                <w:b w:val="0"/>
                <w:bCs/>
                <w:color w:val="auto"/>
                <w:sz w:val="24"/>
                <w:highlight w:val="none"/>
                <w:lang w:val="en-US" w:eastAsia="zh-CN"/>
              </w:rPr>
              <w:t>的隔油池，池内分为两档三格，</w:t>
            </w:r>
            <w:r>
              <w:rPr>
                <w:rFonts w:hint="default" w:ascii="Times New Roman" w:hAnsi="Times New Roman" w:cs="Times New Roman"/>
                <w:b w:val="0"/>
                <w:bCs/>
                <w:color w:val="auto"/>
                <w:sz w:val="24"/>
                <w:szCs w:val="24"/>
                <w:highlight w:val="none"/>
                <w:lang w:val="en-US" w:eastAsia="zh-CN"/>
              </w:rPr>
              <w:t>满足</w:t>
            </w:r>
            <w:r>
              <w:rPr>
                <w:rFonts w:hint="default" w:ascii="Times New Roman" w:hAnsi="Times New Roman" w:cs="Times New Roman"/>
                <w:b w:val="0"/>
                <w:bCs/>
                <w:color w:val="auto"/>
                <w:sz w:val="24"/>
                <w:highlight w:val="none"/>
              </w:rPr>
              <w:t>《饮食业环境保护技术规范》(HJ554-2010)</w:t>
            </w:r>
            <w:r>
              <w:rPr>
                <w:rFonts w:hint="default" w:ascii="Times New Roman" w:hAnsi="Times New Roman" w:cs="Times New Roman"/>
                <w:b w:val="0"/>
                <w:bCs/>
                <w:color w:val="auto"/>
                <w:sz w:val="24"/>
                <w:highlight w:val="none"/>
                <w:lang w:eastAsia="zh-CN"/>
              </w:rPr>
              <w:t>对</w:t>
            </w:r>
            <w:r>
              <w:rPr>
                <w:rFonts w:hint="default" w:ascii="Times New Roman" w:hAnsi="Times New Roman" w:cs="Times New Roman"/>
                <w:b w:val="0"/>
                <w:bCs/>
                <w:color w:val="auto"/>
                <w:sz w:val="24"/>
                <w:highlight w:val="none"/>
              </w:rPr>
              <w:t>隔油池</w:t>
            </w:r>
            <w:r>
              <w:rPr>
                <w:rFonts w:hint="default" w:ascii="Times New Roman" w:hAnsi="Times New Roman" w:cs="Times New Roman"/>
                <w:b w:val="0"/>
                <w:bCs/>
                <w:color w:val="auto"/>
                <w:sz w:val="24"/>
                <w:highlight w:val="none"/>
                <w:lang w:eastAsia="zh-CN"/>
              </w:rPr>
              <w:t>的</w:t>
            </w:r>
            <w:r>
              <w:rPr>
                <w:rFonts w:hint="eastAsia" w:ascii="Times New Roman" w:hAnsi="Times New Roman" w:cs="Times New Roman"/>
                <w:b w:val="0"/>
                <w:bCs/>
                <w:color w:val="auto"/>
                <w:sz w:val="24"/>
                <w:highlight w:val="none"/>
                <w:lang w:val="en-US" w:eastAsia="zh-CN"/>
              </w:rPr>
              <w:t>建设</w:t>
            </w:r>
            <w:r>
              <w:rPr>
                <w:rFonts w:hint="default" w:ascii="Times New Roman" w:hAnsi="Times New Roman" w:cs="Times New Roman"/>
                <w:b w:val="0"/>
                <w:bCs/>
                <w:color w:val="auto"/>
                <w:sz w:val="24"/>
                <w:highlight w:val="none"/>
                <w:lang w:eastAsia="zh-CN"/>
              </w:rPr>
              <w:t>要求</w:t>
            </w:r>
            <w:r>
              <w:rPr>
                <w:rFonts w:hint="eastAsia" w:ascii="Times New Roman" w:hAnsi="Times New Roman" w:cs="Times New Roman"/>
                <w:b w:val="0"/>
                <w:bCs/>
                <w:color w:val="auto"/>
                <w:sz w:val="24"/>
                <w:highlight w:val="none"/>
                <w:lang w:eastAsia="zh-CN"/>
              </w:rPr>
              <w:t>。</w:t>
            </w:r>
          </w:p>
          <w:p w14:paraId="726F49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color w:val="auto"/>
                <w:sz w:val="24"/>
                <w:szCs w:val="24"/>
                <w:highlight w:val="none"/>
                <w:lang w:val="en-US" w:eastAsia="zh-CN"/>
              </w:rPr>
              <w:t>B</w:t>
            </w:r>
            <w:r>
              <w:rPr>
                <w:rFonts w:hint="eastAsia" w:ascii="Times New Roman" w:hAnsi="Times New Roman" w:eastAsia="宋体"/>
                <w:color w:val="auto"/>
                <w:sz w:val="24"/>
                <w:szCs w:val="24"/>
                <w:highlight w:val="none"/>
                <w:lang w:val="en-US" w:eastAsia="zh-CN"/>
              </w:rPr>
              <w:t>、</w:t>
            </w:r>
            <w:r>
              <w:rPr>
                <w:rFonts w:ascii="Times New Roman" w:hAnsi="Times New Roman" w:eastAsia="宋体"/>
                <w:color w:val="auto"/>
                <w:sz w:val="24"/>
                <w:szCs w:val="24"/>
                <w:highlight w:val="none"/>
              </w:rPr>
              <w:t>化粪池</w:t>
            </w:r>
          </w:p>
          <w:p w14:paraId="02D9BD65">
            <w:pPr>
              <w:pStyle w:val="18"/>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rPr>
              <w:t>根据《建筑给水排水设计规范》（GB50015-20</w:t>
            </w:r>
            <w:r>
              <w:rPr>
                <w:rFonts w:hint="eastAsia" w:ascii="Times New Roman" w:hAnsi="Times New Roman" w:cs="Times New Roman"/>
                <w:b w:val="0"/>
                <w:bCs/>
                <w:color w:val="auto"/>
                <w:highlight w:val="none"/>
                <w:lang w:val="en-US" w:eastAsia="zh-CN"/>
              </w:rPr>
              <w:t>19</w:t>
            </w:r>
            <w:r>
              <w:rPr>
                <w:rFonts w:hint="default" w:ascii="Times New Roman" w:hAnsi="Times New Roman" w:cs="Times New Roman"/>
                <w:b w:val="0"/>
                <w:bCs/>
                <w:color w:val="auto"/>
                <w:highlight w:val="none"/>
              </w:rPr>
              <w:t>）</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lang w:val="en-US" w:eastAsia="zh-CN"/>
              </w:rPr>
              <w:t>化粪池有效容积为污水部分和污泥部分容积之和，计算公式如下：</w:t>
            </w:r>
          </w:p>
          <w:p w14:paraId="6678F969">
            <w:pPr>
              <w:pStyle w:val="18"/>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b w:val="0"/>
                <w:bCs/>
                <w:color w:val="auto"/>
                <w:highlight w:val="none"/>
                <w:lang w:val="en-US" w:eastAsia="zh-CN"/>
              </w:rPr>
            </w:pPr>
            <w:r>
              <w:rPr>
                <w:rFonts w:hint="eastAsia" w:ascii="Times New Roman" w:hAnsi="Times New Roman" w:cs="Times New Roman"/>
                <w:b w:val="0"/>
                <w:bCs/>
                <w:color w:val="auto"/>
                <w:position w:val="-98"/>
                <w:highlight w:val="none"/>
                <w:lang w:val="en-US" w:eastAsia="zh-CN"/>
              </w:rPr>
              <w:object>
                <v:shape id="_x0000_i1030" o:spt="75" type="#_x0000_t75" style="height:106.4pt;width:198.05pt;" o:ole="t" filled="f" o:preferrelative="t" stroked="f" coordsize="21600,21600">
                  <v:path/>
                  <v:fill on="f" focussize="0,0"/>
                  <v:stroke on="f"/>
                  <v:imagedata r:id="rId19" o:title=""/>
                  <o:lock v:ext="edit" aspectratio="t"/>
                  <w10:wrap type="none"/>
                  <w10:anchorlock/>
                </v:shape>
                <o:OLEObject Type="Embed" ProgID="Equation.KSEE3" ShapeID="_x0000_i1030" DrawAspect="Content" ObjectID="_1468075730" r:id="rId18">
                  <o:LockedField>false</o:LockedField>
                </o:OLEObject>
              </w:object>
            </w:r>
          </w:p>
          <w:p w14:paraId="01FD8246">
            <w:pPr>
              <w:pStyle w:val="18"/>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式中：V</w:t>
            </w:r>
            <w:r>
              <w:rPr>
                <w:rFonts w:hint="eastAsia" w:ascii="Times New Roman" w:hAnsi="Times New Roman" w:cs="Times New Roman"/>
                <w:b w:val="0"/>
                <w:bCs/>
                <w:color w:val="auto"/>
                <w:highlight w:val="none"/>
                <w:vertAlign w:val="subscript"/>
                <w:lang w:val="en-US" w:eastAsia="zh-CN"/>
              </w:rPr>
              <w:t>w</w:t>
            </w:r>
            <w:r>
              <w:rPr>
                <w:rFonts w:hint="eastAsia" w:ascii="Times New Roman" w:hAnsi="Times New Roman" w:cs="Times New Roman"/>
                <w:b w:val="0"/>
                <w:bCs/>
                <w:color w:val="auto"/>
                <w:highlight w:val="none"/>
                <w:lang w:val="en-US" w:eastAsia="zh-CN"/>
              </w:rPr>
              <w:t>—化粪池污水部分容积，m</w:t>
            </w:r>
            <w:r>
              <w:rPr>
                <w:rFonts w:hint="eastAsia" w:ascii="Times New Roman" w:hAnsi="Times New Roman" w:cs="Times New Roman"/>
                <w:b w:val="0"/>
                <w:bCs/>
                <w:color w:val="auto"/>
                <w:highlight w:val="none"/>
                <w:vertAlign w:val="superscript"/>
                <w:lang w:val="en-US" w:eastAsia="zh-CN"/>
              </w:rPr>
              <w:t>3</w:t>
            </w:r>
            <w:r>
              <w:rPr>
                <w:rFonts w:hint="eastAsia" w:ascii="Times New Roman" w:hAnsi="Times New Roman" w:cs="Times New Roman"/>
                <w:b w:val="0"/>
                <w:bCs/>
                <w:color w:val="auto"/>
                <w:highlight w:val="none"/>
                <w:lang w:val="en-US" w:eastAsia="zh-CN"/>
              </w:rPr>
              <w:t>；</w:t>
            </w:r>
          </w:p>
          <w:p w14:paraId="2266A27F">
            <w:pPr>
              <w:pStyle w:val="18"/>
              <w:keepNext w:val="0"/>
              <w:keepLines w:val="0"/>
              <w:pageBreakBefore w:val="0"/>
              <w:widowControl w:val="0"/>
              <w:kinsoku/>
              <w:wordWrap/>
              <w:overflowPunct/>
              <w:topLinePunct/>
              <w:autoSpaceDE/>
              <w:autoSpaceDN/>
              <w:bidi w:val="0"/>
              <w:adjustRightInd w:val="0"/>
              <w:snapToGrid w:val="0"/>
              <w:spacing w:line="360" w:lineRule="auto"/>
              <w:ind w:firstLine="1200" w:firstLineChars="500"/>
              <w:jc w:val="both"/>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V</w:t>
            </w:r>
            <w:r>
              <w:rPr>
                <w:rFonts w:hint="eastAsia" w:ascii="Times New Roman" w:hAnsi="Times New Roman" w:cs="Times New Roman"/>
                <w:b w:val="0"/>
                <w:bCs/>
                <w:color w:val="auto"/>
                <w:highlight w:val="none"/>
                <w:vertAlign w:val="subscript"/>
                <w:lang w:val="en-US" w:eastAsia="zh-CN"/>
              </w:rPr>
              <w:t>n</w:t>
            </w:r>
            <w:r>
              <w:rPr>
                <w:rFonts w:hint="eastAsia" w:ascii="Times New Roman" w:hAnsi="Times New Roman" w:cs="Times New Roman"/>
                <w:b w:val="0"/>
                <w:bCs/>
                <w:color w:val="auto"/>
                <w:highlight w:val="none"/>
                <w:lang w:val="en-US" w:eastAsia="zh-CN"/>
              </w:rPr>
              <w:t>—化粪池污泥部分容积，m</w:t>
            </w:r>
            <w:r>
              <w:rPr>
                <w:rFonts w:hint="eastAsia" w:ascii="Times New Roman" w:hAnsi="Times New Roman" w:cs="Times New Roman"/>
                <w:b w:val="0"/>
                <w:bCs/>
                <w:color w:val="auto"/>
                <w:highlight w:val="none"/>
                <w:vertAlign w:val="superscript"/>
                <w:lang w:val="en-US" w:eastAsia="zh-CN"/>
              </w:rPr>
              <w:t>3</w:t>
            </w:r>
            <w:r>
              <w:rPr>
                <w:rFonts w:hint="eastAsia" w:ascii="Times New Roman" w:hAnsi="Times New Roman" w:cs="Times New Roman"/>
                <w:b w:val="0"/>
                <w:bCs/>
                <w:color w:val="auto"/>
                <w:highlight w:val="none"/>
                <w:lang w:val="en-US" w:eastAsia="zh-CN"/>
              </w:rPr>
              <w:t>；</w:t>
            </w:r>
          </w:p>
          <w:p w14:paraId="14497DAB">
            <w:pPr>
              <w:pStyle w:val="18"/>
              <w:keepNext w:val="0"/>
              <w:keepLines w:val="0"/>
              <w:pageBreakBefore w:val="0"/>
              <w:widowControl w:val="0"/>
              <w:kinsoku/>
              <w:wordWrap/>
              <w:overflowPunct/>
              <w:topLinePunct/>
              <w:autoSpaceDE/>
              <w:autoSpaceDN/>
              <w:bidi w:val="0"/>
              <w:adjustRightInd w:val="0"/>
              <w:snapToGrid w:val="0"/>
              <w:spacing w:line="360" w:lineRule="auto"/>
              <w:ind w:firstLine="1200" w:firstLineChars="500"/>
              <w:jc w:val="both"/>
              <w:textAlignment w:val="auto"/>
              <w:rPr>
                <w:rFonts w:hint="eastAsia"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q</w:t>
            </w:r>
            <w:r>
              <w:rPr>
                <w:rFonts w:hint="eastAsia" w:ascii="Times New Roman" w:hAnsi="Times New Roman" w:cs="Times New Roman"/>
                <w:b w:val="0"/>
                <w:bCs/>
                <w:color w:val="auto"/>
                <w:highlight w:val="none"/>
                <w:vertAlign w:val="subscript"/>
                <w:lang w:val="en-US" w:eastAsia="zh-CN"/>
              </w:rPr>
              <w:t>w</w:t>
            </w:r>
            <w:r>
              <w:rPr>
                <w:rFonts w:hint="eastAsia" w:ascii="Times New Roman" w:hAnsi="Times New Roman" w:cs="Times New Roman"/>
                <w:b w:val="0"/>
                <w:bCs/>
                <w:color w:val="auto"/>
                <w:highlight w:val="none"/>
                <w:lang w:val="en-US" w:eastAsia="zh-CN"/>
              </w:rPr>
              <w:t>—污水量，m</w:t>
            </w:r>
            <w:r>
              <w:rPr>
                <w:rFonts w:hint="eastAsia" w:ascii="Times New Roman" w:hAnsi="Times New Roman" w:cs="Times New Roman"/>
                <w:b w:val="0"/>
                <w:bCs/>
                <w:color w:val="auto"/>
                <w:highlight w:val="none"/>
                <w:vertAlign w:val="superscript"/>
                <w:lang w:val="en-US" w:eastAsia="zh-CN"/>
              </w:rPr>
              <w:t>3</w:t>
            </w:r>
            <w:r>
              <w:rPr>
                <w:rFonts w:hint="eastAsia" w:ascii="Times New Roman" w:hAnsi="Times New Roman" w:cs="Times New Roman"/>
                <w:b w:val="0"/>
                <w:bCs/>
                <w:color w:val="auto"/>
                <w:highlight w:val="none"/>
                <w:lang w:val="en-US" w:eastAsia="zh-CN"/>
              </w:rPr>
              <w:t>；</w:t>
            </w:r>
          </w:p>
          <w:p w14:paraId="244F86CD">
            <w:pPr>
              <w:pStyle w:val="18"/>
              <w:keepNext w:val="0"/>
              <w:keepLines w:val="0"/>
              <w:pageBreakBefore w:val="0"/>
              <w:widowControl w:val="0"/>
              <w:kinsoku/>
              <w:wordWrap/>
              <w:overflowPunct/>
              <w:topLinePunct/>
              <w:autoSpaceDE/>
              <w:autoSpaceDN/>
              <w:bidi w:val="0"/>
              <w:adjustRightInd w:val="0"/>
              <w:snapToGrid w:val="0"/>
              <w:spacing w:line="360" w:lineRule="auto"/>
              <w:ind w:firstLine="1200" w:firstLineChars="500"/>
              <w:jc w:val="both"/>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t</w:t>
            </w:r>
            <w:r>
              <w:rPr>
                <w:rFonts w:hint="eastAsia" w:ascii="Times New Roman" w:hAnsi="Times New Roman" w:cs="Times New Roman"/>
                <w:b w:val="0"/>
                <w:bCs/>
                <w:color w:val="auto"/>
                <w:highlight w:val="none"/>
                <w:vertAlign w:val="subscript"/>
                <w:lang w:val="en-US" w:eastAsia="zh-CN"/>
              </w:rPr>
              <w:t>w</w:t>
            </w:r>
            <w:r>
              <w:rPr>
                <w:rFonts w:hint="eastAsia" w:ascii="Times New Roman" w:hAnsi="Times New Roman" w:cs="Times New Roman"/>
                <w:b w:val="0"/>
                <w:bCs/>
                <w:color w:val="auto"/>
                <w:highlight w:val="none"/>
                <w:lang w:val="en-US" w:eastAsia="zh-CN"/>
              </w:rPr>
              <w:t>—污水停留时间，h，宜采用12h~24h；本项目取24h；</w:t>
            </w:r>
          </w:p>
          <w:p w14:paraId="287BAE28">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q</w:t>
            </w:r>
            <w:r>
              <w:rPr>
                <w:rFonts w:hint="eastAsia"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污泥量，L/人·d，本项目取0.7；</w:t>
            </w:r>
          </w:p>
          <w:p w14:paraId="1A375013">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污泥清掏周期，宜采用3~12个月；本项目取12个月，365d；</w:t>
            </w:r>
          </w:p>
          <w:p w14:paraId="5D1C1EC0">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新鲜污泥含水率，95%；</w:t>
            </w:r>
          </w:p>
          <w:p w14:paraId="0EBAE425">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发酵浓缩后污泥含水率，90%；</w:t>
            </w:r>
          </w:p>
          <w:p w14:paraId="537D2CD6">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bscript"/>
                <w:lang w:val="en-US" w:eastAsia="zh-CN"/>
              </w:rPr>
              <w:t>s</w:t>
            </w:r>
            <w:r>
              <w:rPr>
                <w:rFonts w:hint="eastAsia" w:ascii="Times New Roman" w:hAnsi="Times New Roman" w:eastAsia="宋体" w:cs="Times New Roman"/>
                <w:color w:val="auto"/>
                <w:sz w:val="24"/>
                <w:szCs w:val="24"/>
                <w:highlight w:val="none"/>
                <w:lang w:val="en-US" w:eastAsia="zh-CN"/>
              </w:rPr>
              <w:t>—污泥发酵后体积缩减系数，0.8；</w:t>
            </w:r>
          </w:p>
          <w:p w14:paraId="5C91D266">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1.2—清掏后遗留20%的容积系数；</w:t>
            </w:r>
          </w:p>
          <w:p w14:paraId="2EFC4440">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bscript"/>
                <w:lang w:val="en-US" w:eastAsia="zh-CN"/>
              </w:rPr>
              <w:t>f</w:t>
            </w:r>
            <w:r>
              <w:rPr>
                <w:rFonts w:hint="eastAsia" w:ascii="Times New Roman" w:hAnsi="Times New Roman" w:eastAsia="宋体" w:cs="Times New Roman"/>
                <w:color w:val="auto"/>
                <w:sz w:val="24"/>
                <w:szCs w:val="24"/>
                <w:highlight w:val="none"/>
                <w:lang w:val="en-US" w:eastAsia="zh-CN"/>
              </w:rPr>
              <w:t>—化粪池服务总人数，本项目取35人。</w:t>
            </w:r>
          </w:p>
          <w:p w14:paraId="28A3141C">
            <w:pPr>
              <w:pStyle w:val="18"/>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sz w:val="24"/>
                <w:szCs w:val="24"/>
                <w:highlight w:val="none"/>
              </w:rPr>
              <w:t>根据</w:t>
            </w:r>
            <w:r>
              <w:rPr>
                <w:rFonts w:hint="default" w:ascii="Times New Roman" w:hAnsi="Times New Roman" w:eastAsia="宋体" w:cs="Times New Roman"/>
                <w:b w:val="0"/>
                <w:bCs/>
                <w:color w:val="auto"/>
                <w:sz w:val="24"/>
                <w:szCs w:val="24"/>
                <w:highlight w:val="none"/>
                <w:lang w:val="en-US" w:eastAsia="zh-CN"/>
              </w:rPr>
              <w:t>水平衡核算，</w:t>
            </w:r>
            <w:r>
              <w:rPr>
                <w:rFonts w:hint="default" w:ascii="Times New Roman" w:hAnsi="Times New Roman" w:eastAsia="宋体" w:cs="Times New Roman"/>
                <w:b w:val="0"/>
                <w:bCs/>
                <w:color w:val="auto"/>
                <w:sz w:val="24"/>
                <w:szCs w:val="24"/>
                <w:highlight w:val="none"/>
              </w:rPr>
              <w:t>项目</w:t>
            </w:r>
            <w:r>
              <w:rPr>
                <w:rFonts w:hint="eastAsia" w:ascii="Times New Roman" w:hAnsi="Times New Roman"/>
                <w:b w:val="0"/>
                <w:bCs/>
                <w:color w:val="auto"/>
                <w:sz w:val="24"/>
                <w:szCs w:val="24"/>
                <w:highlight w:val="none"/>
                <w:lang w:val="en-US" w:eastAsia="zh-CN"/>
              </w:rPr>
              <w:t>食堂废水和生活污水</w:t>
            </w:r>
            <w:r>
              <w:rPr>
                <w:rFonts w:hint="eastAsia" w:ascii="Times New Roman" w:hAnsi="Times New Roman" w:eastAsia="宋体" w:cs="Times New Roman"/>
                <w:b w:val="0"/>
                <w:bCs/>
                <w:color w:val="auto"/>
                <w:sz w:val="24"/>
                <w:szCs w:val="24"/>
                <w:highlight w:val="none"/>
                <w:lang w:val="en-US" w:eastAsia="zh-CN"/>
              </w:rPr>
              <w:t>总</w:t>
            </w:r>
            <w:r>
              <w:rPr>
                <w:rFonts w:hint="default" w:ascii="Times New Roman" w:hAnsi="Times New Roman" w:eastAsia="宋体" w:cs="Times New Roman"/>
                <w:b w:val="0"/>
                <w:bCs/>
                <w:color w:val="auto"/>
                <w:sz w:val="24"/>
                <w:szCs w:val="24"/>
                <w:highlight w:val="none"/>
              </w:rPr>
              <w:t>量为</w:t>
            </w:r>
            <w:r>
              <w:rPr>
                <w:rFonts w:hint="eastAsia" w:ascii="Times New Roman" w:hAnsi="Times New Roman" w:eastAsia="宋体" w:cs="Times New Roman"/>
                <w:b w:val="0"/>
                <w:bCs/>
                <w:color w:val="auto"/>
                <w:sz w:val="24"/>
                <w:szCs w:val="24"/>
                <w:highlight w:val="none"/>
                <w:lang w:val="en-US" w:eastAsia="zh-CN"/>
              </w:rPr>
              <w:t>2.8</w:t>
            </w:r>
            <w:r>
              <w:rPr>
                <w:rFonts w:hint="default" w:ascii="Times New Roman" w:hAnsi="Times New Roman" w:eastAsia="宋体" w:cs="Times New Roman"/>
                <w:b w:val="0"/>
                <w:bCs/>
                <w:color w:val="auto"/>
                <w:sz w:val="24"/>
                <w:szCs w:val="24"/>
                <w:highlight w:val="none"/>
              </w:rPr>
              <w:t>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/d，</w:t>
            </w:r>
            <w:r>
              <w:rPr>
                <w:rFonts w:hint="eastAsia" w:ascii="Times New Roman" w:hAnsi="Times New Roman" w:eastAsia="宋体" w:cs="Times New Roman"/>
                <w:b w:val="0"/>
                <w:bCs/>
                <w:color w:val="auto"/>
                <w:sz w:val="24"/>
                <w:szCs w:val="24"/>
                <w:highlight w:val="none"/>
                <w:lang w:val="en-US" w:eastAsia="zh-CN"/>
              </w:rPr>
              <w:t>840</w:t>
            </w:r>
            <w:r>
              <w:rPr>
                <w:rFonts w:hint="default" w:ascii="Times New Roman" w:hAnsi="Times New Roman" w:eastAsia="宋体" w:cs="Times New Roman"/>
                <w:b w:val="0"/>
                <w:bCs/>
                <w:color w:val="auto"/>
                <w:sz w:val="24"/>
                <w:szCs w:val="24"/>
                <w:highlight w:val="none"/>
              </w:rPr>
              <w:t>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/a</w:t>
            </w:r>
            <w:r>
              <w:rPr>
                <w:rFonts w:hint="default" w:ascii="Times New Roman" w:hAnsi="Times New Roman" w:eastAsia="宋体" w:cs="Times New Roman"/>
                <w:b w:val="0"/>
                <w:bCs/>
                <w:color w:val="auto"/>
                <w:sz w:val="24"/>
                <w:szCs w:val="24"/>
                <w:highlight w:val="none"/>
                <w:lang w:eastAsia="zh-CN"/>
              </w:rPr>
              <w:t>。</w:t>
            </w:r>
            <w:r>
              <w:rPr>
                <w:rFonts w:hint="eastAsia" w:ascii="Times New Roman" w:hAnsi="Times New Roman" w:cs="Times New Roman"/>
                <w:b w:val="0"/>
                <w:bCs/>
                <w:color w:val="auto"/>
                <w:highlight w:val="none"/>
                <w:lang w:val="en-US" w:eastAsia="zh-CN"/>
              </w:rPr>
              <w:t>根据上式计算，本项目污水部分容积V</w:t>
            </w:r>
            <w:r>
              <w:rPr>
                <w:rFonts w:hint="eastAsia" w:ascii="Times New Roman" w:hAnsi="Times New Roman" w:cs="Times New Roman"/>
                <w:b w:val="0"/>
                <w:bCs/>
                <w:color w:val="auto"/>
                <w:highlight w:val="none"/>
                <w:vertAlign w:val="subscript"/>
                <w:lang w:val="en-US" w:eastAsia="zh-CN"/>
              </w:rPr>
              <w:t>w</w:t>
            </w:r>
            <w:r>
              <w:rPr>
                <w:rFonts w:hint="eastAsia" w:ascii="Times New Roman" w:hAnsi="Times New Roman" w:cs="Times New Roman"/>
                <w:b w:val="0"/>
                <w:bCs/>
                <w:color w:val="auto"/>
                <w:highlight w:val="none"/>
                <w:lang w:val="en-US" w:eastAsia="zh-CN"/>
              </w:rPr>
              <w:t>为2.8</w:t>
            </w:r>
            <w:r>
              <w:rPr>
                <w:rFonts w:hint="default" w:ascii="Times New Roman" w:hAnsi="Times New Roman" w:eastAsia="宋体" w:cs="Times New Roman"/>
                <w:b w:val="0"/>
                <w:bCs/>
                <w:color w:val="auto"/>
                <w:sz w:val="24"/>
                <w:szCs w:val="24"/>
                <w:highlight w:val="none"/>
              </w:rPr>
              <w:t>m</w:t>
            </w:r>
            <w:r>
              <w:rPr>
                <w:rFonts w:hint="default" w:ascii="Times New Roman" w:hAnsi="Times New Roman" w:eastAsia="宋体" w:cs="Times New Roman"/>
                <w:b w:val="0"/>
                <w:bCs/>
                <w:color w:val="auto"/>
                <w:sz w:val="24"/>
                <w:szCs w:val="24"/>
                <w:highlight w:val="none"/>
                <w:vertAlign w:val="superscript"/>
              </w:rPr>
              <w:t>3</w:t>
            </w:r>
            <w:r>
              <w:rPr>
                <w:rFonts w:hint="eastAsia" w:ascii="Times New Roman" w:hAnsi="Times New Roman" w:cs="Times New Roman"/>
                <w:b w:val="0"/>
                <w:bCs/>
                <w:color w:val="auto"/>
                <w:highlight w:val="none"/>
                <w:lang w:val="en-US" w:eastAsia="zh-CN"/>
              </w:rPr>
              <w:t>，污泥部分容积V</w:t>
            </w:r>
            <w:r>
              <w:rPr>
                <w:rFonts w:hint="eastAsia" w:ascii="Times New Roman" w:hAnsi="Times New Roman" w:cs="Times New Roman"/>
                <w:b w:val="0"/>
                <w:bCs/>
                <w:color w:val="auto"/>
                <w:highlight w:val="none"/>
                <w:vertAlign w:val="subscript"/>
                <w:lang w:val="en-US" w:eastAsia="zh-CN"/>
              </w:rPr>
              <w:t>n</w:t>
            </w:r>
            <w:r>
              <w:rPr>
                <w:rFonts w:hint="eastAsia" w:ascii="Times New Roman" w:hAnsi="Times New Roman" w:cs="Times New Roman"/>
                <w:b w:val="0"/>
                <w:bCs/>
                <w:color w:val="auto"/>
                <w:highlight w:val="none"/>
                <w:lang w:val="en-US" w:eastAsia="zh-CN"/>
              </w:rPr>
              <w:t>为4.2924</w:t>
            </w:r>
            <w:r>
              <w:rPr>
                <w:rFonts w:hint="default" w:ascii="Times New Roman" w:hAnsi="Times New Roman" w:eastAsia="宋体" w:cs="Times New Roman"/>
                <w:b w:val="0"/>
                <w:bCs/>
                <w:color w:val="auto"/>
                <w:sz w:val="24"/>
                <w:szCs w:val="24"/>
                <w:highlight w:val="none"/>
              </w:rPr>
              <w:t>m</w:t>
            </w:r>
            <w:r>
              <w:rPr>
                <w:rFonts w:hint="default" w:ascii="Times New Roman" w:hAnsi="Times New Roman" w:eastAsia="宋体" w:cs="Times New Roman"/>
                <w:b w:val="0"/>
                <w:bCs/>
                <w:color w:val="auto"/>
                <w:sz w:val="24"/>
                <w:szCs w:val="24"/>
                <w:highlight w:val="none"/>
                <w:vertAlign w:val="superscript"/>
              </w:rPr>
              <w:t>3</w:t>
            </w:r>
            <w:r>
              <w:rPr>
                <w:rFonts w:hint="eastAsia" w:ascii="Times New Roman" w:hAnsi="Times New Roman" w:cs="Times New Roman"/>
                <w:b w:val="0"/>
                <w:bCs/>
                <w:color w:val="auto"/>
                <w:highlight w:val="none"/>
                <w:lang w:val="en-US" w:eastAsia="zh-CN"/>
              </w:rPr>
              <w:t>，则化粪池有效容积应≥7.0924</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eastAsia="宋体" w:cs="Times New Roman"/>
                <w:b w:val="0"/>
                <w:bCs/>
                <w:color w:val="auto"/>
                <w:highlight w:val="none"/>
                <w:lang w:val="en-US" w:eastAsia="zh-CN"/>
              </w:rPr>
              <w:t>。</w:t>
            </w:r>
          </w:p>
          <w:p w14:paraId="23A6763D">
            <w:pPr>
              <w:pStyle w:val="18"/>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cs="Times New Roman"/>
                <w:bCs/>
                <w:color w:val="auto"/>
                <w:highlight w:val="none"/>
                <w:lang w:eastAsia="zh-CN"/>
              </w:rPr>
            </w:pPr>
            <w:r>
              <w:rPr>
                <w:rFonts w:hint="eastAsia" w:ascii="Times New Roman" w:hAnsi="Times New Roman" w:eastAsia="宋体" w:cs="Times New Roman"/>
                <w:b w:val="0"/>
                <w:bCs/>
                <w:color w:val="auto"/>
                <w:sz w:val="24"/>
                <w:highlight w:val="none"/>
                <w:lang w:val="en-US" w:eastAsia="zh-CN"/>
              </w:rPr>
              <w:t>建设单位</w:t>
            </w:r>
            <w:r>
              <w:rPr>
                <w:rFonts w:hint="eastAsia" w:ascii="Times New Roman" w:hAnsi="Times New Roman" w:cs="Times New Roman"/>
                <w:b w:val="0"/>
                <w:bCs/>
                <w:color w:val="auto"/>
                <w:sz w:val="24"/>
                <w:highlight w:val="none"/>
                <w:lang w:val="en-US" w:eastAsia="zh-CN"/>
              </w:rPr>
              <w:t>设计建设2</w:t>
            </w:r>
            <w:r>
              <w:rPr>
                <w:rFonts w:hint="eastAsia" w:ascii="Times New Roman" w:hAnsi="Times New Roman" w:eastAsia="宋体"/>
                <w:color w:val="auto"/>
                <w:sz w:val="24"/>
                <w:highlight w:val="none"/>
                <w:lang w:val="en-US" w:eastAsia="zh-CN"/>
              </w:rPr>
              <w:t>座</w:t>
            </w:r>
            <w:r>
              <w:rPr>
                <w:rFonts w:hint="eastAsia" w:ascii="Times New Roman" w:hAnsi="Times New Roman"/>
                <w:color w:val="auto"/>
                <w:sz w:val="24"/>
                <w:highlight w:val="none"/>
                <w:lang w:val="en-US" w:eastAsia="zh-CN"/>
              </w:rPr>
              <w:t>化粪池</w:t>
            </w:r>
            <w:r>
              <w:rPr>
                <w:rFonts w:hint="eastAsia" w:ascii="Times New Roman" w:hAnsi="Times New Roman" w:eastAsia="宋体"/>
                <w:color w:val="auto"/>
                <w:sz w:val="24"/>
                <w:highlight w:val="none"/>
                <w:lang w:val="en-US" w:eastAsia="zh-CN"/>
              </w:rPr>
              <w:t>，总容积</w:t>
            </w:r>
            <w:r>
              <w:rPr>
                <w:rFonts w:hint="eastAsia" w:ascii="Times New Roman" w:hAnsi="Times New Roman"/>
                <w:color w:val="auto"/>
                <w:sz w:val="24"/>
                <w:highlight w:val="none"/>
                <w:lang w:val="en-US" w:eastAsia="zh-CN"/>
              </w:rPr>
              <w:t>62.13</w:t>
            </w:r>
            <w:r>
              <w:rPr>
                <w:rFonts w:hint="eastAsia" w:ascii="Times New Roman" w:hAnsi="Times New Roman" w:eastAsia="宋体"/>
                <w:color w:val="auto"/>
                <w:sz w:val="24"/>
                <w:highlight w:val="none"/>
                <w:lang w:val="en-US" w:eastAsia="zh-CN"/>
              </w:rPr>
              <w:t>m</w:t>
            </w:r>
            <w:r>
              <w:rPr>
                <w:rFonts w:hint="eastAsia" w:ascii="Times New Roman" w:hAnsi="Times New Roman" w:eastAsia="宋体"/>
                <w:color w:val="auto"/>
                <w:sz w:val="24"/>
                <w:highlight w:val="none"/>
                <w:vertAlign w:val="superscript"/>
                <w:lang w:val="en-US" w:eastAsia="zh-CN"/>
              </w:rPr>
              <w:t>3</w:t>
            </w:r>
            <w:r>
              <w:rPr>
                <w:rFonts w:hint="eastAsia" w:ascii="Times New Roman" w:hAnsi="Times New Roman" w:eastAsia="宋体"/>
                <w:color w:val="auto"/>
                <w:sz w:val="24"/>
                <w:highlight w:val="none"/>
                <w:vertAlign w:val="baseline"/>
                <w:lang w:val="en-US" w:eastAsia="zh-CN"/>
              </w:rPr>
              <w:t>，其中</w:t>
            </w:r>
            <w:r>
              <w:rPr>
                <w:rFonts w:hint="eastAsia" w:ascii="Times New Roman" w:hAnsi="Times New Roman" w:eastAsia="宋体"/>
                <w:color w:val="auto"/>
                <w:sz w:val="24"/>
                <w:highlight w:val="none"/>
                <w:lang w:val="en-US" w:eastAsia="zh-CN"/>
              </w:rPr>
              <w:t>1#化粪池位于厂区南侧，值班室旁，容积11.73m</w:t>
            </w:r>
            <w:r>
              <w:rPr>
                <w:rFonts w:hint="eastAsia" w:ascii="Times New Roman" w:hAnsi="Times New Roman" w:eastAsia="宋体"/>
                <w:color w:val="auto"/>
                <w:sz w:val="24"/>
                <w:highlight w:val="none"/>
                <w:vertAlign w:val="superscript"/>
                <w:lang w:val="en-US" w:eastAsia="zh-CN"/>
              </w:rPr>
              <w:t>3</w:t>
            </w:r>
            <w:r>
              <w:rPr>
                <w:rFonts w:hint="eastAsia" w:ascii="Times New Roman" w:hAnsi="Times New Roman"/>
                <w:color w:val="auto"/>
                <w:sz w:val="24"/>
                <w:highlight w:val="none"/>
                <w:vertAlign w:val="baseline"/>
                <w:lang w:val="en-US" w:eastAsia="zh-CN"/>
              </w:rPr>
              <w:t>（4.6m×1.7m×1.5m）</w:t>
            </w:r>
            <w:r>
              <w:rPr>
                <w:rFonts w:hint="eastAsia" w:ascii="Times New Roman" w:hAnsi="Times New Roman" w:eastAsia="宋体"/>
                <w:color w:val="auto"/>
                <w:sz w:val="24"/>
                <w:highlight w:val="none"/>
                <w:lang w:val="en-US" w:eastAsia="zh-CN"/>
              </w:rPr>
              <w:t>；2#化粪池位于宿舍楼旁，收集处理食堂及宿舍楼废水，容积50.4m</w:t>
            </w:r>
            <w:r>
              <w:rPr>
                <w:rFonts w:hint="eastAsia" w:ascii="Times New Roman" w:hAnsi="Times New Roman" w:eastAsia="宋体"/>
                <w:color w:val="auto"/>
                <w:sz w:val="24"/>
                <w:highlight w:val="none"/>
                <w:vertAlign w:val="superscript"/>
                <w:lang w:val="en-US" w:eastAsia="zh-CN"/>
              </w:rPr>
              <w:t>3</w:t>
            </w:r>
            <w:r>
              <w:rPr>
                <w:rFonts w:hint="eastAsia" w:ascii="Times New Roman" w:hAnsi="Times New Roman"/>
                <w:color w:val="auto"/>
                <w:sz w:val="24"/>
                <w:highlight w:val="none"/>
                <w:vertAlign w:val="baseline"/>
                <w:lang w:val="en-US" w:eastAsia="zh-CN"/>
              </w:rPr>
              <w:t>（6m×3m×2.8m）</w:t>
            </w:r>
            <w:r>
              <w:rPr>
                <w:rFonts w:hint="eastAsia" w:ascii="Times New Roman" w:hAnsi="Times New Roman" w:eastAsia="宋体"/>
                <w:color w:val="auto"/>
                <w:sz w:val="24"/>
                <w:highlight w:val="none"/>
                <w:vertAlign w:val="baseline"/>
                <w:lang w:val="en-US" w:eastAsia="zh-CN"/>
              </w:rPr>
              <w:t>。</w:t>
            </w:r>
            <w:r>
              <w:rPr>
                <w:rFonts w:hint="eastAsia" w:ascii="Times New Roman" w:hAnsi="Times New Roman" w:eastAsia="宋体" w:cs="Times New Roman"/>
                <w:b w:val="0"/>
                <w:bCs/>
                <w:color w:val="auto"/>
                <w:highlight w:val="none"/>
                <w:lang w:val="en-US" w:eastAsia="zh-CN"/>
              </w:rPr>
              <w:t>化粪池均为地埋式，顶部设有盖板，密封完好，满足</w:t>
            </w:r>
            <w:r>
              <w:rPr>
                <w:rFonts w:hint="default" w:ascii="Times New Roman" w:hAnsi="Times New Roman" w:cs="Times New Roman"/>
                <w:bCs/>
                <w:color w:val="auto"/>
                <w:highlight w:val="none"/>
              </w:rPr>
              <w:t>《建筑给水排水设计规范》（GB50015-2003）</w:t>
            </w:r>
            <w:r>
              <w:rPr>
                <w:rFonts w:hint="eastAsia" w:ascii="Times New Roman" w:hAnsi="Times New Roman" w:cs="Times New Roman"/>
                <w:bCs/>
                <w:color w:val="auto"/>
                <w:highlight w:val="none"/>
                <w:lang w:val="en-US" w:eastAsia="zh-CN"/>
              </w:rPr>
              <w:t>对化粪池的建设</w:t>
            </w:r>
            <w:r>
              <w:rPr>
                <w:rFonts w:hint="default" w:ascii="Times New Roman" w:hAnsi="Times New Roman" w:cs="Times New Roman"/>
                <w:bCs/>
                <w:color w:val="auto"/>
                <w:highlight w:val="none"/>
              </w:rPr>
              <w:t>要求</w:t>
            </w:r>
            <w:r>
              <w:rPr>
                <w:rFonts w:hint="eastAsia" w:ascii="Times New Roman" w:hAnsi="Times New Roman" w:cs="Times New Roman"/>
                <w:bCs/>
                <w:color w:val="auto"/>
                <w:highlight w:val="none"/>
                <w:lang w:eastAsia="zh-CN"/>
              </w:rPr>
              <w:t>。</w:t>
            </w:r>
          </w:p>
          <w:p w14:paraId="6FB388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color w:val="auto"/>
                <w:sz w:val="24"/>
                <w:szCs w:val="24"/>
                <w:highlight w:val="none"/>
                <w:lang w:val="en-US" w:eastAsia="zh-CN"/>
              </w:rPr>
              <w:t>C</w:t>
            </w:r>
            <w:r>
              <w:rPr>
                <w:rFonts w:hint="eastAsia" w:ascii="Times New Roman" w:hAnsi="Times New Roman" w:eastAsia="宋体"/>
                <w:color w:val="auto"/>
                <w:sz w:val="24"/>
                <w:szCs w:val="24"/>
                <w:highlight w:val="none"/>
                <w:lang w:val="en-US" w:eastAsia="zh-CN"/>
              </w:rPr>
              <w:t>、</w:t>
            </w:r>
            <w:r>
              <w:rPr>
                <w:rFonts w:ascii="Times New Roman" w:hAnsi="Times New Roman" w:eastAsia="宋体"/>
                <w:color w:val="auto"/>
                <w:sz w:val="24"/>
                <w:szCs w:val="24"/>
                <w:highlight w:val="none"/>
              </w:rPr>
              <w:t>一体化污水处理设施</w:t>
            </w:r>
          </w:p>
          <w:p w14:paraId="439BF8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本项目的生活污水中主要含有SS、COD、氨氮等常规污染物，在项目内拟建处理规模为</w:t>
            </w:r>
            <w:r>
              <w:rPr>
                <w:rFonts w:hint="eastAsia" w:ascii="Times New Roman" w:hAnsi="Times New Roman"/>
                <w:color w:val="auto"/>
                <w:sz w:val="24"/>
                <w:szCs w:val="24"/>
                <w:highlight w:val="none"/>
                <w:lang w:val="en-US" w:eastAsia="zh-CN"/>
              </w:rPr>
              <w:t>3.5</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/d的一体化污水处理设施，用于处理项目内的废水。一体化污水处理设施的处理工艺根据污水水质、水量以及回用的水质和水量要求，综合考虑经济技术参数，确定最佳处理工艺。</w:t>
            </w:r>
          </w:p>
          <w:p w14:paraId="2A00CC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根据项目中水回用情况，一体化污水处理设施出水</w:t>
            </w:r>
            <w:r>
              <w:rPr>
                <w:rFonts w:hint="eastAsia" w:ascii="Times New Roman" w:hAnsi="Times New Roman" w:eastAsia="宋体"/>
                <w:color w:val="auto"/>
                <w:sz w:val="24"/>
                <w:szCs w:val="24"/>
                <w:highlight w:val="none"/>
                <w:lang w:val="en-US" w:eastAsia="zh-CN"/>
              </w:rPr>
              <w:t>参考执行</w:t>
            </w:r>
            <w:r>
              <w:rPr>
                <w:rFonts w:hint="eastAsia" w:ascii="Times New Roman" w:hAnsi="Times New Roman" w:eastAsia="宋体" w:cs="宋体"/>
                <w:color w:val="auto"/>
                <w:sz w:val="24"/>
                <w:highlight w:val="none"/>
                <w:lang w:val="en-US" w:eastAsia="zh-CN"/>
              </w:rPr>
              <w:t>《城市污水再生利用城市杂用水水质》（GB/T18920-2020）中的城市绿化标准</w:t>
            </w:r>
            <w:r>
              <w:rPr>
                <w:rFonts w:ascii="Times New Roman" w:hAnsi="Times New Roman" w:eastAsia="宋体"/>
                <w:color w:val="auto"/>
                <w:sz w:val="24"/>
                <w:szCs w:val="24"/>
                <w:highlight w:val="none"/>
              </w:rPr>
              <w:t>。由于目前污水处理站的设计单位尚未确定，</w:t>
            </w:r>
            <w:r>
              <w:rPr>
                <w:rFonts w:hint="eastAsia" w:ascii="Times New Roman" w:hAnsi="Times New Roman"/>
                <w:color w:val="auto"/>
                <w:sz w:val="24"/>
                <w:szCs w:val="24"/>
                <w:highlight w:val="none"/>
                <w:lang w:eastAsia="zh-CN"/>
              </w:rPr>
              <w:t>本次</w:t>
            </w:r>
            <w:r>
              <w:rPr>
                <w:rFonts w:ascii="Times New Roman" w:hAnsi="Times New Roman" w:eastAsia="宋体"/>
                <w:color w:val="auto"/>
                <w:sz w:val="24"/>
                <w:szCs w:val="24"/>
                <w:highlight w:val="none"/>
              </w:rPr>
              <w:t>环评推荐A</w:t>
            </w:r>
            <w:r>
              <w:rPr>
                <w:rFonts w:hint="eastAsia" w:ascii="Times New Roman" w:hAnsi="Times New Roman" w:eastAsia="宋体"/>
                <w:color w:val="auto"/>
                <w:sz w:val="24"/>
                <w:szCs w:val="24"/>
                <w:highlight w:val="none"/>
                <w:vertAlign w:val="superscript"/>
                <w:lang w:val="en-US" w:eastAsia="zh-CN"/>
              </w:rPr>
              <w:t>2</w:t>
            </w:r>
            <w:r>
              <w:rPr>
                <w:rFonts w:ascii="Times New Roman" w:hAnsi="Times New Roman" w:eastAsia="宋体"/>
                <w:color w:val="auto"/>
                <w:sz w:val="24"/>
                <w:szCs w:val="24"/>
                <w:highlight w:val="none"/>
              </w:rPr>
              <w:t>/O工艺。</w:t>
            </w:r>
          </w:p>
          <w:p w14:paraId="7DEA14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a、工艺流程：</w:t>
            </w:r>
          </w:p>
          <w:p w14:paraId="0911D7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由于</w:t>
            </w:r>
            <w:r>
              <w:rPr>
                <w:rFonts w:hint="eastAsia" w:ascii="Times New Roman" w:hAnsi="Times New Roman" w:eastAsia="宋体"/>
                <w:color w:val="auto"/>
                <w:sz w:val="24"/>
                <w:szCs w:val="24"/>
                <w:highlight w:val="none"/>
                <w:lang w:eastAsia="zh-CN"/>
              </w:rPr>
              <w:t>项目</w:t>
            </w:r>
            <w:r>
              <w:rPr>
                <w:rFonts w:ascii="Times New Roman" w:hAnsi="Times New Roman" w:eastAsia="宋体"/>
                <w:color w:val="auto"/>
                <w:sz w:val="24"/>
                <w:szCs w:val="24"/>
                <w:highlight w:val="none"/>
              </w:rPr>
              <w:t>生活污水排放量及排放浓度日变化量很大，且杂质较多，因此在污水处理前</w:t>
            </w:r>
            <w:r>
              <w:rPr>
                <w:rFonts w:hint="eastAsia"/>
                <w:color w:val="auto"/>
                <w:sz w:val="24"/>
                <w:szCs w:val="24"/>
                <w:highlight w:val="none"/>
                <w:lang w:eastAsia="zh-CN"/>
              </w:rPr>
              <w:t>设置</w:t>
            </w:r>
            <w:r>
              <w:rPr>
                <w:rFonts w:ascii="Times New Roman" w:hAnsi="Times New Roman" w:eastAsia="宋体"/>
                <w:color w:val="auto"/>
                <w:sz w:val="24"/>
                <w:szCs w:val="24"/>
                <w:highlight w:val="none"/>
              </w:rPr>
              <w:t>一套不锈钢细格栅，用于去除大颗粒的机械杂物和悬浮物，经格栅截留杂质后的污水进入调节池。</w:t>
            </w:r>
          </w:p>
          <w:p w14:paraId="553902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调节池用于调节水量及水质，调节池内的污水由潜污泵提升进入</w:t>
            </w:r>
            <w:r>
              <w:rPr>
                <w:rFonts w:ascii="Times New Roman" w:hAnsi="Times New Roman" w:eastAsia="宋体"/>
                <w:color w:val="auto"/>
                <w:sz w:val="24"/>
                <w:szCs w:val="24"/>
                <w:highlight w:val="none"/>
              </w:rPr>
              <w:t>A</w:t>
            </w:r>
            <w:r>
              <w:rPr>
                <w:rFonts w:hint="eastAsia" w:ascii="Times New Roman" w:hAnsi="Times New Roman" w:eastAsia="宋体"/>
                <w:color w:val="auto"/>
                <w:sz w:val="24"/>
                <w:szCs w:val="24"/>
                <w:highlight w:val="none"/>
                <w:vertAlign w:val="superscript"/>
                <w:lang w:val="en-US" w:eastAsia="zh-CN"/>
              </w:rPr>
              <w:t>2</w:t>
            </w:r>
            <w:r>
              <w:rPr>
                <w:rFonts w:ascii="Times New Roman" w:hAnsi="Times New Roman" w:eastAsia="宋体"/>
                <w:color w:val="auto"/>
                <w:sz w:val="24"/>
                <w:szCs w:val="24"/>
                <w:highlight w:val="none"/>
              </w:rPr>
              <w:t>/O生化系统，A段为缺氧段，O段为好氧段。本工程采用A</w:t>
            </w:r>
            <w:r>
              <w:rPr>
                <w:rFonts w:hint="eastAsia" w:ascii="Times New Roman" w:hAnsi="Times New Roman" w:eastAsia="宋体"/>
                <w:color w:val="auto"/>
                <w:sz w:val="24"/>
                <w:szCs w:val="24"/>
                <w:highlight w:val="none"/>
                <w:vertAlign w:val="superscript"/>
                <w:lang w:val="en-US" w:eastAsia="zh-CN"/>
              </w:rPr>
              <w:t>2</w:t>
            </w:r>
            <w:r>
              <w:rPr>
                <w:rFonts w:ascii="Times New Roman" w:hAnsi="Times New Roman" w:eastAsia="宋体"/>
                <w:color w:val="auto"/>
                <w:sz w:val="24"/>
                <w:szCs w:val="24"/>
                <w:highlight w:val="none"/>
              </w:rPr>
              <w:t>/O缺氧、好氧联合处理工艺，将二沉池沉淀污泥部分回流至缺氧池，污泥中积磷菌在厌氧状态下释放磷，在好氧状态下摄取磷。经过排放富磷剩余污泥，其结果与普通活性污泥法相比，可去除污水中更多的磷。</w:t>
            </w:r>
          </w:p>
          <w:p w14:paraId="248AC0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沉淀池污泥按一定比例的回流比回流至缺氧池，以维持生化系统的污泥浓度，好氧池利用曝气器进行自动搅拌，回流污泥中的反硝化菌利用原污水中的有机物作为碳源，将回流混合液中的大量硝态氮（</w:t>
            </w:r>
            <w:r>
              <w:rPr>
                <w:rFonts w:ascii="Times New Roman" w:hAnsi="Times New Roman" w:eastAsia="宋体"/>
                <w:color w:val="auto"/>
                <w:sz w:val="24"/>
                <w:szCs w:val="24"/>
                <w:highlight w:val="none"/>
              </w:rPr>
              <w:t>NO</w:t>
            </w:r>
            <w:r>
              <w:rPr>
                <w:rFonts w:ascii="Times New Roman" w:hAnsi="Times New Roman" w:eastAsia="宋体"/>
                <w:color w:val="auto"/>
                <w:sz w:val="24"/>
                <w:szCs w:val="24"/>
                <w:highlight w:val="none"/>
                <w:vertAlign w:val="subscript"/>
              </w:rPr>
              <w:t>X</w:t>
            </w:r>
            <w:r>
              <w:rPr>
                <w:rFonts w:ascii="Times New Roman" w:hAnsi="Times New Roman" w:eastAsia="宋体"/>
                <w:color w:val="auto"/>
                <w:sz w:val="24"/>
                <w:szCs w:val="24"/>
                <w:highlight w:val="none"/>
              </w:rPr>
              <w:t>-N）还原成气态氮(N</w:t>
            </w:r>
            <w:r>
              <w:rPr>
                <w:rFonts w:ascii="Times New Roman" w:hAnsi="Times New Roman" w:eastAsia="宋体"/>
                <w:color w:val="auto"/>
                <w:sz w:val="24"/>
                <w:szCs w:val="24"/>
                <w:highlight w:val="none"/>
                <w:vertAlign w:val="subscript"/>
              </w:rPr>
              <w:t>2</w:t>
            </w:r>
            <w:r>
              <w:rPr>
                <w:rFonts w:ascii="Times New Roman" w:hAnsi="Times New Roman" w:eastAsia="宋体"/>
                <w:color w:val="auto"/>
                <w:sz w:val="24"/>
                <w:szCs w:val="24"/>
                <w:highlight w:val="none"/>
              </w:rPr>
              <w:t>)，从而达到脱除大部分氨氮的目的。</w:t>
            </w:r>
          </w:p>
          <w:p w14:paraId="0FECA1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缺氧池采用穿孔曝气将污泥与进水充分搅拌混合，控制溶解氧在</w:t>
            </w:r>
            <w:r>
              <w:rPr>
                <w:rFonts w:ascii="Times New Roman" w:hAnsi="Times New Roman" w:eastAsia="宋体"/>
                <w:color w:val="auto"/>
                <w:sz w:val="24"/>
                <w:szCs w:val="24"/>
                <w:highlight w:val="none"/>
              </w:rPr>
              <w:t>0.5mg/L以下，兼性反硝化菌利用污水中的有机碳源作为氢供给体，将来自好氧池混合液中的硝酸盐和亚硝酸盐还原成氮气，同时有机物得到降解。</w:t>
            </w:r>
          </w:p>
          <w:p w14:paraId="0879FF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好氧池出水进入二沉池进行固液分离，分离后出水进入消毒池，经投加氯片进行消毒后达标排放。</w:t>
            </w:r>
          </w:p>
          <w:p w14:paraId="6CCB7C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二沉池污泥除一部分回流到缺氧池外，剩余部分作为剩余污泥进入污泥池进行浓缩，浓缩后污泥定期清理返回厂区回用。</w:t>
            </w:r>
          </w:p>
          <w:p w14:paraId="74C8E2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本工艺在好氧生化中采用生物接触氧化法，处理效果好、运行稳定，操作管理方便等优点的同时，处理系统中的污泥经污泥回流泵进入缺氧池，用于脱氮，因此该工艺具有处理效果好、运行稳定，全自动控制，操作管理方便等特点，又具有抗冲击负荷强、产泥量少及脱氮效果显著等优点。</w:t>
            </w:r>
          </w:p>
          <w:p w14:paraId="7EDD48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b、工艺特点：</w:t>
            </w:r>
          </w:p>
          <w:p w14:paraId="248127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s="微软雅黑"/>
                <w:color w:val="auto"/>
                <w:sz w:val="24"/>
                <w:szCs w:val="24"/>
                <w:highlight w:val="none"/>
              </w:rPr>
              <w:t>✬</w:t>
            </w:r>
            <w:r>
              <w:rPr>
                <w:rFonts w:ascii="Times New Roman" w:hAnsi="Times New Roman" w:eastAsia="宋体"/>
                <w:color w:val="auto"/>
                <w:sz w:val="24"/>
                <w:szCs w:val="24"/>
                <w:highlight w:val="none"/>
              </w:rPr>
              <w:t>采用缺氧/好氧生化处理工艺，不仅对COD、BOD有较高的去除率，而且有很好的脱氮除磷效果。</w:t>
            </w:r>
          </w:p>
          <w:p w14:paraId="4CE829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s="微软雅黑"/>
                <w:color w:val="auto"/>
                <w:sz w:val="24"/>
                <w:szCs w:val="24"/>
                <w:highlight w:val="none"/>
              </w:rPr>
              <w:t>✬</w:t>
            </w:r>
            <w:r>
              <w:rPr>
                <w:rFonts w:hint="eastAsia" w:ascii="Times New Roman" w:hAnsi="Times New Roman" w:eastAsia="宋体"/>
                <w:color w:val="auto"/>
                <w:sz w:val="24"/>
                <w:szCs w:val="24"/>
                <w:highlight w:val="none"/>
              </w:rPr>
              <w:t>设计采用先进的体积小、风量大、噪声低、耗能省的回转式鼓风机，噪声达到区域环境噪声标准。</w:t>
            </w:r>
          </w:p>
          <w:p w14:paraId="2362FC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s="微软雅黑"/>
                <w:color w:val="auto"/>
                <w:sz w:val="24"/>
                <w:szCs w:val="24"/>
                <w:highlight w:val="none"/>
              </w:rPr>
              <w:t>✬</w:t>
            </w:r>
            <w:r>
              <w:rPr>
                <w:rFonts w:hint="eastAsia" w:ascii="Times New Roman" w:hAnsi="Times New Roman" w:eastAsia="宋体"/>
                <w:color w:val="auto"/>
                <w:sz w:val="24"/>
                <w:szCs w:val="24"/>
                <w:highlight w:val="none"/>
              </w:rPr>
              <w:t>通过对沉淀池的表面负荷、有效水深、污泥斗倾角等设计参数的合理选择，从而提高了固液分离效率。</w:t>
            </w:r>
          </w:p>
          <w:p w14:paraId="2BF9FB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szCs w:val="24"/>
                <w:highlight w:val="none"/>
              </w:rPr>
            </w:pPr>
            <w:r>
              <w:rPr>
                <w:rFonts w:hint="eastAsia" w:ascii="Times New Roman" w:hAnsi="Times New Roman" w:eastAsia="宋体" w:cs="微软雅黑"/>
                <w:color w:val="auto"/>
                <w:sz w:val="24"/>
                <w:szCs w:val="24"/>
                <w:highlight w:val="none"/>
              </w:rPr>
              <w:t>✬</w:t>
            </w:r>
            <w:r>
              <w:rPr>
                <w:rFonts w:hint="eastAsia" w:ascii="Times New Roman" w:hAnsi="Times New Roman" w:eastAsia="宋体"/>
                <w:color w:val="auto"/>
                <w:sz w:val="24"/>
                <w:szCs w:val="24"/>
                <w:highlight w:val="none"/>
              </w:rPr>
              <w:t>自动化程度高，操作简单，管理维护方便。</w:t>
            </w:r>
          </w:p>
          <w:p w14:paraId="48B5F3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一体化污水处理设施的工艺流程图如下图</w:t>
            </w:r>
          </w:p>
          <w:p w14:paraId="2F7B2803">
            <w:pPr>
              <w:adjustRightInd w:val="0"/>
              <w:snapToGrid w:val="0"/>
              <w:ind w:firstLine="0" w:firstLineChars="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object>
                <v:shape id="_x0000_i1031" o:spt="75" type="#_x0000_t75" style="height:388.1pt;width:297.1pt;" o:ole="t" filled="f" o:preferrelative="t" stroked="f" coordsize="21600,21600">
                  <v:path/>
                  <v:fill on="f" focussize="0,0"/>
                  <v:stroke on="f"/>
                  <v:imagedata r:id="rId21" o:title=""/>
                  <o:lock v:ext="edit" aspectratio="t"/>
                  <w10:wrap type="none"/>
                  <w10:anchorlock/>
                </v:shape>
                <o:OLEObject Type="Embed" ProgID="Visio.Drawing.15" ShapeID="_x0000_i1031" DrawAspect="Content" ObjectID="_1468075731" r:id="rId20">
                  <o:LockedField>false</o:LockedField>
                </o:OLEObject>
              </w:object>
            </w:r>
          </w:p>
          <w:p w14:paraId="688FAFB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bCs/>
                <w:color w:val="auto"/>
                <w:spacing w:val="6"/>
                <w:kern w:val="0"/>
                <w:sz w:val="24"/>
                <w:highlight w:val="none"/>
                <w:lang w:eastAsia="zh-CN" w:bidi="ar"/>
              </w:rPr>
            </w:pPr>
            <w:r>
              <w:rPr>
                <w:rFonts w:hint="eastAsia" w:ascii="Times New Roman" w:hAnsi="Times New Roman" w:eastAsia="宋体" w:cs="宋体"/>
                <w:b/>
                <w:bCs/>
                <w:color w:val="auto"/>
                <w:spacing w:val="6"/>
                <w:kern w:val="0"/>
                <w:sz w:val="24"/>
                <w:highlight w:val="none"/>
                <w:lang w:eastAsia="zh-CN" w:bidi="ar"/>
              </w:rPr>
              <w:t>图</w:t>
            </w:r>
            <w:r>
              <w:rPr>
                <w:rFonts w:hint="eastAsia" w:ascii="Times New Roman" w:hAnsi="Times New Roman" w:eastAsia="宋体" w:cs="宋体"/>
                <w:b/>
                <w:bCs/>
                <w:color w:val="auto"/>
                <w:spacing w:val="6"/>
                <w:kern w:val="0"/>
                <w:sz w:val="24"/>
                <w:highlight w:val="none"/>
                <w:lang w:val="en-US" w:eastAsia="zh-CN" w:bidi="ar"/>
              </w:rPr>
              <w:t>4.2.2-1</w:t>
            </w:r>
            <w:r>
              <w:rPr>
                <w:rFonts w:hint="eastAsia" w:ascii="Times New Roman" w:hAnsi="Times New Roman" w:eastAsia="宋体" w:cs="宋体"/>
                <w:b/>
                <w:bCs/>
                <w:color w:val="auto"/>
                <w:spacing w:val="6"/>
                <w:kern w:val="0"/>
                <w:sz w:val="24"/>
                <w:highlight w:val="none"/>
                <w:lang w:eastAsia="zh-CN" w:bidi="ar"/>
              </w:rPr>
              <w:t>一体化污水处理设施工艺流程图</w:t>
            </w:r>
          </w:p>
          <w:p w14:paraId="664D2F90">
            <w:pPr>
              <w:pStyle w:val="70"/>
              <w:ind w:firstLine="480"/>
              <w:rPr>
                <w:rFonts w:ascii="Times New Roman" w:hAnsi="Times New Roman" w:eastAsia="宋体"/>
                <w:color w:val="auto"/>
                <w:highlight w:val="none"/>
              </w:rPr>
            </w:pPr>
            <w:r>
              <w:rPr>
                <w:rFonts w:hint="eastAsia" w:ascii="Times New Roman" w:hAnsi="Times New Roman" w:eastAsia="宋体"/>
                <w:color w:val="auto"/>
                <w:highlight w:val="none"/>
              </w:rPr>
              <w:t>根据</w:t>
            </w:r>
            <w:r>
              <w:rPr>
                <w:rFonts w:ascii="Times New Roman" w:hAnsi="Times New Roman" w:eastAsia="宋体"/>
                <w:color w:val="auto"/>
                <w:kern w:val="0"/>
                <w:sz w:val="24"/>
                <w:highlight w:val="none"/>
              </w:rPr>
              <w:t>《排污许可申请与核发技术规范钢铁工业》（HJ846-2017）</w:t>
            </w:r>
            <w:r>
              <w:rPr>
                <w:rFonts w:hint="eastAsia" w:ascii="Times New Roman" w:hAnsi="Times New Roman" w:eastAsia="宋体"/>
                <w:color w:val="auto"/>
                <w:highlight w:val="none"/>
              </w:rPr>
              <w:t>，</w:t>
            </w:r>
            <w:r>
              <w:rPr>
                <w:rFonts w:hint="eastAsia" w:ascii="Times New Roman" w:hAnsi="Times New Roman" w:eastAsia="宋体"/>
                <w:color w:val="auto"/>
                <w:highlight w:val="none"/>
                <w:lang w:eastAsia="zh-CN"/>
              </w:rPr>
              <w:t>表</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废水治理推荐措施见下表。</w:t>
            </w:r>
          </w:p>
          <w:p w14:paraId="259D02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bCs/>
                <w:color w:val="auto"/>
                <w:spacing w:val="6"/>
                <w:kern w:val="0"/>
                <w:sz w:val="24"/>
                <w:highlight w:val="none"/>
                <w:lang w:eastAsia="zh-CN" w:bidi="ar"/>
              </w:rPr>
            </w:pPr>
            <w:r>
              <w:rPr>
                <w:rFonts w:hint="eastAsia" w:ascii="Times New Roman" w:hAnsi="Times New Roman" w:eastAsia="宋体" w:cs="宋体"/>
                <w:b/>
                <w:bCs/>
                <w:color w:val="auto"/>
                <w:spacing w:val="6"/>
                <w:kern w:val="0"/>
                <w:sz w:val="24"/>
                <w:highlight w:val="none"/>
                <w:lang w:eastAsia="zh-CN" w:bidi="ar"/>
              </w:rPr>
              <w:t>表4.2.2-</w:t>
            </w:r>
            <w:r>
              <w:rPr>
                <w:rFonts w:hint="eastAsia" w:ascii="Times New Roman" w:hAnsi="Times New Roman" w:cs="宋体"/>
                <w:b/>
                <w:bCs/>
                <w:color w:val="auto"/>
                <w:spacing w:val="6"/>
                <w:kern w:val="0"/>
                <w:sz w:val="24"/>
                <w:highlight w:val="none"/>
                <w:lang w:val="en-US" w:eastAsia="zh-CN" w:bidi="ar"/>
              </w:rPr>
              <w:t xml:space="preserve">3 </w:t>
            </w:r>
            <w:r>
              <w:rPr>
                <w:rFonts w:hint="eastAsia" w:ascii="Times New Roman" w:hAnsi="Times New Roman" w:eastAsia="宋体" w:cs="宋体"/>
                <w:b/>
                <w:bCs/>
                <w:color w:val="auto"/>
                <w:spacing w:val="6"/>
                <w:kern w:val="0"/>
                <w:sz w:val="24"/>
                <w:highlight w:val="none"/>
                <w:lang w:eastAsia="zh-CN" w:bidi="ar"/>
              </w:rPr>
              <w:t>钢铁工业排污单位废水污染防治可行技术参考表</w:t>
            </w:r>
          </w:p>
          <w:tbl>
            <w:tblPr>
              <w:tblStyle w:val="37"/>
              <w:tblW w:w="8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2865"/>
              <w:gridCol w:w="3926"/>
            </w:tblGrid>
            <w:tr w14:paraId="0CD5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dxa"/>
                  <w:shd w:val="clear" w:color="auto" w:fill="D8D8D8" w:themeFill="background1" w:themeFillShade="D9"/>
                  <w:vAlign w:val="center"/>
                </w:tcPr>
                <w:p w14:paraId="373E89A5">
                  <w:pPr>
                    <w:widowControl/>
                    <w:adjustRightInd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废水类别</w:t>
                  </w:r>
                </w:p>
              </w:tc>
              <w:tc>
                <w:tcPr>
                  <w:tcW w:w="2865" w:type="dxa"/>
                  <w:shd w:val="clear" w:color="auto" w:fill="D8D8D8" w:themeFill="background1" w:themeFillShade="D9"/>
                  <w:vAlign w:val="center"/>
                </w:tcPr>
                <w:p w14:paraId="343DA0F9">
                  <w:pPr>
                    <w:widowControl/>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许可排放浓度的污染控制项目</w:t>
                  </w:r>
                </w:p>
              </w:tc>
              <w:tc>
                <w:tcPr>
                  <w:tcW w:w="3926" w:type="dxa"/>
                  <w:shd w:val="clear" w:color="auto" w:fill="D8D8D8" w:themeFill="background1" w:themeFillShade="D9"/>
                  <w:vAlign w:val="center"/>
                </w:tcPr>
                <w:p w14:paraId="4978D119">
                  <w:pPr>
                    <w:widowControl/>
                    <w:adjustRightInd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可行技术(参考)</w:t>
                  </w:r>
                </w:p>
              </w:tc>
            </w:tr>
            <w:tr w14:paraId="696C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53" w:type="dxa"/>
                  <w:vAlign w:val="center"/>
                </w:tcPr>
                <w:p w14:paraId="17C83E7A">
                  <w:pPr>
                    <w:adjustRightInd w:val="0"/>
                    <w:snapToGrid w:val="0"/>
                    <w:jc w:val="center"/>
                    <w:rPr>
                      <w:rFonts w:hint="default"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Cs w:val="21"/>
                      <w:highlight w:val="none"/>
                      <w:lang w:val="en-US" w:eastAsia="zh-CN"/>
                    </w:rPr>
                    <w:t>生活污水</w:t>
                  </w:r>
                </w:p>
              </w:tc>
              <w:tc>
                <w:tcPr>
                  <w:tcW w:w="2865" w:type="dxa"/>
                  <w:vAlign w:val="center"/>
                </w:tcPr>
                <w:p w14:paraId="1D8263DF">
                  <w:pPr>
                    <w:adjustRightInd w:val="0"/>
                    <w:snapToGrid w:val="0"/>
                    <w:jc w:val="lef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pH、COD、BOD5、悬浮物、氨氮、动植物油、总氮、总磷</w:t>
                  </w:r>
                </w:p>
              </w:tc>
              <w:tc>
                <w:tcPr>
                  <w:tcW w:w="3926" w:type="dxa"/>
                  <w:vAlign w:val="center"/>
                </w:tcPr>
                <w:p w14:paraId="6D2CE4CA">
                  <w:pPr>
                    <w:widowControl/>
                    <w:adjustRightInd w:val="0"/>
                    <w:snapToGrid w:val="0"/>
                    <w:jc w:val="lef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絮凝沉淀、普通活性污泥法、A/O法、氧化沟法、SBR法、MBR法设施、其他</w:t>
                  </w:r>
                </w:p>
              </w:tc>
            </w:tr>
          </w:tbl>
          <w:p w14:paraId="02589C89">
            <w:pPr>
              <w:pStyle w:val="70"/>
              <w:keepNext w:val="0"/>
              <w:keepLines w:val="0"/>
              <w:pageBreakBefore w:val="0"/>
              <w:widowControl w:val="0"/>
              <w:kinsoku/>
              <w:wordWrap/>
              <w:overflowPunct/>
              <w:topLinePunct w:val="0"/>
              <w:autoSpaceDE/>
              <w:autoSpaceDN/>
              <w:bidi w:val="0"/>
              <w:adjustRightInd w:val="0"/>
              <w:snapToGrid w:val="0"/>
              <w:spacing w:before="160" w:beforeLines="50"/>
              <w:ind w:firstLine="488"/>
              <w:textAlignment w:val="auto"/>
              <w:rPr>
                <w:rFonts w:ascii="Times New Roman" w:hAnsi="Times New Roman" w:eastAsia="宋体"/>
                <w:color w:val="auto"/>
                <w:sz w:val="24"/>
                <w:highlight w:val="none"/>
              </w:rPr>
            </w:pPr>
            <w:r>
              <w:rPr>
                <w:rFonts w:hint="eastAsia" w:ascii="Times New Roman" w:hAnsi="Times New Roman" w:eastAsia="宋体"/>
                <w:color w:val="auto"/>
                <w:highlight w:val="none"/>
              </w:rPr>
              <w:t>对比</w:t>
            </w:r>
            <w:r>
              <w:rPr>
                <w:rFonts w:ascii="Times New Roman" w:hAnsi="Times New Roman" w:eastAsia="宋体"/>
                <w:color w:val="auto"/>
                <w:kern w:val="0"/>
                <w:sz w:val="24"/>
                <w:highlight w:val="none"/>
              </w:rPr>
              <w:t>《排污许可申请与核发技术规范钢铁工业》（HJ846-2017）</w:t>
            </w:r>
            <w:r>
              <w:rPr>
                <w:rFonts w:hint="eastAsia" w:ascii="Times New Roman" w:hAnsi="Times New Roman" w:eastAsia="宋体"/>
                <w:color w:val="auto"/>
                <w:highlight w:val="none"/>
              </w:rPr>
              <w:t>推荐的废水处理工艺，本项目废水处理站采用的</w:t>
            </w:r>
            <w:r>
              <w:rPr>
                <w:rFonts w:ascii="Times New Roman" w:hAnsi="Times New Roman" w:eastAsia="宋体"/>
                <w:color w:val="auto"/>
                <w:sz w:val="24"/>
                <w:szCs w:val="24"/>
                <w:highlight w:val="none"/>
              </w:rPr>
              <w:t>A</w:t>
            </w:r>
            <w:r>
              <w:rPr>
                <w:rFonts w:hint="eastAsia" w:ascii="Times New Roman" w:hAnsi="Times New Roman" w:eastAsia="宋体"/>
                <w:color w:val="auto"/>
                <w:sz w:val="24"/>
                <w:szCs w:val="24"/>
                <w:highlight w:val="none"/>
                <w:vertAlign w:val="superscript"/>
                <w:lang w:val="en-US" w:eastAsia="zh-CN"/>
              </w:rPr>
              <w:t>2</w:t>
            </w:r>
            <w:r>
              <w:rPr>
                <w:rFonts w:ascii="Times New Roman" w:hAnsi="Times New Roman" w:eastAsia="宋体"/>
                <w:color w:val="auto"/>
                <w:sz w:val="24"/>
                <w:szCs w:val="24"/>
                <w:highlight w:val="none"/>
              </w:rPr>
              <w:t>/O工艺</w:t>
            </w:r>
            <w:r>
              <w:rPr>
                <w:rFonts w:hint="eastAsia" w:ascii="Times New Roman" w:hAnsi="Times New Roman" w:eastAsia="宋体"/>
                <w:color w:val="auto"/>
                <w:highlight w:val="none"/>
              </w:rPr>
              <w:t>为技术规范推荐的处理工艺，处理工艺成熟可靠，处理效率高，出水水质可达</w:t>
            </w:r>
            <w:r>
              <w:rPr>
                <w:rFonts w:hint="eastAsia" w:ascii="Times New Roman" w:hAnsi="Times New Roman" w:eastAsia="宋体" w:cs="宋体"/>
                <w:color w:val="auto"/>
                <w:sz w:val="24"/>
                <w:highlight w:val="none"/>
                <w:lang w:val="en-US" w:eastAsia="zh-CN"/>
              </w:rPr>
              <w:t>《城市污水再生利用城市杂用水水质》（GB/T18920-2020）中的城市绿化标准，非雨天回用于厂区绿化</w:t>
            </w:r>
            <w:r>
              <w:rPr>
                <w:rFonts w:hint="eastAsia" w:ascii="Times New Roman" w:hAnsi="Times New Roman" w:eastAsia="宋体"/>
                <w:bCs/>
                <w:color w:val="auto"/>
                <w:kern w:val="0"/>
                <w:sz w:val="24"/>
                <w:szCs w:val="24"/>
                <w:highlight w:val="none"/>
              </w:rPr>
              <w:t>，废水不外排</w:t>
            </w:r>
            <w:r>
              <w:rPr>
                <w:rFonts w:hint="eastAsia" w:ascii="Times New Roman" w:hAnsi="Times New Roman" w:eastAsia="宋体"/>
                <w:color w:val="auto"/>
                <w:highlight w:val="none"/>
              </w:rPr>
              <w:t>。</w:t>
            </w:r>
          </w:p>
          <w:p w14:paraId="7B94A20F">
            <w:pPr>
              <w:pStyle w:val="70"/>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sz w:val="24"/>
                <w:highlight w:val="none"/>
                <w:lang w:val="en-US" w:eastAsia="zh-CN"/>
              </w:rPr>
              <w:t>项目</w:t>
            </w:r>
            <w:r>
              <w:rPr>
                <w:rFonts w:hint="eastAsia" w:ascii="Times New Roman" w:hAnsi="Times New Roman"/>
                <w:color w:val="auto"/>
                <w:sz w:val="24"/>
                <w:highlight w:val="none"/>
                <w:lang w:val="en-US" w:eastAsia="zh-CN"/>
              </w:rPr>
              <w:t>绿化用水量</w:t>
            </w:r>
            <w:r>
              <w:rPr>
                <w:rFonts w:hint="eastAsia" w:ascii="Times New Roman" w:hAnsi="Times New Roman" w:eastAsia="宋体"/>
                <w:color w:val="auto"/>
                <w:sz w:val="24"/>
                <w:highlight w:val="none"/>
                <w:lang w:val="en-US" w:eastAsia="zh-CN"/>
              </w:rPr>
              <w:t>为</w:t>
            </w:r>
            <w:r>
              <w:rPr>
                <w:rFonts w:hint="eastAsia" w:ascii="Times New Roman" w:hAnsi="Times New Roman"/>
                <w:color w:val="auto"/>
                <w:sz w:val="24"/>
                <w:highlight w:val="none"/>
                <w:lang w:val="en-US" w:eastAsia="zh-CN"/>
              </w:rPr>
              <w:t>4.7</w:t>
            </w:r>
            <w:r>
              <w:rPr>
                <w:rFonts w:hint="eastAsia" w:ascii="Times New Roman" w:hAnsi="Times New Roman" w:eastAsia="宋体"/>
                <w:color w:val="auto"/>
                <w:sz w:val="24"/>
                <w:highlight w:val="none"/>
                <w:lang w:val="en-US" w:eastAsia="zh-CN"/>
              </w:rPr>
              <w:t>m</w:t>
            </w:r>
            <w:r>
              <w:rPr>
                <w:rFonts w:hint="eastAsia" w:ascii="Times New Roman" w:hAnsi="Times New Roman" w:eastAsia="宋体"/>
                <w:color w:val="auto"/>
                <w:sz w:val="24"/>
                <w:highlight w:val="none"/>
                <w:vertAlign w:val="superscript"/>
                <w:lang w:val="en-US" w:eastAsia="zh-CN"/>
              </w:rPr>
              <w:t>3</w:t>
            </w:r>
            <w:r>
              <w:rPr>
                <w:rFonts w:hint="eastAsia" w:ascii="Times New Roman" w:hAnsi="Times New Roman" w:eastAsia="宋体"/>
                <w:color w:val="auto"/>
                <w:sz w:val="24"/>
                <w:highlight w:val="none"/>
                <w:vertAlign w:val="baseline"/>
                <w:lang w:val="en-US" w:eastAsia="zh-CN"/>
              </w:rPr>
              <w:t>，项目处理达标的中水量为</w:t>
            </w:r>
            <w:r>
              <w:rPr>
                <w:rFonts w:hint="eastAsia" w:ascii="Times New Roman" w:hAnsi="Times New Roman"/>
                <w:color w:val="auto"/>
                <w:sz w:val="24"/>
                <w:highlight w:val="none"/>
                <w:vertAlign w:val="baseline"/>
                <w:lang w:val="en-US" w:eastAsia="zh-CN"/>
              </w:rPr>
              <w:t>2.8</w:t>
            </w:r>
            <w:r>
              <w:rPr>
                <w:rFonts w:hint="eastAsia" w:ascii="Times New Roman" w:hAnsi="Times New Roman" w:eastAsia="宋体"/>
                <w:color w:val="auto"/>
                <w:sz w:val="24"/>
                <w:highlight w:val="none"/>
                <w:vertAlign w:val="baseline"/>
                <w:lang w:val="en-US" w:eastAsia="zh-CN"/>
              </w:rPr>
              <w:t>m</w:t>
            </w:r>
            <w:r>
              <w:rPr>
                <w:rFonts w:hint="eastAsia" w:ascii="Times New Roman" w:hAnsi="Times New Roman" w:eastAsia="宋体"/>
                <w:color w:val="auto"/>
                <w:sz w:val="24"/>
                <w:highlight w:val="none"/>
                <w:vertAlign w:val="superscript"/>
                <w:lang w:val="en-US" w:eastAsia="zh-CN"/>
              </w:rPr>
              <w:t>3</w:t>
            </w:r>
            <w:r>
              <w:rPr>
                <w:rFonts w:hint="eastAsia" w:ascii="Times New Roman" w:hAnsi="Times New Roman" w:eastAsia="宋体"/>
                <w:color w:val="auto"/>
                <w:sz w:val="24"/>
                <w:highlight w:val="none"/>
                <w:vertAlign w:val="baseline"/>
                <w:lang w:val="en-US" w:eastAsia="zh-CN"/>
              </w:rPr>
              <w:t>/d，故完全可以消纳厂区处理达标的中水，</w:t>
            </w:r>
            <w:r>
              <w:rPr>
                <w:rFonts w:ascii="Times New Roman" w:hAnsi="Times New Roman" w:eastAsia="宋体"/>
                <w:color w:val="auto"/>
                <w:highlight w:val="none"/>
              </w:rPr>
              <w:t>既避免项目</w:t>
            </w:r>
            <w:r>
              <w:rPr>
                <w:rFonts w:hint="eastAsia" w:ascii="Times New Roman" w:hAnsi="Times New Roman" w:eastAsia="宋体"/>
                <w:color w:val="auto"/>
                <w:highlight w:val="none"/>
              </w:rPr>
              <w:t>中水</w:t>
            </w:r>
            <w:r>
              <w:rPr>
                <w:rFonts w:ascii="Times New Roman" w:hAnsi="Times New Roman" w:eastAsia="宋体"/>
                <w:color w:val="auto"/>
                <w:highlight w:val="none"/>
              </w:rPr>
              <w:t>对周边</w:t>
            </w:r>
            <w:r>
              <w:rPr>
                <w:rFonts w:hint="eastAsia" w:ascii="Times New Roman" w:hAnsi="Times New Roman" w:eastAsia="宋体"/>
                <w:color w:val="auto"/>
                <w:highlight w:val="none"/>
              </w:rPr>
              <w:t>水环境</w:t>
            </w:r>
            <w:r>
              <w:rPr>
                <w:rFonts w:ascii="Times New Roman" w:hAnsi="Times New Roman" w:eastAsia="宋体"/>
                <w:color w:val="auto"/>
                <w:highlight w:val="none"/>
              </w:rPr>
              <w:t>的影响，而且</w:t>
            </w:r>
            <w:r>
              <w:rPr>
                <w:rFonts w:hint="eastAsia" w:ascii="Times New Roman" w:hAnsi="Times New Roman" w:eastAsia="宋体"/>
                <w:color w:val="auto"/>
                <w:highlight w:val="none"/>
              </w:rPr>
              <w:t>使</w:t>
            </w:r>
            <w:r>
              <w:rPr>
                <w:rFonts w:ascii="Times New Roman" w:hAnsi="Times New Roman" w:eastAsia="宋体"/>
                <w:color w:val="auto"/>
                <w:highlight w:val="none"/>
              </w:rPr>
              <w:t>项目水资源得到充分利用，</w:t>
            </w:r>
            <w:r>
              <w:rPr>
                <w:rFonts w:hint="eastAsia" w:ascii="Times New Roman" w:hAnsi="Times New Roman" w:eastAsia="宋体"/>
                <w:color w:val="auto"/>
                <w:highlight w:val="none"/>
              </w:rPr>
              <w:t>项目达标中水用于</w:t>
            </w:r>
            <w:r>
              <w:rPr>
                <w:rFonts w:hint="eastAsia" w:ascii="Times New Roman" w:hAnsi="Times New Roman" w:cs="宋体"/>
                <w:color w:val="auto"/>
                <w:sz w:val="24"/>
                <w:highlight w:val="none"/>
                <w:lang w:val="en-US" w:eastAsia="zh-CN"/>
              </w:rPr>
              <w:t>厂区绿化</w:t>
            </w:r>
            <w:r>
              <w:rPr>
                <w:rFonts w:hint="eastAsia" w:ascii="Times New Roman" w:hAnsi="Times New Roman" w:eastAsia="宋体"/>
                <w:color w:val="auto"/>
                <w:highlight w:val="none"/>
              </w:rPr>
              <w:t>可以大大降低</w:t>
            </w:r>
            <w:r>
              <w:rPr>
                <w:rFonts w:hint="eastAsia" w:ascii="Times New Roman" w:hAnsi="Times New Roman" w:eastAsia="宋体"/>
                <w:color w:val="auto"/>
                <w:highlight w:val="none"/>
                <w:lang w:eastAsia="zh-CN"/>
              </w:rPr>
              <w:t>其</w:t>
            </w:r>
            <w:r>
              <w:rPr>
                <w:rFonts w:hint="eastAsia" w:ascii="Times New Roman" w:hAnsi="Times New Roman" w:eastAsia="宋体"/>
                <w:color w:val="auto"/>
                <w:highlight w:val="none"/>
                <w:lang w:val="en-US" w:eastAsia="zh-CN"/>
              </w:rPr>
              <w:t>用水</w:t>
            </w:r>
            <w:r>
              <w:rPr>
                <w:rFonts w:hint="eastAsia" w:ascii="Times New Roman" w:hAnsi="Times New Roman" w:eastAsia="宋体"/>
                <w:color w:val="auto"/>
                <w:highlight w:val="none"/>
              </w:rPr>
              <w:t>成本</w:t>
            </w:r>
            <w:r>
              <w:rPr>
                <w:rFonts w:ascii="Times New Roman" w:hAnsi="Times New Roman" w:eastAsia="宋体"/>
                <w:color w:val="auto"/>
                <w:highlight w:val="none"/>
              </w:rPr>
              <w:t>。综上</w:t>
            </w:r>
            <w:r>
              <w:rPr>
                <w:rFonts w:hint="eastAsia" w:ascii="Times New Roman" w:hAnsi="Times New Roman" w:eastAsia="宋体"/>
                <w:color w:val="auto"/>
                <w:highlight w:val="none"/>
              </w:rPr>
              <w:t>所述</w:t>
            </w:r>
            <w:r>
              <w:rPr>
                <w:rFonts w:ascii="Times New Roman" w:hAnsi="Times New Roman" w:eastAsia="宋体"/>
                <w:color w:val="auto"/>
                <w:highlight w:val="none"/>
              </w:rPr>
              <w:t>，项目</w:t>
            </w:r>
            <w:r>
              <w:rPr>
                <w:rFonts w:hint="eastAsia" w:ascii="Times New Roman" w:hAnsi="Times New Roman" w:eastAsia="宋体"/>
                <w:color w:val="auto"/>
                <w:highlight w:val="none"/>
              </w:rPr>
              <w:t>处理达标中水</w:t>
            </w:r>
            <w:r>
              <w:rPr>
                <w:rFonts w:ascii="Times New Roman" w:hAnsi="Times New Roman" w:eastAsia="宋体"/>
                <w:color w:val="auto"/>
                <w:highlight w:val="none"/>
              </w:rPr>
              <w:t>回用于</w:t>
            </w:r>
            <w:r>
              <w:rPr>
                <w:rFonts w:hint="eastAsia" w:ascii="Times New Roman" w:hAnsi="Times New Roman"/>
                <w:color w:val="auto"/>
                <w:highlight w:val="none"/>
                <w:lang w:val="en-US" w:eastAsia="zh-CN"/>
              </w:rPr>
              <w:t>厂区绿化带浇灌</w:t>
            </w:r>
            <w:r>
              <w:rPr>
                <w:rFonts w:hint="eastAsia" w:ascii="Times New Roman" w:hAnsi="Times New Roman" w:eastAsia="宋体"/>
                <w:color w:val="auto"/>
                <w:highlight w:val="none"/>
              </w:rPr>
              <w:t>，其方案合理</w:t>
            </w:r>
            <w:r>
              <w:rPr>
                <w:rFonts w:ascii="Times New Roman" w:hAnsi="Times New Roman" w:eastAsia="宋体"/>
                <w:color w:val="auto"/>
                <w:highlight w:val="none"/>
              </w:rPr>
              <w:t>可行</w:t>
            </w:r>
            <w:r>
              <w:rPr>
                <w:rFonts w:hint="eastAsia" w:ascii="Times New Roman" w:hAnsi="Times New Roman" w:eastAsia="宋体"/>
                <w:color w:val="auto"/>
                <w:highlight w:val="none"/>
              </w:rPr>
              <w:t>。</w:t>
            </w:r>
          </w:p>
          <w:p w14:paraId="720DBD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为了保证污水达标排放，不产生污染事故，环评要求建设采取如下措施：</w:t>
            </w:r>
          </w:p>
          <w:p w14:paraId="7BE9EA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c</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事故池1个（3m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lang w:val="en-US" w:eastAsia="zh-CN"/>
              </w:rPr>
              <w:t>）</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位于污水处理站旁</w:t>
            </w:r>
            <w:r>
              <w:rPr>
                <w:rFonts w:ascii="Times New Roman" w:hAnsi="Times New Roman"/>
                <w:color w:val="auto"/>
                <w:sz w:val="24"/>
                <w:szCs w:val="24"/>
                <w:highlight w:val="none"/>
              </w:rPr>
              <w:t>，用于暂时储存因设备故障不能处理的污水，防止其污水乱流</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事故池正常情况下保持空置状态</w:t>
            </w:r>
            <w:r>
              <w:rPr>
                <w:rFonts w:ascii="Times New Roman" w:hAnsi="Times New Roman"/>
                <w:color w:val="auto"/>
                <w:sz w:val="24"/>
                <w:szCs w:val="24"/>
                <w:highlight w:val="none"/>
              </w:rPr>
              <w:t>。</w:t>
            </w:r>
          </w:p>
          <w:p w14:paraId="11F46F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d</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修建一个容积约</w:t>
            </w:r>
            <w:r>
              <w:rPr>
                <w:rFonts w:hint="eastAsia" w:ascii="Times New Roman" w:hAnsi="Times New Roman"/>
                <w:color w:val="auto"/>
                <w:sz w:val="24"/>
                <w:szCs w:val="24"/>
                <w:highlight w:val="none"/>
                <w:lang w:val="en-US" w:eastAsia="zh-CN"/>
              </w:rPr>
              <w:t>20</w:t>
            </w:r>
            <w:r>
              <w:rPr>
                <w:rFonts w:ascii="Times New Roman" w:hAnsi="Times New Roman"/>
                <w:color w:val="auto"/>
                <w:sz w:val="24"/>
                <w:szCs w:val="24"/>
                <w:highlight w:val="none"/>
              </w:rPr>
              <w:t>m</w:t>
            </w:r>
            <w:r>
              <w:rPr>
                <w:rFonts w:ascii="Times New Roman" w:hAnsi="Times New Roman"/>
                <w:color w:val="auto"/>
                <w:sz w:val="24"/>
                <w:szCs w:val="24"/>
                <w:highlight w:val="none"/>
                <w:vertAlign w:val="superscript"/>
              </w:rPr>
              <w:t>3</w:t>
            </w:r>
            <w:r>
              <w:rPr>
                <w:rFonts w:ascii="Times New Roman" w:hAnsi="Times New Roman"/>
                <w:color w:val="auto"/>
                <w:sz w:val="24"/>
                <w:szCs w:val="24"/>
                <w:highlight w:val="none"/>
              </w:rPr>
              <w:t>的</w:t>
            </w:r>
            <w:r>
              <w:rPr>
                <w:rFonts w:hint="eastAsia" w:ascii="Times New Roman" w:hAnsi="Times New Roman"/>
                <w:color w:val="auto"/>
                <w:sz w:val="24"/>
                <w:szCs w:val="24"/>
                <w:highlight w:val="none"/>
              </w:rPr>
              <w:t>中水池</w:t>
            </w:r>
            <w:r>
              <w:rPr>
                <w:rFonts w:ascii="Times New Roman" w:hAnsi="Times New Roman"/>
                <w:color w:val="auto"/>
                <w:sz w:val="24"/>
                <w:szCs w:val="24"/>
                <w:highlight w:val="none"/>
              </w:rPr>
              <w:t>，建于</w:t>
            </w:r>
            <w:r>
              <w:rPr>
                <w:rFonts w:hint="eastAsia"/>
                <w:color w:val="auto"/>
                <w:sz w:val="24"/>
                <w:szCs w:val="24"/>
                <w:highlight w:val="none"/>
                <w:lang w:val="en-US" w:eastAsia="zh-CN"/>
              </w:rPr>
              <w:t>3#初期雨水池旁</w:t>
            </w:r>
            <w:r>
              <w:rPr>
                <w:rFonts w:ascii="Times New Roman" w:hAnsi="Times New Roman"/>
                <w:color w:val="auto"/>
                <w:sz w:val="24"/>
                <w:szCs w:val="24"/>
                <w:highlight w:val="none"/>
              </w:rPr>
              <w:t>，用于暂时</w:t>
            </w:r>
            <w:r>
              <w:rPr>
                <w:rFonts w:hint="eastAsia" w:ascii="Times New Roman" w:hAnsi="Times New Roman"/>
                <w:color w:val="auto"/>
                <w:sz w:val="24"/>
                <w:szCs w:val="24"/>
                <w:highlight w:val="none"/>
              </w:rPr>
              <w:t>储存雨天情况下不能回用于</w:t>
            </w:r>
            <w:r>
              <w:rPr>
                <w:rFonts w:hint="eastAsia" w:ascii="Times New Roman" w:hAnsi="Times New Roman"/>
                <w:color w:val="auto"/>
                <w:sz w:val="24"/>
                <w:szCs w:val="24"/>
                <w:highlight w:val="none"/>
                <w:lang w:val="en-US" w:eastAsia="zh-CN"/>
              </w:rPr>
              <w:t>厂区绿化</w:t>
            </w:r>
            <w:r>
              <w:rPr>
                <w:rFonts w:hint="eastAsia" w:ascii="Times New Roman" w:hAnsi="Times New Roman"/>
                <w:color w:val="auto"/>
                <w:sz w:val="24"/>
                <w:szCs w:val="24"/>
                <w:highlight w:val="none"/>
              </w:rPr>
              <w:t>的中水，</w:t>
            </w:r>
            <w:r>
              <w:rPr>
                <w:rFonts w:hint="eastAsia" w:ascii="Times New Roman" w:hAnsi="Times New Roman"/>
                <w:color w:val="auto"/>
                <w:sz w:val="24"/>
                <w:szCs w:val="24"/>
                <w:highlight w:val="none"/>
                <w:lang w:val="en-US" w:eastAsia="zh-CN"/>
              </w:rPr>
              <w:t>玉溪市红塔区</w:t>
            </w:r>
            <w:r>
              <w:rPr>
                <w:rFonts w:hint="eastAsia" w:ascii="Times New Roman" w:hAnsi="Times New Roman"/>
                <w:color w:val="auto"/>
                <w:sz w:val="24"/>
                <w:szCs w:val="24"/>
                <w:highlight w:val="none"/>
              </w:rPr>
              <w:t>连续降雨的情况不超过</w:t>
            </w:r>
            <w:r>
              <w:rPr>
                <w:rFonts w:hint="eastAsia" w:ascii="Times New Roman" w:hAnsi="Times New Roman"/>
                <w:color w:val="auto"/>
                <w:sz w:val="24"/>
                <w:szCs w:val="24"/>
                <w:highlight w:val="none"/>
                <w:lang w:val="en-US" w:eastAsia="zh-CN"/>
              </w:rPr>
              <w:t>7</w:t>
            </w:r>
            <w:r>
              <w:rPr>
                <w:rFonts w:hint="eastAsia" w:ascii="Times New Roman" w:hAnsi="Times New Roman"/>
                <w:color w:val="auto"/>
                <w:sz w:val="24"/>
                <w:szCs w:val="24"/>
                <w:highlight w:val="none"/>
              </w:rPr>
              <w:t>天</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每天最大2.8m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vertAlign w:val="baseline"/>
                <w:lang w:val="en-US" w:eastAsia="zh-CN"/>
              </w:rPr>
              <w:t>，</w:t>
            </w:r>
            <w:r>
              <w:rPr>
                <w:rFonts w:hint="eastAsia" w:ascii="Times New Roman" w:hAnsi="Times New Roman"/>
                <w:color w:val="auto"/>
                <w:sz w:val="24"/>
                <w:szCs w:val="24"/>
                <w:highlight w:val="none"/>
                <w:lang w:eastAsia="zh-CN"/>
              </w:rPr>
              <w:t>即</w:t>
            </w:r>
            <w:r>
              <w:rPr>
                <w:rFonts w:hint="eastAsia" w:ascii="Times New Roman" w:hAnsi="Times New Roman"/>
                <w:color w:val="auto"/>
                <w:sz w:val="24"/>
                <w:szCs w:val="24"/>
                <w:highlight w:val="none"/>
                <w:lang w:val="en-US" w:eastAsia="zh-CN"/>
              </w:rPr>
              <w:t>19.6m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，故设置</w:t>
            </w:r>
            <w:r>
              <w:rPr>
                <w:rFonts w:hint="eastAsia" w:ascii="Times New Roman" w:hAnsi="Times New Roman"/>
                <w:color w:val="auto"/>
                <w:sz w:val="24"/>
                <w:szCs w:val="24"/>
                <w:highlight w:val="none"/>
                <w:lang w:val="en-US" w:eastAsia="zh-CN"/>
              </w:rPr>
              <w:t>20</w:t>
            </w:r>
            <w:r>
              <w:rPr>
                <w:rFonts w:hint="eastAsia" w:ascii="Times New Roman" w:hAnsi="Times New Roman"/>
                <w:color w:val="auto"/>
                <w:sz w:val="24"/>
                <w:szCs w:val="24"/>
                <w:highlight w:val="none"/>
              </w:rPr>
              <w:t>m</w:t>
            </w:r>
            <w:r>
              <w:rPr>
                <w:rFonts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的中水池可满足连续降雨情况下存储达标中水</w:t>
            </w:r>
            <w:r>
              <w:rPr>
                <w:rFonts w:ascii="Times New Roman" w:hAnsi="Times New Roman"/>
                <w:color w:val="auto"/>
                <w:sz w:val="24"/>
                <w:szCs w:val="24"/>
                <w:highlight w:val="none"/>
              </w:rPr>
              <w:t>，</w:t>
            </w:r>
            <w:r>
              <w:rPr>
                <w:rFonts w:hint="eastAsia"/>
                <w:color w:val="auto"/>
                <w:sz w:val="24"/>
                <w:szCs w:val="24"/>
                <w:highlight w:val="none"/>
                <w:lang w:eastAsia="zh-CN"/>
              </w:rPr>
              <w:t>防止</w:t>
            </w:r>
            <w:r>
              <w:rPr>
                <w:rFonts w:ascii="Times New Roman" w:hAnsi="Times New Roman"/>
                <w:color w:val="auto"/>
                <w:sz w:val="24"/>
                <w:szCs w:val="24"/>
                <w:highlight w:val="none"/>
              </w:rPr>
              <w:t>污水乱流。</w:t>
            </w:r>
            <w:r>
              <w:rPr>
                <w:rFonts w:hint="eastAsia" w:ascii="Times New Roman" w:hAnsi="Times New Roman"/>
                <w:color w:val="auto"/>
                <w:sz w:val="24"/>
                <w:szCs w:val="24"/>
                <w:highlight w:val="none"/>
                <w:lang w:val="en-US" w:eastAsia="zh-CN"/>
              </w:rPr>
              <w:t>为保证其受外界环境影响最小，该中水暂存池需架设顶棚，防止雨淋及日晒。</w:t>
            </w:r>
          </w:p>
          <w:p w14:paraId="331E5E6A">
            <w:pPr>
              <w:pStyle w:val="70"/>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eastAsia="宋体"/>
                <w:color w:val="auto"/>
                <w:highlight w:val="none"/>
              </w:rPr>
            </w:pPr>
            <w:r>
              <w:rPr>
                <w:rFonts w:hint="eastAsia" w:ascii="Times New Roman" w:hAnsi="Times New Roman"/>
                <w:color w:val="auto"/>
                <w:sz w:val="24"/>
                <w:szCs w:val="24"/>
                <w:highlight w:val="none"/>
                <w:lang w:val="en-US" w:eastAsia="zh-CN"/>
              </w:rPr>
              <w:t>e</w:t>
            </w:r>
            <w:r>
              <w:rPr>
                <w:rFonts w:ascii="Times New Roman" w:hAnsi="Times New Roman"/>
                <w:color w:val="auto"/>
                <w:sz w:val="24"/>
                <w:szCs w:val="24"/>
                <w:highlight w:val="none"/>
              </w:rPr>
              <w:t>、污水处理设施定期检查，</w:t>
            </w:r>
            <w:r>
              <w:rPr>
                <w:rFonts w:hint="eastAsia" w:ascii="Times New Roman" w:hAnsi="Times New Roman"/>
                <w:color w:val="auto"/>
                <w:sz w:val="24"/>
                <w:szCs w:val="24"/>
                <w:highlight w:val="none"/>
                <w:lang w:eastAsia="zh-CN"/>
              </w:rPr>
              <w:t>排除</w:t>
            </w:r>
            <w:r>
              <w:rPr>
                <w:rFonts w:ascii="Times New Roman" w:hAnsi="Times New Roman"/>
                <w:color w:val="auto"/>
                <w:sz w:val="24"/>
                <w:szCs w:val="24"/>
                <w:highlight w:val="none"/>
              </w:rPr>
              <w:t>隐患故障，以保证其正常运行。</w:t>
            </w:r>
          </w:p>
          <w:p w14:paraId="0C24EC36">
            <w:pPr>
              <w:pStyle w:val="70"/>
              <w:numPr>
                <w:ilvl w:val="0"/>
                <w:numId w:val="10"/>
              </w:numPr>
              <w:ind w:firstLine="488"/>
              <w:rPr>
                <w:rFonts w:hint="eastAsia" w:ascii="Times New Roman" w:hAnsi="Times New Roman" w:eastAsia="宋体"/>
                <w:b/>
                <w:bCs/>
                <w:color w:val="auto"/>
                <w:sz w:val="24"/>
                <w:highlight w:val="none"/>
                <w:vertAlign w:val="baseline"/>
                <w:lang w:val="en-US" w:eastAsia="zh-CN"/>
              </w:rPr>
            </w:pPr>
            <w:r>
              <w:rPr>
                <w:rFonts w:hint="eastAsia" w:ascii="Times New Roman" w:hAnsi="Times New Roman" w:eastAsia="宋体"/>
                <w:b/>
                <w:bCs/>
                <w:color w:val="auto"/>
                <w:sz w:val="24"/>
                <w:highlight w:val="none"/>
                <w:vertAlign w:val="baseline"/>
                <w:lang w:val="en-US" w:eastAsia="zh-CN"/>
              </w:rPr>
              <w:t>项目初期雨水回用于</w:t>
            </w:r>
            <w:r>
              <w:rPr>
                <w:rFonts w:hint="eastAsia" w:ascii="Times New Roman" w:hAnsi="Times New Roman" w:eastAsia="宋体" w:cs="宋体"/>
                <w:b/>
                <w:bCs/>
                <w:color w:val="auto"/>
                <w:sz w:val="24"/>
                <w:highlight w:val="none"/>
                <w:lang w:val="en-US" w:eastAsia="zh-CN"/>
              </w:rPr>
              <w:t>补充</w:t>
            </w:r>
            <w:r>
              <w:rPr>
                <w:rFonts w:hint="eastAsia" w:ascii="Times New Roman" w:hAnsi="Times New Roman" w:cs="宋体"/>
                <w:b/>
                <w:bCs/>
                <w:color w:val="auto"/>
                <w:sz w:val="24"/>
                <w:highlight w:val="none"/>
                <w:lang w:val="en-US" w:eastAsia="zh-CN"/>
              </w:rPr>
              <w:t>堆料大棚降尘用水</w:t>
            </w:r>
            <w:r>
              <w:rPr>
                <w:rFonts w:hint="eastAsia" w:ascii="Times New Roman" w:hAnsi="Times New Roman" w:eastAsia="宋体" w:cs="宋体"/>
                <w:b/>
                <w:bCs/>
                <w:color w:val="auto"/>
                <w:sz w:val="24"/>
                <w:highlight w:val="none"/>
                <w:lang w:val="en-US" w:eastAsia="zh-CN"/>
              </w:rPr>
              <w:t>的可行性分析</w:t>
            </w:r>
          </w:p>
          <w:p w14:paraId="7CC62851">
            <w:pPr>
              <w:pStyle w:val="7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olor w:val="auto"/>
                <w:sz w:val="24"/>
                <w:highlight w:val="none"/>
                <w:vertAlign w:val="baseline"/>
                <w:lang w:val="en-US" w:eastAsia="zh-CN"/>
              </w:rPr>
            </w:pPr>
            <w:r>
              <w:rPr>
                <w:rFonts w:hint="eastAsia" w:ascii="Times New Roman" w:hAnsi="Times New Roman" w:eastAsia="宋体"/>
                <w:color w:val="auto"/>
                <w:sz w:val="24"/>
                <w:highlight w:val="none"/>
                <w:lang w:val="en-US" w:eastAsia="zh-CN"/>
              </w:rPr>
              <w:t>项目配套建设的初期雨水收集池单次最大收集处理能力达</w:t>
            </w:r>
            <w:r>
              <w:rPr>
                <w:rFonts w:hint="eastAsia" w:ascii="Times New Roman" w:hAnsi="Times New Roman"/>
                <w:color w:val="auto"/>
                <w:sz w:val="24"/>
                <w:highlight w:val="none"/>
                <w:lang w:val="en-US" w:eastAsia="zh-CN"/>
              </w:rPr>
              <w:t>310</w:t>
            </w:r>
            <w:r>
              <w:rPr>
                <w:rFonts w:hint="eastAsia" w:ascii="Times New Roman" w:hAnsi="Times New Roman" w:eastAsia="宋体"/>
                <w:color w:val="auto"/>
                <w:sz w:val="24"/>
                <w:highlight w:val="none"/>
                <w:lang w:val="en-US" w:eastAsia="zh-CN"/>
              </w:rPr>
              <w:t>m</w:t>
            </w:r>
            <w:r>
              <w:rPr>
                <w:rFonts w:hint="eastAsia" w:ascii="Times New Roman" w:hAnsi="Times New Roman" w:eastAsia="宋体"/>
                <w:color w:val="auto"/>
                <w:sz w:val="24"/>
                <w:highlight w:val="none"/>
                <w:vertAlign w:val="superscript"/>
                <w:lang w:val="en-US" w:eastAsia="zh-CN"/>
              </w:rPr>
              <w:t>3</w:t>
            </w:r>
            <w:r>
              <w:rPr>
                <w:rFonts w:hint="eastAsia" w:ascii="Times New Roman" w:hAnsi="Times New Roman" w:eastAsia="宋体"/>
                <w:color w:val="auto"/>
                <w:sz w:val="24"/>
                <w:highlight w:val="none"/>
                <w:lang w:val="en-US" w:eastAsia="zh-CN"/>
              </w:rPr>
              <w:t>，专门用于收纳降雨初期易夹带泥沙、灰尘等污染物的厂区初期雨水（避免直接排放对周边水环境造成影响），收集处理达标后定向补充</w:t>
            </w:r>
            <w:r>
              <w:rPr>
                <w:rFonts w:hint="eastAsia" w:ascii="Times New Roman" w:hAnsi="Times New Roman" w:cs="宋体"/>
                <w:color w:val="auto"/>
                <w:sz w:val="24"/>
                <w:highlight w:val="none"/>
                <w:lang w:val="en-US" w:eastAsia="zh-CN"/>
              </w:rPr>
              <w:t>堆料大棚降尘用水</w:t>
            </w:r>
            <w:r>
              <w:rPr>
                <w:rFonts w:hint="eastAsia" w:ascii="Times New Roman" w:hAnsi="Times New Roman" w:eastAsia="宋体"/>
                <w:color w:val="auto"/>
                <w:sz w:val="24"/>
                <w:highlight w:val="none"/>
                <w:lang w:val="en-US" w:eastAsia="zh-CN"/>
              </w:rPr>
              <w:t>需求，而后期水质相对清洁的雨水则直接接入周边雨水管网规范排放；结合生产实际，项目</w:t>
            </w:r>
            <w:r>
              <w:rPr>
                <w:rFonts w:hint="eastAsia" w:ascii="Times New Roman" w:hAnsi="Times New Roman" w:cs="宋体"/>
                <w:color w:val="auto"/>
                <w:sz w:val="24"/>
                <w:highlight w:val="none"/>
                <w:lang w:val="en-US" w:eastAsia="zh-CN"/>
              </w:rPr>
              <w:t>堆料大棚降尘用水非雨天</w:t>
            </w:r>
            <w:r>
              <w:rPr>
                <w:rFonts w:hint="eastAsia" w:ascii="Times New Roman" w:hAnsi="Times New Roman" w:eastAsia="宋体"/>
                <w:color w:val="auto"/>
                <w:sz w:val="24"/>
                <w:highlight w:val="none"/>
                <w:lang w:val="en-US" w:eastAsia="zh-CN"/>
              </w:rPr>
              <w:t>每日</w:t>
            </w:r>
            <w:r>
              <w:rPr>
                <w:rFonts w:hint="eastAsia" w:ascii="Times New Roman" w:hAnsi="Times New Roman"/>
                <w:color w:val="auto"/>
                <w:sz w:val="24"/>
                <w:highlight w:val="none"/>
                <w:lang w:val="en-US" w:eastAsia="zh-CN"/>
              </w:rPr>
              <w:t>用水</w:t>
            </w:r>
            <w:r>
              <w:rPr>
                <w:rFonts w:hint="eastAsia" w:ascii="Times New Roman" w:hAnsi="Times New Roman" w:eastAsia="宋体"/>
                <w:color w:val="auto"/>
                <w:sz w:val="24"/>
                <w:highlight w:val="none"/>
                <w:lang w:val="en-US" w:eastAsia="zh-CN"/>
              </w:rPr>
              <w:t>量为</w:t>
            </w:r>
            <w:r>
              <w:rPr>
                <w:rFonts w:hint="eastAsia" w:ascii="Times New Roman" w:hAnsi="Times New Roman"/>
                <w:color w:val="auto"/>
                <w:sz w:val="24"/>
                <w:highlight w:val="none"/>
                <w:lang w:val="en-US" w:eastAsia="zh-CN"/>
              </w:rPr>
              <w:t>133.32</w:t>
            </w:r>
            <w:r>
              <w:rPr>
                <w:rFonts w:hint="eastAsia" w:ascii="Times New Roman" w:hAnsi="Times New Roman" w:eastAsia="宋体"/>
                <w:color w:val="auto"/>
                <w:sz w:val="24"/>
                <w:highlight w:val="none"/>
                <w:lang w:val="en-US" w:eastAsia="zh-CN"/>
              </w:rPr>
              <w:t>m</w:t>
            </w:r>
            <w:r>
              <w:rPr>
                <w:rFonts w:hint="eastAsia" w:ascii="Times New Roman" w:hAnsi="Times New Roman" w:eastAsia="宋体"/>
                <w:color w:val="auto"/>
                <w:sz w:val="24"/>
                <w:highlight w:val="none"/>
                <w:vertAlign w:val="superscript"/>
                <w:lang w:val="en-US" w:eastAsia="zh-CN"/>
              </w:rPr>
              <w:t>3</w:t>
            </w:r>
            <w:r>
              <w:rPr>
                <w:rFonts w:hint="eastAsia" w:ascii="Times New Roman" w:hAnsi="Times New Roman" w:eastAsia="宋体"/>
                <w:color w:val="auto"/>
                <w:sz w:val="24"/>
                <w:highlight w:val="none"/>
                <w:lang w:val="en-US" w:eastAsia="zh-CN"/>
              </w:rPr>
              <w:t>，</w:t>
            </w:r>
            <w:r>
              <w:rPr>
                <w:rFonts w:hint="eastAsia" w:ascii="Times New Roman" w:hAnsi="Times New Roman"/>
                <w:color w:val="auto"/>
                <w:sz w:val="24"/>
                <w:highlight w:val="none"/>
                <w:lang w:val="en-US" w:eastAsia="zh-CN"/>
              </w:rPr>
              <w:t>310</w:t>
            </w:r>
            <w:r>
              <w:rPr>
                <w:rFonts w:hint="eastAsia" w:ascii="Times New Roman" w:hAnsi="Times New Roman" w:eastAsia="宋体"/>
                <w:color w:val="auto"/>
                <w:sz w:val="24"/>
                <w:highlight w:val="none"/>
                <w:lang w:val="en-US" w:eastAsia="zh-CN"/>
              </w:rPr>
              <w:t>m</w:t>
            </w:r>
            <w:r>
              <w:rPr>
                <w:rFonts w:hint="eastAsia" w:ascii="Times New Roman" w:hAnsi="Times New Roman" w:eastAsia="宋体"/>
                <w:color w:val="auto"/>
                <w:sz w:val="24"/>
                <w:highlight w:val="none"/>
                <w:vertAlign w:val="superscript"/>
                <w:lang w:val="en-US" w:eastAsia="zh-CN"/>
              </w:rPr>
              <w:t>3</w:t>
            </w:r>
            <w:r>
              <w:rPr>
                <w:rFonts w:hint="eastAsia" w:ascii="Times New Roman" w:hAnsi="Times New Roman" w:eastAsia="宋体"/>
                <w:color w:val="auto"/>
                <w:sz w:val="24"/>
                <w:highlight w:val="none"/>
                <w:lang w:val="en-US" w:eastAsia="zh-CN"/>
              </w:rPr>
              <w:t>的初期雨水能满足</w:t>
            </w:r>
            <w:r>
              <w:rPr>
                <w:rFonts w:hint="eastAsia" w:ascii="Times New Roman" w:hAnsi="Times New Roman"/>
                <w:color w:val="auto"/>
                <w:sz w:val="24"/>
                <w:highlight w:val="none"/>
                <w:lang w:val="en-US" w:eastAsia="zh-CN"/>
              </w:rPr>
              <w:t>2</w:t>
            </w:r>
            <w:r>
              <w:rPr>
                <w:rFonts w:hint="eastAsia" w:ascii="Times New Roman" w:hAnsi="Times New Roman" w:eastAsia="宋体"/>
                <w:color w:val="auto"/>
                <w:sz w:val="24"/>
                <w:highlight w:val="none"/>
                <w:lang w:val="en-US" w:eastAsia="zh-CN"/>
              </w:rPr>
              <w:t>天的</w:t>
            </w:r>
            <w:r>
              <w:rPr>
                <w:rFonts w:hint="eastAsia" w:ascii="Times New Roman" w:hAnsi="Times New Roman" w:cs="宋体"/>
                <w:color w:val="auto"/>
                <w:sz w:val="24"/>
                <w:highlight w:val="none"/>
                <w:lang w:val="en-US" w:eastAsia="zh-CN"/>
              </w:rPr>
              <w:t>堆料大棚降尘用水</w:t>
            </w:r>
            <w:r>
              <w:rPr>
                <w:rFonts w:hint="eastAsia" w:ascii="Times New Roman" w:hAnsi="Times New Roman" w:eastAsia="宋体"/>
                <w:color w:val="auto"/>
                <w:sz w:val="24"/>
                <w:highlight w:val="none"/>
                <w:lang w:val="en-US" w:eastAsia="zh-CN"/>
              </w:rPr>
              <w:t>需求，这一设计既通过初期雨水分流处理实现了污染物源头管控，又以雨水资源化利用精准匹配生产用水需求，既避免了雨水资源浪费，又显著减少了新鲜水开采与消耗，降低了项目运行成本，同时减轻了水资源开采和污水处理系统的负荷，最终达成“环保治理、资源节约、经济高效”的多重目标</w:t>
            </w:r>
            <w:r>
              <w:rPr>
                <w:rFonts w:hint="eastAsia" w:ascii="Times New Roman" w:hAnsi="Times New Roman" w:eastAsia="宋体"/>
                <w:color w:val="auto"/>
                <w:sz w:val="24"/>
                <w:highlight w:val="none"/>
                <w:vertAlign w:val="baseline"/>
                <w:lang w:val="en-US" w:eastAsia="zh-CN"/>
              </w:rPr>
              <w:t>。</w:t>
            </w:r>
          </w:p>
          <w:p w14:paraId="2F16F657">
            <w:pPr>
              <w:pStyle w:val="7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auto"/>
                <w:spacing w:val="2"/>
                <w:sz w:val="24"/>
                <w:highlight w:val="none"/>
              </w:rPr>
            </w:pPr>
            <w:r>
              <w:rPr>
                <w:rFonts w:ascii="Times New Roman" w:hAnsi="Times New Roman" w:eastAsia="宋体"/>
                <w:color w:val="auto"/>
                <w:sz w:val="24"/>
                <w:highlight w:val="none"/>
              </w:rPr>
              <w:t>综上分析，项目生活</w:t>
            </w:r>
            <w:r>
              <w:rPr>
                <w:rFonts w:hint="eastAsia" w:ascii="Times New Roman" w:hAnsi="Times New Roman"/>
                <w:color w:val="auto"/>
                <w:sz w:val="24"/>
                <w:highlight w:val="none"/>
                <w:lang w:val="en-US" w:eastAsia="zh-CN"/>
              </w:rPr>
              <w:t>污水</w:t>
            </w:r>
            <w:r>
              <w:rPr>
                <w:rFonts w:hint="eastAsia" w:ascii="Times New Roman" w:hAnsi="Times New Roman" w:eastAsia="宋体"/>
                <w:color w:val="auto"/>
                <w:sz w:val="24"/>
                <w:highlight w:val="none"/>
                <w:lang w:val="en-US" w:eastAsia="zh-CN"/>
              </w:rPr>
              <w:t>和初期雨水</w:t>
            </w:r>
            <w:r>
              <w:rPr>
                <w:rFonts w:ascii="Times New Roman" w:hAnsi="Times New Roman" w:eastAsia="宋体"/>
                <w:color w:val="auto"/>
                <w:sz w:val="24"/>
                <w:highlight w:val="none"/>
              </w:rPr>
              <w:t>的处理方式从环境保护角度分析可行，对周边的水环境影响不大</w:t>
            </w:r>
            <w:r>
              <w:rPr>
                <w:rFonts w:hint="eastAsia" w:ascii="Times New Roman" w:hAnsi="Times New Roman" w:eastAsia="宋体" w:cs="Times New Roman"/>
                <w:b w:val="0"/>
                <w:bCs w:val="0"/>
                <w:color w:val="auto"/>
                <w:sz w:val="24"/>
                <w:szCs w:val="24"/>
                <w:highlight w:val="none"/>
                <w:lang w:val="en-US" w:eastAsia="zh-CN"/>
              </w:rPr>
              <w:t>。</w:t>
            </w:r>
          </w:p>
          <w:p w14:paraId="2CB5F926">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项目地表水环境影响小结</w:t>
            </w:r>
          </w:p>
          <w:p w14:paraId="515030CF">
            <w:pPr>
              <w:pStyle w:val="70"/>
              <w:keepNext w:val="0"/>
              <w:keepLines w:val="0"/>
              <w:pageBreakBefore w:val="0"/>
              <w:widowControl w:val="0"/>
              <w:kinsoku/>
              <w:wordWrap/>
              <w:overflowPunct/>
              <w:autoSpaceDE/>
              <w:autoSpaceDN/>
              <w:bidi w:val="0"/>
              <w:adjustRightInd w:val="0"/>
              <w:snapToGrid w:val="0"/>
              <w:ind w:firstLine="48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宋体"/>
                <w:color w:val="auto"/>
                <w:highlight w:val="none"/>
              </w:rPr>
              <w:t>本项目</w:t>
            </w:r>
            <w:r>
              <w:rPr>
                <w:rFonts w:hint="eastAsia" w:ascii="Times New Roman" w:hAnsi="Times New Roman" w:cs="宋体"/>
                <w:color w:val="auto"/>
                <w:highlight w:val="none"/>
                <w:lang w:val="en-US" w:eastAsia="zh-CN"/>
              </w:rPr>
              <w:t>洗车废水沉淀后回用</w:t>
            </w:r>
            <w:r>
              <w:rPr>
                <w:rFonts w:hint="eastAsia" w:ascii="Times New Roman" w:hAnsi="Times New Roman" w:eastAsia="宋体" w:cs="宋体"/>
                <w:color w:val="auto"/>
                <w:highlight w:val="none"/>
              </w:rPr>
              <w:t>；</w:t>
            </w:r>
            <w:r>
              <w:rPr>
                <w:rFonts w:hint="eastAsia" w:ascii="Times New Roman" w:hAnsi="Times New Roman"/>
                <w:color w:val="auto"/>
                <w:sz w:val="24"/>
                <w:szCs w:val="24"/>
                <w:highlight w:val="none"/>
                <w:lang w:val="en-US" w:eastAsia="zh-CN"/>
              </w:rPr>
              <w:t>食堂废水通过隔油池处理后，与其他生活污水一起进入化粪池处理，最后</w:t>
            </w:r>
            <w:r>
              <w:rPr>
                <w:rFonts w:hint="eastAsia" w:ascii="Times New Roman" w:hAnsi="Times New Roman" w:eastAsia="宋体" w:cs="宋体"/>
                <w:color w:val="auto"/>
                <w:sz w:val="24"/>
                <w:highlight w:val="none"/>
                <w:lang w:val="en-US" w:eastAsia="zh-CN"/>
              </w:rPr>
              <w:t>进入新建的污水处理站</w:t>
            </w:r>
            <w:r>
              <w:rPr>
                <w:rFonts w:hint="eastAsia" w:ascii="Times New Roman" w:hAnsi="Times New Roman" w:cs="宋体"/>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处理达</w:t>
            </w:r>
            <w:r>
              <w:rPr>
                <w:rFonts w:hint="eastAsia" w:ascii="Times New Roman" w:hAnsi="Times New Roman" w:eastAsia="宋体" w:cs="Times New Roman"/>
                <w:color w:val="auto"/>
                <w:sz w:val="24"/>
                <w:szCs w:val="24"/>
                <w:highlight w:val="none"/>
                <w:lang w:val="en-US" w:eastAsia="zh-CN"/>
              </w:rPr>
              <w:t>到</w:t>
            </w:r>
            <w:r>
              <w:rPr>
                <w:rFonts w:hint="default" w:ascii="Times New Roman" w:hAnsi="Times New Roman" w:eastAsia="宋体" w:cs="Times New Roman"/>
                <w:color w:val="auto"/>
                <w:sz w:val="24"/>
                <w:szCs w:val="24"/>
                <w:highlight w:val="none"/>
                <w:lang w:val="en-US" w:eastAsia="zh-CN"/>
              </w:rPr>
              <w:t>《城市污水再生利用城市杂用水水质》（GB/T18920-2020）中的城市绿化标准后，回用于厂区绿化</w:t>
            </w:r>
            <w:r>
              <w:rPr>
                <w:rFonts w:hint="eastAsia" w:ascii="Times New Roman" w:hAnsi="Times New Roman" w:eastAsia="宋体" w:cs="宋体"/>
                <w:color w:val="auto"/>
                <w:sz w:val="24"/>
                <w:highlight w:val="none"/>
                <w:lang w:val="en-US" w:eastAsia="zh-CN"/>
              </w:rPr>
              <w:t>，不外排</w:t>
            </w:r>
            <w:r>
              <w:rPr>
                <w:rFonts w:hint="eastAsia" w:ascii="Times New Roman" w:hAnsi="Times New Roman" w:eastAsia="宋体" w:cs="宋体"/>
                <w:color w:val="auto"/>
                <w:highlight w:val="none"/>
              </w:rPr>
              <w:t>。项目运营期对周围水环境无明显影响，不会改变周边的水环境功能。</w:t>
            </w:r>
          </w:p>
          <w:p w14:paraId="600D229D">
            <w:pPr>
              <w:pStyle w:val="70"/>
              <w:ind w:firstLine="480"/>
              <w:rPr>
                <w:rFonts w:hint="eastAsia" w:ascii="Times New Roman" w:hAnsi="Times New Roman"/>
                <w:color w:val="auto"/>
                <w:highlight w:val="none"/>
              </w:rPr>
            </w:pPr>
          </w:p>
          <w:p w14:paraId="5F5A9845">
            <w:pPr>
              <w:pStyle w:val="70"/>
              <w:ind w:firstLine="480"/>
              <w:rPr>
                <w:rFonts w:hint="eastAsia" w:ascii="Times New Roman" w:hAnsi="Times New Roman"/>
                <w:color w:val="auto"/>
                <w:highlight w:val="none"/>
              </w:rPr>
            </w:pPr>
          </w:p>
          <w:p w14:paraId="4E6C0D6A">
            <w:pPr>
              <w:pStyle w:val="70"/>
              <w:ind w:firstLine="480"/>
              <w:rPr>
                <w:rFonts w:hint="eastAsia" w:ascii="Times New Roman" w:hAnsi="Times New Roman"/>
                <w:color w:val="auto"/>
                <w:highlight w:val="none"/>
              </w:rPr>
            </w:pPr>
          </w:p>
          <w:p w14:paraId="41BD5692">
            <w:pPr>
              <w:pStyle w:val="70"/>
              <w:ind w:firstLine="480"/>
              <w:rPr>
                <w:rFonts w:hint="eastAsia" w:ascii="Times New Roman" w:hAnsi="Times New Roman"/>
                <w:color w:val="auto"/>
                <w:highlight w:val="none"/>
              </w:rPr>
            </w:pPr>
          </w:p>
          <w:p w14:paraId="275608CC">
            <w:pPr>
              <w:pStyle w:val="70"/>
              <w:ind w:firstLine="480"/>
              <w:rPr>
                <w:rFonts w:hint="eastAsia" w:ascii="Times New Roman" w:hAnsi="Times New Roman"/>
                <w:color w:val="auto"/>
                <w:highlight w:val="none"/>
              </w:rPr>
            </w:pPr>
          </w:p>
          <w:p w14:paraId="2B7F07D0">
            <w:pPr>
              <w:pStyle w:val="70"/>
              <w:ind w:firstLine="480"/>
              <w:rPr>
                <w:rFonts w:hint="eastAsia" w:ascii="Times New Roman" w:hAnsi="Times New Roman"/>
                <w:color w:val="auto"/>
                <w:highlight w:val="none"/>
              </w:rPr>
            </w:pPr>
          </w:p>
          <w:p w14:paraId="503D1482">
            <w:pPr>
              <w:pStyle w:val="70"/>
              <w:ind w:firstLine="480"/>
              <w:rPr>
                <w:rFonts w:hint="eastAsia" w:ascii="Times New Roman" w:hAnsi="Times New Roman"/>
                <w:color w:val="auto"/>
                <w:highlight w:val="none"/>
              </w:rPr>
            </w:pPr>
          </w:p>
          <w:p w14:paraId="5D6C193C">
            <w:pPr>
              <w:pStyle w:val="70"/>
              <w:ind w:firstLine="480"/>
              <w:rPr>
                <w:rFonts w:hint="eastAsia" w:ascii="Times New Roman" w:hAnsi="Times New Roman"/>
                <w:color w:val="auto"/>
                <w:highlight w:val="none"/>
              </w:rPr>
            </w:pPr>
          </w:p>
          <w:p w14:paraId="0B800287">
            <w:pPr>
              <w:pStyle w:val="70"/>
              <w:ind w:firstLine="480"/>
              <w:rPr>
                <w:rFonts w:hint="eastAsia" w:ascii="Times New Roman" w:hAnsi="Times New Roman"/>
                <w:color w:val="auto"/>
                <w:highlight w:val="none"/>
              </w:rPr>
            </w:pPr>
          </w:p>
          <w:p w14:paraId="75886D3E">
            <w:pPr>
              <w:pStyle w:val="70"/>
              <w:ind w:firstLine="480"/>
              <w:rPr>
                <w:rFonts w:hint="eastAsia" w:ascii="Times New Roman" w:hAnsi="Times New Roman"/>
                <w:color w:val="auto"/>
                <w:highlight w:val="none"/>
              </w:rPr>
            </w:pPr>
          </w:p>
          <w:p w14:paraId="40D9D4E7">
            <w:pPr>
              <w:pStyle w:val="70"/>
              <w:ind w:firstLine="480"/>
              <w:rPr>
                <w:rFonts w:hint="eastAsia" w:ascii="Times New Roman" w:hAnsi="Times New Roman"/>
                <w:color w:val="auto"/>
                <w:highlight w:val="none"/>
              </w:rPr>
            </w:pPr>
          </w:p>
          <w:p w14:paraId="0F214735">
            <w:pPr>
              <w:pStyle w:val="70"/>
              <w:ind w:firstLine="480"/>
              <w:rPr>
                <w:rFonts w:hint="eastAsia" w:ascii="Times New Roman" w:hAnsi="Times New Roman"/>
                <w:color w:val="auto"/>
                <w:highlight w:val="none"/>
              </w:rPr>
            </w:pPr>
          </w:p>
          <w:p w14:paraId="325F1835">
            <w:pPr>
              <w:pStyle w:val="70"/>
              <w:ind w:firstLine="480"/>
              <w:rPr>
                <w:rFonts w:hint="eastAsia" w:ascii="Times New Roman" w:hAnsi="Times New Roman"/>
                <w:color w:val="auto"/>
                <w:highlight w:val="none"/>
              </w:rPr>
            </w:pPr>
          </w:p>
          <w:p w14:paraId="4A80AECB">
            <w:pPr>
              <w:pStyle w:val="70"/>
              <w:ind w:firstLine="480"/>
              <w:rPr>
                <w:rFonts w:hint="eastAsia" w:ascii="Times New Roman" w:hAnsi="Times New Roman"/>
                <w:color w:val="auto"/>
                <w:highlight w:val="none"/>
              </w:rPr>
            </w:pPr>
          </w:p>
          <w:p w14:paraId="57551390">
            <w:pPr>
              <w:pStyle w:val="70"/>
              <w:ind w:left="0" w:leftChars="0" w:firstLine="0" w:firstLineChars="0"/>
              <w:rPr>
                <w:rFonts w:hint="eastAsia" w:ascii="Times New Roman" w:hAnsi="Times New Roman"/>
                <w:color w:val="auto"/>
                <w:highlight w:val="none"/>
              </w:rPr>
            </w:pPr>
          </w:p>
          <w:p w14:paraId="6EC08529">
            <w:pPr>
              <w:pStyle w:val="70"/>
              <w:ind w:firstLine="480"/>
              <w:rPr>
                <w:rFonts w:hint="eastAsia" w:ascii="Times New Roman" w:hAnsi="Times New Roman"/>
                <w:color w:val="auto"/>
                <w:highlight w:val="none"/>
              </w:rPr>
            </w:pPr>
          </w:p>
          <w:p w14:paraId="126AE217">
            <w:pPr>
              <w:pStyle w:val="70"/>
              <w:ind w:firstLine="480"/>
              <w:rPr>
                <w:rFonts w:hint="eastAsia" w:ascii="Times New Roman" w:hAnsi="Times New Roman"/>
                <w:color w:val="auto"/>
                <w:highlight w:val="none"/>
              </w:rPr>
            </w:pPr>
          </w:p>
          <w:p w14:paraId="5606D7F1">
            <w:pPr>
              <w:pStyle w:val="70"/>
              <w:ind w:firstLine="480"/>
              <w:rPr>
                <w:rFonts w:hint="eastAsia" w:ascii="Times New Roman" w:hAnsi="Times New Roman"/>
                <w:color w:val="auto"/>
                <w:highlight w:val="none"/>
              </w:rPr>
            </w:pPr>
          </w:p>
          <w:p w14:paraId="4FB14B7D">
            <w:pPr>
              <w:pStyle w:val="70"/>
              <w:ind w:firstLine="480"/>
              <w:rPr>
                <w:rFonts w:hint="eastAsia" w:ascii="Times New Roman" w:hAnsi="Times New Roman"/>
                <w:color w:val="auto"/>
                <w:highlight w:val="none"/>
              </w:rPr>
            </w:pPr>
          </w:p>
          <w:p w14:paraId="07AA7774">
            <w:pPr>
              <w:pStyle w:val="70"/>
              <w:ind w:firstLine="480"/>
              <w:rPr>
                <w:rFonts w:hint="eastAsia" w:ascii="Times New Roman" w:hAnsi="Times New Roman"/>
                <w:color w:val="auto"/>
                <w:highlight w:val="none"/>
              </w:rPr>
            </w:pPr>
          </w:p>
          <w:p w14:paraId="7060D98B">
            <w:pPr>
              <w:pStyle w:val="70"/>
              <w:ind w:left="0" w:leftChars="0" w:firstLine="0" w:firstLineChars="0"/>
              <w:rPr>
                <w:rFonts w:hint="eastAsia" w:ascii="Times New Roman" w:hAnsi="Times New Roman"/>
                <w:color w:val="auto"/>
                <w:highlight w:val="none"/>
              </w:rPr>
            </w:pPr>
          </w:p>
        </w:tc>
      </w:tr>
    </w:tbl>
    <w:p w14:paraId="56E86B41">
      <w:pPr>
        <w:rPr>
          <w:rFonts w:hint="eastAsia" w:ascii="Times New Roman" w:hAnsi="Times New Roman"/>
          <w:color w:val="auto"/>
          <w:highlight w:val="none"/>
        </w:rPr>
        <w:sectPr>
          <w:pgSz w:w="11905" w:h="16838"/>
          <w:pgMar w:top="1440" w:right="1701" w:bottom="1440" w:left="1701" w:header="851" w:footer="1077" w:gutter="0"/>
          <w:cols w:space="720" w:num="1"/>
          <w:docGrid w:type="lines" w:linePitch="317" w:charSpace="0"/>
        </w:sectPr>
      </w:pP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3500"/>
      </w:tblGrid>
      <w:tr w14:paraId="51D8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4" w:hRule="atLeast"/>
        </w:trPr>
        <w:tc>
          <w:tcPr>
            <w:tcW w:w="234" w:type="pct"/>
            <w:noWrap w:val="0"/>
            <w:vAlign w:val="center"/>
          </w:tcPr>
          <w:p w14:paraId="44CC001E">
            <w:pPr>
              <w:pStyle w:val="83"/>
              <w:keepNext w:val="0"/>
              <w:keepLines w:val="0"/>
              <w:pageBreakBefore w:val="0"/>
              <w:widowControl w:val="0"/>
              <w:kinsoku/>
              <w:wordWrap/>
              <w:overflowPunct/>
              <w:topLinePunct/>
              <w:autoSpaceDE/>
              <w:autoSpaceDN/>
              <w:bidi w:val="0"/>
              <w:adjustRightInd w:val="0"/>
              <w:snapToGrid w:val="0"/>
              <w:spacing w:line="360" w:lineRule="auto"/>
              <w:ind w:firstLine="0" w:firstLineChars="0"/>
              <w:jc w:val="center"/>
              <w:textAlignment w:val="auto"/>
              <w:rPr>
                <w:rFonts w:hint="eastAsia" w:ascii="Times New Roman" w:hAnsi="Times New Roman"/>
                <w:color w:val="auto"/>
                <w:highlight w:val="none"/>
                <w:vertAlign w:val="baseline"/>
              </w:rPr>
            </w:pPr>
            <w:r>
              <w:rPr>
                <w:rFonts w:hint="eastAsia" w:ascii="Times New Roman" w:hAnsi="Times New Roman"/>
                <w:color w:val="auto"/>
                <w:highlight w:val="none"/>
                <w:vertAlign w:val="baseline"/>
              </w:rPr>
              <w:t>运营期环境影响和保护措施</w:t>
            </w:r>
          </w:p>
        </w:tc>
        <w:tc>
          <w:tcPr>
            <w:tcW w:w="4765" w:type="pct"/>
            <w:noWrap w:val="0"/>
            <w:vAlign w:val="top"/>
          </w:tcPr>
          <w:p w14:paraId="4309DFBC">
            <w:pPr>
              <w:pStyle w:val="83"/>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4.2.3噪声</w:t>
            </w:r>
          </w:p>
          <w:p w14:paraId="1792CADE">
            <w:pPr>
              <w:pStyle w:val="83"/>
              <w:keepNext w:val="0"/>
              <w:keepLines w:val="0"/>
              <w:pageBreakBefore w:val="0"/>
              <w:widowControl w:val="0"/>
              <w:kinsoku/>
              <w:wordWrap/>
              <w:overflowPunct/>
              <w:topLinePunct/>
              <w:autoSpaceDE/>
              <w:autoSpaceDN/>
              <w:bidi w:val="0"/>
              <w:adjustRightInd w:val="0"/>
              <w:snapToGrid w:val="0"/>
              <w:spacing w:line="360" w:lineRule="auto"/>
              <w:textAlignment w:val="auto"/>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一、噪声源</w:t>
            </w:r>
          </w:p>
          <w:p w14:paraId="4B2963E2">
            <w:pPr>
              <w:pStyle w:val="83"/>
              <w:keepNext w:val="0"/>
              <w:keepLines w:val="0"/>
              <w:pageBreakBefore w:val="0"/>
              <w:widowControl w:val="0"/>
              <w:kinsoku/>
              <w:wordWrap/>
              <w:overflowPunct/>
              <w:topLinePunct/>
              <w:autoSpaceDE/>
              <w:autoSpaceDN/>
              <w:bidi w:val="0"/>
              <w:adjustRightInd w:val="0"/>
              <w:snapToGrid w:val="0"/>
              <w:spacing w:line="360" w:lineRule="auto"/>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bCs/>
                <w:color w:val="auto"/>
                <w:sz w:val="24"/>
                <w:highlight w:val="none"/>
              </w:rPr>
              <w:t>本项目噪声源主要为破碎机、振动筛、废气治理设施风机、水泵等设备，运行时产生的机械噪声，其噪声值约为70~</w:t>
            </w:r>
            <w:r>
              <w:rPr>
                <w:rFonts w:hint="eastAsia" w:ascii="Times New Roman" w:hAnsi="Times New Roman"/>
                <w:bCs/>
                <w:color w:val="auto"/>
                <w:sz w:val="24"/>
                <w:highlight w:val="none"/>
                <w:lang w:val="en-US" w:eastAsia="zh-CN"/>
              </w:rPr>
              <w:t>95</w:t>
            </w:r>
            <w:r>
              <w:rPr>
                <w:rFonts w:hint="eastAsia" w:ascii="Times New Roman" w:hAnsi="Times New Roman"/>
                <w:bCs/>
                <w:color w:val="auto"/>
                <w:sz w:val="24"/>
                <w:highlight w:val="none"/>
              </w:rPr>
              <w:t>dB（A），本环评取厂界最西南处作为坐标原点（0，0，0）。建设项目主要设备噪声源强情况如下表所示。为减轻项目设备噪声对周围环境的影响，项目设备采取加设消声器、减振基座及厂房隔音等措施，一般可降低噪声5～15dB（A）</w:t>
            </w:r>
            <w:r>
              <w:rPr>
                <w:rFonts w:hint="eastAsia" w:ascii="Times New Roman" w:hAnsi="Times New Roman"/>
                <w:bCs/>
                <w:color w:val="auto"/>
                <w:sz w:val="24"/>
                <w:highlight w:val="none"/>
                <w:lang w:val="en-US" w:eastAsia="zh-CN"/>
              </w:rPr>
              <w:t>,项目所有设备均位于室内</w:t>
            </w:r>
            <w:r>
              <w:rPr>
                <w:rFonts w:hint="eastAsia" w:ascii="Times New Roman" w:hAnsi="Times New Roman" w:eastAsia="宋体" w:cs="Times New Roman"/>
                <w:bCs/>
                <w:color w:val="auto"/>
                <w:kern w:val="2"/>
                <w:sz w:val="24"/>
                <w:szCs w:val="24"/>
                <w:highlight w:val="none"/>
                <w:lang w:val="en-US" w:eastAsia="zh-CN" w:bidi="ar-SA"/>
              </w:rPr>
              <w:t>，项目具体噪声源强</w:t>
            </w:r>
            <w:r>
              <w:rPr>
                <w:rFonts w:hint="eastAsia" w:ascii="Times New Roman" w:hAnsi="Times New Roman" w:cs="Times New Roman"/>
                <w:bCs/>
                <w:color w:val="auto"/>
                <w:kern w:val="2"/>
                <w:sz w:val="24"/>
                <w:szCs w:val="24"/>
                <w:highlight w:val="none"/>
                <w:lang w:val="en-US" w:eastAsia="zh-CN" w:bidi="ar-SA"/>
              </w:rPr>
              <w:t>详见</w:t>
            </w:r>
            <w:r>
              <w:rPr>
                <w:rFonts w:hint="eastAsia" w:ascii="Times New Roman" w:hAnsi="Times New Roman" w:eastAsia="宋体" w:cs="Times New Roman"/>
                <w:bCs/>
                <w:color w:val="auto"/>
                <w:kern w:val="2"/>
                <w:sz w:val="24"/>
                <w:szCs w:val="24"/>
                <w:highlight w:val="none"/>
                <w:lang w:val="en-US" w:eastAsia="zh-CN" w:bidi="ar-SA"/>
              </w:rPr>
              <w:t>下表。</w:t>
            </w:r>
          </w:p>
          <w:p w14:paraId="087A4D4A">
            <w:pPr>
              <w:pStyle w:val="83"/>
              <w:keepNext w:val="0"/>
              <w:keepLines w:val="0"/>
              <w:pageBreakBefore w:val="0"/>
              <w:widowControl w:val="0"/>
              <w:kinsoku/>
              <w:wordWrap/>
              <w:overflowPunct/>
              <w:topLinePunct/>
              <w:autoSpaceDE/>
              <w:autoSpaceDN/>
              <w:bidi w:val="0"/>
              <w:adjustRightInd w:val="0"/>
              <w:snapToGrid w:val="0"/>
              <w:spacing w:line="360" w:lineRule="auto"/>
              <w:ind w:firstLine="0" w:firstLineChars="0"/>
              <w:jc w:val="center"/>
              <w:textAlignment w:val="auto"/>
              <w:rPr>
                <w:rFonts w:hint="eastAsia" w:ascii="Times New Roman" w:hAnsi="Times New Roman"/>
                <w:b/>
                <w:bCs/>
                <w:color w:val="auto"/>
                <w:sz w:val="24"/>
                <w:szCs w:val="24"/>
                <w:highlight w:val="none"/>
                <w:vertAlign w:val="baseline"/>
                <w:lang w:val="en-US" w:eastAsia="zh-CN"/>
              </w:rPr>
            </w:pPr>
            <w:r>
              <w:rPr>
                <w:rFonts w:hint="eastAsia" w:ascii="Times New Roman" w:hAnsi="Times New Roman"/>
                <w:b/>
                <w:bCs/>
                <w:color w:val="auto"/>
                <w:sz w:val="24"/>
                <w:szCs w:val="24"/>
                <w:highlight w:val="none"/>
                <w:vertAlign w:val="baseline"/>
                <w:lang w:val="en-US" w:eastAsia="zh-CN"/>
              </w:rPr>
              <w:t>表4.2.3-1项目运营期噪声源强调查清单</w:t>
            </w:r>
          </w:p>
          <w:tbl>
            <w:tblPr>
              <w:tblStyle w:val="36"/>
              <w:tblW w:w="13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711"/>
              <w:gridCol w:w="1602"/>
              <w:gridCol w:w="458"/>
              <w:gridCol w:w="1612"/>
              <w:gridCol w:w="698"/>
              <w:gridCol w:w="868"/>
              <w:gridCol w:w="872"/>
              <w:gridCol w:w="368"/>
              <w:gridCol w:w="793"/>
              <w:gridCol w:w="1009"/>
              <w:gridCol w:w="701"/>
              <w:gridCol w:w="1000"/>
              <w:gridCol w:w="1019"/>
              <w:gridCol w:w="954"/>
            </w:tblGrid>
            <w:tr w14:paraId="2C84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613" w:type="dxa"/>
                  <w:vMerge w:val="restart"/>
                  <w:vAlign w:val="center"/>
                </w:tcPr>
                <w:p w14:paraId="46DF1B2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序号</w:t>
                  </w:r>
                </w:p>
              </w:tc>
              <w:tc>
                <w:tcPr>
                  <w:tcW w:w="711" w:type="dxa"/>
                  <w:vMerge w:val="restart"/>
                  <w:vAlign w:val="center"/>
                </w:tcPr>
                <w:p w14:paraId="4281D2F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建筑物名称</w:t>
                  </w:r>
                </w:p>
              </w:tc>
              <w:tc>
                <w:tcPr>
                  <w:tcW w:w="1602" w:type="dxa"/>
                  <w:vMerge w:val="restart"/>
                  <w:vAlign w:val="center"/>
                </w:tcPr>
                <w:p w14:paraId="2504D73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声源名称</w:t>
                  </w:r>
                </w:p>
              </w:tc>
              <w:tc>
                <w:tcPr>
                  <w:tcW w:w="458" w:type="dxa"/>
                  <w:vMerge w:val="restart"/>
                  <w:vAlign w:val="center"/>
                </w:tcPr>
                <w:p w14:paraId="1AFA053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型号</w:t>
                  </w:r>
                </w:p>
              </w:tc>
              <w:tc>
                <w:tcPr>
                  <w:tcW w:w="1612" w:type="dxa"/>
                  <w:vMerge w:val="restart"/>
                  <w:vAlign w:val="center"/>
                </w:tcPr>
                <w:p w14:paraId="6385E5E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声</w:t>
                  </w:r>
                  <w:r>
                    <w:rPr>
                      <w:rFonts w:hint="eastAsia" w:ascii="Times New Roman" w:hAnsi="Times New Roman" w:cs="黑体"/>
                      <w:b w:val="0"/>
                      <w:bCs w:val="0"/>
                      <w:snapToGrid w:val="0"/>
                      <w:color w:val="auto"/>
                      <w:sz w:val="21"/>
                      <w:szCs w:val="21"/>
                      <w:highlight w:val="none"/>
                      <w:vertAlign w:val="baseline"/>
                      <w:lang w:val="en-US" w:eastAsia="zh-CN"/>
                    </w:rPr>
                    <w:t>源</w:t>
                  </w:r>
                  <w:r>
                    <w:rPr>
                      <w:rFonts w:hint="eastAsia" w:ascii="Times New Roman" w:hAnsi="Times New Roman" w:eastAsia="宋体" w:cs="黑体"/>
                      <w:b w:val="0"/>
                      <w:bCs w:val="0"/>
                      <w:snapToGrid w:val="0"/>
                      <w:color w:val="auto"/>
                      <w:sz w:val="21"/>
                      <w:szCs w:val="21"/>
                      <w:highlight w:val="none"/>
                      <w:vertAlign w:val="baseline"/>
                      <w:lang w:val="en-US" w:eastAsia="zh-CN"/>
                    </w:rPr>
                    <w:t>强</w:t>
                  </w:r>
                </w:p>
              </w:tc>
              <w:tc>
                <w:tcPr>
                  <w:tcW w:w="698" w:type="dxa"/>
                  <w:vMerge w:val="restart"/>
                  <w:vAlign w:val="center"/>
                </w:tcPr>
                <w:p w14:paraId="2B4D291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声源控制措施</w:t>
                  </w:r>
                </w:p>
              </w:tc>
              <w:tc>
                <w:tcPr>
                  <w:tcW w:w="2108" w:type="dxa"/>
                  <w:gridSpan w:val="3"/>
                  <w:vAlign w:val="center"/>
                </w:tcPr>
                <w:p w14:paraId="3CB0B1D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空间相对位置/m</w:t>
                  </w:r>
                </w:p>
              </w:tc>
              <w:tc>
                <w:tcPr>
                  <w:tcW w:w="793" w:type="dxa"/>
                  <w:vMerge w:val="restart"/>
                  <w:vAlign w:val="center"/>
                </w:tcPr>
                <w:p w14:paraId="5FA5AFA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距室内边界距离</w:t>
                  </w:r>
                </w:p>
              </w:tc>
              <w:tc>
                <w:tcPr>
                  <w:tcW w:w="1009" w:type="dxa"/>
                  <w:vMerge w:val="restart"/>
                  <w:vAlign w:val="center"/>
                </w:tcPr>
                <w:p w14:paraId="478F771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室内边界声级/dB（A）</w:t>
                  </w:r>
                </w:p>
              </w:tc>
              <w:tc>
                <w:tcPr>
                  <w:tcW w:w="701" w:type="dxa"/>
                  <w:vMerge w:val="restart"/>
                  <w:vAlign w:val="center"/>
                </w:tcPr>
                <w:p w14:paraId="3137CF6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运行时段</w:t>
                  </w:r>
                </w:p>
              </w:tc>
              <w:tc>
                <w:tcPr>
                  <w:tcW w:w="1000" w:type="dxa"/>
                  <w:vMerge w:val="restart"/>
                  <w:vAlign w:val="center"/>
                </w:tcPr>
                <w:p w14:paraId="5D2CD15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建筑物插入损失/dB（A）</w:t>
                  </w:r>
                </w:p>
              </w:tc>
              <w:tc>
                <w:tcPr>
                  <w:tcW w:w="1973" w:type="dxa"/>
                  <w:gridSpan w:val="2"/>
                  <w:vAlign w:val="center"/>
                </w:tcPr>
                <w:p w14:paraId="59A1123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建筑外噪声</w:t>
                  </w:r>
                </w:p>
              </w:tc>
            </w:tr>
            <w:tr w14:paraId="2025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3" w:type="dxa"/>
                  <w:vMerge w:val="continue"/>
                  <w:vAlign w:val="center"/>
                </w:tcPr>
                <w:p w14:paraId="433D154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30C55EE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602" w:type="dxa"/>
                  <w:vMerge w:val="continue"/>
                  <w:vAlign w:val="center"/>
                </w:tcPr>
                <w:p w14:paraId="53723AC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458" w:type="dxa"/>
                  <w:vMerge w:val="continue"/>
                  <w:vAlign w:val="center"/>
                </w:tcPr>
                <w:p w14:paraId="20EE667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612" w:type="dxa"/>
                  <w:vMerge w:val="continue"/>
                  <w:vAlign w:val="center"/>
                </w:tcPr>
                <w:p w14:paraId="1A473EB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698" w:type="dxa"/>
                  <w:vMerge w:val="continue"/>
                  <w:vAlign w:val="center"/>
                </w:tcPr>
                <w:p w14:paraId="571BBC9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Merge w:val="restart"/>
                  <w:vAlign w:val="center"/>
                </w:tcPr>
                <w:p w14:paraId="7A1D530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X</w:t>
                  </w:r>
                </w:p>
              </w:tc>
              <w:tc>
                <w:tcPr>
                  <w:tcW w:w="872" w:type="dxa"/>
                  <w:vMerge w:val="restart"/>
                  <w:vAlign w:val="center"/>
                </w:tcPr>
                <w:p w14:paraId="0FF64AC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Y</w:t>
                  </w:r>
                </w:p>
              </w:tc>
              <w:tc>
                <w:tcPr>
                  <w:tcW w:w="368" w:type="dxa"/>
                  <w:vMerge w:val="restart"/>
                  <w:vAlign w:val="center"/>
                </w:tcPr>
                <w:p w14:paraId="678F78C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Z</w:t>
                  </w:r>
                </w:p>
              </w:tc>
              <w:tc>
                <w:tcPr>
                  <w:tcW w:w="793" w:type="dxa"/>
                  <w:vMerge w:val="continue"/>
                  <w:vAlign w:val="center"/>
                </w:tcPr>
                <w:p w14:paraId="57699D6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09" w:type="dxa"/>
                  <w:vMerge w:val="continue"/>
                  <w:vAlign w:val="center"/>
                </w:tcPr>
                <w:p w14:paraId="6C7BD6C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701" w:type="dxa"/>
                  <w:vMerge w:val="continue"/>
                  <w:vAlign w:val="center"/>
                </w:tcPr>
                <w:p w14:paraId="589DDEB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00" w:type="dxa"/>
                  <w:vMerge w:val="continue"/>
                  <w:vAlign w:val="center"/>
                </w:tcPr>
                <w:p w14:paraId="1A97012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19" w:type="dxa"/>
                  <w:vMerge w:val="restart"/>
                  <w:vAlign w:val="center"/>
                </w:tcPr>
                <w:p w14:paraId="30EC31C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声压级/dB（A）</w:t>
                  </w:r>
                </w:p>
              </w:tc>
              <w:tc>
                <w:tcPr>
                  <w:tcW w:w="954" w:type="dxa"/>
                  <w:vMerge w:val="restart"/>
                  <w:vAlign w:val="center"/>
                </w:tcPr>
                <w:p w14:paraId="0093A1D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建筑物外距离</w:t>
                  </w:r>
                </w:p>
              </w:tc>
            </w:tr>
            <w:tr w14:paraId="216C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Merge w:val="continue"/>
                  <w:vAlign w:val="center"/>
                </w:tcPr>
                <w:p w14:paraId="3EDDEDC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6066EA9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602" w:type="dxa"/>
                  <w:vMerge w:val="continue"/>
                  <w:vAlign w:val="center"/>
                </w:tcPr>
                <w:p w14:paraId="3BF79C8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458" w:type="dxa"/>
                  <w:vMerge w:val="continue"/>
                  <w:vAlign w:val="center"/>
                </w:tcPr>
                <w:p w14:paraId="71669F5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7018868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default" w:ascii="Times New Roman" w:hAnsi="Times New Roman" w:eastAsia="宋体" w:cs="黑体"/>
                      <w:b w:val="0"/>
                      <w:bCs w:val="0"/>
                      <w:snapToGrid w:val="0"/>
                      <w:color w:val="auto"/>
                      <w:sz w:val="21"/>
                      <w:szCs w:val="21"/>
                      <w:highlight w:val="none"/>
                      <w:vertAlign w:val="baseline"/>
                      <w:lang w:val="en-US" w:eastAsia="zh-CN"/>
                    </w:rPr>
                    <w:t>(声压级/距声源距离)(dB(A)/m)</w:t>
                  </w:r>
                </w:p>
              </w:tc>
              <w:tc>
                <w:tcPr>
                  <w:tcW w:w="698" w:type="dxa"/>
                  <w:vMerge w:val="continue"/>
                  <w:vAlign w:val="center"/>
                </w:tcPr>
                <w:p w14:paraId="5452A61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Merge w:val="continue"/>
                  <w:vAlign w:val="center"/>
                </w:tcPr>
                <w:p w14:paraId="7C835E8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72" w:type="dxa"/>
                  <w:vMerge w:val="continue"/>
                  <w:vAlign w:val="center"/>
                </w:tcPr>
                <w:p w14:paraId="78CC987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368" w:type="dxa"/>
                  <w:vMerge w:val="continue"/>
                  <w:vAlign w:val="center"/>
                </w:tcPr>
                <w:p w14:paraId="1FD81CF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793" w:type="dxa"/>
                  <w:vMerge w:val="continue"/>
                  <w:vAlign w:val="center"/>
                </w:tcPr>
                <w:p w14:paraId="04BA25B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09" w:type="dxa"/>
                  <w:vMerge w:val="continue"/>
                  <w:vAlign w:val="center"/>
                </w:tcPr>
                <w:p w14:paraId="0D62A8B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701" w:type="dxa"/>
                  <w:vMerge w:val="continue"/>
                  <w:vAlign w:val="center"/>
                </w:tcPr>
                <w:p w14:paraId="21B0A0D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00" w:type="dxa"/>
                  <w:vMerge w:val="continue"/>
                  <w:vAlign w:val="center"/>
                </w:tcPr>
                <w:p w14:paraId="07D3DB0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19" w:type="dxa"/>
                  <w:vMerge w:val="continue"/>
                  <w:vAlign w:val="center"/>
                </w:tcPr>
                <w:p w14:paraId="0CB98D9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954" w:type="dxa"/>
                  <w:vMerge w:val="continue"/>
                  <w:vAlign w:val="center"/>
                </w:tcPr>
                <w:p w14:paraId="7DD7A0E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r>
            <w:tr w14:paraId="5FFF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39D2D613">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restart"/>
                  <w:vAlign w:val="center"/>
                </w:tcPr>
                <w:p w14:paraId="5707940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第一生产线</w:t>
                  </w:r>
                </w:p>
              </w:tc>
              <w:tc>
                <w:tcPr>
                  <w:tcW w:w="1602" w:type="dxa"/>
                  <w:vAlign w:val="center"/>
                </w:tcPr>
                <w:p w14:paraId="57B0DF40">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给料机</w:t>
                  </w:r>
                </w:p>
              </w:tc>
              <w:tc>
                <w:tcPr>
                  <w:tcW w:w="458" w:type="dxa"/>
                  <w:vAlign w:val="center"/>
                </w:tcPr>
                <w:p w14:paraId="443564F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7AC25EB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80/1</w:t>
                  </w:r>
                </w:p>
              </w:tc>
              <w:tc>
                <w:tcPr>
                  <w:tcW w:w="698" w:type="dxa"/>
                  <w:vMerge w:val="restart"/>
                  <w:vAlign w:val="center"/>
                </w:tcPr>
                <w:p w14:paraId="4E78F82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厂房隔声、减振基座</w:t>
                  </w:r>
                </w:p>
              </w:tc>
              <w:tc>
                <w:tcPr>
                  <w:tcW w:w="868" w:type="dxa"/>
                  <w:vAlign w:val="center"/>
                </w:tcPr>
                <w:p w14:paraId="36FCDC2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-1.97</w:t>
                  </w:r>
                </w:p>
              </w:tc>
              <w:tc>
                <w:tcPr>
                  <w:tcW w:w="872" w:type="dxa"/>
                  <w:vAlign w:val="center"/>
                </w:tcPr>
                <w:p w14:paraId="51C104C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176.83</w:t>
                  </w:r>
                </w:p>
              </w:tc>
              <w:tc>
                <w:tcPr>
                  <w:tcW w:w="368" w:type="dxa"/>
                  <w:vAlign w:val="center"/>
                </w:tcPr>
                <w:p w14:paraId="4EEC7D7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29608AE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olor w:val="auto"/>
                      <w:highlight w:val="none"/>
                    </w:rPr>
                    <w:t>4</w:t>
                  </w:r>
                </w:p>
              </w:tc>
              <w:tc>
                <w:tcPr>
                  <w:tcW w:w="1009" w:type="dxa"/>
                  <w:vAlign w:val="center"/>
                </w:tcPr>
                <w:p w14:paraId="00F91D8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67.96</w:t>
                  </w:r>
                </w:p>
              </w:tc>
              <w:tc>
                <w:tcPr>
                  <w:tcW w:w="701" w:type="dxa"/>
                  <w:vMerge w:val="restart"/>
                  <w:vAlign w:val="center"/>
                </w:tcPr>
                <w:p w14:paraId="1BA3DAA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昼间</w:t>
                  </w:r>
                </w:p>
              </w:tc>
              <w:tc>
                <w:tcPr>
                  <w:tcW w:w="1000" w:type="dxa"/>
                  <w:vAlign w:val="center"/>
                </w:tcPr>
                <w:p w14:paraId="386ACA5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583B51F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62.96</w:t>
                  </w:r>
                </w:p>
              </w:tc>
              <w:tc>
                <w:tcPr>
                  <w:tcW w:w="954" w:type="dxa"/>
                  <w:vAlign w:val="center"/>
                </w:tcPr>
                <w:p w14:paraId="7E8CE22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1994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13" w:type="dxa"/>
                  <w:vAlign w:val="center"/>
                </w:tcPr>
                <w:p w14:paraId="64703B27">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0BBEE70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451FC462">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颚式破碎机</w:t>
                  </w:r>
                </w:p>
              </w:tc>
              <w:tc>
                <w:tcPr>
                  <w:tcW w:w="458" w:type="dxa"/>
                  <w:vAlign w:val="center"/>
                </w:tcPr>
                <w:p w14:paraId="5E878C7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047B584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90</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7EF53C7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2C4EB93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-2.47</w:t>
                  </w:r>
                </w:p>
              </w:tc>
              <w:tc>
                <w:tcPr>
                  <w:tcW w:w="872" w:type="dxa"/>
                  <w:vAlign w:val="center"/>
                </w:tcPr>
                <w:p w14:paraId="023BF85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186.96</w:t>
                  </w:r>
                </w:p>
              </w:tc>
              <w:tc>
                <w:tcPr>
                  <w:tcW w:w="368" w:type="dxa"/>
                  <w:vAlign w:val="center"/>
                </w:tcPr>
                <w:p w14:paraId="557FB2E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5C06CEE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olor w:val="auto"/>
                      <w:highlight w:val="none"/>
                    </w:rPr>
                    <w:t>5</w:t>
                  </w:r>
                </w:p>
              </w:tc>
              <w:tc>
                <w:tcPr>
                  <w:tcW w:w="1009" w:type="dxa"/>
                  <w:vAlign w:val="center"/>
                </w:tcPr>
                <w:p w14:paraId="36DBEFB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76.02</w:t>
                  </w:r>
                </w:p>
              </w:tc>
              <w:tc>
                <w:tcPr>
                  <w:tcW w:w="701" w:type="dxa"/>
                  <w:vMerge w:val="continue"/>
                  <w:vAlign w:val="center"/>
                </w:tcPr>
                <w:p w14:paraId="1DE4893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3499DB3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12E5D15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71.02</w:t>
                  </w:r>
                </w:p>
              </w:tc>
              <w:tc>
                <w:tcPr>
                  <w:tcW w:w="954" w:type="dxa"/>
                  <w:vAlign w:val="center"/>
                </w:tcPr>
                <w:p w14:paraId="69519F8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3BCA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44328E69">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64AFFDC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56733E38">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反击式破碎机</w:t>
                  </w:r>
                </w:p>
              </w:tc>
              <w:tc>
                <w:tcPr>
                  <w:tcW w:w="458" w:type="dxa"/>
                  <w:vAlign w:val="center"/>
                </w:tcPr>
                <w:p w14:paraId="44BC377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0106670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90</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7B39E8F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2B6ACC4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-1.97</w:t>
                  </w:r>
                </w:p>
              </w:tc>
              <w:tc>
                <w:tcPr>
                  <w:tcW w:w="872" w:type="dxa"/>
                  <w:vAlign w:val="center"/>
                </w:tcPr>
                <w:p w14:paraId="1460152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195.05</w:t>
                  </w:r>
                </w:p>
              </w:tc>
              <w:tc>
                <w:tcPr>
                  <w:tcW w:w="368" w:type="dxa"/>
                  <w:vAlign w:val="center"/>
                </w:tcPr>
                <w:p w14:paraId="77C8A7B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319E6F5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olor w:val="auto"/>
                      <w:highlight w:val="none"/>
                    </w:rPr>
                    <w:t>3</w:t>
                  </w:r>
                </w:p>
              </w:tc>
              <w:tc>
                <w:tcPr>
                  <w:tcW w:w="1009" w:type="dxa"/>
                  <w:vAlign w:val="center"/>
                </w:tcPr>
                <w:p w14:paraId="444D121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80.46</w:t>
                  </w:r>
                </w:p>
              </w:tc>
              <w:tc>
                <w:tcPr>
                  <w:tcW w:w="701" w:type="dxa"/>
                  <w:vMerge w:val="continue"/>
                  <w:vAlign w:val="center"/>
                </w:tcPr>
                <w:p w14:paraId="475A193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3FAC3AE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5DA50EF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75.46</w:t>
                  </w:r>
                </w:p>
              </w:tc>
              <w:tc>
                <w:tcPr>
                  <w:tcW w:w="954" w:type="dxa"/>
                  <w:vAlign w:val="center"/>
                </w:tcPr>
                <w:p w14:paraId="76A3D0E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2FB4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2B762188">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7E5A826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5DE45343">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cs="黑体"/>
                      <w:b w:val="0"/>
                      <w:bCs w:val="0"/>
                      <w:snapToGrid w:val="0"/>
                      <w:color w:val="auto"/>
                      <w:sz w:val="21"/>
                      <w:szCs w:val="21"/>
                      <w:highlight w:val="none"/>
                      <w:vertAlign w:val="baseline"/>
                      <w:lang w:val="en-US" w:eastAsia="zh-CN"/>
                    </w:rPr>
                    <w:t>分筛机</w:t>
                  </w:r>
                </w:p>
              </w:tc>
              <w:tc>
                <w:tcPr>
                  <w:tcW w:w="458" w:type="dxa"/>
                  <w:vAlign w:val="center"/>
                </w:tcPr>
                <w:p w14:paraId="1E3D768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2C8F284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75/1</w:t>
                  </w:r>
                </w:p>
              </w:tc>
              <w:tc>
                <w:tcPr>
                  <w:tcW w:w="698" w:type="dxa"/>
                  <w:vMerge w:val="continue"/>
                  <w:vAlign w:val="center"/>
                </w:tcPr>
                <w:p w14:paraId="0E2483B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52BCABD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1.95</w:t>
                  </w:r>
                </w:p>
              </w:tc>
              <w:tc>
                <w:tcPr>
                  <w:tcW w:w="872" w:type="dxa"/>
                  <w:vAlign w:val="center"/>
                </w:tcPr>
                <w:p w14:paraId="449BBEA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193.28</w:t>
                  </w:r>
                </w:p>
              </w:tc>
              <w:tc>
                <w:tcPr>
                  <w:tcW w:w="368" w:type="dxa"/>
                  <w:vAlign w:val="center"/>
                </w:tcPr>
                <w:p w14:paraId="43B3618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207157B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olor w:val="auto"/>
                      <w:highlight w:val="none"/>
                    </w:rPr>
                    <w:t>5</w:t>
                  </w:r>
                </w:p>
              </w:tc>
              <w:tc>
                <w:tcPr>
                  <w:tcW w:w="1009" w:type="dxa"/>
                  <w:vAlign w:val="center"/>
                </w:tcPr>
                <w:p w14:paraId="091074B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61.02</w:t>
                  </w:r>
                </w:p>
              </w:tc>
              <w:tc>
                <w:tcPr>
                  <w:tcW w:w="701" w:type="dxa"/>
                  <w:vMerge w:val="continue"/>
                  <w:vAlign w:val="center"/>
                </w:tcPr>
                <w:p w14:paraId="1BA1217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57A0022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36A2DC4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56.02</w:t>
                  </w:r>
                </w:p>
              </w:tc>
              <w:tc>
                <w:tcPr>
                  <w:tcW w:w="954" w:type="dxa"/>
                  <w:vAlign w:val="center"/>
                </w:tcPr>
                <w:p w14:paraId="269DF36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12CE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48992901">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13BBD69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2FA4F820">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cs="黑体"/>
                      <w:b w:val="0"/>
                      <w:bCs w:val="0"/>
                      <w:snapToGrid w:val="0"/>
                      <w:color w:val="auto"/>
                      <w:sz w:val="21"/>
                      <w:szCs w:val="21"/>
                      <w:highlight w:val="none"/>
                      <w:vertAlign w:val="baseline"/>
                      <w:lang w:val="en-US" w:eastAsia="zh-CN"/>
                    </w:rPr>
                  </w:pPr>
                  <w:r>
                    <w:rPr>
                      <w:rFonts w:hint="eastAsia" w:cs="黑体"/>
                      <w:b w:val="0"/>
                      <w:bCs w:val="0"/>
                      <w:snapToGrid w:val="0"/>
                      <w:color w:val="auto"/>
                      <w:sz w:val="21"/>
                      <w:szCs w:val="21"/>
                      <w:highlight w:val="none"/>
                      <w:vertAlign w:val="baseline"/>
                      <w:lang w:val="en-US" w:eastAsia="zh-CN"/>
                    </w:rPr>
                    <w:t>滚筒筛</w:t>
                  </w:r>
                </w:p>
              </w:tc>
              <w:tc>
                <w:tcPr>
                  <w:tcW w:w="458" w:type="dxa"/>
                  <w:vAlign w:val="center"/>
                </w:tcPr>
                <w:p w14:paraId="73582CB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275BB9C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80/1</w:t>
                  </w:r>
                </w:p>
              </w:tc>
              <w:tc>
                <w:tcPr>
                  <w:tcW w:w="698" w:type="dxa"/>
                  <w:vMerge w:val="continue"/>
                  <w:vAlign w:val="center"/>
                </w:tcPr>
                <w:p w14:paraId="4BEA7F9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306A88A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2.05</w:t>
                  </w:r>
                </w:p>
              </w:tc>
              <w:tc>
                <w:tcPr>
                  <w:tcW w:w="872" w:type="dxa"/>
                  <w:vAlign w:val="center"/>
                </w:tcPr>
                <w:p w14:paraId="6193757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192.37</w:t>
                  </w:r>
                </w:p>
              </w:tc>
              <w:tc>
                <w:tcPr>
                  <w:tcW w:w="368" w:type="dxa"/>
                  <w:vAlign w:val="center"/>
                </w:tcPr>
                <w:p w14:paraId="05173EC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c>
                <w:tcPr>
                  <w:tcW w:w="793" w:type="dxa"/>
                  <w:vAlign w:val="center"/>
                </w:tcPr>
                <w:p w14:paraId="1E117E8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olor w:val="auto"/>
                      <w:highlight w:val="none"/>
                      <w:lang w:val="en-US" w:eastAsia="zh-CN"/>
                    </w:rPr>
                  </w:pPr>
                  <w:r>
                    <w:rPr>
                      <w:rFonts w:hint="eastAsia"/>
                      <w:color w:val="auto"/>
                      <w:highlight w:val="none"/>
                      <w:lang w:val="en-US" w:eastAsia="zh-CN"/>
                    </w:rPr>
                    <w:t>5</w:t>
                  </w:r>
                </w:p>
              </w:tc>
              <w:tc>
                <w:tcPr>
                  <w:tcW w:w="1009" w:type="dxa"/>
                  <w:vAlign w:val="center"/>
                </w:tcPr>
                <w:p w14:paraId="5B68957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67.96</w:t>
                  </w:r>
                </w:p>
              </w:tc>
              <w:tc>
                <w:tcPr>
                  <w:tcW w:w="701" w:type="dxa"/>
                  <w:vMerge w:val="continue"/>
                  <w:vAlign w:val="center"/>
                </w:tcPr>
                <w:p w14:paraId="1520B40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1AB8D98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5</w:t>
                  </w:r>
                </w:p>
              </w:tc>
              <w:tc>
                <w:tcPr>
                  <w:tcW w:w="1019" w:type="dxa"/>
                  <w:vAlign w:val="center"/>
                </w:tcPr>
                <w:p w14:paraId="76476C9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62.96</w:t>
                  </w:r>
                </w:p>
              </w:tc>
              <w:tc>
                <w:tcPr>
                  <w:tcW w:w="954" w:type="dxa"/>
                  <w:vAlign w:val="center"/>
                </w:tcPr>
                <w:p w14:paraId="2D1642A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0F9A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63A6A91C">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096E845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6518FC15">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输送机</w:t>
                  </w:r>
                </w:p>
              </w:tc>
              <w:tc>
                <w:tcPr>
                  <w:tcW w:w="458" w:type="dxa"/>
                  <w:vAlign w:val="center"/>
                </w:tcPr>
                <w:p w14:paraId="1D6B3AD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02A959A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75</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5AD9DCD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448747D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2.74</w:t>
                  </w:r>
                </w:p>
              </w:tc>
              <w:tc>
                <w:tcPr>
                  <w:tcW w:w="872" w:type="dxa"/>
                  <w:vAlign w:val="center"/>
                </w:tcPr>
                <w:p w14:paraId="58DD0F9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199.41</w:t>
                  </w:r>
                </w:p>
              </w:tc>
              <w:tc>
                <w:tcPr>
                  <w:tcW w:w="368" w:type="dxa"/>
                  <w:vAlign w:val="center"/>
                </w:tcPr>
                <w:p w14:paraId="381A703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3F21DDF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olor w:val="auto"/>
                      <w:highlight w:val="none"/>
                    </w:rPr>
                    <w:t>5</w:t>
                  </w:r>
                </w:p>
              </w:tc>
              <w:tc>
                <w:tcPr>
                  <w:tcW w:w="1009" w:type="dxa"/>
                  <w:vAlign w:val="center"/>
                </w:tcPr>
                <w:p w14:paraId="6344F37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61.02</w:t>
                  </w:r>
                </w:p>
              </w:tc>
              <w:tc>
                <w:tcPr>
                  <w:tcW w:w="701" w:type="dxa"/>
                  <w:vMerge w:val="continue"/>
                  <w:vAlign w:val="center"/>
                </w:tcPr>
                <w:p w14:paraId="764A90D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585B1AE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55A52FA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56.02</w:t>
                  </w:r>
                </w:p>
              </w:tc>
              <w:tc>
                <w:tcPr>
                  <w:tcW w:w="954" w:type="dxa"/>
                  <w:vAlign w:val="center"/>
                </w:tcPr>
                <w:p w14:paraId="743A313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238E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66C5BA8A">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0B32949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4E33CC4D">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风机</w:t>
                  </w:r>
                </w:p>
              </w:tc>
              <w:tc>
                <w:tcPr>
                  <w:tcW w:w="458" w:type="dxa"/>
                  <w:vAlign w:val="center"/>
                </w:tcPr>
                <w:p w14:paraId="3338D68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014BAB6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95</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76768BE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33756A3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1.36</w:t>
                  </w:r>
                </w:p>
              </w:tc>
              <w:tc>
                <w:tcPr>
                  <w:tcW w:w="872" w:type="dxa"/>
                  <w:vAlign w:val="center"/>
                </w:tcPr>
                <w:p w14:paraId="7F6F72D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201.19</w:t>
                  </w:r>
                </w:p>
              </w:tc>
              <w:tc>
                <w:tcPr>
                  <w:tcW w:w="368" w:type="dxa"/>
                  <w:vAlign w:val="center"/>
                </w:tcPr>
                <w:p w14:paraId="54B5ADF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c>
                <w:tcPr>
                  <w:tcW w:w="793" w:type="dxa"/>
                  <w:vAlign w:val="center"/>
                </w:tcPr>
                <w:p w14:paraId="657F69C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olor w:val="auto"/>
                      <w:highlight w:val="none"/>
                    </w:rPr>
                    <w:t>3</w:t>
                  </w:r>
                </w:p>
              </w:tc>
              <w:tc>
                <w:tcPr>
                  <w:tcW w:w="1009" w:type="dxa"/>
                  <w:vAlign w:val="center"/>
                </w:tcPr>
                <w:p w14:paraId="47DD2A2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85.46</w:t>
                  </w:r>
                </w:p>
              </w:tc>
              <w:tc>
                <w:tcPr>
                  <w:tcW w:w="701" w:type="dxa"/>
                  <w:vMerge w:val="continue"/>
                  <w:vAlign w:val="center"/>
                </w:tcPr>
                <w:p w14:paraId="32B59BE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18A27E3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50E4357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80.46</w:t>
                  </w:r>
                </w:p>
              </w:tc>
              <w:tc>
                <w:tcPr>
                  <w:tcW w:w="954" w:type="dxa"/>
                  <w:vAlign w:val="center"/>
                </w:tcPr>
                <w:p w14:paraId="46B2C52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6170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24BF2FB2">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restart"/>
                  <w:vAlign w:val="center"/>
                </w:tcPr>
                <w:p w14:paraId="7C60987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第二生产线</w:t>
                  </w:r>
                </w:p>
              </w:tc>
              <w:tc>
                <w:tcPr>
                  <w:tcW w:w="1602" w:type="dxa"/>
                  <w:vAlign w:val="center"/>
                </w:tcPr>
                <w:p w14:paraId="569EA574">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给料机</w:t>
                  </w:r>
                </w:p>
              </w:tc>
              <w:tc>
                <w:tcPr>
                  <w:tcW w:w="458" w:type="dxa"/>
                  <w:vAlign w:val="center"/>
                </w:tcPr>
                <w:p w14:paraId="224CA42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0253B9D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80/1</w:t>
                  </w:r>
                </w:p>
              </w:tc>
              <w:tc>
                <w:tcPr>
                  <w:tcW w:w="698" w:type="dxa"/>
                  <w:vMerge w:val="continue"/>
                  <w:vAlign w:val="center"/>
                </w:tcPr>
                <w:p w14:paraId="2BE0EA3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75E7416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64.75</w:t>
                  </w:r>
                </w:p>
              </w:tc>
              <w:tc>
                <w:tcPr>
                  <w:tcW w:w="872" w:type="dxa"/>
                  <w:vAlign w:val="center"/>
                </w:tcPr>
                <w:p w14:paraId="64A95A8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190.61</w:t>
                  </w:r>
                </w:p>
              </w:tc>
              <w:tc>
                <w:tcPr>
                  <w:tcW w:w="368" w:type="dxa"/>
                  <w:vAlign w:val="center"/>
                </w:tcPr>
                <w:p w14:paraId="51DDF93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5656793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4</w:t>
                  </w:r>
                </w:p>
              </w:tc>
              <w:tc>
                <w:tcPr>
                  <w:tcW w:w="1009" w:type="dxa"/>
                  <w:vAlign w:val="center"/>
                </w:tcPr>
                <w:p w14:paraId="79E881A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67.96</w:t>
                  </w:r>
                </w:p>
              </w:tc>
              <w:tc>
                <w:tcPr>
                  <w:tcW w:w="701" w:type="dxa"/>
                  <w:vMerge w:val="continue"/>
                  <w:vAlign w:val="center"/>
                </w:tcPr>
                <w:p w14:paraId="22601A4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319C99D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1435D61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62.96</w:t>
                  </w:r>
                </w:p>
              </w:tc>
              <w:tc>
                <w:tcPr>
                  <w:tcW w:w="954" w:type="dxa"/>
                  <w:vAlign w:val="center"/>
                </w:tcPr>
                <w:p w14:paraId="4FD8EAA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3E96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15F6410E">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6307BDD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5A2CFB35">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颚式破碎机</w:t>
                  </w:r>
                </w:p>
              </w:tc>
              <w:tc>
                <w:tcPr>
                  <w:tcW w:w="458" w:type="dxa"/>
                  <w:vAlign w:val="center"/>
                </w:tcPr>
                <w:p w14:paraId="1B69198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0CB1D4A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90</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50D6615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1704887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65.76</w:t>
                  </w:r>
                </w:p>
              </w:tc>
              <w:tc>
                <w:tcPr>
                  <w:tcW w:w="872" w:type="dxa"/>
                  <w:vAlign w:val="center"/>
                </w:tcPr>
                <w:p w14:paraId="48941D0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197.70</w:t>
                  </w:r>
                </w:p>
              </w:tc>
              <w:tc>
                <w:tcPr>
                  <w:tcW w:w="368" w:type="dxa"/>
                  <w:vAlign w:val="center"/>
                </w:tcPr>
                <w:p w14:paraId="4EA90F3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61493CD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5</w:t>
                  </w:r>
                </w:p>
              </w:tc>
              <w:tc>
                <w:tcPr>
                  <w:tcW w:w="1009" w:type="dxa"/>
                  <w:vAlign w:val="center"/>
                </w:tcPr>
                <w:p w14:paraId="06E025E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76.02</w:t>
                  </w:r>
                </w:p>
              </w:tc>
              <w:tc>
                <w:tcPr>
                  <w:tcW w:w="701" w:type="dxa"/>
                  <w:vMerge w:val="continue"/>
                  <w:vAlign w:val="center"/>
                </w:tcPr>
                <w:p w14:paraId="414F764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36ACFA7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73D7163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71.02</w:t>
                  </w:r>
                </w:p>
              </w:tc>
              <w:tc>
                <w:tcPr>
                  <w:tcW w:w="954" w:type="dxa"/>
                  <w:vAlign w:val="center"/>
                </w:tcPr>
                <w:p w14:paraId="75D5EEA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42B2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469D2B42">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15A8D94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51D00D56">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反击式破碎机</w:t>
                  </w:r>
                </w:p>
              </w:tc>
              <w:tc>
                <w:tcPr>
                  <w:tcW w:w="458" w:type="dxa"/>
                  <w:vAlign w:val="center"/>
                </w:tcPr>
                <w:p w14:paraId="0D70843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306CAE4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90</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29E0F9E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764AFEF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66.27</w:t>
                  </w:r>
                </w:p>
              </w:tc>
              <w:tc>
                <w:tcPr>
                  <w:tcW w:w="872" w:type="dxa"/>
                  <w:vAlign w:val="center"/>
                </w:tcPr>
                <w:p w14:paraId="33FFE43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203.77</w:t>
                  </w:r>
                </w:p>
              </w:tc>
              <w:tc>
                <w:tcPr>
                  <w:tcW w:w="368" w:type="dxa"/>
                  <w:vAlign w:val="center"/>
                </w:tcPr>
                <w:p w14:paraId="6E1E13A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5864DA7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3</w:t>
                  </w:r>
                </w:p>
              </w:tc>
              <w:tc>
                <w:tcPr>
                  <w:tcW w:w="1009" w:type="dxa"/>
                  <w:vAlign w:val="center"/>
                </w:tcPr>
                <w:p w14:paraId="547579F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80.46</w:t>
                  </w:r>
                </w:p>
              </w:tc>
              <w:tc>
                <w:tcPr>
                  <w:tcW w:w="701" w:type="dxa"/>
                  <w:vMerge w:val="continue"/>
                  <w:vAlign w:val="center"/>
                </w:tcPr>
                <w:p w14:paraId="065BAAA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0E18CF2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18F9D33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75.46</w:t>
                  </w:r>
                </w:p>
              </w:tc>
              <w:tc>
                <w:tcPr>
                  <w:tcW w:w="954" w:type="dxa"/>
                  <w:vAlign w:val="center"/>
                </w:tcPr>
                <w:p w14:paraId="33F1B1A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5D36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663C7626">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2860D5D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0FBA30AB">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cs="黑体"/>
                      <w:b w:val="0"/>
                      <w:bCs w:val="0"/>
                      <w:snapToGrid w:val="0"/>
                      <w:color w:val="auto"/>
                      <w:sz w:val="21"/>
                      <w:szCs w:val="21"/>
                      <w:highlight w:val="none"/>
                      <w:vertAlign w:val="baseline"/>
                      <w:lang w:val="en-US" w:eastAsia="zh-CN"/>
                    </w:rPr>
                    <w:t>分筛机</w:t>
                  </w:r>
                </w:p>
              </w:tc>
              <w:tc>
                <w:tcPr>
                  <w:tcW w:w="458" w:type="dxa"/>
                  <w:vAlign w:val="center"/>
                </w:tcPr>
                <w:p w14:paraId="734BA41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4C17854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75/1</w:t>
                  </w:r>
                </w:p>
              </w:tc>
              <w:tc>
                <w:tcPr>
                  <w:tcW w:w="698" w:type="dxa"/>
                  <w:vMerge w:val="continue"/>
                  <w:vAlign w:val="center"/>
                </w:tcPr>
                <w:p w14:paraId="00D13C2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31ED50E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60.58</w:t>
                  </w:r>
                </w:p>
              </w:tc>
              <w:tc>
                <w:tcPr>
                  <w:tcW w:w="872" w:type="dxa"/>
                  <w:vAlign w:val="center"/>
                </w:tcPr>
                <w:p w14:paraId="72AFC27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199.47</w:t>
                  </w:r>
                </w:p>
              </w:tc>
              <w:tc>
                <w:tcPr>
                  <w:tcW w:w="368" w:type="dxa"/>
                  <w:vAlign w:val="center"/>
                </w:tcPr>
                <w:p w14:paraId="7DC2891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1CE2715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5</w:t>
                  </w:r>
                </w:p>
              </w:tc>
              <w:tc>
                <w:tcPr>
                  <w:tcW w:w="1009" w:type="dxa"/>
                  <w:vAlign w:val="center"/>
                </w:tcPr>
                <w:p w14:paraId="6822C0E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61.02</w:t>
                  </w:r>
                </w:p>
              </w:tc>
              <w:tc>
                <w:tcPr>
                  <w:tcW w:w="701" w:type="dxa"/>
                  <w:vMerge w:val="continue"/>
                  <w:vAlign w:val="center"/>
                </w:tcPr>
                <w:p w14:paraId="12886DB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5B83EAA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62706C7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56.02</w:t>
                  </w:r>
                </w:p>
              </w:tc>
              <w:tc>
                <w:tcPr>
                  <w:tcW w:w="954" w:type="dxa"/>
                  <w:vAlign w:val="center"/>
                </w:tcPr>
                <w:p w14:paraId="5BCCF27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2E0C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1B67C2F7">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6BA9AEA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2149ACDA">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cs="黑体"/>
                      <w:b w:val="0"/>
                      <w:bCs w:val="0"/>
                      <w:snapToGrid w:val="0"/>
                      <w:color w:val="auto"/>
                      <w:sz w:val="21"/>
                      <w:szCs w:val="21"/>
                      <w:highlight w:val="none"/>
                      <w:vertAlign w:val="baseline"/>
                      <w:lang w:val="en-US" w:eastAsia="zh-CN"/>
                    </w:rPr>
                    <w:t>滚筒筛</w:t>
                  </w:r>
                </w:p>
              </w:tc>
              <w:tc>
                <w:tcPr>
                  <w:tcW w:w="458" w:type="dxa"/>
                  <w:vAlign w:val="center"/>
                </w:tcPr>
                <w:p w14:paraId="4C7CFCE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3E42382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80/1</w:t>
                  </w:r>
                </w:p>
              </w:tc>
              <w:tc>
                <w:tcPr>
                  <w:tcW w:w="698" w:type="dxa"/>
                  <w:vMerge w:val="continue"/>
                  <w:vAlign w:val="center"/>
                </w:tcPr>
                <w:p w14:paraId="1EF588A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3DB8D4E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66.37</w:t>
                  </w:r>
                </w:p>
              </w:tc>
              <w:tc>
                <w:tcPr>
                  <w:tcW w:w="872" w:type="dxa"/>
                  <w:vAlign w:val="center"/>
                </w:tcPr>
                <w:p w14:paraId="753CEC4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200.57</w:t>
                  </w:r>
                </w:p>
              </w:tc>
              <w:tc>
                <w:tcPr>
                  <w:tcW w:w="368" w:type="dxa"/>
                  <w:vAlign w:val="center"/>
                </w:tcPr>
                <w:p w14:paraId="58D7794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c>
                <w:tcPr>
                  <w:tcW w:w="793" w:type="dxa"/>
                  <w:vAlign w:val="center"/>
                </w:tcPr>
                <w:p w14:paraId="60B2352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color w:val="auto"/>
                      <w:highlight w:val="none"/>
                      <w:lang w:val="en-US" w:eastAsia="zh-CN"/>
                    </w:rPr>
                    <w:t>5</w:t>
                  </w:r>
                </w:p>
              </w:tc>
              <w:tc>
                <w:tcPr>
                  <w:tcW w:w="1009" w:type="dxa"/>
                  <w:vAlign w:val="center"/>
                </w:tcPr>
                <w:p w14:paraId="315AFDC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67.96</w:t>
                  </w:r>
                </w:p>
              </w:tc>
              <w:tc>
                <w:tcPr>
                  <w:tcW w:w="701" w:type="dxa"/>
                  <w:vMerge w:val="continue"/>
                  <w:vAlign w:val="center"/>
                </w:tcPr>
                <w:p w14:paraId="2682FC3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5097FB4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5</w:t>
                  </w:r>
                </w:p>
              </w:tc>
              <w:tc>
                <w:tcPr>
                  <w:tcW w:w="1019" w:type="dxa"/>
                  <w:vAlign w:val="center"/>
                </w:tcPr>
                <w:p w14:paraId="7A035C0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62.96</w:t>
                  </w:r>
                </w:p>
              </w:tc>
              <w:tc>
                <w:tcPr>
                  <w:tcW w:w="954" w:type="dxa"/>
                  <w:vAlign w:val="center"/>
                </w:tcPr>
                <w:p w14:paraId="362D954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57D8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2118A89E">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43A6A49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078AC418">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输送机</w:t>
                  </w:r>
                </w:p>
              </w:tc>
              <w:tc>
                <w:tcPr>
                  <w:tcW w:w="458" w:type="dxa"/>
                  <w:vAlign w:val="center"/>
                </w:tcPr>
                <w:p w14:paraId="0F33C7D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609589C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75</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4EA76B9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10B2DFD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67.21</w:t>
                  </w:r>
                </w:p>
              </w:tc>
              <w:tc>
                <w:tcPr>
                  <w:tcW w:w="872" w:type="dxa"/>
                  <w:vAlign w:val="center"/>
                </w:tcPr>
                <w:p w14:paraId="61EDF31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201.44</w:t>
                  </w:r>
                </w:p>
              </w:tc>
              <w:tc>
                <w:tcPr>
                  <w:tcW w:w="368" w:type="dxa"/>
                  <w:vAlign w:val="center"/>
                </w:tcPr>
                <w:p w14:paraId="025753C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40D6BC3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5</w:t>
                  </w:r>
                </w:p>
              </w:tc>
              <w:tc>
                <w:tcPr>
                  <w:tcW w:w="1009" w:type="dxa"/>
                  <w:vAlign w:val="center"/>
                </w:tcPr>
                <w:p w14:paraId="383583D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61.02</w:t>
                  </w:r>
                </w:p>
              </w:tc>
              <w:tc>
                <w:tcPr>
                  <w:tcW w:w="701" w:type="dxa"/>
                  <w:vMerge w:val="continue"/>
                  <w:vAlign w:val="center"/>
                </w:tcPr>
                <w:p w14:paraId="1B70FEA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375B0F5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07DCF95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56.02</w:t>
                  </w:r>
                </w:p>
              </w:tc>
              <w:tc>
                <w:tcPr>
                  <w:tcW w:w="954" w:type="dxa"/>
                  <w:vAlign w:val="center"/>
                </w:tcPr>
                <w:p w14:paraId="53A09C5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4E1B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6F2A4D1F">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16049BC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578A6B1C">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风机</w:t>
                  </w:r>
                </w:p>
              </w:tc>
              <w:tc>
                <w:tcPr>
                  <w:tcW w:w="458" w:type="dxa"/>
                  <w:vAlign w:val="center"/>
                </w:tcPr>
                <w:p w14:paraId="1455B19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1851BF3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95</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3757A64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3E5EFB6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66.69</w:t>
                  </w:r>
                </w:p>
              </w:tc>
              <w:tc>
                <w:tcPr>
                  <w:tcW w:w="872" w:type="dxa"/>
                  <w:vAlign w:val="center"/>
                </w:tcPr>
                <w:p w14:paraId="647E004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198.56</w:t>
                  </w:r>
                </w:p>
              </w:tc>
              <w:tc>
                <w:tcPr>
                  <w:tcW w:w="368" w:type="dxa"/>
                  <w:vAlign w:val="center"/>
                </w:tcPr>
                <w:p w14:paraId="3EB7734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c>
                <w:tcPr>
                  <w:tcW w:w="793" w:type="dxa"/>
                  <w:vAlign w:val="center"/>
                </w:tcPr>
                <w:p w14:paraId="2C8AB89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3</w:t>
                  </w:r>
                </w:p>
              </w:tc>
              <w:tc>
                <w:tcPr>
                  <w:tcW w:w="1009" w:type="dxa"/>
                  <w:vAlign w:val="center"/>
                </w:tcPr>
                <w:p w14:paraId="1738EA1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85.46</w:t>
                  </w:r>
                </w:p>
              </w:tc>
              <w:tc>
                <w:tcPr>
                  <w:tcW w:w="701" w:type="dxa"/>
                  <w:vMerge w:val="continue"/>
                  <w:vAlign w:val="center"/>
                </w:tcPr>
                <w:p w14:paraId="19D02DC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459D1B9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1B72E8A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80.46</w:t>
                  </w:r>
                </w:p>
              </w:tc>
              <w:tc>
                <w:tcPr>
                  <w:tcW w:w="954" w:type="dxa"/>
                  <w:vAlign w:val="center"/>
                </w:tcPr>
                <w:p w14:paraId="4D4F562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2D68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2E3EDE9F">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restart"/>
                  <w:vAlign w:val="center"/>
                </w:tcPr>
                <w:p w14:paraId="38A76D7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第三生产线</w:t>
                  </w:r>
                </w:p>
              </w:tc>
              <w:tc>
                <w:tcPr>
                  <w:tcW w:w="1602" w:type="dxa"/>
                  <w:vAlign w:val="center"/>
                </w:tcPr>
                <w:p w14:paraId="4DC40F76">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给料机</w:t>
                  </w:r>
                </w:p>
              </w:tc>
              <w:tc>
                <w:tcPr>
                  <w:tcW w:w="458" w:type="dxa"/>
                  <w:vAlign w:val="center"/>
                </w:tcPr>
                <w:p w14:paraId="0DCC8D8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14FE52B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80/1</w:t>
                  </w:r>
                </w:p>
              </w:tc>
              <w:tc>
                <w:tcPr>
                  <w:tcW w:w="698" w:type="dxa"/>
                  <w:vMerge w:val="continue"/>
                  <w:vAlign w:val="center"/>
                </w:tcPr>
                <w:p w14:paraId="074E380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3FA8E91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103.09</w:t>
                  </w:r>
                </w:p>
              </w:tc>
              <w:tc>
                <w:tcPr>
                  <w:tcW w:w="872" w:type="dxa"/>
                  <w:vAlign w:val="center"/>
                </w:tcPr>
                <w:p w14:paraId="34B70E5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175.43</w:t>
                  </w:r>
                </w:p>
              </w:tc>
              <w:tc>
                <w:tcPr>
                  <w:tcW w:w="368" w:type="dxa"/>
                  <w:vAlign w:val="center"/>
                </w:tcPr>
                <w:p w14:paraId="053DFFB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2439B85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4</w:t>
                  </w:r>
                </w:p>
              </w:tc>
              <w:tc>
                <w:tcPr>
                  <w:tcW w:w="1009" w:type="dxa"/>
                  <w:vAlign w:val="center"/>
                </w:tcPr>
                <w:p w14:paraId="555BAE0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67.96</w:t>
                  </w:r>
                </w:p>
              </w:tc>
              <w:tc>
                <w:tcPr>
                  <w:tcW w:w="701" w:type="dxa"/>
                  <w:vMerge w:val="continue"/>
                  <w:vAlign w:val="center"/>
                </w:tcPr>
                <w:p w14:paraId="367FACB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7BACAC0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0866E37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62.96</w:t>
                  </w:r>
                </w:p>
              </w:tc>
              <w:tc>
                <w:tcPr>
                  <w:tcW w:w="954" w:type="dxa"/>
                  <w:vAlign w:val="center"/>
                </w:tcPr>
                <w:p w14:paraId="5D74E4E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6CAB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78F853A6">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438C91C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07E671C2">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颚式破碎机</w:t>
                  </w:r>
                </w:p>
              </w:tc>
              <w:tc>
                <w:tcPr>
                  <w:tcW w:w="458" w:type="dxa"/>
                  <w:vAlign w:val="center"/>
                </w:tcPr>
                <w:p w14:paraId="2FF674E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63F4838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90</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19652E8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4DF9856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103.09</w:t>
                  </w:r>
                </w:p>
              </w:tc>
              <w:tc>
                <w:tcPr>
                  <w:tcW w:w="872" w:type="dxa"/>
                  <w:vAlign w:val="center"/>
                </w:tcPr>
                <w:p w14:paraId="46F13AA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181.00</w:t>
                  </w:r>
                </w:p>
              </w:tc>
              <w:tc>
                <w:tcPr>
                  <w:tcW w:w="368" w:type="dxa"/>
                  <w:vAlign w:val="center"/>
                </w:tcPr>
                <w:p w14:paraId="11BB780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4C73E67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5</w:t>
                  </w:r>
                </w:p>
              </w:tc>
              <w:tc>
                <w:tcPr>
                  <w:tcW w:w="1009" w:type="dxa"/>
                  <w:vAlign w:val="center"/>
                </w:tcPr>
                <w:p w14:paraId="4D46B17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76.02</w:t>
                  </w:r>
                </w:p>
              </w:tc>
              <w:tc>
                <w:tcPr>
                  <w:tcW w:w="701" w:type="dxa"/>
                  <w:vMerge w:val="continue"/>
                  <w:vAlign w:val="center"/>
                </w:tcPr>
                <w:p w14:paraId="586DC78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2AB54D9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7B43623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71.02</w:t>
                  </w:r>
                </w:p>
              </w:tc>
              <w:tc>
                <w:tcPr>
                  <w:tcW w:w="954" w:type="dxa"/>
                  <w:vAlign w:val="center"/>
                </w:tcPr>
                <w:p w14:paraId="49CE057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190D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4B946C25">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4366FA7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1282EB1F">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反击式破碎机</w:t>
                  </w:r>
                </w:p>
              </w:tc>
              <w:tc>
                <w:tcPr>
                  <w:tcW w:w="458" w:type="dxa"/>
                  <w:vAlign w:val="center"/>
                </w:tcPr>
                <w:p w14:paraId="597DEEE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17BF6C2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90</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14FFB38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225443F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103.85</w:t>
                  </w:r>
                </w:p>
              </w:tc>
              <w:tc>
                <w:tcPr>
                  <w:tcW w:w="872" w:type="dxa"/>
                  <w:vAlign w:val="center"/>
                </w:tcPr>
                <w:p w14:paraId="5C4782D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176.53</w:t>
                  </w:r>
                </w:p>
              </w:tc>
              <w:tc>
                <w:tcPr>
                  <w:tcW w:w="368" w:type="dxa"/>
                  <w:vAlign w:val="center"/>
                </w:tcPr>
                <w:p w14:paraId="1126BE0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63BACD0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3</w:t>
                  </w:r>
                </w:p>
              </w:tc>
              <w:tc>
                <w:tcPr>
                  <w:tcW w:w="1009" w:type="dxa"/>
                  <w:vAlign w:val="center"/>
                </w:tcPr>
                <w:p w14:paraId="30C1FDA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80.46</w:t>
                  </w:r>
                </w:p>
              </w:tc>
              <w:tc>
                <w:tcPr>
                  <w:tcW w:w="701" w:type="dxa"/>
                  <w:vMerge w:val="continue"/>
                  <w:vAlign w:val="center"/>
                </w:tcPr>
                <w:p w14:paraId="0A38647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31958FC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2CF8238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75.46</w:t>
                  </w:r>
                </w:p>
              </w:tc>
              <w:tc>
                <w:tcPr>
                  <w:tcW w:w="954" w:type="dxa"/>
                  <w:vAlign w:val="center"/>
                </w:tcPr>
                <w:p w14:paraId="6B669D7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56DA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6AB81F16">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0073972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489EEF22">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cs="黑体"/>
                      <w:b w:val="0"/>
                      <w:bCs w:val="0"/>
                      <w:snapToGrid w:val="0"/>
                      <w:color w:val="auto"/>
                      <w:sz w:val="21"/>
                      <w:szCs w:val="21"/>
                      <w:highlight w:val="none"/>
                      <w:vertAlign w:val="baseline"/>
                      <w:lang w:val="en-US" w:eastAsia="zh-CN"/>
                    </w:rPr>
                    <w:t>分筛机</w:t>
                  </w:r>
                </w:p>
              </w:tc>
              <w:tc>
                <w:tcPr>
                  <w:tcW w:w="458" w:type="dxa"/>
                  <w:vAlign w:val="center"/>
                </w:tcPr>
                <w:p w14:paraId="0413F5A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4313784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75/1</w:t>
                  </w:r>
                </w:p>
              </w:tc>
              <w:tc>
                <w:tcPr>
                  <w:tcW w:w="698" w:type="dxa"/>
                  <w:vMerge w:val="continue"/>
                  <w:vAlign w:val="center"/>
                </w:tcPr>
                <w:p w14:paraId="51F2699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0011820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105.67</w:t>
                  </w:r>
                </w:p>
              </w:tc>
              <w:tc>
                <w:tcPr>
                  <w:tcW w:w="872" w:type="dxa"/>
                  <w:vAlign w:val="center"/>
                </w:tcPr>
                <w:p w14:paraId="43A8CBF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177.42</w:t>
                  </w:r>
                </w:p>
              </w:tc>
              <w:tc>
                <w:tcPr>
                  <w:tcW w:w="368" w:type="dxa"/>
                  <w:vAlign w:val="center"/>
                </w:tcPr>
                <w:p w14:paraId="14538E4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154C979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5</w:t>
                  </w:r>
                </w:p>
              </w:tc>
              <w:tc>
                <w:tcPr>
                  <w:tcW w:w="1009" w:type="dxa"/>
                  <w:vAlign w:val="center"/>
                </w:tcPr>
                <w:p w14:paraId="6E1D5B6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61.02</w:t>
                  </w:r>
                </w:p>
              </w:tc>
              <w:tc>
                <w:tcPr>
                  <w:tcW w:w="701" w:type="dxa"/>
                  <w:vMerge w:val="continue"/>
                  <w:vAlign w:val="center"/>
                </w:tcPr>
                <w:p w14:paraId="3AA6CED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7E57E21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67F9E4A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56.02</w:t>
                  </w:r>
                </w:p>
              </w:tc>
              <w:tc>
                <w:tcPr>
                  <w:tcW w:w="954" w:type="dxa"/>
                  <w:vAlign w:val="center"/>
                </w:tcPr>
                <w:p w14:paraId="60BCF6B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440F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54EF4BA0">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5B77784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06C41415">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cs="黑体"/>
                      <w:b w:val="0"/>
                      <w:bCs w:val="0"/>
                      <w:snapToGrid w:val="0"/>
                      <w:color w:val="auto"/>
                      <w:sz w:val="21"/>
                      <w:szCs w:val="21"/>
                      <w:highlight w:val="none"/>
                      <w:vertAlign w:val="baseline"/>
                      <w:lang w:val="en-US" w:eastAsia="zh-CN"/>
                    </w:rPr>
                    <w:t>滚筒筛</w:t>
                  </w:r>
                </w:p>
              </w:tc>
              <w:tc>
                <w:tcPr>
                  <w:tcW w:w="458" w:type="dxa"/>
                  <w:vAlign w:val="center"/>
                </w:tcPr>
                <w:p w14:paraId="4C64DCD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1BF8D75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80/1</w:t>
                  </w:r>
                </w:p>
              </w:tc>
              <w:tc>
                <w:tcPr>
                  <w:tcW w:w="698" w:type="dxa"/>
                  <w:vMerge w:val="continue"/>
                  <w:vAlign w:val="center"/>
                </w:tcPr>
                <w:p w14:paraId="08143AF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67ED63C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104.22</w:t>
                  </w:r>
                </w:p>
              </w:tc>
              <w:tc>
                <w:tcPr>
                  <w:tcW w:w="872" w:type="dxa"/>
                  <w:vAlign w:val="center"/>
                </w:tcPr>
                <w:p w14:paraId="4364745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176.82</w:t>
                  </w:r>
                </w:p>
              </w:tc>
              <w:tc>
                <w:tcPr>
                  <w:tcW w:w="368" w:type="dxa"/>
                  <w:vAlign w:val="center"/>
                </w:tcPr>
                <w:p w14:paraId="40695D4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c>
                <w:tcPr>
                  <w:tcW w:w="793" w:type="dxa"/>
                  <w:vAlign w:val="center"/>
                </w:tcPr>
                <w:p w14:paraId="4BD58BC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color w:val="auto"/>
                      <w:highlight w:val="none"/>
                      <w:lang w:val="en-US" w:eastAsia="zh-CN"/>
                    </w:rPr>
                    <w:t>5</w:t>
                  </w:r>
                </w:p>
              </w:tc>
              <w:tc>
                <w:tcPr>
                  <w:tcW w:w="1009" w:type="dxa"/>
                  <w:vAlign w:val="center"/>
                </w:tcPr>
                <w:p w14:paraId="04890CC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67.96</w:t>
                  </w:r>
                </w:p>
              </w:tc>
              <w:tc>
                <w:tcPr>
                  <w:tcW w:w="701" w:type="dxa"/>
                  <w:vMerge w:val="continue"/>
                  <w:vAlign w:val="center"/>
                </w:tcPr>
                <w:p w14:paraId="0F9AEDC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0C98554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5</w:t>
                  </w:r>
                </w:p>
              </w:tc>
              <w:tc>
                <w:tcPr>
                  <w:tcW w:w="1019" w:type="dxa"/>
                  <w:vAlign w:val="center"/>
                </w:tcPr>
                <w:p w14:paraId="69009EA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62.96</w:t>
                  </w:r>
                </w:p>
              </w:tc>
              <w:tc>
                <w:tcPr>
                  <w:tcW w:w="954" w:type="dxa"/>
                  <w:vAlign w:val="center"/>
                </w:tcPr>
                <w:p w14:paraId="5B39485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188A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1DA605A1">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170D6F77">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70648B02">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球磨机</w:t>
                  </w:r>
                </w:p>
              </w:tc>
              <w:tc>
                <w:tcPr>
                  <w:tcW w:w="458" w:type="dxa"/>
                  <w:vAlign w:val="center"/>
                </w:tcPr>
                <w:p w14:paraId="48CFF91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65C2A83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95/1</w:t>
                  </w:r>
                </w:p>
              </w:tc>
              <w:tc>
                <w:tcPr>
                  <w:tcW w:w="698" w:type="dxa"/>
                  <w:vMerge w:val="continue"/>
                  <w:vAlign w:val="center"/>
                </w:tcPr>
                <w:p w14:paraId="76439E4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025A829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104.35</w:t>
                  </w:r>
                </w:p>
              </w:tc>
              <w:tc>
                <w:tcPr>
                  <w:tcW w:w="872" w:type="dxa"/>
                  <w:vAlign w:val="center"/>
                </w:tcPr>
                <w:p w14:paraId="286B7C6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177.03</w:t>
                  </w:r>
                </w:p>
              </w:tc>
              <w:tc>
                <w:tcPr>
                  <w:tcW w:w="368" w:type="dxa"/>
                  <w:vAlign w:val="center"/>
                </w:tcPr>
                <w:p w14:paraId="749BB57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c>
                <w:tcPr>
                  <w:tcW w:w="793" w:type="dxa"/>
                  <w:vAlign w:val="center"/>
                </w:tcPr>
                <w:p w14:paraId="79E5265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olor w:val="auto"/>
                      <w:highlight w:val="none"/>
                      <w:lang w:val="en-US" w:eastAsia="zh-CN"/>
                    </w:rPr>
                  </w:pPr>
                  <w:r>
                    <w:rPr>
                      <w:rFonts w:hint="eastAsia"/>
                      <w:color w:val="auto"/>
                      <w:highlight w:val="none"/>
                      <w:lang w:val="en-US" w:eastAsia="zh-CN"/>
                    </w:rPr>
                    <w:t>5</w:t>
                  </w:r>
                </w:p>
              </w:tc>
              <w:tc>
                <w:tcPr>
                  <w:tcW w:w="1009" w:type="dxa"/>
                  <w:vAlign w:val="center"/>
                </w:tcPr>
                <w:p w14:paraId="1CB9004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81.02</w:t>
                  </w:r>
                </w:p>
              </w:tc>
              <w:tc>
                <w:tcPr>
                  <w:tcW w:w="701" w:type="dxa"/>
                  <w:vMerge w:val="continue"/>
                  <w:vAlign w:val="center"/>
                </w:tcPr>
                <w:p w14:paraId="4D36FA4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612598F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5</w:t>
                  </w:r>
                </w:p>
              </w:tc>
              <w:tc>
                <w:tcPr>
                  <w:tcW w:w="1019" w:type="dxa"/>
                  <w:vAlign w:val="center"/>
                </w:tcPr>
                <w:p w14:paraId="583AD20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76.02</w:t>
                  </w:r>
                </w:p>
              </w:tc>
              <w:tc>
                <w:tcPr>
                  <w:tcW w:w="954" w:type="dxa"/>
                  <w:vAlign w:val="center"/>
                </w:tcPr>
                <w:p w14:paraId="7C083A1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r>
            <w:tr w14:paraId="2D28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15DA6DA8">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4C99C0F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080A88B1">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输送机</w:t>
                  </w:r>
                </w:p>
              </w:tc>
              <w:tc>
                <w:tcPr>
                  <w:tcW w:w="458" w:type="dxa"/>
                  <w:vAlign w:val="center"/>
                </w:tcPr>
                <w:p w14:paraId="3F8FD76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655D3AF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75</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4AF3E3B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7A45CC2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102.33</w:t>
                  </w:r>
                </w:p>
              </w:tc>
              <w:tc>
                <w:tcPr>
                  <w:tcW w:w="872" w:type="dxa"/>
                  <w:vAlign w:val="center"/>
                </w:tcPr>
                <w:p w14:paraId="76D51A8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178.99</w:t>
                  </w:r>
                </w:p>
              </w:tc>
              <w:tc>
                <w:tcPr>
                  <w:tcW w:w="368" w:type="dxa"/>
                  <w:vAlign w:val="center"/>
                </w:tcPr>
                <w:p w14:paraId="6BC28C3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793" w:type="dxa"/>
                  <w:vAlign w:val="center"/>
                </w:tcPr>
                <w:p w14:paraId="04AA71E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5</w:t>
                  </w:r>
                </w:p>
              </w:tc>
              <w:tc>
                <w:tcPr>
                  <w:tcW w:w="1009" w:type="dxa"/>
                  <w:vAlign w:val="center"/>
                </w:tcPr>
                <w:p w14:paraId="0E06DC2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61.02</w:t>
                  </w:r>
                </w:p>
              </w:tc>
              <w:tc>
                <w:tcPr>
                  <w:tcW w:w="701" w:type="dxa"/>
                  <w:vMerge w:val="continue"/>
                  <w:vAlign w:val="center"/>
                </w:tcPr>
                <w:p w14:paraId="478C632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4142E52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56DD413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56.02</w:t>
                  </w:r>
                </w:p>
              </w:tc>
              <w:tc>
                <w:tcPr>
                  <w:tcW w:w="954" w:type="dxa"/>
                  <w:vAlign w:val="center"/>
                </w:tcPr>
                <w:p w14:paraId="684BFAB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13E2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56C39F1F">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30A581F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472F4CB4">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风机</w:t>
                  </w:r>
                </w:p>
              </w:tc>
              <w:tc>
                <w:tcPr>
                  <w:tcW w:w="458" w:type="dxa"/>
                  <w:vAlign w:val="center"/>
                </w:tcPr>
                <w:p w14:paraId="75CDF1C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0BA6877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95</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31EDB32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674A312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98.16</w:t>
                  </w:r>
                </w:p>
              </w:tc>
              <w:tc>
                <w:tcPr>
                  <w:tcW w:w="872" w:type="dxa"/>
                  <w:vAlign w:val="center"/>
                </w:tcPr>
                <w:p w14:paraId="7E590A6F">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177.14</w:t>
                  </w:r>
                </w:p>
              </w:tc>
              <w:tc>
                <w:tcPr>
                  <w:tcW w:w="368" w:type="dxa"/>
                  <w:vAlign w:val="center"/>
                </w:tcPr>
                <w:p w14:paraId="751EE33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c>
                <w:tcPr>
                  <w:tcW w:w="793" w:type="dxa"/>
                  <w:vAlign w:val="center"/>
                </w:tcPr>
                <w:p w14:paraId="7511DB5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olor w:val="auto"/>
                      <w:highlight w:val="none"/>
                    </w:rPr>
                  </w:pPr>
                  <w:r>
                    <w:rPr>
                      <w:rFonts w:hint="eastAsia" w:ascii="Times New Roman" w:hAnsi="Times New Roman"/>
                      <w:color w:val="auto"/>
                      <w:highlight w:val="none"/>
                    </w:rPr>
                    <w:t>3</w:t>
                  </w:r>
                </w:p>
              </w:tc>
              <w:tc>
                <w:tcPr>
                  <w:tcW w:w="1009" w:type="dxa"/>
                  <w:vAlign w:val="center"/>
                </w:tcPr>
                <w:p w14:paraId="47BB0A5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85.46</w:t>
                  </w:r>
                </w:p>
              </w:tc>
              <w:tc>
                <w:tcPr>
                  <w:tcW w:w="701" w:type="dxa"/>
                  <w:vMerge w:val="continue"/>
                  <w:vAlign w:val="center"/>
                </w:tcPr>
                <w:p w14:paraId="1DCFBFB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0C243838">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w:t>
                  </w:r>
                </w:p>
              </w:tc>
              <w:tc>
                <w:tcPr>
                  <w:tcW w:w="1019" w:type="dxa"/>
                  <w:vAlign w:val="center"/>
                </w:tcPr>
                <w:p w14:paraId="35887D3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80.46</w:t>
                  </w:r>
                </w:p>
              </w:tc>
              <w:tc>
                <w:tcPr>
                  <w:tcW w:w="954" w:type="dxa"/>
                  <w:vAlign w:val="center"/>
                </w:tcPr>
                <w:p w14:paraId="25194E0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3DB9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3ABE94E0">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restart"/>
                  <w:vAlign w:val="center"/>
                </w:tcPr>
                <w:p w14:paraId="1F24D7D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其他</w:t>
                  </w:r>
                </w:p>
              </w:tc>
              <w:tc>
                <w:tcPr>
                  <w:tcW w:w="1602" w:type="dxa"/>
                  <w:vAlign w:val="center"/>
                </w:tcPr>
                <w:p w14:paraId="31C416A4">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水泵1</w:t>
                  </w:r>
                </w:p>
              </w:tc>
              <w:tc>
                <w:tcPr>
                  <w:tcW w:w="458" w:type="dxa"/>
                  <w:vAlign w:val="center"/>
                </w:tcPr>
                <w:p w14:paraId="16B4AC7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5B3BA5A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80</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41B3984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56E10E7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-0.79</w:t>
                  </w:r>
                </w:p>
              </w:tc>
              <w:tc>
                <w:tcPr>
                  <w:tcW w:w="872" w:type="dxa"/>
                  <w:vAlign w:val="center"/>
                </w:tcPr>
                <w:p w14:paraId="4518A78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11.39</w:t>
                  </w:r>
                </w:p>
              </w:tc>
              <w:tc>
                <w:tcPr>
                  <w:tcW w:w="368" w:type="dxa"/>
                  <w:vAlign w:val="center"/>
                </w:tcPr>
                <w:p w14:paraId="241FDD0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c>
                <w:tcPr>
                  <w:tcW w:w="793" w:type="dxa"/>
                  <w:vAlign w:val="center"/>
                </w:tcPr>
                <w:p w14:paraId="57F5669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olor w:val="auto"/>
                      <w:highlight w:val="none"/>
                    </w:rPr>
                    <w:t>3</w:t>
                  </w:r>
                </w:p>
              </w:tc>
              <w:tc>
                <w:tcPr>
                  <w:tcW w:w="1009" w:type="dxa"/>
                  <w:vAlign w:val="center"/>
                </w:tcPr>
                <w:p w14:paraId="78C1CCE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70.46</w:t>
                  </w:r>
                </w:p>
              </w:tc>
              <w:tc>
                <w:tcPr>
                  <w:tcW w:w="701" w:type="dxa"/>
                  <w:vMerge w:val="restart"/>
                  <w:vAlign w:val="center"/>
                </w:tcPr>
                <w:p w14:paraId="3AD80A2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昼间</w:t>
                  </w:r>
                </w:p>
              </w:tc>
              <w:tc>
                <w:tcPr>
                  <w:tcW w:w="1000" w:type="dxa"/>
                  <w:vAlign w:val="center"/>
                </w:tcPr>
                <w:p w14:paraId="1ACC798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20</w:t>
                  </w:r>
                </w:p>
              </w:tc>
              <w:tc>
                <w:tcPr>
                  <w:tcW w:w="1019" w:type="dxa"/>
                  <w:vAlign w:val="center"/>
                </w:tcPr>
                <w:p w14:paraId="39B2FB69">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50.46</w:t>
                  </w:r>
                </w:p>
              </w:tc>
              <w:tc>
                <w:tcPr>
                  <w:tcW w:w="954" w:type="dxa"/>
                  <w:vAlign w:val="center"/>
                </w:tcPr>
                <w:p w14:paraId="186D9BD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192C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249733A2">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47780DEA">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7D020376">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水泵2</w:t>
                  </w:r>
                </w:p>
              </w:tc>
              <w:tc>
                <w:tcPr>
                  <w:tcW w:w="458" w:type="dxa"/>
                  <w:vAlign w:val="center"/>
                </w:tcPr>
                <w:p w14:paraId="6C18E78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48B3B1DC">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80</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6D3FF94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77A78CD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67.03</w:t>
                  </w:r>
                </w:p>
              </w:tc>
              <w:tc>
                <w:tcPr>
                  <w:tcW w:w="872" w:type="dxa"/>
                  <w:vAlign w:val="center"/>
                </w:tcPr>
                <w:p w14:paraId="00818DF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19.49</w:t>
                  </w:r>
                </w:p>
              </w:tc>
              <w:tc>
                <w:tcPr>
                  <w:tcW w:w="368" w:type="dxa"/>
                  <w:vAlign w:val="center"/>
                </w:tcPr>
                <w:p w14:paraId="7D812F8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c>
                <w:tcPr>
                  <w:tcW w:w="793" w:type="dxa"/>
                  <w:vAlign w:val="center"/>
                </w:tcPr>
                <w:p w14:paraId="6900BF8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olor w:val="auto"/>
                      <w:highlight w:val="none"/>
                    </w:rPr>
                    <w:t>2</w:t>
                  </w:r>
                </w:p>
              </w:tc>
              <w:tc>
                <w:tcPr>
                  <w:tcW w:w="1009" w:type="dxa"/>
                  <w:vAlign w:val="center"/>
                </w:tcPr>
                <w:p w14:paraId="70DFD33D">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73.98</w:t>
                  </w:r>
                </w:p>
              </w:tc>
              <w:tc>
                <w:tcPr>
                  <w:tcW w:w="701" w:type="dxa"/>
                  <w:vMerge w:val="continue"/>
                  <w:vAlign w:val="center"/>
                </w:tcPr>
                <w:p w14:paraId="6DBA6FE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3ABDF54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20</w:t>
                  </w:r>
                </w:p>
              </w:tc>
              <w:tc>
                <w:tcPr>
                  <w:tcW w:w="1019" w:type="dxa"/>
                  <w:vAlign w:val="center"/>
                </w:tcPr>
                <w:p w14:paraId="1699972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53.98</w:t>
                  </w:r>
                </w:p>
              </w:tc>
              <w:tc>
                <w:tcPr>
                  <w:tcW w:w="954" w:type="dxa"/>
                  <w:vAlign w:val="center"/>
                </w:tcPr>
                <w:p w14:paraId="1DE24CC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r w14:paraId="3484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24F6003D">
                  <w:pPr>
                    <w:pStyle w:val="30"/>
                    <w:keepNext w:val="0"/>
                    <w:keepLines w:val="0"/>
                    <w:pageBreakBefore w:val="0"/>
                    <w:widowControl/>
                    <w:numPr>
                      <w:ilvl w:val="0"/>
                      <w:numId w:val="11"/>
                    </w:numPr>
                    <w:kinsoku/>
                    <w:wordWrap/>
                    <w:overflowPunct/>
                    <w:topLinePunct w:val="0"/>
                    <w:autoSpaceDE/>
                    <w:autoSpaceDN/>
                    <w:bidi w:val="0"/>
                    <w:adjustRightInd w:val="0"/>
                    <w:snapToGrid w:val="0"/>
                    <w:spacing w:before="0" w:beforeAutospacing="0" w:after="0" w:afterAutospacing="0"/>
                    <w:ind w:left="425" w:leftChars="0" w:hanging="425" w:firstLineChars="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711" w:type="dxa"/>
                  <w:vMerge w:val="continue"/>
                  <w:vAlign w:val="center"/>
                </w:tcPr>
                <w:p w14:paraId="65DF14C6">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02" w:type="dxa"/>
                  <w:vAlign w:val="center"/>
                </w:tcPr>
                <w:p w14:paraId="1DFA6AB6">
                  <w:pPr>
                    <w:keepNext w:val="0"/>
                    <w:keepLines/>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污水处理水泵</w:t>
                  </w:r>
                </w:p>
              </w:tc>
              <w:tc>
                <w:tcPr>
                  <w:tcW w:w="458" w:type="dxa"/>
                  <w:vAlign w:val="center"/>
                </w:tcPr>
                <w:p w14:paraId="7D5E34B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1612" w:type="dxa"/>
                  <w:vAlign w:val="center"/>
                </w:tcPr>
                <w:p w14:paraId="5C96DA92">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80</w:t>
                  </w:r>
                  <w:r>
                    <w:rPr>
                      <w:rFonts w:hint="eastAsia" w:ascii="Times New Roman" w:hAnsi="Times New Roman" w:eastAsia="宋体" w:cs="黑体"/>
                      <w:b w:val="0"/>
                      <w:bCs w:val="0"/>
                      <w:snapToGrid w:val="0"/>
                      <w:color w:val="auto"/>
                      <w:sz w:val="21"/>
                      <w:szCs w:val="21"/>
                      <w:highlight w:val="none"/>
                      <w:vertAlign w:val="baseline"/>
                      <w:lang w:val="en-US" w:eastAsia="zh-CN"/>
                    </w:rPr>
                    <w:t>/1</w:t>
                  </w:r>
                </w:p>
              </w:tc>
              <w:tc>
                <w:tcPr>
                  <w:tcW w:w="698" w:type="dxa"/>
                  <w:vMerge w:val="continue"/>
                  <w:vAlign w:val="center"/>
                </w:tcPr>
                <w:p w14:paraId="06C2395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p>
              </w:tc>
              <w:tc>
                <w:tcPr>
                  <w:tcW w:w="868" w:type="dxa"/>
                  <w:vAlign w:val="center"/>
                </w:tcPr>
                <w:p w14:paraId="6C24ADF0">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178.88</w:t>
                  </w:r>
                </w:p>
              </w:tc>
              <w:tc>
                <w:tcPr>
                  <w:tcW w:w="872" w:type="dxa"/>
                  <w:vAlign w:val="center"/>
                </w:tcPr>
                <w:p w14:paraId="6216FC93">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-12.40</w:t>
                  </w:r>
                </w:p>
              </w:tc>
              <w:tc>
                <w:tcPr>
                  <w:tcW w:w="368" w:type="dxa"/>
                  <w:vAlign w:val="center"/>
                </w:tcPr>
                <w:p w14:paraId="3FB4E86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s="黑体"/>
                      <w:b w:val="0"/>
                      <w:bCs w:val="0"/>
                      <w:snapToGrid w:val="0"/>
                      <w:color w:val="auto"/>
                      <w:sz w:val="21"/>
                      <w:szCs w:val="21"/>
                      <w:highlight w:val="none"/>
                      <w:vertAlign w:val="baseline"/>
                      <w:lang w:val="en-US" w:eastAsia="zh-CN"/>
                    </w:rPr>
                    <w:t>1</w:t>
                  </w:r>
                </w:p>
              </w:tc>
              <w:tc>
                <w:tcPr>
                  <w:tcW w:w="793" w:type="dxa"/>
                  <w:vAlign w:val="center"/>
                </w:tcPr>
                <w:p w14:paraId="14CD3F0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color w:val="auto"/>
                      <w:highlight w:val="none"/>
                    </w:rPr>
                    <w:t>2</w:t>
                  </w:r>
                </w:p>
              </w:tc>
              <w:tc>
                <w:tcPr>
                  <w:tcW w:w="1009" w:type="dxa"/>
                  <w:vAlign w:val="center"/>
                </w:tcPr>
                <w:p w14:paraId="34CF9BE1">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73.98</w:t>
                  </w:r>
                </w:p>
              </w:tc>
              <w:tc>
                <w:tcPr>
                  <w:tcW w:w="701" w:type="dxa"/>
                  <w:vMerge w:val="continue"/>
                  <w:vAlign w:val="center"/>
                </w:tcPr>
                <w:p w14:paraId="5A5278D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p>
              </w:tc>
              <w:tc>
                <w:tcPr>
                  <w:tcW w:w="1000" w:type="dxa"/>
                  <w:vAlign w:val="center"/>
                </w:tcPr>
                <w:p w14:paraId="5F4B46F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20</w:t>
                  </w:r>
                </w:p>
              </w:tc>
              <w:tc>
                <w:tcPr>
                  <w:tcW w:w="1019" w:type="dxa"/>
                  <w:vAlign w:val="center"/>
                </w:tcPr>
                <w:p w14:paraId="5B644FA4">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53.98</w:t>
                  </w:r>
                </w:p>
              </w:tc>
              <w:tc>
                <w:tcPr>
                  <w:tcW w:w="954" w:type="dxa"/>
                  <w:vAlign w:val="center"/>
                </w:tcPr>
                <w:p w14:paraId="517BBD75">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highlight w:val="none"/>
                      <w:vertAlign w:val="baseline"/>
                      <w:lang w:val="en-US" w:eastAsia="zh-CN"/>
                    </w:rPr>
                  </w:pPr>
                  <w:r>
                    <w:rPr>
                      <w:rFonts w:hint="eastAsia" w:ascii="Times New Roman" w:hAnsi="Times New Roman" w:eastAsia="宋体" w:cs="黑体"/>
                      <w:b w:val="0"/>
                      <w:bCs w:val="0"/>
                      <w:snapToGrid w:val="0"/>
                      <w:color w:val="auto"/>
                      <w:sz w:val="21"/>
                      <w:szCs w:val="21"/>
                      <w:highlight w:val="none"/>
                      <w:vertAlign w:val="baseline"/>
                      <w:lang w:val="en-US" w:eastAsia="zh-CN"/>
                    </w:rPr>
                    <w:t>1</w:t>
                  </w:r>
                </w:p>
              </w:tc>
            </w:tr>
          </w:tbl>
          <w:p w14:paraId="4B257959">
            <w:pPr>
              <w:pStyle w:val="83"/>
              <w:rPr>
                <w:rFonts w:hint="eastAsia" w:ascii="Times New Roman" w:hAnsi="Times New Roman"/>
                <w:color w:val="auto"/>
                <w:highlight w:val="none"/>
                <w:vertAlign w:val="baseline"/>
              </w:rPr>
            </w:pPr>
          </w:p>
          <w:p w14:paraId="76C096EB">
            <w:pPr>
              <w:pStyle w:val="83"/>
              <w:rPr>
                <w:rFonts w:hint="eastAsia" w:ascii="Times New Roman" w:hAnsi="Times New Roman"/>
                <w:color w:val="auto"/>
                <w:highlight w:val="none"/>
                <w:vertAlign w:val="baseline"/>
              </w:rPr>
            </w:pPr>
          </w:p>
          <w:p w14:paraId="6C8A9E00">
            <w:pPr>
              <w:pStyle w:val="83"/>
              <w:rPr>
                <w:rFonts w:hint="eastAsia" w:ascii="Times New Roman" w:hAnsi="Times New Roman"/>
                <w:color w:val="auto"/>
                <w:highlight w:val="none"/>
                <w:vertAlign w:val="baseline"/>
              </w:rPr>
            </w:pPr>
          </w:p>
          <w:p w14:paraId="3FD23259">
            <w:pPr>
              <w:pStyle w:val="83"/>
              <w:rPr>
                <w:rFonts w:hint="eastAsia" w:ascii="Times New Roman" w:hAnsi="Times New Roman"/>
                <w:color w:val="auto"/>
                <w:highlight w:val="none"/>
                <w:vertAlign w:val="baseline"/>
              </w:rPr>
            </w:pPr>
          </w:p>
          <w:p w14:paraId="38ABF874">
            <w:pPr>
              <w:pStyle w:val="83"/>
              <w:rPr>
                <w:rFonts w:hint="eastAsia" w:ascii="Times New Roman" w:hAnsi="Times New Roman"/>
                <w:color w:val="auto"/>
                <w:highlight w:val="none"/>
                <w:vertAlign w:val="baseline"/>
              </w:rPr>
            </w:pPr>
          </w:p>
          <w:p w14:paraId="694E5EE5">
            <w:pPr>
              <w:pStyle w:val="83"/>
              <w:rPr>
                <w:rFonts w:hint="eastAsia" w:ascii="Times New Roman" w:hAnsi="Times New Roman"/>
                <w:color w:val="auto"/>
                <w:highlight w:val="none"/>
                <w:vertAlign w:val="baseline"/>
              </w:rPr>
            </w:pPr>
          </w:p>
          <w:p w14:paraId="009EB3BB">
            <w:pPr>
              <w:pStyle w:val="83"/>
              <w:rPr>
                <w:rFonts w:hint="eastAsia" w:ascii="Times New Roman" w:hAnsi="Times New Roman"/>
                <w:color w:val="auto"/>
                <w:highlight w:val="none"/>
                <w:vertAlign w:val="baseline"/>
              </w:rPr>
            </w:pPr>
          </w:p>
          <w:p w14:paraId="1C2DA83B">
            <w:pPr>
              <w:pStyle w:val="83"/>
              <w:rPr>
                <w:rFonts w:hint="eastAsia" w:ascii="Times New Roman" w:hAnsi="Times New Roman"/>
                <w:color w:val="auto"/>
                <w:highlight w:val="none"/>
                <w:vertAlign w:val="baseline"/>
              </w:rPr>
            </w:pPr>
          </w:p>
          <w:p w14:paraId="5B0596FF">
            <w:pPr>
              <w:pStyle w:val="83"/>
              <w:rPr>
                <w:rFonts w:hint="eastAsia" w:ascii="Times New Roman" w:hAnsi="Times New Roman"/>
                <w:color w:val="auto"/>
                <w:highlight w:val="none"/>
                <w:vertAlign w:val="baseline"/>
              </w:rPr>
            </w:pPr>
          </w:p>
          <w:p w14:paraId="4A58E51B">
            <w:pPr>
              <w:pStyle w:val="83"/>
              <w:rPr>
                <w:rFonts w:hint="eastAsia" w:ascii="Times New Roman" w:hAnsi="Times New Roman"/>
                <w:color w:val="auto"/>
                <w:highlight w:val="none"/>
                <w:vertAlign w:val="baseline"/>
              </w:rPr>
            </w:pPr>
          </w:p>
          <w:p w14:paraId="5E2B54EA">
            <w:pPr>
              <w:pStyle w:val="83"/>
              <w:rPr>
                <w:rFonts w:hint="eastAsia" w:ascii="Times New Roman" w:hAnsi="Times New Roman"/>
                <w:color w:val="auto"/>
                <w:highlight w:val="none"/>
                <w:vertAlign w:val="baseline"/>
              </w:rPr>
            </w:pPr>
          </w:p>
          <w:p w14:paraId="7938FE45">
            <w:pPr>
              <w:pStyle w:val="83"/>
              <w:ind w:left="0" w:leftChars="0" w:firstLine="0" w:firstLineChars="0"/>
              <w:rPr>
                <w:rFonts w:hint="eastAsia" w:ascii="Times New Roman" w:hAnsi="Times New Roman"/>
                <w:color w:val="auto"/>
                <w:highlight w:val="none"/>
                <w:vertAlign w:val="baseline"/>
              </w:rPr>
            </w:pPr>
          </w:p>
          <w:p w14:paraId="79CBAA0F">
            <w:pPr>
              <w:pStyle w:val="83"/>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textAlignment w:val="auto"/>
              <w:rPr>
                <w:rFonts w:hint="eastAsia" w:ascii="Times New Roman" w:hAnsi="Times New Roman"/>
                <w:color w:val="auto"/>
                <w:sz w:val="10"/>
                <w:szCs w:val="10"/>
                <w:highlight w:val="none"/>
                <w:vertAlign w:val="baseline"/>
              </w:rPr>
            </w:pPr>
          </w:p>
        </w:tc>
      </w:tr>
    </w:tbl>
    <w:p w14:paraId="1B4DCAE1">
      <w:pPr>
        <w:pStyle w:val="34"/>
        <w:ind w:left="0" w:leftChars="0" w:firstLine="0" w:firstLineChars="0"/>
        <w:rPr>
          <w:rFonts w:hint="eastAsia" w:ascii="Times New Roman" w:hAnsi="Times New Roman"/>
          <w:color w:val="auto"/>
          <w:highlight w:val="none"/>
        </w:rPr>
        <w:sectPr>
          <w:pgSz w:w="16838" w:h="11905" w:orient="landscape"/>
          <w:pgMar w:top="1701" w:right="1440" w:bottom="1701" w:left="1440" w:header="851" w:footer="1077" w:gutter="0"/>
          <w:cols w:space="720" w:num="1"/>
          <w:docGrid w:type="lines" w:linePitch="317" w:charSpace="0"/>
        </w:sectPr>
      </w:pPr>
    </w:p>
    <w:tbl>
      <w:tblPr>
        <w:tblStyle w:val="35"/>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06"/>
      </w:tblGrid>
      <w:tr w14:paraId="6889E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4" w:hRule="atLeast"/>
          <w:jc w:val="center"/>
        </w:trPr>
        <w:tc>
          <w:tcPr>
            <w:tcW w:w="485" w:type="dxa"/>
            <w:noWrap w:val="0"/>
            <w:tcMar>
              <w:left w:w="28" w:type="dxa"/>
              <w:right w:w="28" w:type="dxa"/>
            </w:tcMar>
            <w:vAlign w:val="center"/>
          </w:tcPr>
          <w:p w14:paraId="643A6434">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运营</w:t>
            </w:r>
          </w:p>
          <w:p w14:paraId="528A67D0">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期环</w:t>
            </w:r>
          </w:p>
          <w:p w14:paraId="2F6459A6">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境影</w:t>
            </w:r>
          </w:p>
          <w:p w14:paraId="2F5EA328">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响和</w:t>
            </w:r>
          </w:p>
          <w:p w14:paraId="22719C78">
            <w:pPr>
              <w:adjustRightInd w:val="0"/>
              <w:snapToGrid w:val="0"/>
              <w:jc w:val="center"/>
              <w:rPr>
                <w:rFonts w:hint="eastAsia" w:ascii="Times New Roman" w:hAnsi="Times New Roman" w:cs="宋体"/>
                <w:b/>
                <w:bCs/>
                <w:color w:val="auto"/>
                <w:sz w:val="24"/>
                <w:highlight w:val="none"/>
              </w:rPr>
            </w:pPr>
            <w:r>
              <w:rPr>
                <w:rFonts w:hint="eastAsia" w:ascii="Times New Roman" w:hAnsi="Times New Roman" w:cs="宋体"/>
                <w:b/>
                <w:bCs/>
                <w:color w:val="auto"/>
                <w:sz w:val="24"/>
                <w:highlight w:val="none"/>
              </w:rPr>
              <w:t>保护</w:t>
            </w:r>
          </w:p>
          <w:p w14:paraId="484F78BC">
            <w:pPr>
              <w:adjustRightInd w:val="0"/>
              <w:snapToGrid w:val="0"/>
              <w:jc w:val="center"/>
              <w:rPr>
                <w:rFonts w:ascii="Times New Roman" w:hAnsi="Times New Roman" w:cs="宋体"/>
                <w:b/>
                <w:bCs/>
                <w:color w:val="auto"/>
                <w:sz w:val="24"/>
                <w:highlight w:val="none"/>
              </w:rPr>
            </w:pPr>
            <w:r>
              <w:rPr>
                <w:rFonts w:hint="eastAsia" w:ascii="Times New Roman" w:hAnsi="Times New Roman" w:cs="宋体"/>
                <w:b/>
                <w:bCs/>
                <w:color w:val="auto"/>
                <w:sz w:val="24"/>
                <w:highlight w:val="none"/>
              </w:rPr>
              <w:t>措施</w:t>
            </w:r>
          </w:p>
        </w:tc>
        <w:tc>
          <w:tcPr>
            <w:tcW w:w="8406" w:type="dxa"/>
            <w:noWrap w:val="0"/>
            <w:vAlign w:val="top"/>
          </w:tcPr>
          <w:p w14:paraId="6BFE1559">
            <w:pPr>
              <w:pStyle w:val="70"/>
              <w:ind w:firstLine="0" w:firstLineChars="0"/>
              <w:rPr>
                <w:rFonts w:hint="eastAsia" w:ascii="Times New Roman" w:hAnsi="Times New Roman"/>
                <w:b/>
                <w:bCs/>
                <w:color w:val="auto"/>
                <w:highlight w:val="none"/>
              </w:rPr>
            </w:pPr>
            <w:r>
              <w:rPr>
                <w:rFonts w:hint="eastAsia" w:ascii="Times New Roman" w:hAnsi="Times New Roman"/>
                <w:b/>
                <w:bCs/>
                <w:color w:val="auto"/>
                <w:highlight w:val="none"/>
                <w:lang w:val="en-US" w:eastAsia="zh-CN"/>
              </w:rPr>
              <w:t>二、</w:t>
            </w:r>
            <w:r>
              <w:rPr>
                <w:rFonts w:hint="eastAsia" w:ascii="Times New Roman" w:hAnsi="Times New Roman"/>
                <w:b/>
                <w:bCs/>
                <w:color w:val="auto"/>
                <w:highlight w:val="none"/>
              </w:rPr>
              <w:t>噪声预测模式</w:t>
            </w:r>
          </w:p>
          <w:p w14:paraId="1DC62309">
            <w:pPr>
              <w:pStyle w:val="70"/>
              <w:ind w:firstLine="480"/>
              <w:rPr>
                <w:rFonts w:ascii="Times New Roman" w:hAnsi="Times New Roman"/>
                <w:color w:val="auto"/>
                <w:highlight w:val="none"/>
              </w:rPr>
            </w:pPr>
            <w:r>
              <w:rPr>
                <w:rFonts w:ascii="Times New Roman" w:hAnsi="Times New Roman"/>
                <w:color w:val="auto"/>
                <w:highlight w:val="none"/>
              </w:rPr>
              <w:t>（1）源强及采取的降噪措施</w:t>
            </w:r>
          </w:p>
          <w:p w14:paraId="3FB4D732">
            <w:pPr>
              <w:pStyle w:val="70"/>
              <w:ind w:firstLine="480"/>
              <w:rPr>
                <w:rFonts w:ascii="Times New Roman" w:hAnsi="Times New Roman"/>
                <w:color w:val="auto"/>
                <w:highlight w:val="none"/>
              </w:rPr>
            </w:pPr>
            <w:r>
              <w:rPr>
                <w:rFonts w:ascii="Times New Roman" w:hAnsi="Times New Roman"/>
                <w:color w:val="auto"/>
                <w:highlight w:val="none"/>
              </w:rPr>
              <w:t>项目建成运营后，生产设备噪声来源主要为</w:t>
            </w:r>
            <w:r>
              <w:rPr>
                <w:rFonts w:hint="eastAsia" w:ascii="Times New Roman" w:hAnsi="Times New Roman"/>
                <w:bCs/>
                <w:color w:val="auto"/>
                <w:sz w:val="24"/>
                <w:highlight w:val="none"/>
              </w:rPr>
              <w:t>破碎机、振动筛、废气治理设施风机、水泵</w:t>
            </w:r>
            <w:r>
              <w:rPr>
                <w:rFonts w:ascii="Times New Roman" w:hAnsi="Times New Roman"/>
                <w:color w:val="auto"/>
                <w:highlight w:val="none"/>
              </w:rPr>
              <w:t>等生产机械设备，设备噪声源强为</w:t>
            </w:r>
            <w:r>
              <w:rPr>
                <w:rFonts w:hint="eastAsia" w:ascii="Times New Roman" w:hAnsi="Times New Roman"/>
                <w:color w:val="auto"/>
                <w:highlight w:val="none"/>
                <w:lang w:val="en-US" w:eastAsia="zh-CN"/>
              </w:rPr>
              <w:t>70</w:t>
            </w:r>
            <w:r>
              <w:rPr>
                <w:rFonts w:ascii="Times New Roman" w:hAnsi="Times New Roman"/>
                <w:color w:val="auto"/>
                <w:highlight w:val="none"/>
              </w:rPr>
              <w:t>～</w:t>
            </w:r>
            <w:r>
              <w:rPr>
                <w:rFonts w:hint="eastAsia" w:ascii="Times New Roman" w:hAnsi="Times New Roman"/>
                <w:color w:val="auto"/>
                <w:highlight w:val="none"/>
                <w:lang w:val="en-US" w:eastAsia="zh-CN"/>
              </w:rPr>
              <w:t>95</w:t>
            </w:r>
            <w:r>
              <w:rPr>
                <w:rFonts w:ascii="Times New Roman" w:hAnsi="Times New Roman"/>
                <w:color w:val="auto"/>
                <w:highlight w:val="none"/>
              </w:rPr>
              <w:t>dB(A)。</w:t>
            </w:r>
          </w:p>
          <w:p w14:paraId="1315136F">
            <w:pPr>
              <w:pStyle w:val="70"/>
              <w:ind w:firstLine="480"/>
              <w:rPr>
                <w:rFonts w:ascii="Times New Roman" w:hAnsi="Times New Roman"/>
                <w:color w:val="auto"/>
                <w:highlight w:val="none"/>
              </w:rPr>
            </w:pPr>
            <w:r>
              <w:rPr>
                <w:rFonts w:ascii="Times New Roman" w:hAnsi="Times New Roman"/>
                <w:color w:val="auto"/>
                <w:highlight w:val="none"/>
              </w:rPr>
              <w:t>为了尽可能降低机械设备噪声对周围敏感点的影响，本环评建议建设单位要进一步加强机械设备噪声防治措施，具体降噪措施如下：</w:t>
            </w:r>
          </w:p>
          <w:p w14:paraId="5428C3FA">
            <w:pPr>
              <w:pStyle w:val="70"/>
              <w:ind w:firstLine="480"/>
              <w:rPr>
                <w:rFonts w:ascii="Times New Roman" w:hAnsi="Times New Roman"/>
                <w:color w:val="auto"/>
                <w:highlight w:val="none"/>
              </w:rPr>
            </w:pPr>
            <w:r>
              <w:rPr>
                <w:rFonts w:ascii="Times New Roman" w:hAnsi="Times New Roman"/>
                <w:color w:val="auto"/>
                <w:highlight w:val="none"/>
              </w:rPr>
              <w:t>①加强设备的维护，确保设备处于</w:t>
            </w:r>
            <w:r>
              <w:rPr>
                <w:rFonts w:hint="eastAsia" w:ascii="Times New Roman" w:hAnsi="Times New Roman"/>
                <w:color w:val="auto"/>
                <w:highlight w:val="none"/>
                <w:lang w:eastAsia="zh-CN"/>
              </w:rPr>
              <w:t>良好</w:t>
            </w:r>
            <w:r>
              <w:rPr>
                <w:rFonts w:ascii="Times New Roman" w:hAnsi="Times New Roman"/>
                <w:color w:val="auto"/>
                <w:highlight w:val="none"/>
              </w:rPr>
              <w:t>运转状态，杜绝因设备不正常运转产生高噪声现象</w:t>
            </w:r>
            <w:r>
              <w:rPr>
                <w:rFonts w:hint="eastAsia" w:ascii="Times New Roman" w:hAnsi="Times New Roman"/>
                <w:color w:val="auto"/>
                <w:highlight w:val="none"/>
              </w:rPr>
              <w:t>；</w:t>
            </w:r>
          </w:p>
          <w:p w14:paraId="14468913">
            <w:pPr>
              <w:pStyle w:val="70"/>
              <w:ind w:firstLine="480"/>
              <w:rPr>
                <w:rFonts w:ascii="Times New Roman" w:hAnsi="Times New Roman"/>
                <w:color w:val="auto"/>
                <w:highlight w:val="none"/>
              </w:rPr>
            </w:pPr>
            <w:r>
              <w:rPr>
                <w:rFonts w:ascii="Times New Roman" w:hAnsi="Times New Roman"/>
                <w:color w:val="auto"/>
                <w:highlight w:val="none"/>
              </w:rPr>
              <w:t>②对于噪声较大的设备，布置在厂房内或安装消声器、减震垫</w:t>
            </w:r>
            <w:r>
              <w:rPr>
                <w:rFonts w:hint="eastAsia" w:ascii="Times New Roman" w:hAnsi="Times New Roman"/>
                <w:color w:val="auto"/>
                <w:highlight w:val="none"/>
              </w:rPr>
              <w:t>；</w:t>
            </w:r>
          </w:p>
          <w:p w14:paraId="7DD0A83C">
            <w:pPr>
              <w:pStyle w:val="70"/>
              <w:ind w:firstLine="480"/>
              <w:rPr>
                <w:rFonts w:ascii="Times New Roman" w:hAnsi="Times New Roman"/>
                <w:color w:val="auto"/>
                <w:highlight w:val="none"/>
              </w:rPr>
            </w:pPr>
            <w:r>
              <w:rPr>
                <w:rFonts w:hint="eastAsia" w:ascii="Times New Roman" w:hAnsi="Times New Roman"/>
                <w:color w:val="auto"/>
                <w:highlight w:val="none"/>
              </w:rPr>
              <w:t>③</w:t>
            </w:r>
            <w:r>
              <w:rPr>
                <w:rFonts w:ascii="Times New Roman" w:hAnsi="Times New Roman"/>
                <w:color w:val="auto"/>
                <w:highlight w:val="none"/>
              </w:rPr>
              <w:t>对强噪声设备安装橡胶</w:t>
            </w:r>
            <w:r>
              <w:rPr>
                <w:rFonts w:hint="eastAsia" w:ascii="Times New Roman" w:hAnsi="Times New Roman"/>
                <w:color w:val="auto"/>
                <w:highlight w:val="none"/>
                <w:lang w:eastAsia="zh-CN"/>
              </w:rPr>
              <w:t>减振</w:t>
            </w:r>
            <w:r>
              <w:rPr>
                <w:rFonts w:ascii="Times New Roman" w:hAnsi="Times New Roman"/>
                <w:color w:val="auto"/>
                <w:highlight w:val="none"/>
              </w:rPr>
              <w:t>设施，以减少振动，降低噪声；</w:t>
            </w:r>
          </w:p>
          <w:p w14:paraId="68EC4157">
            <w:pPr>
              <w:pStyle w:val="70"/>
              <w:ind w:firstLine="480"/>
              <w:rPr>
                <w:rFonts w:ascii="Times New Roman" w:hAnsi="Times New Roman" w:eastAsia="宋体" w:cs="宋体"/>
                <w:color w:val="auto"/>
                <w:highlight w:val="none"/>
              </w:rPr>
            </w:pPr>
            <w:r>
              <w:rPr>
                <w:rFonts w:ascii="Times New Roman" w:hAnsi="Times New Roman" w:eastAsia="宋体" w:cs="宋体"/>
                <w:color w:val="auto"/>
                <w:highlight w:val="none"/>
              </w:rPr>
              <w:t>（2）厂界影响预测分析</w:t>
            </w:r>
          </w:p>
          <w:p w14:paraId="1B10448E">
            <w:pPr>
              <w:pStyle w:val="70"/>
              <w:ind w:firstLine="480"/>
              <w:rPr>
                <w:rFonts w:hint="eastAsia"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1）噪声预测方法</w:t>
            </w:r>
          </w:p>
          <w:p w14:paraId="6827EA7B">
            <w:pPr>
              <w:pStyle w:val="70"/>
              <w:ind w:firstLine="480"/>
              <w:rPr>
                <w:rFonts w:hint="eastAsia" w:ascii="Times New Roman" w:hAnsi="Times New Roman"/>
                <w:color w:val="auto"/>
                <w:sz w:val="24"/>
                <w:highlight w:val="none"/>
              </w:rPr>
            </w:pPr>
            <w:r>
              <w:rPr>
                <w:rFonts w:hint="eastAsia" w:ascii="Times New Roman" w:hAnsi="Times New Roman"/>
                <w:color w:val="auto"/>
                <w:sz w:val="24"/>
                <w:highlight w:val="none"/>
              </w:rPr>
              <w:t>项目设备均置于房内，属于室内噪声源；根据《环境影响评价技术导则声环境》（HJ2.4-2021），室内噪声采用附录B中室内噪声源等效室外噪声源声功率级计算方法，将室内主要声源等效为室外声源，根据附录A中室外声源估算方法分别计算等效室外声源和室外声源在计算点产生的声级，然后根据噪声贡献值计算公式对工程声源对计算点产生的贡献值进行叠加。</w:t>
            </w:r>
          </w:p>
          <w:p w14:paraId="41E9AD6E">
            <w:pPr>
              <w:pStyle w:val="70"/>
              <w:ind w:firstLine="480"/>
              <w:rPr>
                <w:rFonts w:hint="eastAsia" w:ascii="Times New Roman" w:hAnsi="Times New Roman"/>
                <w:b/>
                <w:bCs/>
                <w:color w:val="auto"/>
                <w:highlight w:val="none"/>
              </w:rPr>
            </w:pPr>
            <w:r>
              <w:rPr>
                <w:rFonts w:hint="eastAsia" w:ascii="Times New Roman" w:hAnsi="Times New Roman"/>
                <w:b/>
                <w:bCs/>
                <w:color w:val="auto"/>
                <w:highlight w:val="none"/>
              </w:rPr>
              <w:t>A、室内声源等效室外噪声源</w:t>
            </w:r>
          </w:p>
          <w:p w14:paraId="6221F130">
            <w:pPr>
              <w:adjustRightInd w:val="0"/>
              <w:snapToGrid w:val="0"/>
              <w:spacing w:line="360" w:lineRule="auto"/>
              <w:ind w:firstLine="480" w:firstLineChars="200"/>
              <w:jc w:val="left"/>
              <w:rPr>
                <w:rFonts w:ascii="Times New Roman" w:hAnsi="Times New Roman"/>
                <w:color w:val="auto"/>
                <w:sz w:val="24"/>
                <w:highlight w:val="none"/>
              </w:rPr>
            </w:pPr>
            <w:r>
              <w:rPr>
                <w:rFonts w:ascii="Times New Roman" w:hAnsi="Times New Roman"/>
                <w:color w:val="auto"/>
                <w:kern w:val="0"/>
                <w:sz w:val="24"/>
                <w:szCs w:val="22"/>
                <w:highlight w:val="none"/>
              </w:rPr>
              <w:t>室内声源等效室外声源声功率级计算方法：本项目主要噪声源位于室内，</w:t>
            </w:r>
            <w:r>
              <w:rPr>
                <w:rFonts w:ascii="Times New Roman" w:hAnsi="Times New Roman"/>
                <w:color w:val="auto"/>
                <w:sz w:val="24"/>
                <w:highlight w:val="none"/>
              </w:rPr>
              <w:t>室内声源可采用等效室外声源声功率级法进行计算。设靠近开口处（或窗户）室内、室外某倍频带的声压级或A声级分别为L</w:t>
            </w:r>
            <w:r>
              <w:rPr>
                <w:rFonts w:ascii="Times New Roman" w:hAnsi="Times New Roman"/>
                <w:color w:val="auto"/>
                <w:sz w:val="24"/>
                <w:highlight w:val="none"/>
                <w:vertAlign w:val="subscript"/>
              </w:rPr>
              <w:t>p1</w:t>
            </w:r>
            <w:r>
              <w:rPr>
                <w:rFonts w:ascii="Times New Roman" w:hAnsi="Times New Roman"/>
                <w:color w:val="auto"/>
                <w:sz w:val="24"/>
                <w:highlight w:val="none"/>
              </w:rPr>
              <w:t>和L</w:t>
            </w:r>
            <w:r>
              <w:rPr>
                <w:rFonts w:ascii="Times New Roman" w:hAnsi="Times New Roman"/>
                <w:color w:val="auto"/>
                <w:sz w:val="24"/>
                <w:highlight w:val="none"/>
                <w:vertAlign w:val="subscript"/>
              </w:rPr>
              <w:t>p2</w:t>
            </w:r>
            <w:r>
              <w:rPr>
                <w:rFonts w:ascii="Times New Roman" w:hAnsi="Times New Roman"/>
                <w:color w:val="auto"/>
                <w:sz w:val="24"/>
                <w:highlight w:val="none"/>
              </w:rPr>
              <w:t>。若声源所在室内声场为近似扩散声场，则室外的倍频带声压级可按式（B.1）近似求出：</w:t>
            </w:r>
          </w:p>
          <w:p w14:paraId="6BAF9FE6">
            <w:pPr>
              <w:autoSpaceDE w:val="0"/>
              <w:autoSpaceDN w:val="0"/>
              <w:adjustRightInd w:val="0"/>
              <w:snapToGrid w:val="0"/>
              <w:spacing w:line="360" w:lineRule="auto"/>
              <w:jc w:val="center"/>
              <w:rPr>
                <w:rFonts w:ascii="Times New Roman" w:hAnsi="Times New Roman"/>
                <w:color w:val="auto"/>
                <w:sz w:val="24"/>
                <w:highlight w:val="none"/>
              </w:rPr>
            </w:pPr>
            <w:r>
              <w:rPr>
                <w:rFonts w:ascii="Times New Roman" w:hAnsi="Times New Roman"/>
                <w:color w:val="auto"/>
                <w:sz w:val="24"/>
                <w:highlight w:val="none"/>
              </w:rPr>
              <w:t>L</w:t>
            </w:r>
            <w:r>
              <w:rPr>
                <w:rFonts w:ascii="Times New Roman" w:hAnsi="Times New Roman"/>
                <w:color w:val="auto"/>
                <w:sz w:val="24"/>
                <w:highlight w:val="none"/>
                <w:vertAlign w:val="subscript"/>
              </w:rPr>
              <w:t>p2</w:t>
            </w:r>
            <w:r>
              <w:rPr>
                <w:rFonts w:ascii="Times New Roman" w:hAnsi="Times New Roman"/>
                <w:color w:val="auto"/>
                <w:sz w:val="24"/>
                <w:highlight w:val="none"/>
              </w:rPr>
              <w:t>=L</w:t>
            </w:r>
            <w:r>
              <w:rPr>
                <w:rFonts w:ascii="Times New Roman" w:hAnsi="Times New Roman"/>
                <w:color w:val="auto"/>
                <w:sz w:val="24"/>
                <w:highlight w:val="none"/>
                <w:vertAlign w:val="subscript"/>
              </w:rPr>
              <w:t>p1</w:t>
            </w:r>
            <w:r>
              <w:rPr>
                <w:rFonts w:ascii="Times New Roman" w:hAnsi="Times New Roman"/>
                <w:color w:val="auto"/>
                <w:kern w:val="44"/>
                <w:sz w:val="24"/>
                <w:highlight w:val="none"/>
              </w:rPr>
              <w:t>-（TL+6）</w:t>
            </w:r>
            <w:r>
              <w:rPr>
                <w:rFonts w:ascii="Times New Roman" w:hAnsi="Times New Roman"/>
                <w:color w:val="auto"/>
                <w:sz w:val="24"/>
                <w:highlight w:val="none"/>
              </w:rPr>
              <w:t>（B.1）</w:t>
            </w:r>
          </w:p>
          <w:p w14:paraId="3E874785">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式中：L</w:t>
            </w:r>
            <w:r>
              <w:rPr>
                <w:rFonts w:ascii="Times New Roman" w:hAnsi="Times New Roman"/>
                <w:color w:val="auto"/>
                <w:sz w:val="24"/>
                <w:highlight w:val="none"/>
                <w:vertAlign w:val="subscript"/>
                <w:lang w:val="zh-CN"/>
              </w:rPr>
              <w:t>p1</w:t>
            </w:r>
            <w:r>
              <w:rPr>
                <w:rFonts w:ascii="Times New Roman" w:hAnsi="Times New Roman"/>
                <w:color w:val="auto"/>
                <w:sz w:val="24"/>
                <w:highlight w:val="none"/>
                <w:lang w:val="zh-CN"/>
              </w:rPr>
              <w:t>——靠近开口处（或窗户）室内某倍频带的声压级或A声级，dB；</w:t>
            </w:r>
          </w:p>
          <w:p w14:paraId="3662BF08">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L</w:t>
            </w:r>
            <w:r>
              <w:rPr>
                <w:rFonts w:ascii="Times New Roman" w:hAnsi="Times New Roman"/>
                <w:color w:val="auto"/>
                <w:sz w:val="24"/>
                <w:highlight w:val="none"/>
                <w:vertAlign w:val="subscript"/>
                <w:lang w:val="zh-CN"/>
              </w:rPr>
              <w:t>p2</w:t>
            </w:r>
            <w:r>
              <w:rPr>
                <w:rFonts w:ascii="Times New Roman" w:hAnsi="Times New Roman"/>
                <w:color w:val="auto"/>
                <w:sz w:val="24"/>
                <w:highlight w:val="none"/>
                <w:lang w:val="zh-CN"/>
              </w:rPr>
              <w:t>——靠近开口处（或窗户）室外某倍频带的声压级或A声级，dB；</w:t>
            </w:r>
          </w:p>
          <w:p w14:paraId="355C223A">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TL——隔墙（或窗户）倍频带或A声级的隔声量，dB。</w:t>
            </w:r>
          </w:p>
          <w:p w14:paraId="6153D6D5">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也可按式（B.2）计算某一室内声源靠近围护结构处产生的倍频带声压级或A声级：</w:t>
            </w:r>
          </w:p>
          <w:p w14:paraId="7FF10ED3">
            <w:pPr>
              <w:autoSpaceDE w:val="0"/>
              <w:autoSpaceDN w:val="0"/>
              <w:adjustRightInd w:val="0"/>
              <w:snapToGrid w:val="0"/>
              <w:spacing w:line="360" w:lineRule="auto"/>
              <w:jc w:val="center"/>
              <w:rPr>
                <w:rFonts w:ascii="Times New Roman" w:hAnsi="Times New Roman"/>
                <w:color w:val="auto"/>
                <w:sz w:val="24"/>
                <w:highlight w:val="none"/>
              </w:rPr>
            </w:pPr>
            <w:r>
              <w:rPr>
                <w:rFonts w:ascii="Times New Roman" w:hAnsi="Times New Roman"/>
                <w:color w:val="auto"/>
                <w:position w:val="-28"/>
                <w:sz w:val="24"/>
                <w:highlight w:val="none"/>
                <w:lang w:val="zh-CN"/>
              </w:rPr>
              <w:drawing>
                <wp:inline distT="0" distB="0" distL="114300" distR="114300">
                  <wp:extent cx="1688465" cy="438785"/>
                  <wp:effectExtent l="0" t="0" r="6985" b="18415"/>
                  <wp:docPr id="9"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06"/>
                          <pic:cNvPicPr>
                            <a:picLocks noChangeAspect="1"/>
                          </pic:cNvPicPr>
                        </pic:nvPicPr>
                        <pic:blipFill>
                          <a:blip r:embed="rId22"/>
                          <a:stretch>
                            <a:fillRect/>
                          </a:stretch>
                        </pic:blipFill>
                        <pic:spPr>
                          <a:xfrm>
                            <a:off x="0" y="0"/>
                            <a:ext cx="1688465" cy="438785"/>
                          </a:xfrm>
                          <a:prstGeom prst="rect">
                            <a:avLst/>
                          </a:prstGeom>
                          <a:noFill/>
                          <a:ln>
                            <a:noFill/>
                          </a:ln>
                        </pic:spPr>
                      </pic:pic>
                    </a:graphicData>
                  </a:graphic>
                </wp:inline>
              </w:drawing>
            </w:r>
            <w:r>
              <w:rPr>
                <w:rFonts w:ascii="Times New Roman" w:hAnsi="Times New Roman"/>
                <w:color w:val="auto"/>
                <w:sz w:val="24"/>
                <w:highlight w:val="none"/>
                <w:lang w:val="zh-CN"/>
              </w:rPr>
              <w:t>（B.2）</w:t>
            </w:r>
          </w:p>
          <w:p w14:paraId="59EEE283">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式中：L</w:t>
            </w:r>
            <w:r>
              <w:rPr>
                <w:rFonts w:ascii="Times New Roman" w:hAnsi="Times New Roman"/>
                <w:color w:val="auto"/>
                <w:sz w:val="24"/>
                <w:highlight w:val="none"/>
                <w:vertAlign w:val="subscript"/>
                <w:lang w:val="zh-CN"/>
              </w:rPr>
              <w:t>p1</w:t>
            </w:r>
            <w:r>
              <w:rPr>
                <w:rFonts w:ascii="Times New Roman" w:hAnsi="Times New Roman"/>
                <w:color w:val="auto"/>
                <w:sz w:val="24"/>
                <w:highlight w:val="none"/>
                <w:lang w:val="zh-CN"/>
              </w:rPr>
              <w:t>——靠近开口处（或窗户）室内某倍频带的声压级或A声级，dB；</w:t>
            </w:r>
          </w:p>
          <w:p w14:paraId="6B664DE2">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L</w:t>
            </w:r>
            <w:r>
              <w:rPr>
                <w:rFonts w:ascii="Times New Roman" w:hAnsi="Times New Roman"/>
                <w:color w:val="auto"/>
                <w:sz w:val="24"/>
                <w:highlight w:val="none"/>
                <w:vertAlign w:val="subscript"/>
                <w:lang w:val="zh-CN"/>
              </w:rPr>
              <w:t>w</w:t>
            </w:r>
            <w:r>
              <w:rPr>
                <w:rFonts w:ascii="Times New Roman" w:hAnsi="Times New Roman"/>
                <w:color w:val="auto"/>
                <w:sz w:val="24"/>
                <w:highlight w:val="none"/>
                <w:lang w:val="zh-CN"/>
              </w:rPr>
              <w:t>——点声源声功率级（A计权或倍频带），dB；</w:t>
            </w:r>
          </w:p>
          <w:p w14:paraId="4B51450B">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Q——指向性因数；通常对无指向性声源，当声源放在房间中心时，Q=1；当放在一面墙的中心时，Q=2；当放在两面墙夹角处时，Q=4；当放在三面墙夹角处时，Q=8；</w:t>
            </w:r>
          </w:p>
          <w:p w14:paraId="6BA2F290">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R——房间常数；</w:t>
            </w:r>
            <w:r>
              <w:rPr>
                <w:rFonts w:ascii="Times New Roman" w:hAnsi="Times New Roman"/>
                <w:color w:val="auto"/>
                <w:sz w:val="24"/>
                <w:highlight w:val="none"/>
              </w:rPr>
              <w:t>R=Sα/（1—α）</w:t>
            </w:r>
            <w:r>
              <w:rPr>
                <w:rFonts w:ascii="Times New Roman" w:hAnsi="Times New Roman"/>
                <w:color w:val="auto"/>
                <w:sz w:val="24"/>
                <w:highlight w:val="none"/>
                <w:lang w:val="zh-CN"/>
              </w:rPr>
              <w:t>，S为房间内表面面积，m</w:t>
            </w:r>
            <w:r>
              <w:rPr>
                <w:rFonts w:ascii="Times New Roman" w:hAnsi="Times New Roman"/>
                <w:color w:val="auto"/>
                <w:sz w:val="24"/>
                <w:highlight w:val="none"/>
                <w:vertAlign w:val="superscript"/>
                <w:lang w:val="zh-CN"/>
              </w:rPr>
              <w:t>2</w:t>
            </w:r>
            <w:r>
              <w:rPr>
                <w:rFonts w:ascii="Times New Roman" w:hAnsi="Times New Roman"/>
                <w:color w:val="auto"/>
                <w:sz w:val="24"/>
                <w:highlight w:val="none"/>
                <w:lang w:val="zh-CN"/>
              </w:rPr>
              <w:t>；α为平均吸声系数；</w:t>
            </w:r>
          </w:p>
          <w:p w14:paraId="10E42425">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r——声源到靠近围护结构某点处的距离，m。</w:t>
            </w:r>
          </w:p>
          <w:p w14:paraId="4BC3936B">
            <w:pPr>
              <w:pStyle w:val="70"/>
              <w:ind w:left="0" w:leftChars="0" w:firstLine="0" w:firstLineChars="0"/>
              <w:jc w:val="center"/>
              <w:rPr>
                <w:rFonts w:hint="eastAsia" w:ascii="Times New Roman" w:hAnsi="Times New Roman" w:eastAsia="宋体" w:cs="宋体"/>
                <w:color w:val="auto"/>
                <w:sz w:val="24"/>
                <w:highlight w:val="none"/>
                <w:lang w:val="zh-CN"/>
              </w:rPr>
            </w:pPr>
            <w:r>
              <w:rPr>
                <w:rFonts w:hint="eastAsia" w:ascii="Times New Roman" w:hAnsi="Times New Roman" w:eastAsia="宋体" w:cs="宋体"/>
                <w:color w:val="auto"/>
                <w:sz w:val="24"/>
                <w:highlight w:val="none"/>
                <w:lang w:val="zh-CN"/>
              </w:rPr>
              <w:drawing>
                <wp:inline distT="0" distB="0" distL="114300" distR="114300">
                  <wp:extent cx="3895725" cy="1666875"/>
                  <wp:effectExtent l="0" t="0" r="9525" b="9525"/>
                  <wp:docPr id="11" name="图片 11" descr="微信截图_202409192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40919204320"/>
                          <pic:cNvPicPr>
                            <a:picLocks noChangeAspect="1"/>
                          </pic:cNvPicPr>
                        </pic:nvPicPr>
                        <pic:blipFill>
                          <a:blip r:embed="rId23"/>
                          <a:stretch>
                            <a:fillRect/>
                          </a:stretch>
                        </pic:blipFill>
                        <pic:spPr>
                          <a:xfrm>
                            <a:off x="0" y="0"/>
                            <a:ext cx="3895725" cy="1666875"/>
                          </a:xfrm>
                          <a:prstGeom prst="rect">
                            <a:avLst/>
                          </a:prstGeom>
                        </pic:spPr>
                      </pic:pic>
                    </a:graphicData>
                  </a:graphic>
                </wp:inline>
              </w:drawing>
            </w:r>
          </w:p>
          <w:p w14:paraId="3EEA9672">
            <w:pPr>
              <w:pStyle w:val="70"/>
              <w:ind w:left="0" w:leftChars="0" w:firstLine="0" w:firstLineChars="0"/>
              <w:jc w:val="center"/>
              <w:rPr>
                <w:rFonts w:hint="eastAsia" w:ascii="Times New Roman" w:hAnsi="Times New Roman" w:eastAsia="宋体" w:cs="宋体"/>
                <w:b/>
                <w:bCs/>
                <w:color w:val="auto"/>
                <w:sz w:val="24"/>
                <w:highlight w:val="none"/>
                <w:lang w:val="zh-CN"/>
              </w:rPr>
            </w:pPr>
            <w:r>
              <w:rPr>
                <w:rFonts w:hint="eastAsia" w:ascii="Times New Roman" w:hAnsi="Times New Roman" w:eastAsia="宋体" w:cs="宋体"/>
                <w:b/>
                <w:bCs/>
                <w:color w:val="auto"/>
                <w:sz w:val="24"/>
                <w:highlight w:val="none"/>
                <w:lang w:val="zh-CN"/>
              </w:rPr>
              <w:t>图</w:t>
            </w:r>
            <w:r>
              <w:rPr>
                <w:rFonts w:hint="eastAsia" w:ascii="Times New Roman" w:hAnsi="Times New Roman" w:eastAsia="宋体" w:cs="宋体"/>
                <w:b/>
                <w:bCs/>
                <w:color w:val="auto"/>
                <w:sz w:val="24"/>
                <w:highlight w:val="none"/>
                <w:lang w:val="en-US" w:eastAsia="zh-CN"/>
              </w:rPr>
              <w:t>4.2.</w:t>
            </w:r>
            <w:r>
              <w:rPr>
                <w:rFonts w:hint="eastAsia" w:ascii="Times New Roman" w:hAnsi="Times New Roman" w:cs="宋体"/>
                <w:b/>
                <w:bCs/>
                <w:color w:val="auto"/>
                <w:sz w:val="24"/>
                <w:highlight w:val="none"/>
                <w:lang w:val="en-US" w:eastAsia="zh-CN"/>
              </w:rPr>
              <w:t>3</w:t>
            </w:r>
            <w:r>
              <w:rPr>
                <w:rFonts w:hint="eastAsia" w:ascii="Times New Roman" w:hAnsi="Times New Roman" w:eastAsia="宋体" w:cs="宋体"/>
                <w:b/>
                <w:bCs/>
                <w:color w:val="auto"/>
                <w:sz w:val="24"/>
                <w:highlight w:val="none"/>
                <w:lang w:val="zh-CN"/>
              </w:rPr>
              <w:t>-1室内声源等效为室外声源示意图</w:t>
            </w:r>
          </w:p>
          <w:p w14:paraId="31EB4DE1">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然后按式（B.3）计算出所有室内声源在围护结构处产生的i倍频带叠加声压级：</w:t>
            </w:r>
          </w:p>
          <w:p w14:paraId="178E5810">
            <w:pPr>
              <w:autoSpaceDE w:val="0"/>
              <w:autoSpaceDN w:val="0"/>
              <w:adjustRightInd w:val="0"/>
              <w:snapToGrid w:val="0"/>
              <w:spacing w:line="360" w:lineRule="auto"/>
              <w:jc w:val="center"/>
              <w:rPr>
                <w:rFonts w:ascii="Times New Roman" w:hAnsi="Times New Roman"/>
                <w:color w:val="auto"/>
                <w:sz w:val="24"/>
                <w:highlight w:val="none"/>
              </w:rPr>
            </w:pPr>
            <w:r>
              <w:rPr>
                <w:rFonts w:ascii="Times New Roman" w:hAnsi="Times New Roman"/>
                <w:color w:val="auto"/>
                <w:position w:val="-32"/>
                <w:sz w:val="24"/>
                <w:highlight w:val="none"/>
                <w:lang w:val="zh-CN"/>
              </w:rPr>
              <w:drawing>
                <wp:inline distT="0" distB="0" distL="114300" distR="114300">
                  <wp:extent cx="1670050" cy="475615"/>
                  <wp:effectExtent l="0" t="0" r="6350" b="635"/>
                  <wp:docPr id="12"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07"/>
                          <pic:cNvPicPr>
                            <a:picLocks noChangeAspect="1"/>
                          </pic:cNvPicPr>
                        </pic:nvPicPr>
                        <pic:blipFill>
                          <a:blip r:embed="rId24"/>
                          <a:stretch>
                            <a:fillRect/>
                          </a:stretch>
                        </pic:blipFill>
                        <pic:spPr>
                          <a:xfrm>
                            <a:off x="0" y="0"/>
                            <a:ext cx="1670050" cy="475615"/>
                          </a:xfrm>
                          <a:prstGeom prst="rect">
                            <a:avLst/>
                          </a:prstGeom>
                          <a:noFill/>
                          <a:ln>
                            <a:noFill/>
                          </a:ln>
                        </pic:spPr>
                      </pic:pic>
                    </a:graphicData>
                  </a:graphic>
                </wp:inline>
              </w:drawing>
            </w:r>
            <w:r>
              <w:rPr>
                <w:rFonts w:ascii="Times New Roman" w:hAnsi="Times New Roman"/>
                <w:color w:val="auto"/>
                <w:sz w:val="24"/>
                <w:highlight w:val="none"/>
                <w:lang w:val="zh-CN"/>
              </w:rPr>
              <w:t>（B.</w:t>
            </w:r>
            <w:r>
              <w:rPr>
                <w:rFonts w:ascii="Times New Roman" w:hAnsi="Times New Roman"/>
                <w:color w:val="auto"/>
                <w:sz w:val="24"/>
                <w:highlight w:val="none"/>
              </w:rPr>
              <w:t>3</w:t>
            </w:r>
            <w:r>
              <w:rPr>
                <w:rFonts w:ascii="Times New Roman" w:hAnsi="Times New Roman"/>
                <w:color w:val="auto"/>
                <w:sz w:val="24"/>
                <w:highlight w:val="none"/>
                <w:lang w:val="zh-CN"/>
              </w:rPr>
              <w:t>）</w:t>
            </w:r>
          </w:p>
          <w:p w14:paraId="5F6D8229">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式中：</w:t>
            </w:r>
            <w:r>
              <w:rPr>
                <w:rFonts w:ascii="Times New Roman" w:hAnsi="Times New Roman"/>
                <w:color w:val="auto"/>
                <w:sz w:val="24"/>
                <w:highlight w:val="none"/>
              </w:rPr>
              <w:t>L</w:t>
            </w:r>
            <w:r>
              <w:rPr>
                <w:rFonts w:ascii="Times New Roman" w:hAnsi="Times New Roman"/>
                <w:color w:val="auto"/>
                <w:sz w:val="24"/>
                <w:highlight w:val="none"/>
                <w:vertAlign w:val="subscript"/>
              </w:rPr>
              <w:t>P1i(T)</w:t>
            </w:r>
            <w:r>
              <w:rPr>
                <w:rFonts w:ascii="Times New Roman" w:hAnsi="Times New Roman"/>
                <w:color w:val="auto"/>
                <w:sz w:val="24"/>
                <w:highlight w:val="none"/>
                <w:lang w:val="zh-CN"/>
              </w:rPr>
              <w:t>——靠近围护结构处室内N个声源i倍频带的叠加声压级，dB；</w:t>
            </w:r>
          </w:p>
          <w:p w14:paraId="1A797BE2">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rPr>
              <w:t>L</w:t>
            </w:r>
            <w:r>
              <w:rPr>
                <w:rFonts w:ascii="Times New Roman" w:hAnsi="Times New Roman"/>
                <w:color w:val="auto"/>
                <w:sz w:val="24"/>
                <w:highlight w:val="none"/>
                <w:vertAlign w:val="subscript"/>
              </w:rPr>
              <w:t>P1ij</w:t>
            </w:r>
            <w:r>
              <w:rPr>
                <w:rFonts w:ascii="Times New Roman" w:hAnsi="Times New Roman"/>
                <w:color w:val="auto"/>
                <w:sz w:val="24"/>
                <w:highlight w:val="none"/>
                <w:lang w:val="zh-CN"/>
              </w:rPr>
              <w:t>——室内j声源i倍频带的声压级，dB；</w:t>
            </w:r>
          </w:p>
          <w:p w14:paraId="6D6D2F53">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N——室内声源总数。</w:t>
            </w:r>
          </w:p>
          <w:p w14:paraId="42F6771A">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在室内近似为扩散声场时，按式（B.4）计算出靠近室外围护结构处的声压级：</w:t>
            </w:r>
          </w:p>
          <w:p w14:paraId="79E47045">
            <w:pPr>
              <w:autoSpaceDE w:val="0"/>
              <w:autoSpaceDN w:val="0"/>
              <w:adjustRightInd w:val="0"/>
              <w:snapToGrid w:val="0"/>
              <w:spacing w:line="360" w:lineRule="auto"/>
              <w:jc w:val="center"/>
              <w:rPr>
                <w:rFonts w:ascii="Times New Roman" w:hAnsi="Times New Roman"/>
                <w:color w:val="auto"/>
                <w:sz w:val="24"/>
                <w:highlight w:val="none"/>
              </w:rPr>
            </w:pPr>
            <w:r>
              <w:rPr>
                <w:rFonts w:ascii="Times New Roman" w:hAnsi="Times New Roman"/>
                <w:color w:val="auto"/>
                <w:sz w:val="24"/>
                <w:highlight w:val="none"/>
              </w:rPr>
              <w:t>L</w:t>
            </w:r>
            <w:r>
              <w:rPr>
                <w:rFonts w:ascii="Times New Roman" w:hAnsi="Times New Roman"/>
                <w:color w:val="auto"/>
                <w:sz w:val="24"/>
                <w:highlight w:val="none"/>
                <w:vertAlign w:val="subscript"/>
              </w:rPr>
              <w:t>P2i</w:t>
            </w:r>
            <w:r>
              <w:rPr>
                <w:rFonts w:ascii="Times New Roman" w:hAnsi="Times New Roman"/>
                <w:color w:val="auto"/>
                <w:sz w:val="24"/>
                <w:highlight w:val="none"/>
              </w:rPr>
              <w:t>(T)=L</w:t>
            </w:r>
            <w:r>
              <w:rPr>
                <w:rFonts w:ascii="Times New Roman" w:hAnsi="Times New Roman"/>
                <w:color w:val="auto"/>
                <w:sz w:val="24"/>
                <w:highlight w:val="none"/>
                <w:vertAlign w:val="subscript"/>
              </w:rPr>
              <w:t>P1i</w:t>
            </w:r>
            <w:r>
              <w:rPr>
                <w:rFonts w:ascii="Times New Roman" w:hAnsi="Times New Roman"/>
                <w:color w:val="auto"/>
                <w:sz w:val="24"/>
                <w:highlight w:val="none"/>
              </w:rPr>
              <w:t>(T)-(TL</w:t>
            </w:r>
            <w:r>
              <w:rPr>
                <w:rFonts w:ascii="Times New Roman" w:hAnsi="Times New Roman"/>
                <w:color w:val="auto"/>
                <w:sz w:val="24"/>
                <w:highlight w:val="none"/>
                <w:vertAlign w:val="subscript"/>
              </w:rPr>
              <w:t>i</w:t>
            </w:r>
            <w:r>
              <w:rPr>
                <w:rFonts w:ascii="Times New Roman" w:hAnsi="Times New Roman"/>
                <w:color w:val="auto"/>
                <w:sz w:val="24"/>
                <w:highlight w:val="none"/>
              </w:rPr>
              <w:t>+6)（B.4）</w:t>
            </w:r>
          </w:p>
          <w:p w14:paraId="59931020">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式中：</w:t>
            </w:r>
            <w:r>
              <w:rPr>
                <w:rFonts w:ascii="Times New Roman" w:hAnsi="Times New Roman"/>
                <w:color w:val="auto"/>
                <w:sz w:val="24"/>
                <w:highlight w:val="none"/>
              </w:rPr>
              <w:t>L</w:t>
            </w:r>
            <w:r>
              <w:rPr>
                <w:rFonts w:ascii="Times New Roman" w:hAnsi="Times New Roman"/>
                <w:color w:val="auto"/>
                <w:sz w:val="24"/>
                <w:highlight w:val="none"/>
                <w:vertAlign w:val="subscript"/>
              </w:rPr>
              <w:t>P2i</w:t>
            </w:r>
            <w:r>
              <w:rPr>
                <w:rFonts w:ascii="Times New Roman" w:hAnsi="Times New Roman"/>
                <w:color w:val="auto"/>
                <w:sz w:val="24"/>
                <w:highlight w:val="none"/>
              </w:rPr>
              <w:t>(T)</w:t>
            </w:r>
            <w:r>
              <w:rPr>
                <w:rFonts w:ascii="Times New Roman" w:hAnsi="Times New Roman"/>
                <w:color w:val="auto"/>
                <w:sz w:val="24"/>
                <w:highlight w:val="none"/>
                <w:lang w:val="zh-CN"/>
              </w:rPr>
              <w:t>——靠近围护结构处室外N个声源i倍频带的叠加声压级，dB；</w:t>
            </w:r>
          </w:p>
          <w:p w14:paraId="7D061286">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rPr>
              <w:t>L</w:t>
            </w:r>
            <w:r>
              <w:rPr>
                <w:rFonts w:ascii="Times New Roman" w:hAnsi="Times New Roman"/>
                <w:color w:val="auto"/>
                <w:sz w:val="24"/>
                <w:highlight w:val="none"/>
                <w:vertAlign w:val="subscript"/>
              </w:rPr>
              <w:t>P1i</w:t>
            </w:r>
            <w:r>
              <w:rPr>
                <w:rFonts w:ascii="Times New Roman" w:hAnsi="Times New Roman"/>
                <w:color w:val="auto"/>
                <w:sz w:val="24"/>
                <w:highlight w:val="none"/>
              </w:rPr>
              <w:t>(T)</w:t>
            </w:r>
            <w:r>
              <w:rPr>
                <w:rFonts w:ascii="Times New Roman" w:hAnsi="Times New Roman"/>
                <w:color w:val="auto"/>
                <w:sz w:val="24"/>
                <w:highlight w:val="none"/>
                <w:lang w:val="zh-CN"/>
              </w:rPr>
              <w:t>——靠近围护结构处室内N个声源i倍频带的叠加声压级，dB；</w:t>
            </w:r>
          </w:p>
          <w:p w14:paraId="2A88E73E">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rPr>
              <w:t>TL</w:t>
            </w:r>
            <w:r>
              <w:rPr>
                <w:rFonts w:ascii="Times New Roman" w:hAnsi="Times New Roman"/>
                <w:color w:val="auto"/>
                <w:sz w:val="24"/>
                <w:highlight w:val="none"/>
                <w:vertAlign w:val="subscript"/>
              </w:rPr>
              <w:t>i</w:t>
            </w:r>
            <w:r>
              <w:rPr>
                <w:rFonts w:ascii="Times New Roman" w:hAnsi="Times New Roman"/>
                <w:color w:val="auto"/>
                <w:sz w:val="24"/>
                <w:highlight w:val="none"/>
                <w:lang w:val="zh-CN"/>
              </w:rPr>
              <w:t>——围护结构i倍频带的隔声量，dB。</w:t>
            </w:r>
          </w:p>
          <w:p w14:paraId="61C2CD82">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然后按式（B.5）将室外声源的声压级和透过面积换算成等效的室外声源，计算出中心位置位于透声面积（S）处的等效声源的倍频带声功率级。</w:t>
            </w:r>
          </w:p>
          <w:p w14:paraId="4864245D">
            <w:pPr>
              <w:autoSpaceDE w:val="0"/>
              <w:autoSpaceDN w:val="0"/>
              <w:adjustRightInd w:val="0"/>
              <w:snapToGrid w:val="0"/>
              <w:spacing w:line="360" w:lineRule="auto"/>
              <w:jc w:val="center"/>
              <w:rPr>
                <w:rFonts w:ascii="Times New Roman" w:hAnsi="Times New Roman"/>
                <w:color w:val="auto"/>
                <w:sz w:val="24"/>
                <w:highlight w:val="none"/>
              </w:rPr>
            </w:pPr>
            <w:r>
              <w:rPr>
                <w:rFonts w:ascii="Times New Roman" w:hAnsi="Times New Roman"/>
                <w:color w:val="auto"/>
                <w:sz w:val="24"/>
                <w:highlight w:val="none"/>
              </w:rPr>
              <w:t>L</w:t>
            </w:r>
            <w:r>
              <w:rPr>
                <w:rFonts w:ascii="Times New Roman" w:hAnsi="Times New Roman"/>
                <w:color w:val="auto"/>
                <w:sz w:val="24"/>
                <w:highlight w:val="none"/>
                <w:vertAlign w:val="subscript"/>
              </w:rPr>
              <w:t>W</w:t>
            </w:r>
            <w:r>
              <w:rPr>
                <w:rFonts w:ascii="Times New Roman" w:hAnsi="Times New Roman"/>
                <w:color w:val="auto"/>
                <w:sz w:val="24"/>
                <w:highlight w:val="none"/>
              </w:rPr>
              <w:t>=L</w:t>
            </w:r>
            <w:r>
              <w:rPr>
                <w:rFonts w:ascii="Times New Roman" w:hAnsi="Times New Roman"/>
                <w:color w:val="auto"/>
                <w:sz w:val="24"/>
                <w:highlight w:val="none"/>
                <w:vertAlign w:val="subscript"/>
              </w:rPr>
              <w:t>P2</w:t>
            </w:r>
            <w:r>
              <w:rPr>
                <w:rFonts w:ascii="Times New Roman" w:hAnsi="Times New Roman"/>
                <w:color w:val="auto"/>
                <w:sz w:val="24"/>
                <w:highlight w:val="none"/>
              </w:rPr>
              <w:t>(T)+10lgS（B.5）</w:t>
            </w:r>
          </w:p>
          <w:p w14:paraId="35CBCED7">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式中：</w:t>
            </w:r>
            <w:r>
              <w:rPr>
                <w:rFonts w:ascii="Times New Roman" w:hAnsi="Times New Roman"/>
                <w:color w:val="auto"/>
                <w:sz w:val="24"/>
                <w:highlight w:val="none"/>
              </w:rPr>
              <w:t>L</w:t>
            </w:r>
            <w:r>
              <w:rPr>
                <w:rFonts w:ascii="Times New Roman" w:hAnsi="Times New Roman"/>
                <w:color w:val="auto"/>
                <w:sz w:val="24"/>
                <w:highlight w:val="none"/>
                <w:vertAlign w:val="subscript"/>
              </w:rPr>
              <w:t>W</w:t>
            </w:r>
            <w:r>
              <w:rPr>
                <w:rFonts w:ascii="Times New Roman" w:hAnsi="Times New Roman"/>
                <w:color w:val="auto"/>
                <w:sz w:val="24"/>
                <w:highlight w:val="none"/>
                <w:lang w:val="zh-CN"/>
              </w:rPr>
              <w:t>——中心位置位于透声面积（S）处的等效声源的倍频带声功率级，dB；</w:t>
            </w:r>
          </w:p>
          <w:p w14:paraId="5CA3806A">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rPr>
              <w:t>L</w:t>
            </w:r>
            <w:r>
              <w:rPr>
                <w:rFonts w:ascii="Times New Roman" w:hAnsi="Times New Roman"/>
                <w:color w:val="auto"/>
                <w:sz w:val="24"/>
                <w:highlight w:val="none"/>
                <w:vertAlign w:val="subscript"/>
              </w:rPr>
              <w:t>P2</w:t>
            </w:r>
            <w:r>
              <w:rPr>
                <w:rFonts w:ascii="Times New Roman" w:hAnsi="Times New Roman"/>
                <w:color w:val="auto"/>
                <w:sz w:val="24"/>
                <w:highlight w:val="none"/>
              </w:rPr>
              <w:t>(T)</w:t>
            </w:r>
            <w:r>
              <w:rPr>
                <w:rFonts w:ascii="Times New Roman" w:hAnsi="Times New Roman"/>
                <w:color w:val="auto"/>
                <w:sz w:val="24"/>
                <w:highlight w:val="none"/>
                <w:lang w:val="zh-CN"/>
              </w:rPr>
              <w:t>——靠近围护结构处室外声源的声压级，dB；</w:t>
            </w:r>
          </w:p>
          <w:p w14:paraId="74AC3157">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S——透声面积，m</w:t>
            </w:r>
            <w:r>
              <w:rPr>
                <w:rFonts w:ascii="Times New Roman" w:hAnsi="Times New Roman"/>
                <w:color w:val="auto"/>
                <w:sz w:val="24"/>
                <w:highlight w:val="none"/>
                <w:vertAlign w:val="superscript"/>
                <w:lang w:val="zh-CN"/>
              </w:rPr>
              <w:t>2</w:t>
            </w:r>
            <w:r>
              <w:rPr>
                <w:rFonts w:ascii="Times New Roman" w:hAnsi="Times New Roman"/>
                <w:color w:val="auto"/>
                <w:sz w:val="24"/>
                <w:highlight w:val="none"/>
                <w:lang w:val="zh-CN"/>
              </w:rPr>
              <w:t>。</w:t>
            </w:r>
          </w:p>
          <w:p w14:paraId="5835C72D">
            <w:pPr>
              <w:autoSpaceDE w:val="0"/>
              <w:autoSpaceDN w:val="0"/>
              <w:adjustRightInd w:val="0"/>
              <w:snapToGrid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val="zh-CN"/>
              </w:rPr>
              <w:t>然后按室外声源预测方法计算预测点处的A声级。</w:t>
            </w:r>
          </w:p>
          <w:p w14:paraId="2802EE65">
            <w:pPr>
              <w:autoSpaceDE w:val="0"/>
              <w:autoSpaceDN w:val="0"/>
              <w:adjustRightInd w:val="0"/>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lang w:val="zh-CN"/>
              </w:rPr>
              <w:t>噪声在室外空间的传播，由于受到遮挡物的隔断，各种介质的吸收与反射，以及空气介质的吸收等物理作用而逐渐减弱。为了简化计算条件并能考虑到最不利因素，计算时只考虑噪声源自身减振安装及随距离的衰减。</w:t>
            </w:r>
          </w:p>
          <w:p w14:paraId="62553E7C">
            <w:pPr>
              <w:pStyle w:val="70"/>
              <w:ind w:firstLine="480"/>
              <w:rPr>
                <w:rFonts w:hint="eastAsia" w:ascii="Times New Roman" w:hAnsi="Times New Roman"/>
                <w:b/>
                <w:bCs/>
                <w:color w:val="auto"/>
                <w:highlight w:val="none"/>
              </w:rPr>
            </w:pPr>
            <w:r>
              <w:rPr>
                <w:rFonts w:hint="eastAsia" w:ascii="Times New Roman" w:hAnsi="Times New Roman"/>
                <w:b/>
                <w:bCs/>
                <w:color w:val="auto"/>
                <w:highlight w:val="none"/>
              </w:rPr>
              <w:t>B、室外声源衰减</w:t>
            </w:r>
          </w:p>
          <w:p w14:paraId="78139D33">
            <w:pPr>
              <w:pStyle w:val="70"/>
              <w:ind w:firstLine="480"/>
              <w:rPr>
                <w:rFonts w:hint="eastAsia" w:ascii="Times New Roman" w:hAnsi="Times New Roman"/>
                <w:color w:val="auto"/>
                <w:highlight w:val="none"/>
              </w:rPr>
            </w:pPr>
            <w:r>
              <w:rPr>
                <w:rFonts w:hint="eastAsia" w:ascii="Times New Roman" w:hAnsi="Times New Roman"/>
                <w:color w:val="auto"/>
                <w:highlight w:val="none"/>
              </w:rPr>
              <w:t>①计算某个声源在预测点的声级</w:t>
            </w:r>
          </w:p>
          <w:p w14:paraId="4A6E16D0">
            <w:pPr>
              <w:pStyle w:val="70"/>
              <w:ind w:firstLine="480"/>
              <w:rPr>
                <w:rFonts w:hint="eastAsia" w:ascii="Times New Roman" w:hAnsi="Times New Roman"/>
                <w:color w:val="auto"/>
                <w:highlight w:val="none"/>
              </w:rPr>
            </w:pPr>
            <m:oMathPara>
              <m:oMath>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L</m:t>
                    </m:r>
                    <m:ctrlPr>
                      <w:rPr>
                        <w:rFonts w:ascii="Cambria Math" w:hAnsi="Cambria Math"/>
                        <w:color w:val="auto"/>
                        <w:highlight w:val="none"/>
                      </w:rPr>
                    </m:ctrlPr>
                  </m:e>
                  <m:sub>
                    <m:r>
                      <m:rPr/>
                      <w:rPr>
                        <w:rFonts w:ascii="Times New Roman" w:hAnsi="Times New Roman" w:eastAsia="Cambria Math" w:cs="Cambria Math"/>
                        <w:color w:val="auto"/>
                        <w:highlight w:val="none"/>
                      </w:rPr>
                      <m:t>p</m:t>
                    </m:r>
                    <m:ctrlPr>
                      <w:rPr>
                        <w:rFonts w:ascii="Cambria Math" w:hAnsi="Cambria Math"/>
                        <w:color w:val="auto"/>
                        <w:highlight w:val="none"/>
                      </w:rPr>
                    </m:ctrlPr>
                  </m:sub>
                </m:sSub>
                <m:r>
                  <m:rPr/>
                  <w:rPr>
                    <w:rFonts w:ascii="Times New Roman" w:hAnsi="Times New Roman" w:eastAsia="Cambria Math" w:cs="Cambria Math"/>
                    <w:color w:val="auto"/>
                    <w:highlight w:val="none"/>
                  </w:rPr>
                  <m:t>(r)=</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L</m:t>
                    </m:r>
                    <m:ctrlPr>
                      <w:rPr>
                        <w:rFonts w:ascii="Cambria Math" w:hAnsi="Cambria Math"/>
                        <w:color w:val="auto"/>
                        <w:highlight w:val="none"/>
                      </w:rPr>
                    </m:ctrlPr>
                  </m:e>
                  <m:sub>
                    <m:r>
                      <m:rPr/>
                      <w:rPr>
                        <w:rFonts w:ascii="Times New Roman" w:hAnsi="Times New Roman" w:eastAsia="Cambria Math" w:cs="Cambria Math"/>
                        <w:color w:val="auto"/>
                        <w:highlight w:val="none"/>
                      </w:rPr>
                      <m:t>w</m:t>
                    </m:r>
                    <m:ctrlPr>
                      <w:rPr>
                        <w:rFonts w:ascii="Cambria Math" w:hAnsi="Cambria Math"/>
                        <w:color w:val="auto"/>
                        <w:highlight w:val="none"/>
                      </w:rPr>
                    </m:ctrlPr>
                  </m:sub>
                </m:sSub>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D</m:t>
                    </m:r>
                    <m:ctrlPr>
                      <w:rPr>
                        <w:rFonts w:ascii="Cambria Math" w:hAnsi="Cambria Math"/>
                        <w:color w:val="auto"/>
                        <w:highlight w:val="none"/>
                      </w:rPr>
                    </m:ctrlPr>
                  </m:e>
                  <m:sub>
                    <m:r>
                      <m:rPr/>
                      <w:rPr>
                        <w:rFonts w:ascii="Times New Roman" w:hAnsi="Times New Roman" w:eastAsia="Cambria Math" w:cs="Cambria Math"/>
                        <w:color w:val="auto"/>
                        <w:highlight w:val="none"/>
                      </w:rPr>
                      <m:t>C</m:t>
                    </m:r>
                    <m:ctrlPr>
                      <w:rPr>
                        <w:rFonts w:ascii="Cambria Math" w:hAnsi="Cambria Math"/>
                        <w:color w:val="auto"/>
                        <w:highlight w:val="none"/>
                      </w:rPr>
                    </m:ctrlPr>
                  </m:sub>
                </m:sSub>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A</m:t>
                    </m:r>
                    <m:ctrlPr>
                      <w:rPr>
                        <w:rFonts w:ascii="Cambria Math" w:hAnsi="Cambria Math"/>
                        <w:color w:val="auto"/>
                        <w:highlight w:val="none"/>
                      </w:rPr>
                    </m:ctrlPr>
                  </m:e>
                  <m:sub>
                    <m:r>
                      <m:rPr/>
                      <w:rPr>
                        <w:rFonts w:ascii="Times New Roman" w:hAnsi="Times New Roman" w:eastAsia="Cambria Math" w:cs="Cambria Math"/>
                        <w:color w:val="auto"/>
                        <w:highlight w:val="none"/>
                      </w:rPr>
                      <m:t>div</m:t>
                    </m:r>
                    <m:ctrlPr>
                      <w:rPr>
                        <w:rFonts w:ascii="Cambria Math" w:hAnsi="Cambria Math"/>
                        <w:color w:val="auto"/>
                        <w:highlight w:val="none"/>
                      </w:rPr>
                    </m:ctrlPr>
                  </m:sub>
                </m:sSub>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A</m:t>
                    </m:r>
                    <m:ctrlPr>
                      <w:rPr>
                        <w:rFonts w:ascii="Cambria Math" w:hAnsi="Cambria Math"/>
                        <w:color w:val="auto"/>
                        <w:highlight w:val="none"/>
                      </w:rPr>
                    </m:ctrlPr>
                  </m:e>
                  <m:sub>
                    <m:r>
                      <m:rPr/>
                      <w:rPr>
                        <w:rFonts w:ascii="Times New Roman" w:hAnsi="Times New Roman" w:eastAsia="Cambria Math" w:cs="Cambria Math"/>
                        <w:color w:val="auto"/>
                        <w:highlight w:val="none"/>
                      </w:rPr>
                      <m:t>atm</m:t>
                    </m:r>
                    <m:ctrlPr>
                      <w:rPr>
                        <w:rFonts w:ascii="Cambria Math" w:hAnsi="Cambria Math"/>
                        <w:color w:val="auto"/>
                        <w:highlight w:val="none"/>
                      </w:rPr>
                    </m:ctrlPr>
                  </m:sub>
                </m:sSub>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A</m:t>
                    </m:r>
                    <m:ctrlPr>
                      <w:rPr>
                        <w:rFonts w:ascii="Cambria Math" w:hAnsi="Cambria Math"/>
                        <w:color w:val="auto"/>
                        <w:highlight w:val="none"/>
                      </w:rPr>
                    </m:ctrlPr>
                  </m:e>
                  <m:sub>
                    <m:r>
                      <m:rPr/>
                      <w:rPr>
                        <w:rFonts w:ascii="Times New Roman" w:hAnsi="Times New Roman" w:eastAsia="Cambria Math" w:cs="Cambria Math"/>
                        <w:color w:val="auto"/>
                        <w:highlight w:val="none"/>
                      </w:rPr>
                      <m:t>gr</m:t>
                    </m:r>
                    <m:ctrlPr>
                      <w:rPr>
                        <w:rFonts w:ascii="Cambria Math" w:hAnsi="Cambria Math"/>
                        <w:color w:val="auto"/>
                        <w:highlight w:val="none"/>
                      </w:rPr>
                    </m:ctrlPr>
                  </m:sub>
                </m:sSub>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A</m:t>
                    </m:r>
                    <m:ctrlPr>
                      <w:rPr>
                        <w:rFonts w:ascii="Cambria Math" w:hAnsi="Cambria Math"/>
                        <w:color w:val="auto"/>
                        <w:highlight w:val="none"/>
                      </w:rPr>
                    </m:ctrlPr>
                  </m:e>
                  <m:sub>
                    <m:r>
                      <m:rPr/>
                      <w:rPr>
                        <w:rFonts w:ascii="Times New Roman" w:hAnsi="Times New Roman" w:eastAsia="Cambria Math" w:cs="Cambria Math"/>
                        <w:color w:val="auto"/>
                        <w:highlight w:val="none"/>
                      </w:rPr>
                      <m:t>bar</m:t>
                    </m:r>
                    <m:ctrlPr>
                      <w:rPr>
                        <w:rFonts w:ascii="Cambria Math" w:hAnsi="Cambria Math"/>
                        <w:color w:val="auto"/>
                        <w:highlight w:val="none"/>
                      </w:rPr>
                    </m:ctrlPr>
                  </m:sub>
                </m:sSub>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A</m:t>
                    </m:r>
                    <m:ctrlPr>
                      <w:rPr>
                        <w:rFonts w:ascii="Cambria Math" w:hAnsi="Cambria Math"/>
                        <w:color w:val="auto"/>
                        <w:highlight w:val="none"/>
                      </w:rPr>
                    </m:ctrlPr>
                  </m:e>
                  <m:sub>
                    <m:r>
                      <m:rPr/>
                      <w:rPr>
                        <w:rFonts w:ascii="Times New Roman" w:hAnsi="Times New Roman" w:eastAsia="Cambria Math" w:cs="Cambria Math"/>
                        <w:color w:val="auto"/>
                        <w:highlight w:val="none"/>
                      </w:rPr>
                      <m:t>misc</m:t>
                    </m:r>
                    <m:ctrlPr>
                      <w:rPr>
                        <w:rFonts w:ascii="Cambria Math" w:hAnsi="Cambria Math"/>
                        <w:color w:val="auto"/>
                        <w:highlight w:val="none"/>
                      </w:rPr>
                    </m:ctrlPr>
                  </m:sub>
                </m:sSub>
                <m:r>
                  <m:rPr/>
                  <w:rPr>
                    <w:rFonts w:ascii="Times New Roman" w:hAnsi="Times New Roman" w:eastAsia="Cambria Math" w:cs="Cambria Math"/>
                    <w:color w:val="auto"/>
                    <w:highlight w:val="none"/>
                  </w:rPr>
                  <m:t>)</m:t>
                </m:r>
              </m:oMath>
            </m:oMathPara>
          </w:p>
          <w:p w14:paraId="393E259D">
            <w:pPr>
              <w:pStyle w:val="83"/>
              <w:keepNext w:val="0"/>
              <w:keepLines w:val="0"/>
              <w:pageBreakBefore w:val="0"/>
              <w:widowControl w:val="0"/>
              <w:kinsoku/>
              <w:wordWrap/>
              <w:overflowPunct/>
              <w:topLinePunct/>
              <w:autoSpaceDE/>
              <w:autoSpaceDN/>
              <w:bidi w:val="0"/>
              <w:adjustRightInd w:val="0"/>
              <w:snapToGrid w:val="0"/>
              <w:spacing w:line="360" w:lineRule="auto"/>
              <w:textAlignment w:val="auto"/>
              <w:rPr>
                <w:rFonts w:hint="eastAsia" w:ascii="Times New Roman" w:hAnsi="Times New Roman" w:eastAsia="宋体" w:cs="Times New Roman"/>
                <w:color w:val="auto"/>
                <w:sz w:val="24"/>
                <w:szCs w:val="24"/>
                <w:highlight w:val="none"/>
                <w:vertAlign w:val="baseline"/>
                <w:lang w:val="en-US" w:eastAsia="zh-CN"/>
              </w:rPr>
            </w:pPr>
            <w:r>
              <w:rPr>
                <w:rFonts w:ascii="Times New Roman" w:hAnsi="Times New Roman"/>
                <w:color w:val="auto"/>
                <w:kern w:val="0"/>
                <w:sz w:val="24"/>
                <w:highlight w:val="none"/>
              </w:rPr>
              <w:t>式中：</w:t>
            </w:r>
            <w:r>
              <w:rPr>
                <w:rFonts w:hint="eastAsia" w:ascii="Times New Roman" w:hAnsi="Times New Roman" w:eastAsia="宋体" w:cs="Times New Roman"/>
                <w:color w:val="auto"/>
                <w:sz w:val="24"/>
                <w:szCs w:val="24"/>
                <w:highlight w:val="none"/>
                <w:vertAlign w:val="baseline"/>
                <w:lang w:val="en-US" w:eastAsia="zh-CN"/>
              </w:rPr>
              <w:t>L</w:t>
            </w:r>
            <w:r>
              <w:rPr>
                <w:rFonts w:hint="eastAsia" w:ascii="Times New Roman" w:hAnsi="Times New Roman" w:eastAsia="宋体" w:cs="Times New Roman"/>
                <w:color w:val="auto"/>
                <w:sz w:val="24"/>
                <w:szCs w:val="24"/>
                <w:highlight w:val="none"/>
                <w:vertAlign w:val="subscript"/>
                <w:lang w:val="en-US" w:eastAsia="zh-CN"/>
              </w:rPr>
              <w:t>P</w:t>
            </w:r>
            <w:r>
              <w:rPr>
                <w:rFonts w:hint="eastAsia" w:ascii="Times New Roman" w:hAnsi="Times New Roman" w:eastAsia="宋体" w:cs="Times New Roman"/>
                <w:color w:val="auto"/>
                <w:sz w:val="24"/>
                <w:szCs w:val="24"/>
                <w:highlight w:val="none"/>
                <w:vertAlign w:val="baseline"/>
                <w:lang w:val="en-US" w:eastAsia="zh-CN"/>
              </w:rPr>
              <w:t>（r）—预测点处声压级，dB；</w:t>
            </w:r>
          </w:p>
          <w:p w14:paraId="1FFA80B6">
            <w:pPr>
              <w:pStyle w:val="8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L</w:t>
            </w:r>
            <w:r>
              <w:rPr>
                <w:rFonts w:hint="eastAsia" w:ascii="Times New Roman" w:hAnsi="Times New Roman" w:eastAsia="宋体" w:cs="Times New Roman"/>
                <w:color w:val="auto"/>
                <w:sz w:val="24"/>
                <w:szCs w:val="24"/>
                <w:highlight w:val="none"/>
                <w:vertAlign w:val="subscript"/>
                <w:lang w:val="en-US" w:eastAsia="zh-CN"/>
              </w:rPr>
              <w:t>W</w:t>
            </w:r>
            <w:r>
              <w:rPr>
                <w:rFonts w:hint="eastAsia" w:ascii="Times New Roman" w:hAnsi="Times New Roman" w:eastAsia="宋体" w:cs="Times New Roman"/>
                <w:color w:val="auto"/>
                <w:sz w:val="24"/>
                <w:szCs w:val="24"/>
                <w:highlight w:val="none"/>
                <w:vertAlign w:val="baseline"/>
                <w:lang w:val="en-US" w:eastAsia="zh-CN"/>
              </w:rPr>
              <w:t>—由点声源产生的声功率级（A计权或倍频带），dB；</w:t>
            </w:r>
          </w:p>
          <w:p w14:paraId="4C9ACF73">
            <w:pPr>
              <w:pStyle w:val="8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Dc—指向性校正，它描述点声源的等效连续声压级与产生声功率级Lw的全向点声源在规定方向的声级的偏差程度，dB；</w:t>
            </w:r>
          </w:p>
          <w:p w14:paraId="0E6631C7">
            <w:pPr>
              <w:pStyle w:val="8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A</w:t>
            </w:r>
            <w:r>
              <w:rPr>
                <w:rFonts w:hint="eastAsia" w:ascii="Times New Roman" w:hAnsi="Times New Roman" w:eastAsia="宋体" w:cs="Times New Roman"/>
                <w:color w:val="auto"/>
                <w:sz w:val="24"/>
                <w:szCs w:val="24"/>
                <w:highlight w:val="none"/>
                <w:vertAlign w:val="subscript"/>
                <w:lang w:val="en-US" w:eastAsia="zh-CN"/>
              </w:rPr>
              <w:t>div</w:t>
            </w:r>
            <w:r>
              <w:rPr>
                <w:rFonts w:hint="eastAsia" w:ascii="Times New Roman" w:hAnsi="Times New Roman" w:eastAsia="宋体" w:cs="Times New Roman"/>
                <w:color w:val="auto"/>
                <w:sz w:val="24"/>
                <w:szCs w:val="24"/>
                <w:highlight w:val="none"/>
                <w:vertAlign w:val="baseline"/>
                <w:lang w:val="en-US" w:eastAsia="zh-CN"/>
              </w:rPr>
              <w:t>—几何发散引起的衰减，dB；</w:t>
            </w:r>
          </w:p>
          <w:p w14:paraId="1AE5E8B6">
            <w:pPr>
              <w:pStyle w:val="8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A</w:t>
            </w:r>
            <w:r>
              <w:rPr>
                <w:rFonts w:hint="eastAsia" w:ascii="Times New Roman" w:hAnsi="Times New Roman" w:eastAsia="宋体" w:cs="Times New Roman"/>
                <w:color w:val="auto"/>
                <w:sz w:val="24"/>
                <w:szCs w:val="24"/>
                <w:highlight w:val="none"/>
                <w:vertAlign w:val="subscript"/>
                <w:lang w:val="en-US" w:eastAsia="zh-CN"/>
              </w:rPr>
              <w:t>atm</w:t>
            </w:r>
            <w:r>
              <w:rPr>
                <w:rFonts w:hint="eastAsia" w:ascii="Times New Roman" w:hAnsi="Times New Roman" w:eastAsia="宋体" w:cs="Times New Roman"/>
                <w:color w:val="auto"/>
                <w:sz w:val="24"/>
                <w:szCs w:val="24"/>
                <w:highlight w:val="none"/>
                <w:vertAlign w:val="baseline"/>
                <w:lang w:val="en-US" w:eastAsia="zh-CN"/>
              </w:rPr>
              <w:t>—大气吸收引起的衰减，dB；</w:t>
            </w:r>
          </w:p>
          <w:p w14:paraId="2D5788C2">
            <w:pPr>
              <w:pStyle w:val="8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A</w:t>
            </w:r>
            <w:r>
              <w:rPr>
                <w:rFonts w:hint="eastAsia" w:ascii="Times New Roman" w:hAnsi="Times New Roman" w:eastAsia="宋体" w:cs="Times New Roman"/>
                <w:color w:val="auto"/>
                <w:sz w:val="24"/>
                <w:szCs w:val="24"/>
                <w:highlight w:val="none"/>
                <w:vertAlign w:val="subscript"/>
                <w:lang w:val="en-US" w:eastAsia="zh-CN"/>
              </w:rPr>
              <w:t>gr</w:t>
            </w:r>
            <w:r>
              <w:rPr>
                <w:rFonts w:hint="eastAsia" w:ascii="Times New Roman" w:hAnsi="Times New Roman" w:eastAsia="宋体" w:cs="Times New Roman"/>
                <w:color w:val="auto"/>
                <w:sz w:val="24"/>
                <w:szCs w:val="24"/>
                <w:highlight w:val="none"/>
                <w:vertAlign w:val="baseline"/>
                <w:lang w:val="en-US" w:eastAsia="zh-CN"/>
              </w:rPr>
              <w:t>—地面效应引起的衰减，dB；</w:t>
            </w:r>
          </w:p>
          <w:p w14:paraId="335142D7">
            <w:pPr>
              <w:pStyle w:val="8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A</w:t>
            </w:r>
            <w:r>
              <w:rPr>
                <w:rFonts w:hint="eastAsia" w:ascii="Times New Roman" w:hAnsi="Times New Roman" w:eastAsia="宋体" w:cs="Times New Roman"/>
                <w:color w:val="auto"/>
                <w:sz w:val="24"/>
                <w:szCs w:val="24"/>
                <w:highlight w:val="none"/>
                <w:vertAlign w:val="subscript"/>
                <w:lang w:val="en-US" w:eastAsia="zh-CN"/>
              </w:rPr>
              <w:t>bar</w:t>
            </w:r>
            <w:r>
              <w:rPr>
                <w:rFonts w:hint="eastAsia" w:ascii="Times New Roman" w:hAnsi="Times New Roman" w:eastAsia="宋体" w:cs="Times New Roman"/>
                <w:color w:val="auto"/>
                <w:sz w:val="24"/>
                <w:szCs w:val="24"/>
                <w:highlight w:val="none"/>
                <w:vertAlign w:val="baseline"/>
                <w:lang w:val="en-US" w:eastAsia="zh-CN"/>
              </w:rPr>
              <w:t>—障碍物屏蔽引起的衰减，dB；</w:t>
            </w:r>
          </w:p>
          <w:p w14:paraId="21A4AD6B">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color w:val="auto"/>
                <w:kern w:val="0"/>
                <w:sz w:val="24"/>
                <w:highlight w:val="none"/>
              </w:rPr>
            </w:pPr>
            <w:r>
              <w:rPr>
                <w:rFonts w:hint="eastAsia" w:ascii="Times New Roman" w:hAnsi="Times New Roman" w:eastAsia="宋体" w:cs="Times New Roman"/>
                <w:color w:val="auto"/>
                <w:sz w:val="24"/>
                <w:szCs w:val="24"/>
                <w:highlight w:val="none"/>
                <w:vertAlign w:val="baseline"/>
                <w:lang w:val="en-US" w:eastAsia="zh-CN"/>
              </w:rPr>
              <w:t>A</w:t>
            </w:r>
            <w:r>
              <w:rPr>
                <w:rFonts w:hint="eastAsia" w:ascii="Times New Roman" w:hAnsi="Times New Roman" w:eastAsia="宋体" w:cs="Times New Roman"/>
                <w:color w:val="auto"/>
                <w:sz w:val="24"/>
                <w:szCs w:val="24"/>
                <w:highlight w:val="none"/>
                <w:vertAlign w:val="subscript"/>
                <w:lang w:val="en-US" w:eastAsia="zh-CN"/>
              </w:rPr>
              <w:t>misc</w:t>
            </w:r>
            <w:r>
              <w:rPr>
                <w:rFonts w:hint="eastAsia" w:ascii="Times New Roman" w:hAnsi="Times New Roman" w:eastAsia="宋体" w:cs="Times New Roman"/>
                <w:color w:val="auto"/>
                <w:sz w:val="24"/>
                <w:szCs w:val="24"/>
                <w:highlight w:val="none"/>
                <w:vertAlign w:val="baseline"/>
                <w:lang w:val="en-US" w:eastAsia="zh-CN"/>
              </w:rPr>
              <w:t>—其他多方面效应引起的衰减，dB。</w:t>
            </w:r>
          </w:p>
          <w:p w14:paraId="1EB95E1C">
            <w:pPr>
              <w:pStyle w:val="70"/>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②已知靠近声源处某点的倍频带声压级</w:t>
            </w:r>
            <m:oMath>
              <m:nary>
                <m:naryPr>
                  <m:chr m:val="L"/>
                  <m:limLoc m:val="subSup"/>
                  <m:supHide m:val="1"/>
                  <m:ctrlPr>
                    <w:rPr>
                      <w:rFonts w:ascii="Cambria Math" w:hAnsi="Cambria Math"/>
                      <w:color w:val="auto"/>
                      <w:highlight w:val="none"/>
                    </w:rPr>
                  </m:ctrlPr>
                </m:naryPr>
                <m:sub>
                  <m:r>
                    <m:rPr/>
                    <w:rPr>
                      <w:rFonts w:ascii="Times New Roman" w:hAnsi="Times New Roman" w:eastAsia="Cambria Math" w:cs="Cambria Math"/>
                      <w:color w:val="auto"/>
                      <w:highlight w:val="none"/>
                    </w:rPr>
                    <m:t>A</m:t>
                  </m:r>
                  <m:ctrlPr>
                    <w:rPr>
                      <w:rFonts w:ascii="Cambria Math" w:hAnsi="Cambria Math"/>
                      <w:color w:val="auto"/>
                      <w:highlight w:val="none"/>
                    </w:rPr>
                  </m:ctrlPr>
                </m:sub>
                <m:sup>
                  <m:ctrlPr>
                    <w:rPr>
                      <w:rFonts w:ascii="Cambria Math" w:hAnsi="Cambria Math"/>
                      <w:color w:val="auto"/>
                      <w:highlight w:val="none"/>
                    </w:rPr>
                  </m:ctrlPr>
                </m:sup>
                <m:e>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r</m:t>
                      </m:r>
                      <m:ctrlPr>
                        <w:rPr>
                          <w:rFonts w:ascii="Cambria Math" w:hAnsi="Cambria Math"/>
                          <w:color w:val="auto"/>
                          <w:highlight w:val="none"/>
                        </w:rPr>
                      </m:ctrlPr>
                    </m:e>
                    <m:sub>
                      <m:r>
                        <m:rPr/>
                        <w:rPr>
                          <w:rFonts w:ascii="Times New Roman" w:hAnsi="Times New Roman" w:eastAsia="Cambria Math" w:cs="Cambria Math"/>
                          <w:color w:val="auto"/>
                          <w:highlight w:val="none"/>
                        </w:rPr>
                        <m:t>0</m:t>
                      </m:r>
                      <m:ctrlPr>
                        <w:rPr>
                          <w:rFonts w:ascii="Cambria Math" w:hAnsi="Cambria Math"/>
                          <w:color w:val="auto"/>
                          <w:highlight w:val="none"/>
                        </w:rPr>
                      </m:ctrlPr>
                    </m:sub>
                  </m:sSub>
                  <m:r>
                    <m:rPr/>
                    <w:rPr>
                      <w:rFonts w:ascii="Times New Roman" w:hAnsi="Times New Roman" w:eastAsia="Cambria Math" w:cs="Cambria Math"/>
                      <w:color w:val="auto"/>
                      <w:highlight w:val="none"/>
                    </w:rPr>
                    <m:t>)</m:t>
                  </m:r>
                  <m:ctrlPr>
                    <w:rPr>
                      <w:rFonts w:ascii="Cambria Math" w:hAnsi="Cambria Math"/>
                      <w:color w:val="auto"/>
                      <w:highlight w:val="none"/>
                    </w:rPr>
                  </m:ctrlPr>
                </m:e>
              </m:nary>
            </m:oMath>
            <w:r>
              <w:rPr>
                <w:rFonts w:hint="eastAsia" w:ascii="Times New Roman" w:hAnsi="Times New Roman"/>
                <w:color w:val="auto"/>
                <w:highlight w:val="none"/>
                <w:lang w:eastAsia="zh-CN"/>
              </w:rPr>
              <w:t>，计算相同方向预测点位置的倍频带声压级：</w:t>
            </w:r>
          </w:p>
          <w:p w14:paraId="18719840">
            <w:pPr>
              <w:pStyle w:val="70"/>
              <w:ind w:left="0" w:leftChars="0" w:firstLine="0" w:firstLineChars="0"/>
              <w:rPr>
                <w:rFonts w:hint="eastAsia" w:ascii="Times New Roman" w:hAnsi="Times New Roman"/>
                <w:color w:val="auto"/>
                <w:highlight w:val="none"/>
              </w:rPr>
            </w:pPr>
            <m:oMathPara>
              <m:oMath>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L</m:t>
                    </m:r>
                    <m:ctrlPr>
                      <w:rPr>
                        <w:rFonts w:ascii="Cambria Math" w:hAnsi="Cambria Math"/>
                        <w:color w:val="auto"/>
                        <w:highlight w:val="none"/>
                      </w:rPr>
                    </m:ctrlPr>
                  </m:e>
                  <m:sub>
                    <m:r>
                      <m:rPr/>
                      <w:rPr>
                        <w:rFonts w:ascii="Times New Roman" w:hAnsi="Times New Roman" w:eastAsia="Cambria Math" w:cs="Cambria Math"/>
                        <w:color w:val="auto"/>
                        <w:highlight w:val="none"/>
                      </w:rPr>
                      <m:t>A</m:t>
                    </m:r>
                    <m:ctrlPr>
                      <w:rPr>
                        <w:rFonts w:ascii="Cambria Math" w:hAnsi="Cambria Math"/>
                        <w:color w:val="auto"/>
                        <w:highlight w:val="none"/>
                      </w:rPr>
                    </m:ctrlPr>
                  </m:sub>
                </m:sSub>
                <m:r>
                  <m:rPr/>
                  <w:rPr>
                    <w:rFonts w:ascii="Times New Roman" w:hAnsi="Times New Roman" w:eastAsia="Cambria Math" w:cs="Cambria Math"/>
                    <w:color w:val="auto"/>
                    <w:highlight w:val="none"/>
                  </w:rPr>
                  <m:t>(r)=</m:t>
                </m:r>
                <m:nary>
                  <m:naryPr>
                    <m:chr m:val="L"/>
                    <m:limLoc m:val="subSup"/>
                    <m:supHide m:val="1"/>
                    <m:ctrlPr>
                      <w:rPr>
                        <w:rFonts w:ascii="Cambria Math" w:hAnsi="Cambria Math"/>
                        <w:color w:val="auto"/>
                        <w:highlight w:val="none"/>
                      </w:rPr>
                    </m:ctrlPr>
                  </m:naryPr>
                  <m:sub>
                    <m:r>
                      <m:rPr/>
                      <w:rPr>
                        <w:rFonts w:ascii="Times New Roman" w:hAnsi="Times New Roman" w:eastAsia="Cambria Math" w:cs="Cambria Math"/>
                        <w:color w:val="auto"/>
                        <w:highlight w:val="none"/>
                      </w:rPr>
                      <m:t>A</m:t>
                    </m:r>
                    <m:ctrlPr>
                      <w:rPr>
                        <w:rFonts w:ascii="Cambria Math" w:hAnsi="Cambria Math"/>
                        <w:color w:val="auto"/>
                        <w:highlight w:val="none"/>
                      </w:rPr>
                    </m:ctrlPr>
                  </m:sub>
                  <m:sup>
                    <m:ctrlPr>
                      <w:rPr>
                        <w:rFonts w:ascii="Cambria Math" w:hAnsi="Cambria Math"/>
                        <w:color w:val="auto"/>
                        <w:highlight w:val="none"/>
                      </w:rPr>
                    </m:ctrlPr>
                  </m:sup>
                  <m:e>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r</m:t>
                        </m:r>
                        <m:ctrlPr>
                          <w:rPr>
                            <w:rFonts w:ascii="Cambria Math" w:hAnsi="Cambria Math"/>
                            <w:color w:val="auto"/>
                            <w:highlight w:val="none"/>
                          </w:rPr>
                        </m:ctrlPr>
                      </m:e>
                      <m:sub>
                        <m:r>
                          <m:rPr/>
                          <w:rPr>
                            <w:rFonts w:ascii="Times New Roman" w:hAnsi="Times New Roman" w:eastAsia="Cambria Math" w:cs="Cambria Math"/>
                            <w:color w:val="auto"/>
                            <w:highlight w:val="none"/>
                          </w:rPr>
                          <m:t>0</m:t>
                        </m:r>
                        <m:ctrlPr>
                          <w:rPr>
                            <w:rFonts w:ascii="Cambria Math" w:hAnsi="Cambria Math"/>
                            <w:color w:val="auto"/>
                            <w:highlight w:val="none"/>
                          </w:rPr>
                        </m:ctrlPr>
                      </m:sub>
                    </m:sSub>
                    <m:r>
                      <m:rPr/>
                      <w:rPr>
                        <w:rFonts w:ascii="Times New Roman" w:hAnsi="Times New Roman" w:eastAsia="Cambria Math" w:cs="Cambria Math"/>
                        <w:color w:val="auto"/>
                        <w:highlight w:val="none"/>
                      </w:rPr>
                      <m:t>)</m:t>
                    </m:r>
                    <m:ctrlPr>
                      <w:rPr>
                        <w:rFonts w:ascii="Cambria Math" w:hAnsi="Cambria Math"/>
                        <w:color w:val="auto"/>
                        <w:highlight w:val="none"/>
                      </w:rPr>
                    </m:ctrlPr>
                  </m:e>
                </m:nary>
                <m:r>
                  <m:rPr>
                    <m:sty m:val="p"/>
                  </m:rPr>
                  <w:rPr>
                    <w:rFonts w:hint="default" w:ascii="Times New Roman" w:hAnsi="Times New Roman"/>
                    <w:color w:val="auto"/>
                    <w:highlight w:val="none"/>
                    <w:lang w:val="en-US" w:eastAsia="zh-CN"/>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A</m:t>
                    </m:r>
                    <m:ctrlPr>
                      <w:rPr>
                        <w:rFonts w:ascii="Cambria Math" w:hAnsi="Cambria Math"/>
                        <w:color w:val="auto"/>
                        <w:highlight w:val="none"/>
                      </w:rPr>
                    </m:ctrlPr>
                  </m:e>
                  <m:sub>
                    <m:r>
                      <m:rPr/>
                      <w:rPr>
                        <w:rFonts w:ascii="Times New Roman" w:hAnsi="Times New Roman" w:eastAsia="Cambria Math" w:cs="Cambria Math"/>
                        <w:color w:val="auto"/>
                        <w:highlight w:val="none"/>
                      </w:rPr>
                      <m:t>div</m:t>
                    </m:r>
                    <m:ctrlPr>
                      <w:rPr>
                        <w:rFonts w:ascii="Cambria Math" w:hAnsi="Cambria Math"/>
                        <w:color w:val="auto"/>
                        <w:highlight w:val="none"/>
                      </w:rPr>
                    </m:ctrlPr>
                  </m:sub>
                </m:sSub>
              </m:oMath>
            </m:oMathPara>
          </w:p>
          <w:p w14:paraId="735A8D35">
            <w:pPr>
              <w:pStyle w:val="70"/>
              <w:ind w:firstLine="480"/>
              <w:rPr>
                <w:rFonts w:hint="eastAsia" w:ascii="Times New Roman" w:hAnsi="Times New Roman"/>
                <w:color w:val="auto"/>
                <w:highlight w:val="none"/>
              </w:rPr>
            </w:pPr>
            <w:r>
              <w:rPr>
                <w:rFonts w:hint="eastAsia" w:ascii="Times New Roman" w:hAnsi="Times New Roman"/>
                <w:color w:val="auto"/>
                <w:highlight w:val="none"/>
              </w:rPr>
              <w:t>式中：</w:t>
            </w:r>
            <m:oMath>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L</m:t>
                  </m:r>
                  <m:ctrlPr>
                    <w:rPr>
                      <w:rFonts w:ascii="Cambria Math" w:hAnsi="Cambria Math"/>
                      <w:color w:val="auto"/>
                      <w:highlight w:val="none"/>
                    </w:rPr>
                  </m:ctrlPr>
                </m:e>
                <m:sub>
                  <m:r>
                    <m:rPr/>
                    <w:rPr>
                      <w:rFonts w:ascii="Times New Roman" w:hAnsi="Times New Roman" w:eastAsia="Cambria Math" w:cs="Cambria Math"/>
                      <w:color w:val="auto"/>
                      <w:highlight w:val="none"/>
                    </w:rPr>
                    <m:t>A</m:t>
                  </m:r>
                  <m:ctrlPr>
                    <w:rPr>
                      <w:rFonts w:ascii="Cambria Math" w:hAnsi="Cambria Math"/>
                      <w:color w:val="auto"/>
                      <w:highlight w:val="none"/>
                    </w:rPr>
                  </m:ctrlPr>
                </m:sub>
              </m:sSub>
              <m:r>
                <m:rPr/>
                <w:rPr>
                  <w:rFonts w:ascii="Times New Roman" w:hAnsi="Times New Roman" w:eastAsia="Cambria Math" w:cs="Cambria Math"/>
                  <w:color w:val="auto"/>
                  <w:highlight w:val="none"/>
                </w:rPr>
                <m:t>(r)</m:t>
              </m:r>
            </m:oMath>
            <w:r>
              <w:rPr>
                <w:rFonts w:hint="eastAsia" w:ascii="Times New Roman" w:hAnsi="Times New Roman"/>
                <w:color w:val="auto"/>
                <w:highlight w:val="none"/>
              </w:rPr>
              <w:t>——距声源r处的A声级，dB(A)；</w:t>
            </w:r>
          </w:p>
          <w:p w14:paraId="762E037B">
            <w:pPr>
              <w:pStyle w:val="70"/>
              <w:ind w:firstLine="480"/>
              <w:rPr>
                <w:rFonts w:hint="eastAsia" w:ascii="Times New Roman" w:hAnsi="Times New Roman"/>
                <w:color w:val="auto"/>
                <w:highlight w:val="none"/>
              </w:rPr>
            </w:pPr>
            <m:oMath>
              <m:nary>
                <m:naryPr>
                  <m:chr m:val="L"/>
                  <m:limLoc m:val="subSup"/>
                  <m:supHide m:val="1"/>
                  <m:ctrlPr>
                    <w:rPr>
                      <w:rFonts w:ascii="Cambria Math" w:hAnsi="Cambria Math"/>
                      <w:color w:val="auto"/>
                      <w:highlight w:val="none"/>
                    </w:rPr>
                  </m:ctrlPr>
                </m:naryPr>
                <m:sub>
                  <m:r>
                    <m:rPr/>
                    <w:rPr>
                      <w:rFonts w:ascii="Times New Roman" w:hAnsi="Times New Roman" w:eastAsia="Cambria Math" w:cs="Cambria Math"/>
                      <w:color w:val="auto"/>
                      <w:highlight w:val="none"/>
                    </w:rPr>
                    <m:t>A</m:t>
                  </m:r>
                  <m:ctrlPr>
                    <w:rPr>
                      <w:rFonts w:ascii="Cambria Math" w:hAnsi="Cambria Math"/>
                      <w:color w:val="auto"/>
                      <w:highlight w:val="none"/>
                    </w:rPr>
                  </m:ctrlPr>
                </m:sub>
                <m:sup>
                  <m:ctrlPr>
                    <w:rPr>
                      <w:rFonts w:ascii="Cambria Math" w:hAnsi="Cambria Math"/>
                      <w:color w:val="auto"/>
                      <w:highlight w:val="none"/>
                    </w:rPr>
                  </m:ctrlPr>
                </m:sup>
                <m:e>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r</m:t>
                      </m:r>
                      <m:ctrlPr>
                        <w:rPr>
                          <w:rFonts w:ascii="Cambria Math" w:hAnsi="Cambria Math"/>
                          <w:color w:val="auto"/>
                          <w:highlight w:val="none"/>
                        </w:rPr>
                      </m:ctrlPr>
                    </m:e>
                    <m:sub>
                      <m:r>
                        <m:rPr/>
                        <w:rPr>
                          <w:rFonts w:ascii="Times New Roman" w:hAnsi="Times New Roman" w:eastAsia="Cambria Math" w:cs="Cambria Math"/>
                          <w:color w:val="auto"/>
                          <w:highlight w:val="none"/>
                        </w:rPr>
                        <m:t>0</m:t>
                      </m:r>
                      <m:ctrlPr>
                        <w:rPr>
                          <w:rFonts w:ascii="Cambria Math" w:hAnsi="Cambria Math"/>
                          <w:color w:val="auto"/>
                          <w:highlight w:val="none"/>
                        </w:rPr>
                      </m:ctrlPr>
                    </m:sub>
                  </m:sSub>
                  <m:r>
                    <m:rPr/>
                    <w:rPr>
                      <w:rFonts w:ascii="Times New Roman" w:hAnsi="Times New Roman" w:eastAsia="Cambria Math" w:cs="Cambria Math"/>
                      <w:color w:val="auto"/>
                      <w:highlight w:val="none"/>
                    </w:rPr>
                    <m:t>)</m:t>
                  </m:r>
                  <m:ctrlPr>
                    <w:rPr>
                      <w:rFonts w:ascii="Cambria Math" w:hAnsi="Cambria Math"/>
                      <w:color w:val="auto"/>
                      <w:highlight w:val="none"/>
                    </w:rPr>
                  </m:ctrlPr>
                </m:e>
              </m:nary>
            </m:oMath>
            <w:r>
              <w:rPr>
                <w:rFonts w:hint="eastAsia" w:ascii="Times New Roman" w:hAnsi="Times New Roman"/>
                <w:color w:val="auto"/>
                <w:highlight w:val="none"/>
              </w:rPr>
              <w:t>——参考位置r0处的A声级，dB(A)；</w:t>
            </w:r>
          </w:p>
          <w:p w14:paraId="0EB7E9DD">
            <w:pPr>
              <w:pStyle w:val="70"/>
              <w:ind w:firstLine="480"/>
              <w:rPr>
                <w:rFonts w:hint="eastAsia" w:ascii="Times New Roman" w:hAnsi="Times New Roman"/>
                <w:color w:val="auto"/>
                <w:highlight w:val="none"/>
              </w:rPr>
            </w:pPr>
            <m:oMath>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A</m:t>
                  </m:r>
                  <m:ctrlPr>
                    <w:rPr>
                      <w:rFonts w:ascii="Cambria Math" w:hAnsi="Cambria Math"/>
                      <w:color w:val="auto"/>
                      <w:highlight w:val="none"/>
                    </w:rPr>
                  </m:ctrlPr>
                </m:e>
                <m:sub>
                  <m:r>
                    <m:rPr/>
                    <w:rPr>
                      <w:rFonts w:ascii="Times New Roman" w:hAnsi="Times New Roman" w:eastAsia="Cambria Math" w:cs="Cambria Math"/>
                      <w:color w:val="auto"/>
                      <w:highlight w:val="none"/>
                    </w:rPr>
                    <m:t>div</m:t>
                  </m:r>
                  <m:ctrlPr>
                    <w:rPr>
                      <w:rFonts w:ascii="Cambria Math" w:hAnsi="Cambria Math"/>
                      <w:color w:val="auto"/>
                      <w:highlight w:val="none"/>
                    </w:rPr>
                  </m:ctrlPr>
                </m:sub>
              </m:sSub>
            </m:oMath>
            <w:r>
              <w:rPr>
                <w:rFonts w:hint="eastAsia" w:ascii="Times New Roman" w:hAnsi="Times New Roman"/>
                <w:color w:val="auto"/>
                <w:highlight w:val="none"/>
              </w:rPr>
              <w:t>——几何发散引起的衰减，dB。</w:t>
            </w:r>
          </w:p>
          <w:p w14:paraId="1B716E60">
            <w:pPr>
              <w:pStyle w:val="70"/>
              <w:ind w:firstLine="480"/>
              <w:rPr>
                <w:rFonts w:hint="eastAsia" w:ascii="Times New Roman" w:hAnsi="Times New Roman"/>
                <w:color w:val="auto"/>
                <w:highlight w:val="none"/>
              </w:rPr>
            </w:pPr>
            <w:r>
              <w:rPr>
                <w:rFonts w:hint="eastAsia" w:ascii="Times New Roman" w:hAnsi="Times New Roman"/>
                <w:color w:val="auto"/>
                <w:highlight w:val="none"/>
              </w:rPr>
              <w:t>预测点的A声级</w:t>
            </w:r>
            <m:oMath>
              <m:sSub>
                <m:sSubPr>
                  <m:ctrlPr>
                    <w:rPr>
                      <w:rFonts w:ascii="Cambria Math" w:hAnsi="Cambria Math"/>
                      <w:color w:val="auto"/>
                      <w:sz w:val="24"/>
                      <w:szCs w:val="24"/>
                      <w:highlight w:val="none"/>
                    </w:rPr>
                  </m:ctrlPr>
                </m:sSubPr>
                <m:e>
                  <m:r>
                    <m:rPr/>
                    <w:rPr>
                      <w:rFonts w:ascii="Times New Roman" w:hAnsi="Times New Roman"/>
                      <w:color w:val="auto"/>
                      <w:sz w:val="24"/>
                      <w:szCs w:val="24"/>
                      <w:highlight w:val="none"/>
                    </w:rPr>
                    <m:t>L</m:t>
                  </m:r>
                  <m:ctrlPr>
                    <w:rPr>
                      <w:rFonts w:ascii="Cambria Math" w:hAnsi="Cambria Math"/>
                      <w:color w:val="auto"/>
                      <w:sz w:val="24"/>
                      <w:szCs w:val="24"/>
                      <w:highlight w:val="none"/>
                    </w:rPr>
                  </m:ctrlPr>
                </m:e>
                <m:sub>
                  <m:r>
                    <m:rPr>
                      <m:sty m:val="p"/>
                    </m:rPr>
                    <w:rPr>
                      <w:rFonts w:ascii="Times New Roman" w:hAnsi="Times New Roman"/>
                      <w:color w:val="auto"/>
                      <w:sz w:val="24"/>
                      <w:szCs w:val="24"/>
                      <w:highlight w:val="none"/>
                    </w:rPr>
                    <m:t>A</m:t>
                  </m:r>
                  <m:ctrlPr>
                    <w:rPr>
                      <w:rFonts w:ascii="Cambria Math" w:hAnsi="Cambria Math"/>
                      <w:color w:val="auto"/>
                      <w:sz w:val="24"/>
                      <w:szCs w:val="24"/>
                      <w:highlight w:val="none"/>
                    </w:rPr>
                  </m:ctrlPr>
                </m:sub>
              </m:sSub>
              <m:r>
                <m:rPr/>
                <w:rPr>
                  <w:rFonts w:ascii="Times New Roman" w:hAnsi="Times New Roman"/>
                  <w:color w:val="auto"/>
                  <w:sz w:val="24"/>
                  <w:szCs w:val="24"/>
                  <w:highlight w:val="none"/>
                </w:rPr>
                <m:t>(r)</m:t>
              </m:r>
            </m:oMath>
            <w:r>
              <w:rPr>
                <w:rFonts w:hint="eastAsia" w:ascii="Times New Roman" w:hAnsi="Times New Roman"/>
                <w:color w:val="auto"/>
                <w:highlight w:val="none"/>
              </w:rPr>
              <w:t>，可利用8个倍频带的声压级按如下计算：</w:t>
            </w:r>
          </w:p>
          <w:p w14:paraId="0A2FA2C8">
            <w:pPr>
              <w:rPr>
                <w:rFonts w:ascii="Times New Roman" w:hAnsi="Times New Roman"/>
                <w:color w:val="auto"/>
                <w:highlight w:val="none"/>
              </w:rPr>
            </w:pPr>
            <m:oMathPara>
              <m:oMath>
                <m:sSub>
                  <m:sSubPr>
                    <m:ctrlPr>
                      <w:rPr>
                        <w:rFonts w:ascii="Cambria Math" w:hAnsi="Cambria Math"/>
                        <w:color w:val="auto"/>
                        <w:sz w:val="24"/>
                        <w:szCs w:val="24"/>
                        <w:highlight w:val="none"/>
                      </w:rPr>
                    </m:ctrlPr>
                  </m:sSubPr>
                  <m:e>
                    <m:r>
                      <m:rPr/>
                      <w:rPr>
                        <w:rFonts w:ascii="Times New Roman" w:hAnsi="Times New Roman"/>
                        <w:color w:val="auto"/>
                        <w:sz w:val="24"/>
                        <w:szCs w:val="24"/>
                        <w:highlight w:val="none"/>
                      </w:rPr>
                      <m:t>L</m:t>
                    </m:r>
                    <m:ctrlPr>
                      <w:rPr>
                        <w:rFonts w:ascii="Cambria Math" w:hAnsi="Cambria Math"/>
                        <w:color w:val="auto"/>
                        <w:sz w:val="24"/>
                        <w:szCs w:val="24"/>
                        <w:highlight w:val="none"/>
                      </w:rPr>
                    </m:ctrlPr>
                  </m:e>
                  <m:sub>
                    <m:r>
                      <m:rPr>
                        <m:sty m:val="p"/>
                      </m:rPr>
                      <w:rPr>
                        <w:rFonts w:ascii="Times New Roman" w:hAnsi="Times New Roman"/>
                        <w:color w:val="auto"/>
                        <w:sz w:val="24"/>
                        <w:szCs w:val="24"/>
                        <w:highlight w:val="none"/>
                      </w:rPr>
                      <m:t>A</m:t>
                    </m:r>
                    <m:ctrlPr>
                      <w:rPr>
                        <w:rFonts w:ascii="Cambria Math" w:hAnsi="Cambria Math"/>
                        <w:color w:val="auto"/>
                        <w:sz w:val="24"/>
                        <w:szCs w:val="24"/>
                        <w:highlight w:val="none"/>
                      </w:rPr>
                    </m:ctrlPr>
                  </m:sub>
                </m:sSub>
                <m:r>
                  <m:rPr/>
                  <w:rPr>
                    <w:rFonts w:ascii="Times New Roman" w:hAnsi="Times New Roman"/>
                    <w:color w:val="auto"/>
                    <w:sz w:val="24"/>
                    <w:szCs w:val="24"/>
                    <w:highlight w:val="none"/>
                  </w:rPr>
                  <m:t>(r)=10</m:t>
                </m:r>
                <m:r>
                  <m:rPr>
                    <m:sty m:val="p"/>
                  </m:rPr>
                  <w:rPr>
                    <w:rFonts w:ascii="Times New Roman" w:hAnsi="Times New Roman"/>
                    <w:color w:val="auto"/>
                    <w:sz w:val="24"/>
                    <w:szCs w:val="24"/>
                    <w:highlight w:val="none"/>
                  </w:rPr>
                  <m:t>lg</m:t>
                </m:r>
                <m:r>
                  <m:rPr/>
                  <w:rPr>
                    <w:rFonts w:ascii="Times New Roman" w:hAnsi="Times New Roman"/>
                    <w:color w:val="auto"/>
                    <w:sz w:val="24"/>
                    <w:szCs w:val="24"/>
                    <w:highlight w:val="none"/>
                  </w:rPr>
                  <m:t>⁡{</m:t>
                </m:r>
                <m:nary>
                  <m:naryPr>
                    <m:chr m:val="∑"/>
                    <m:grow m:val="1"/>
                    <m:limLoc m:val="undOvr"/>
                    <m:ctrlPr>
                      <w:rPr>
                        <w:rFonts w:ascii="Cambria Math" w:hAnsi="Cambria Math"/>
                        <w:color w:val="auto"/>
                        <w:sz w:val="24"/>
                        <w:szCs w:val="24"/>
                        <w:highlight w:val="none"/>
                      </w:rPr>
                    </m:ctrlPr>
                  </m:naryPr>
                  <m:sub>
                    <m:r>
                      <m:rPr/>
                      <w:rPr>
                        <w:rFonts w:ascii="Times New Roman" w:hAnsi="Times New Roman"/>
                        <w:color w:val="auto"/>
                        <w:sz w:val="24"/>
                        <w:szCs w:val="24"/>
                        <w:highlight w:val="none"/>
                      </w:rPr>
                      <m:t>i=1</m:t>
                    </m:r>
                    <m:ctrlPr>
                      <w:rPr>
                        <w:rFonts w:ascii="Cambria Math" w:hAnsi="Cambria Math"/>
                        <w:color w:val="auto"/>
                        <w:sz w:val="24"/>
                        <w:szCs w:val="24"/>
                        <w:highlight w:val="none"/>
                      </w:rPr>
                    </m:ctrlPr>
                  </m:sub>
                  <m:sup>
                    <m:r>
                      <m:rPr/>
                      <w:rPr>
                        <w:rFonts w:ascii="Times New Roman" w:hAnsi="Times New Roman"/>
                        <w:color w:val="auto"/>
                        <w:sz w:val="24"/>
                        <w:szCs w:val="24"/>
                        <w:highlight w:val="none"/>
                      </w:rPr>
                      <m:t>8</m:t>
                    </m:r>
                    <m:ctrlPr>
                      <w:rPr>
                        <w:rFonts w:ascii="Cambria Math" w:hAnsi="Cambria Math"/>
                        <w:color w:val="auto"/>
                        <w:sz w:val="24"/>
                        <w:szCs w:val="24"/>
                        <w:highlight w:val="none"/>
                      </w:rPr>
                    </m:ctrlPr>
                  </m:sup>
                  <m:e>
                    <m:sSup>
                      <m:sSupPr>
                        <m:ctrlPr>
                          <w:rPr>
                            <w:rFonts w:ascii="Cambria Math" w:hAnsi="Cambria Math"/>
                            <w:color w:val="auto"/>
                            <w:sz w:val="24"/>
                            <w:szCs w:val="24"/>
                            <w:highlight w:val="none"/>
                          </w:rPr>
                        </m:ctrlPr>
                      </m:sSupPr>
                      <m:e>
                        <m:r>
                          <m:rPr/>
                          <w:rPr>
                            <w:rFonts w:ascii="Times New Roman" w:hAnsi="Times New Roman"/>
                            <w:color w:val="auto"/>
                            <w:sz w:val="24"/>
                            <w:szCs w:val="24"/>
                            <w:highlight w:val="none"/>
                          </w:rPr>
                          <m:t>10</m:t>
                        </m:r>
                        <m:ctrlPr>
                          <w:rPr>
                            <w:rFonts w:ascii="Cambria Math" w:hAnsi="Cambria Math"/>
                            <w:color w:val="auto"/>
                            <w:sz w:val="24"/>
                            <w:szCs w:val="24"/>
                            <w:highlight w:val="none"/>
                          </w:rPr>
                        </m:ctrlPr>
                      </m:e>
                      <m:sup>
                        <m:r>
                          <m:rPr/>
                          <w:rPr>
                            <w:rFonts w:ascii="Times New Roman" w:hAnsi="Times New Roman"/>
                            <w:color w:val="auto"/>
                            <w:sz w:val="24"/>
                            <w:szCs w:val="24"/>
                            <w:highlight w:val="none"/>
                          </w:rPr>
                          <m:t>0.</m:t>
                        </m:r>
                        <m:r>
                          <m:rPr/>
                          <w:rPr>
                            <w:rFonts w:hint="default" w:ascii="Times New Roman" w:hAnsi="Times New Roman"/>
                            <w:color w:val="auto"/>
                            <w:sz w:val="24"/>
                            <w:szCs w:val="24"/>
                            <w:highlight w:val="none"/>
                            <w:lang w:val="en-US" w:eastAsia="zh-CN"/>
                          </w:rPr>
                          <m:t>1</m:t>
                        </m:r>
                        <m:r>
                          <m:rPr/>
                          <w:rPr>
                            <w:rFonts w:ascii="Times New Roman" w:hAnsi="Times New Roman"/>
                            <w:color w:val="auto"/>
                            <w:sz w:val="24"/>
                            <w:szCs w:val="24"/>
                            <w:highlight w:val="none"/>
                          </w:rPr>
                          <m:t>[</m:t>
                        </m:r>
                        <m:sSub>
                          <m:sSubPr>
                            <m:ctrlPr>
                              <w:rPr>
                                <w:rFonts w:ascii="Cambria Math" w:hAnsi="Cambria Math"/>
                                <w:color w:val="auto"/>
                                <w:sz w:val="24"/>
                                <w:szCs w:val="24"/>
                                <w:highlight w:val="none"/>
                              </w:rPr>
                            </m:ctrlPr>
                          </m:sSubPr>
                          <m:e>
                            <m:r>
                              <m:rPr/>
                              <w:rPr>
                                <w:rFonts w:ascii="Times New Roman" w:hAnsi="Times New Roman"/>
                                <w:color w:val="auto"/>
                                <w:sz w:val="24"/>
                                <w:szCs w:val="24"/>
                                <w:highlight w:val="none"/>
                              </w:rPr>
                              <m:t>L</m:t>
                            </m:r>
                            <m:ctrlPr>
                              <w:rPr>
                                <w:rFonts w:ascii="Cambria Math" w:hAnsi="Cambria Math"/>
                                <w:color w:val="auto"/>
                                <w:sz w:val="24"/>
                                <w:szCs w:val="24"/>
                                <w:highlight w:val="none"/>
                              </w:rPr>
                            </m:ctrlPr>
                          </m:e>
                          <m:sub>
                            <m:r>
                              <m:rPr/>
                              <w:rPr>
                                <w:rFonts w:ascii="Times New Roman" w:hAnsi="Times New Roman"/>
                                <w:color w:val="auto"/>
                                <w:sz w:val="24"/>
                                <w:szCs w:val="24"/>
                                <w:highlight w:val="none"/>
                              </w:rPr>
                              <m:t>pi</m:t>
                            </m:r>
                            <m:ctrlPr>
                              <w:rPr>
                                <w:rFonts w:ascii="Cambria Math" w:hAnsi="Cambria Math"/>
                                <w:color w:val="auto"/>
                                <w:sz w:val="24"/>
                                <w:szCs w:val="24"/>
                                <w:highlight w:val="none"/>
                              </w:rPr>
                            </m:ctrlPr>
                          </m:sub>
                        </m:sSub>
                        <m:r>
                          <m:rPr/>
                          <w:rPr>
                            <w:rFonts w:ascii="Times New Roman" w:hAnsi="Times New Roman"/>
                            <w:color w:val="auto"/>
                            <w:sz w:val="24"/>
                            <w:szCs w:val="24"/>
                            <w:highlight w:val="none"/>
                          </w:rPr>
                          <m:t>(r)−</m:t>
                        </m:r>
                        <m:r>
                          <m:rPr>
                            <m:sty m:val="p"/>
                          </m:rPr>
                          <w:rPr>
                            <w:rFonts w:ascii="Times New Roman" w:hAnsi="Times New Roman"/>
                            <w:color w:val="auto"/>
                            <w:sz w:val="24"/>
                            <w:szCs w:val="24"/>
                            <w:highlight w:val="none"/>
                          </w:rPr>
                          <m:t>Δ</m:t>
                        </m:r>
                        <m:sSub>
                          <m:sSubPr>
                            <m:ctrlPr>
                              <w:rPr>
                                <w:rFonts w:ascii="Cambria Math" w:hAnsi="Cambria Math"/>
                                <w:color w:val="auto"/>
                                <w:sz w:val="24"/>
                                <w:szCs w:val="24"/>
                                <w:highlight w:val="none"/>
                              </w:rPr>
                            </m:ctrlPr>
                          </m:sSubPr>
                          <m:e>
                            <m:r>
                              <m:rPr>
                                <m:sty m:val="p"/>
                              </m:rPr>
                              <w:rPr>
                                <w:rFonts w:hint="default" w:ascii="Times New Roman" w:hAnsi="Times New Roman"/>
                                <w:color w:val="auto"/>
                                <w:sz w:val="24"/>
                                <w:szCs w:val="24"/>
                                <w:highlight w:val="none"/>
                                <w:lang w:val="en-US" w:eastAsia="zh-CN"/>
                              </w:rPr>
                              <m:t>L</m:t>
                            </m:r>
                            <m:ctrlPr>
                              <w:rPr>
                                <w:rFonts w:ascii="Cambria Math" w:hAnsi="Cambria Math"/>
                                <w:color w:val="auto"/>
                                <w:sz w:val="24"/>
                                <w:szCs w:val="24"/>
                                <w:highlight w:val="none"/>
                              </w:rPr>
                            </m:ctrlPr>
                          </m:e>
                          <m:sub>
                            <m:r>
                              <m:rPr/>
                              <w:rPr>
                                <w:rFonts w:ascii="Times New Roman" w:hAnsi="Times New Roman"/>
                                <w:color w:val="auto"/>
                                <w:sz w:val="24"/>
                                <w:szCs w:val="24"/>
                                <w:highlight w:val="none"/>
                              </w:rPr>
                              <m:t>i</m:t>
                            </m:r>
                            <m:ctrlPr>
                              <w:rPr>
                                <w:rFonts w:ascii="Cambria Math" w:hAnsi="Cambria Math"/>
                                <w:color w:val="auto"/>
                                <w:sz w:val="24"/>
                                <w:szCs w:val="24"/>
                                <w:highlight w:val="none"/>
                              </w:rPr>
                            </m:ctrlPr>
                          </m:sub>
                        </m:sSub>
                        <m:r>
                          <m:rPr/>
                          <w:rPr>
                            <w:rFonts w:ascii="Times New Roman" w:hAnsi="Times New Roman"/>
                            <w:color w:val="auto"/>
                            <w:sz w:val="24"/>
                            <w:szCs w:val="24"/>
                            <w:highlight w:val="none"/>
                          </w:rPr>
                          <m:t>]</m:t>
                        </m:r>
                        <m:ctrlPr>
                          <w:rPr>
                            <w:rFonts w:ascii="Cambria Math" w:hAnsi="Cambria Math"/>
                            <w:color w:val="auto"/>
                            <w:sz w:val="24"/>
                            <w:szCs w:val="24"/>
                            <w:highlight w:val="none"/>
                          </w:rPr>
                        </m:ctrlPr>
                      </m:sup>
                    </m:sSup>
                    <m:ctrlPr>
                      <w:rPr>
                        <w:rFonts w:ascii="Cambria Math" w:hAnsi="Cambria Math"/>
                        <w:color w:val="auto"/>
                        <w:sz w:val="24"/>
                        <w:szCs w:val="24"/>
                        <w:highlight w:val="none"/>
                      </w:rPr>
                    </m:ctrlPr>
                  </m:e>
                </m:nary>
                <m:r>
                  <m:rPr/>
                  <w:rPr>
                    <w:rFonts w:ascii="Times New Roman" w:hAnsi="Times New Roman"/>
                    <w:color w:val="auto"/>
                    <w:sz w:val="24"/>
                    <w:szCs w:val="24"/>
                    <w:highlight w:val="none"/>
                  </w:rPr>
                  <m:t>}</m:t>
                </m:r>
              </m:oMath>
            </m:oMathPara>
          </w:p>
          <w:p w14:paraId="2334A1CA">
            <w:pPr>
              <w:pStyle w:val="70"/>
              <w:ind w:firstLine="480"/>
              <w:rPr>
                <w:rFonts w:hint="eastAsia" w:ascii="Times New Roman" w:hAnsi="Times New Roman"/>
                <w:color w:val="auto"/>
                <w:highlight w:val="none"/>
              </w:rPr>
            </w:pPr>
            <w:r>
              <w:rPr>
                <w:rFonts w:hint="eastAsia" w:ascii="Times New Roman" w:hAnsi="Times New Roman"/>
                <w:color w:val="auto"/>
                <w:highlight w:val="none"/>
              </w:rPr>
              <w:t>式中：</w:t>
            </w:r>
            <m:oMath>
              <m:sSub>
                <m:sSubPr>
                  <m:ctrlPr>
                    <w:rPr>
                      <w:rFonts w:ascii="Cambria Math" w:hAnsi="Cambria Math"/>
                      <w:color w:val="auto"/>
                      <w:sz w:val="24"/>
                      <w:szCs w:val="24"/>
                      <w:highlight w:val="none"/>
                    </w:rPr>
                  </m:ctrlPr>
                </m:sSubPr>
                <m:e>
                  <m:r>
                    <m:rPr/>
                    <w:rPr>
                      <w:rFonts w:ascii="Times New Roman" w:hAnsi="Times New Roman"/>
                      <w:color w:val="auto"/>
                      <w:sz w:val="24"/>
                      <w:szCs w:val="24"/>
                      <w:highlight w:val="none"/>
                    </w:rPr>
                    <m:t>L</m:t>
                  </m:r>
                  <m:ctrlPr>
                    <w:rPr>
                      <w:rFonts w:ascii="Cambria Math" w:hAnsi="Cambria Math"/>
                      <w:color w:val="auto"/>
                      <w:sz w:val="24"/>
                      <w:szCs w:val="24"/>
                      <w:highlight w:val="none"/>
                    </w:rPr>
                  </m:ctrlPr>
                </m:e>
                <m:sub>
                  <m:r>
                    <m:rPr>
                      <m:sty m:val="p"/>
                    </m:rPr>
                    <w:rPr>
                      <w:rFonts w:ascii="Times New Roman" w:hAnsi="Times New Roman"/>
                      <w:color w:val="auto"/>
                      <w:sz w:val="24"/>
                      <w:szCs w:val="24"/>
                      <w:highlight w:val="none"/>
                    </w:rPr>
                    <m:t>A</m:t>
                  </m:r>
                  <m:ctrlPr>
                    <w:rPr>
                      <w:rFonts w:ascii="Cambria Math" w:hAnsi="Cambria Math"/>
                      <w:color w:val="auto"/>
                      <w:sz w:val="24"/>
                      <w:szCs w:val="24"/>
                      <w:highlight w:val="none"/>
                    </w:rPr>
                  </m:ctrlPr>
                </m:sub>
              </m:sSub>
              <m:r>
                <m:rPr/>
                <w:rPr>
                  <w:rFonts w:ascii="Times New Roman" w:hAnsi="Times New Roman"/>
                  <w:color w:val="auto"/>
                  <w:sz w:val="24"/>
                  <w:szCs w:val="24"/>
                  <w:highlight w:val="none"/>
                </w:rPr>
                <m:t>(r)</m:t>
              </m:r>
            </m:oMath>
            <w:r>
              <w:rPr>
                <w:rFonts w:hint="eastAsia" w:ascii="Times New Roman" w:hAnsi="Times New Roman"/>
                <w:color w:val="auto"/>
                <w:highlight w:val="none"/>
              </w:rPr>
              <w:t>——距声源r处的A声级，dB(A)；</w:t>
            </w:r>
          </w:p>
          <w:p w14:paraId="1DA85903">
            <w:pPr>
              <w:pStyle w:val="70"/>
              <w:ind w:firstLine="480"/>
              <w:rPr>
                <w:rFonts w:hint="eastAsia" w:ascii="Times New Roman" w:hAnsi="Times New Roman"/>
                <w:color w:val="auto"/>
                <w:highlight w:val="none"/>
              </w:rPr>
            </w:pPr>
            <m:oMath>
              <m:sSub>
                <m:sSubPr>
                  <m:ctrlPr>
                    <w:rPr>
                      <w:rFonts w:ascii="Cambria Math" w:hAnsi="Cambria Math"/>
                      <w:color w:val="auto"/>
                      <w:sz w:val="24"/>
                      <w:szCs w:val="24"/>
                      <w:highlight w:val="none"/>
                    </w:rPr>
                  </m:ctrlPr>
                </m:sSubPr>
                <m:e>
                  <m:r>
                    <m:rPr/>
                    <w:rPr>
                      <w:rFonts w:ascii="Times New Roman" w:hAnsi="Times New Roman"/>
                      <w:color w:val="auto"/>
                      <w:sz w:val="24"/>
                      <w:szCs w:val="24"/>
                      <w:highlight w:val="none"/>
                    </w:rPr>
                    <m:t>L</m:t>
                  </m:r>
                  <m:ctrlPr>
                    <w:rPr>
                      <w:rFonts w:ascii="Cambria Math" w:hAnsi="Cambria Math"/>
                      <w:color w:val="auto"/>
                      <w:sz w:val="24"/>
                      <w:szCs w:val="24"/>
                      <w:highlight w:val="none"/>
                    </w:rPr>
                  </m:ctrlPr>
                </m:e>
                <m:sub>
                  <m:r>
                    <m:rPr/>
                    <w:rPr>
                      <w:rFonts w:ascii="Times New Roman" w:hAnsi="Times New Roman"/>
                      <w:color w:val="auto"/>
                      <w:sz w:val="24"/>
                      <w:szCs w:val="24"/>
                      <w:highlight w:val="none"/>
                    </w:rPr>
                    <m:t>pi</m:t>
                  </m:r>
                  <m:ctrlPr>
                    <w:rPr>
                      <w:rFonts w:ascii="Cambria Math" w:hAnsi="Cambria Math"/>
                      <w:color w:val="auto"/>
                      <w:sz w:val="24"/>
                      <w:szCs w:val="24"/>
                      <w:highlight w:val="none"/>
                    </w:rPr>
                  </m:ctrlPr>
                </m:sub>
              </m:sSub>
              <m:r>
                <m:rPr/>
                <w:rPr>
                  <w:rFonts w:ascii="Times New Roman" w:hAnsi="Times New Roman"/>
                  <w:color w:val="auto"/>
                  <w:sz w:val="24"/>
                  <w:szCs w:val="24"/>
                  <w:highlight w:val="none"/>
                </w:rPr>
                <m:t>(r)</m:t>
              </m:r>
            </m:oMath>
            <w:r>
              <w:rPr>
                <w:rFonts w:hint="eastAsia" w:ascii="Times New Roman" w:hAnsi="Times New Roman"/>
                <w:color w:val="auto"/>
                <w:highlight w:val="none"/>
              </w:rPr>
              <w:t>——预测点（r）处，第i倍频带声压级，dB；</w:t>
            </w:r>
          </w:p>
          <w:p w14:paraId="15358D98">
            <w:pPr>
              <w:pStyle w:val="70"/>
              <w:ind w:firstLine="480"/>
              <w:rPr>
                <w:rFonts w:hint="eastAsia" w:ascii="Times New Roman" w:hAnsi="Times New Roman"/>
                <w:color w:val="auto"/>
                <w:highlight w:val="none"/>
              </w:rPr>
            </w:pPr>
            <m:oMath>
              <m:r>
                <m:rPr>
                  <m:sty m:val="p"/>
                </m:rPr>
                <w:rPr>
                  <w:rFonts w:ascii="Times New Roman" w:hAnsi="Times New Roman"/>
                  <w:color w:val="auto"/>
                  <w:sz w:val="24"/>
                  <w:szCs w:val="24"/>
                  <w:highlight w:val="none"/>
                </w:rPr>
                <m:t>Δ</m:t>
              </m:r>
              <m:sSub>
                <m:sSubPr>
                  <m:ctrlPr>
                    <w:rPr>
                      <w:rFonts w:ascii="Cambria Math" w:hAnsi="Cambria Math"/>
                      <w:color w:val="auto"/>
                      <w:sz w:val="24"/>
                      <w:szCs w:val="24"/>
                      <w:highlight w:val="none"/>
                    </w:rPr>
                  </m:ctrlPr>
                </m:sSubPr>
                <m:e>
                  <m:r>
                    <m:rPr>
                      <m:sty m:val="p"/>
                    </m:rPr>
                    <w:rPr>
                      <w:rFonts w:hint="default" w:ascii="Times New Roman" w:hAnsi="Times New Roman"/>
                      <w:color w:val="auto"/>
                      <w:sz w:val="24"/>
                      <w:szCs w:val="24"/>
                      <w:highlight w:val="none"/>
                      <w:lang w:val="en-US" w:eastAsia="zh-CN"/>
                    </w:rPr>
                    <m:t>L</m:t>
                  </m:r>
                  <m:ctrlPr>
                    <w:rPr>
                      <w:rFonts w:ascii="Cambria Math" w:hAnsi="Cambria Math"/>
                      <w:color w:val="auto"/>
                      <w:sz w:val="24"/>
                      <w:szCs w:val="24"/>
                      <w:highlight w:val="none"/>
                    </w:rPr>
                  </m:ctrlPr>
                </m:e>
                <m:sub>
                  <m:r>
                    <m:rPr/>
                    <w:rPr>
                      <w:rFonts w:ascii="Times New Roman" w:hAnsi="Times New Roman"/>
                      <w:color w:val="auto"/>
                      <w:sz w:val="24"/>
                      <w:szCs w:val="24"/>
                      <w:highlight w:val="none"/>
                    </w:rPr>
                    <m:t>i</m:t>
                  </m:r>
                  <m:ctrlPr>
                    <w:rPr>
                      <w:rFonts w:ascii="Cambria Math" w:hAnsi="Cambria Math"/>
                      <w:color w:val="auto"/>
                      <w:sz w:val="24"/>
                      <w:szCs w:val="24"/>
                      <w:highlight w:val="none"/>
                    </w:rPr>
                  </m:ctrlPr>
                </m:sub>
              </m:sSub>
            </m:oMath>
            <w:r>
              <w:rPr>
                <w:rFonts w:hint="eastAsia" w:ascii="Times New Roman" w:hAnsi="Times New Roman"/>
                <w:color w:val="auto"/>
                <w:highlight w:val="none"/>
              </w:rPr>
              <w:t>——第i倍频带的A计权网络修正值，dB。</w:t>
            </w:r>
          </w:p>
          <w:p w14:paraId="222F2446">
            <w:pPr>
              <w:pStyle w:val="70"/>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③几何发散衰减</w:t>
            </w:r>
          </w:p>
          <w:p w14:paraId="5353B4A2">
            <w:pPr>
              <w:pStyle w:val="70"/>
              <w:ind w:left="0" w:leftChars="0" w:firstLine="0" w:firstLineChars="0"/>
              <w:rPr>
                <w:rFonts w:hint="eastAsia" w:ascii="Times New Roman" w:hAnsi="Times New Roman"/>
                <w:color w:val="auto"/>
                <w:highlight w:val="none"/>
              </w:rPr>
            </w:pPr>
            <m:oMathPara>
              <m:oMath>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L</m:t>
                    </m:r>
                    <m:ctrlPr>
                      <w:rPr>
                        <w:rFonts w:ascii="Cambria Math" w:hAnsi="Cambria Math"/>
                        <w:color w:val="auto"/>
                        <w:highlight w:val="none"/>
                      </w:rPr>
                    </m:ctrlPr>
                  </m:e>
                  <m:sub>
                    <m:r>
                      <m:rPr/>
                      <w:rPr>
                        <w:rFonts w:ascii="Times New Roman" w:hAnsi="Times New Roman" w:eastAsia="Cambria Math" w:cs="Cambria Math"/>
                        <w:color w:val="auto"/>
                        <w:highlight w:val="none"/>
                      </w:rPr>
                      <m:t>p</m:t>
                    </m:r>
                    <m:ctrlPr>
                      <w:rPr>
                        <w:rFonts w:ascii="Cambria Math" w:hAnsi="Cambria Math"/>
                        <w:color w:val="auto"/>
                        <w:highlight w:val="none"/>
                      </w:rPr>
                    </m:ctrlPr>
                  </m:sub>
                </m:sSub>
                <m:r>
                  <m:rPr/>
                  <w:rPr>
                    <w:rFonts w:ascii="Times New Roman" w:hAnsi="Times New Roman" w:eastAsia="Cambria Math" w:cs="Cambria Math"/>
                    <w:color w:val="auto"/>
                    <w:highlight w:val="none"/>
                  </w:rPr>
                  <m:t>(r)=</m:t>
                </m:r>
                <m:nary>
                  <m:naryPr>
                    <m:chr m:val="L"/>
                    <m:limLoc m:val="subSup"/>
                    <m:supHide m:val="1"/>
                    <m:ctrlPr>
                      <w:rPr>
                        <w:rFonts w:ascii="Cambria Math" w:hAnsi="Cambria Math"/>
                        <w:color w:val="auto"/>
                        <w:highlight w:val="none"/>
                      </w:rPr>
                    </m:ctrlPr>
                  </m:naryPr>
                  <m:sub>
                    <m:r>
                      <m:rPr/>
                      <w:rPr>
                        <w:rFonts w:ascii="Times New Roman" w:hAnsi="Times New Roman" w:eastAsia="Cambria Math" w:cs="Cambria Math"/>
                        <w:color w:val="auto"/>
                        <w:highlight w:val="none"/>
                      </w:rPr>
                      <m:t>p</m:t>
                    </m:r>
                    <m:ctrlPr>
                      <w:rPr>
                        <w:rFonts w:ascii="Cambria Math" w:hAnsi="Cambria Math"/>
                        <w:color w:val="auto"/>
                        <w:highlight w:val="none"/>
                      </w:rPr>
                    </m:ctrlPr>
                  </m:sub>
                  <m:sup>
                    <m:ctrlPr>
                      <w:rPr>
                        <w:rFonts w:ascii="Cambria Math" w:hAnsi="Cambria Math"/>
                        <w:color w:val="auto"/>
                        <w:highlight w:val="none"/>
                      </w:rPr>
                    </m:ctrlPr>
                  </m:sup>
                  <m:e>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r</m:t>
                        </m:r>
                        <m:ctrlPr>
                          <w:rPr>
                            <w:rFonts w:ascii="Cambria Math" w:hAnsi="Cambria Math"/>
                            <w:color w:val="auto"/>
                            <w:highlight w:val="none"/>
                          </w:rPr>
                        </m:ctrlPr>
                      </m:e>
                      <m:sub>
                        <m:r>
                          <m:rPr/>
                          <w:rPr>
                            <w:rFonts w:ascii="Times New Roman" w:hAnsi="Times New Roman" w:eastAsia="Cambria Math" w:cs="Cambria Math"/>
                            <w:color w:val="auto"/>
                            <w:highlight w:val="none"/>
                          </w:rPr>
                          <m:t>0</m:t>
                        </m:r>
                        <m:ctrlPr>
                          <w:rPr>
                            <w:rFonts w:ascii="Cambria Math" w:hAnsi="Cambria Math"/>
                            <w:color w:val="auto"/>
                            <w:highlight w:val="none"/>
                          </w:rPr>
                        </m:ctrlPr>
                      </m:sub>
                    </m:sSub>
                    <m:r>
                      <m:rPr/>
                      <w:rPr>
                        <w:rFonts w:ascii="Times New Roman" w:hAnsi="Times New Roman" w:eastAsia="Cambria Math" w:cs="Cambria Math"/>
                        <w:color w:val="auto"/>
                        <w:highlight w:val="none"/>
                      </w:rPr>
                      <m:t>)</m:t>
                    </m:r>
                    <m:ctrlPr>
                      <w:rPr>
                        <w:rFonts w:ascii="Cambria Math" w:hAnsi="Cambria Math"/>
                        <w:color w:val="auto"/>
                        <w:highlight w:val="none"/>
                      </w:rPr>
                    </m:ctrlPr>
                  </m:e>
                </m:nary>
                <m:r>
                  <m:rPr/>
                  <w:rPr>
                    <w:rFonts w:hint="default" w:ascii="Times New Roman" w:hAnsi="Times New Roman"/>
                    <w:color w:val="auto"/>
                    <w:highlight w:val="none"/>
                    <w:lang w:val="en-US" w:eastAsia="zh-CN"/>
                  </w:rPr>
                  <m:t>−</m:t>
                </m:r>
                <m:r>
                  <m:rPr/>
                  <w:rPr>
                    <w:rFonts w:ascii="Times New Roman" w:hAnsi="Times New Roman" w:eastAsia="Cambria Math" w:cs="Cambria Math"/>
                    <w:color w:val="auto"/>
                    <w:highlight w:val="none"/>
                  </w:rPr>
                  <m:t>20</m:t>
                </m:r>
                <m:func>
                  <m:funcPr>
                    <m:ctrlPr>
                      <w:rPr>
                        <w:rFonts w:ascii="Cambria Math" w:hAnsi="Cambria Math"/>
                        <w:color w:val="auto"/>
                        <w:highlight w:val="none"/>
                      </w:rPr>
                    </m:ctrlPr>
                  </m:funcPr>
                  <m:fName>
                    <m:r>
                      <m:rPr/>
                      <w:rPr>
                        <w:rFonts w:ascii="Times New Roman" w:hAnsi="Times New Roman" w:eastAsia="Cambria Math" w:cs="Cambria Math"/>
                        <w:color w:val="auto"/>
                        <w:highlight w:val="none"/>
                      </w:rPr>
                      <m:t>lg</m:t>
                    </m:r>
                    <m:ctrlPr>
                      <w:rPr>
                        <w:rFonts w:ascii="Cambria Math" w:hAnsi="Cambria Math"/>
                        <w:color w:val="auto"/>
                        <w:highlight w:val="none"/>
                      </w:rPr>
                    </m:ctrlPr>
                  </m:fName>
                  <m:e>
                    <m:r>
                      <m:rPr/>
                      <w:rPr>
                        <w:rFonts w:ascii="Times New Roman" w:hAnsi="Times New Roman" w:eastAsia="Cambria Math" w:cs="Cambria Math"/>
                        <w:color w:val="auto"/>
                        <w:highlight w:val="none"/>
                      </w:rPr>
                      <m:t>(r/</m:t>
                    </m:r>
                    <m:ctrlPr>
                      <w:rPr>
                        <w:rFonts w:ascii="Cambria Math" w:hAnsi="Cambria Math"/>
                        <w:color w:val="auto"/>
                        <w:highlight w:val="none"/>
                      </w:rPr>
                    </m:ctrlPr>
                  </m:e>
                </m:func>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r</m:t>
                    </m:r>
                    <m:ctrlPr>
                      <w:rPr>
                        <w:rFonts w:ascii="Cambria Math" w:hAnsi="Cambria Math"/>
                        <w:color w:val="auto"/>
                        <w:highlight w:val="none"/>
                      </w:rPr>
                    </m:ctrlPr>
                  </m:e>
                  <m:sub>
                    <m:r>
                      <m:rPr/>
                      <w:rPr>
                        <w:rFonts w:ascii="Times New Roman" w:hAnsi="Times New Roman" w:eastAsia="Cambria Math" w:cs="Cambria Math"/>
                        <w:color w:val="auto"/>
                        <w:highlight w:val="none"/>
                      </w:rPr>
                      <m:t>0</m:t>
                    </m:r>
                    <m:ctrlPr>
                      <w:rPr>
                        <w:rFonts w:ascii="Cambria Math" w:hAnsi="Cambria Math"/>
                        <w:color w:val="auto"/>
                        <w:highlight w:val="none"/>
                      </w:rPr>
                    </m:ctrlPr>
                  </m:sub>
                </m:sSub>
                <m:r>
                  <m:rPr/>
                  <w:rPr>
                    <w:rFonts w:ascii="Times New Roman" w:hAnsi="Times New Roman" w:eastAsia="Cambria Math" w:cs="Cambria Math"/>
                    <w:color w:val="auto"/>
                    <w:highlight w:val="none"/>
                  </w:rPr>
                  <m:t>)</m:t>
                </m:r>
              </m:oMath>
            </m:oMathPara>
          </w:p>
          <w:p w14:paraId="4F27DA52">
            <w:pPr>
              <w:pStyle w:val="70"/>
              <w:ind w:firstLine="480"/>
              <w:rPr>
                <w:rFonts w:hint="eastAsia" w:ascii="Times New Roman" w:hAnsi="Times New Roman"/>
                <w:color w:val="auto"/>
                <w:highlight w:val="none"/>
              </w:rPr>
            </w:pPr>
            <w:r>
              <w:rPr>
                <w:rFonts w:hint="eastAsia" w:ascii="Times New Roman" w:hAnsi="Times New Roman"/>
                <w:color w:val="auto"/>
                <w:highlight w:val="none"/>
              </w:rPr>
              <w:t>式中：</w:t>
            </w:r>
            <m:oMath>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L</m:t>
                  </m:r>
                  <m:ctrlPr>
                    <w:rPr>
                      <w:rFonts w:ascii="Cambria Math" w:hAnsi="Cambria Math"/>
                      <w:color w:val="auto"/>
                      <w:highlight w:val="none"/>
                    </w:rPr>
                  </m:ctrlPr>
                </m:e>
                <m:sub>
                  <m:r>
                    <m:rPr/>
                    <w:rPr>
                      <w:rFonts w:ascii="Times New Roman" w:hAnsi="Times New Roman" w:eastAsia="Cambria Math" w:cs="Cambria Math"/>
                      <w:color w:val="auto"/>
                      <w:highlight w:val="none"/>
                    </w:rPr>
                    <m:t>p</m:t>
                  </m:r>
                  <m:ctrlPr>
                    <w:rPr>
                      <w:rFonts w:ascii="Cambria Math" w:hAnsi="Cambria Math"/>
                      <w:color w:val="auto"/>
                      <w:highlight w:val="none"/>
                    </w:rPr>
                  </m:ctrlPr>
                </m:sub>
              </m:sSub>
              <m:r>
                <m:rPr/>
                <w:rPr>
                  <w:rFonts w:ascii="Times New Roman" w:hAnsi="Times New Roman" w:eastAsia="Cambria Math" w:cs="Cambria Math"/>
                  <w:color w:val="auto"/>
                  <w:highlight w:val="none"/>
                </w:rPr>
                <m:t>(r)</m:t>
              </m:r>
            </m:oMath>
            <w:r>
              <w:rPr>
                <w:rFonts w:hint="eastAsia" w:ascii="Times New Roman" w:hAnsi="Times New Roman"/>
                <w:color w:val="auto"/>
                <w:highlight w:val="none"/>
              </w:rPr>
              <w:t>——预测点处声压级，dB；</w:t>
            </w:r>
          </w:p>
          <w:p w14:paraId="3334C947">
            <w:pPr>
              <w:pStyle w:val="70"/>
              <w:ind w:firstLine="480"/>
              <w:rPr>
                <w:rFonts w:hint="eastAsia" w:ascii="Times New Roman" w:hAnsi="Times New Roman"/>
                <w:color w:val="auto"/>
                <w:highlight w:val="none"/>
              </w:rPr>
            </w:pPr>
            <m:oMath>
              <m:nary>
                <m:naryPr>
                  <m:chr m:val="L"/>
                  <m:limLoc m:val="subSup"/>
                  <m:supHide m:val="1"/>
                  <m:ctrlPr>
                    <w:rPr>
                      <w:rFonts w:ascii="Cambria Math" w:hAnsi="Cambria Math"/>
                      <w:color w:val="auto"/>
                      <w:highlight w:val="none"/>
                    </w:rPr>
                  </m:ctrlPr>
                </m:naryPr>
                <m:sub>
                  <m:r>
                    <m:rPr/>
                    <w:rPr>
                      <w:rFonts w:ascii="Times New Roman" w:hAnsi="Times New Roman" w:eastAsia="Cambria Math" w:cs="Cambria Math"/>
                      <w:color w:val="auto"/>
                      <w:highlight w:val="none"/>
                    </w:rPr>
                    <m:t>p</m:t>
                  </m:r>
                  <m:ctrlPr>
                    <w:rPr>
                      <w:rFonts w:ascii="Cambria Math" w:hAnsi="Cambria Math"/>
                      <w:color w:val="auto"/>
                      <w:highlight w:val="none"/>
                    </w:rPr>
                  </m:ctrlPr>
                </m:sub>
                <m:sup>
                  <m:ctrlPr>
                    <w:rPr>
                      <w:rFonts w:ascii="Cambria Math" w:hAnsi="Cambria Math"/>
                      <w:color w:val="auto"/>
                      <w:highlight w:val="none"/>
                    </w:rPr>
                  </m:ctrlPr>
                </m:sup>
                <m:e>
                  <m:r>
                    <m:rPr/>
                    <w:rPr>
                      <w:rFonts w:ascii="Times New Roman" w:hAnsi="Times New Roman" w:eastAsia="Cambria Math" w:cs="Cambria Math"/>
                      <w:color w:val="auto"/>
                      <w:highlight w:val="none"/>
                    </w:rPr>
                    <m:t>(</m:t>
                  </m:r>
                  <m:sSub>
                    <m:sSubPr>
                      <m:ctrlPr>
                        <w:rPr>
                          <w:rFonts w:ascii="Cambria Math" w:hAnsi="Cambria Math"/>
                          <w:color w:val="auto"/>
                          <w:highlight w:val="none"/>
                        </w:rPr>
                      </m:ctrlPr>
                    </m:sSubPr>
                    <m:e>
                      <m:r>
                        <m:rPr/>
                        <w:rPr>
                          <w:rFonts w:ascii="Times New Roman" w:hAnsi="Times New Roman" w:eastAsia="Cambria Math" w:cs="Cambria Math"/>
                          <w:color w:val="auto"/>
                          <w:highlight w:val="none"/>
                        </w:rPr>
                        <m:t>r</m:t>
                      </m:r>
                      <m:ctrlPr>
                        <w:rPr>
                          <w:rFonts w:ascii="Cambria Math" w:hAnsi="Cambria Math"/>
                          <w:color w:val="auto"/>
                          <w:highlight w:val="none"/>
                        </w:rPr>
                      </m:ctrlPr>
                    </m:e>
                    <m:sub>
                      <m:r>
                        <m:rPr/>
                        <w:rPr>
                          <w:rFonts w:ascii="Times New Roman" w:hAnsi="Times New Roman" w:eastAsia="Cambria Math" w:cs="Cambria Math"/>
                          <w:color w:val="auto"/>
                          <w:highlight w:val="none"/>
                        </w:rPr>
                        <m:t>0</m:t>
                      </m:r>
                      <m:ctrlPr>
                        <w:rPr>
                          <w:rFonts w:ascii="Cambria Math" w:hAnsi="Cambria Math"/>
                          <w:color w:val="auto"/>
                          <w:highlight w:val="none"/>
                        </w:rPr>
                      </m:ctrlPr>
                    </m:sub>
                  </m:sSub>
                  <m:r>
                    <m:rPr/>
                    <w:rPr>
                      <w:rFonts w:ascii="Times New Roman" w:hAnsi="Times New Roman" w:eastAsia="Cambria Math" w:cs="Cambria Math"/>
                      <w:color w:val="auto"/>
                      <w:highlight w:val="none"/>
                    </w:rPr>
                    <m:t>)</m:t>
                  </m:r>
                  <m:ctrlPr>
                    <w:rPr>
                      <w:rFonts w:ascii="Cambria Math" w:hAnsi="Cambria Math"/>
                      <w:color w:val="auto"/>
                      <w:highlight w:val="none"/>
                    </w:rPr>
                  </m:ctrlPr>
                </m:e>
              </m:nary>
            </m:oMath>
            <w:r>
              <w:rPr>
                <w:rFonts w:hint="eastAsia" w:ascii="Times New Roman" w:hAnsi="Times New Roman"/>
                <w:color w:val="auto"/>
                <w:highlight w:val="none"/>
              </w:rPr>
              <w:t>——参考位置r0处的声压级，dB；</w:t>
            </w:r>
          </w:p>
          <w:p w14:paraId="28FDAFBB">
            <w:pPr>
              <w:pStyle w:val="70"/>
              <w:ind w:firstLine="480"/>
              <w:rPr>
                <w:rFonts w:hint="eastAsia" w:ascii="Times New Roman" w:hAnsi="Times New Roman"/>
                <w:color w:val="auto"/>
                <w:highlight w:val="none"/>
              </w:rPr>
            </w:pPr>
            <w:r>
              <w:rPr>
                <w:rFonts w:hint="eastAsia" w:ascii="Times New Roman" w:hAnsi="Times New Roman"/>
                <w:color w:val="auto"/>
                <w:highlight w:val="none"/>
              </w:rPr>
              <w:t>r——预测点距声源的距离；</w:t>
            </w:r>
          </w:p>
          <w:p w14:paraId="0C385B9C">
            <w:pPr>
              <w:pStyle w:val="70"/>
              <w:ind w:firstLine="480"/>
              <w:rPr>
                <w:rFonts w:hint="eastAsia" w:ascii="Times New Roman" w:hAnsi="Times New Roman"/>
                <w:color w:val="auto"/>
                <w:highlight w:val="none"/>
              </w:rPr>
            </w:pPr>
            <w:r>
              <w:rPr>
                <w:rFonts w:hint="eastAsia" w:ascii="Times New Roman" w:hAnsi="Times New Roman"/>
                <w:color w:val="auto"/>
                <w:highlight w:val="none"/>
              </w:rPr>
              <w:t>r0——参考位置距声源的距离</w:t>
            </w:r>
          </w:p>
          <w:p w14:paraId="5C962FAC">
            <w:pPr>
              <w:pStyle w:val="70"/>
              <w:ind w:firstLine="480"/>
              <w:rPr>
                <w:rFonts w:hint="eastAsia" w:ascii="Times New Roman" w:hAnsi="Times New Roman"/>
                <w:b/>
                <w:bCs/>
                <w:color w:val="auto"/>
                <w:highlight w:val="none"/>
              </w:rPr>
            </w:pPr>
            <w:r>
              <w:rPr>
                <w:rFonts w:hint="eastAsia" w:ascii="Times New Roman" w:hAnsi="Times New Roman"/>
                <w:b/>
                <w:bCs/>
                <w:color w:val="auto"/>
                <w:highlight w:val="none"/>
              </w:rPr>
              <w:t>C、多个室外声源噪声贡献值叠加</w:t>
            </w:r>
          </w:p>
          <w:p w14:paraId="727EF34C">
            <w:pPr>
              <w:pStyle w:val="70"/>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①</w:t>
            </w:r>
            <w:r>
              <w:rPr>
                <w:rFonts w:hint="eastAsia" w:ascii="Times New Roman" w:hAnsi="Times New Roman"/>
                <w:color w:val="auto"/>
                <w:highlight w:val="none"/>
              </w:rPr>
              <w:t>设第i个室外声源在预测点产生的A声级为</w:t>
            </w:r>
            <m:oMath>
              <m:sSub>
                <m:sSubPr>
                  <m:ctrlPr>
                    <w:rPr>
                      <w:rFonts w:ascii="Cambria Math" w:hAnsi="Cambria Math"/>
                      <w:color w:val="auto"/>
                      <w:highlight w:val="none"/>
                    </w:rPr>
                  </m:ctrlPr>
                </m:sSubPr>
                <m:e>
                  <m:r>
                    <m:rPr/>
                    <w:rPr>
                      <w:rFonts w:ascii="Times New Roman" w:hAnsi="Times New Roman"/>
                      <w:color w:val="auto"/>
                      <w:highlight w:val="none"/>
                    </w:rPr>
                    <m:t>L</m:t>
                  </m:r>
                  <m:ctrlPr>
                    <w:rPr>
                      <w:rFonts w:ascii="Cambria Math" w:hAnsi="Cambria Math"/>
                      <w:color w:val="auto"/>
                      <w:highlight w:val="none"/>
                    </w:rPr>
                  </m:ctrlPr>
                </m:e>
                <m:sub>
                  <m:r>
                    <m:rPr>
                      <m:sty m:val="p"/>
                    </m:rPr>
                    <w:rPr>
                      <w:rFonts w:ascii="Times New Roman" w:hAnsi="Times New Roman"/>
                      <w:color w:val="auto"/>
                      <w:highlight w:val="none"/>
                    </w:rPr>
                    <m:t>A</m:t>
                  </m:r>
                  <m:r>
                    <m:rPr/>
                    <w:rPr>
                      <w:rFonts w:ascii="Times New Roman" w:hAnsi="Times New Roman"/>
                      <w:color w:val="auto"/>
                      <w:highlight w:val="none"/>
                    </w:rPr>
                    <m:t>i</m:t>
                  </m:r>
                  <m:ctrlPr>
                    <w:rPr>
                      <w:rFonts w:ascii="Cambria Math" w:hAnsi="Cambria Math"/>
                      <w:color w:val="auto"/>
                      <w:highlight w:val="none"/>
                    </w:rPr>
                  </m:ctrlPr>
                </m:sub>
              </m:sSub>
            </m:oMath>
            <w:r>
              <w:rPr>
                <w:rFonts w:hint="eastAsia" w:ascii="Times New Roman" w:hAnsi="Times New Roman"/>
                <w:color w:val="auto"/>
                <w:highlight w:val="none"/>
              </w:rPr>
              <w:t>，在T时间内该声源工作时间为</w:t>
            </w:r>
            <m:oMath>
              <m:sSub>
                <m:sSubPr>
                  <m:ctrlPr>
                    <w:rPr>
                      <w:rFonts w:ascii="Cambria Math" w:hAnsi="Cambria Math"/>
                      <w:color w:val="auto"/>
                      <w:highlight w:val="none"/>
                    </w:rPr>
                  </m:ctrlPr>
                </m:sSubPr>
                <m:e>
                  <m:r>
                    <m:rPr/>
                    <w:rPr>
                      <w:rFonts w:ascii="Times New Roman" w:hAnsi="Times New Roman"/>
                      <w:color w:val="auto"/>
                      <w:highlight w:val="none"/>
                    </w:rPr>
                    <m:t>t</m:t>
                  </m:r>
                  <m:ctrlPr>
                    <w:rPr>
                      <w:rFonts w:ascii="Cambria Math" w:hAnsi="Cambria Math"/>
                      <w:color w:val="auto"/>
                      <w:highlight w:val="none"/>
                    </w:rPr>
                  </m:ctrlPr>
                </m:e>
                <m:sub>
                  <m:r>
                    <m:rPr/>
                    <w:rPr>
                      <w:rFonts w:ascii="Times New Roman" w:hAnsi="Times New Roman"/>
                      <w:color w:val="auto"/>
                      <w:highlight w:val="none"/>
                    </w:rPr>
                    <m:t>i</m:t>
                  </m:r>
                  <m:ctrlPr>
                    <w:rPr>
                      <w:rFonts w:ascii="Cambria Math" w:hAnsi="Cambria Math"/>
                      <w:color w:val="auto"/>
                      <w:highlight w:val="none"/>
                    </w:rPr>
                  </m:ctrlPr>
                </m:sub>
              </m:sSub>
            </m:oMath>
            <w:r>
              <w:rPr>
                <w:rFonts w:hint="eastAsia" w:ascii="Times New Roman" w:hAnsi="Times New Roman"/>
                <w:color w:val="auto"/>
                <w:highlight w:val="none"/>
              </w:rPr>
              <w:t>；第j个等效室外声源在预测点产生的A声级为</w:t>
            </w:r>
            <m:oMath>
              <m:sSub>
                <m:sSubPr>
                  <m:ctrlPr>
                    <w:rPr>
                      <w:rFonts w:ascii="Cambria Math" w:hAnsi="Cambria Math"/>
                      <w:color w:val="auto"/>
                      <w:highlight w:val="none"/>
                    </w:rPr>
                  </m:ctrlPr>
                </m:sSubPr>
                <m:e>
                  <m:r>
                    <m:rPr/>
                    <w:rPr>
                      <w:rFonts w:ascii="Times New Roman" w:hAnsi="Times New Roman"/>
                      <w:color w:val="auto"/>
                      <w:highlight w:val="none"/>
                    </w:rPr>
                    <m:t>L</m:t>
                  </m:r>
                  <m:ctrlPr>
                    <w:rPr>
                      <w:rFonts w:ascii="Cambria Math" w:hAnsi="Cambria Math"/>
                      <w:color w:val="auto"/>
                      <w:highlight w:val="none"/>
                    </w:rPr>
                  </m:ctrlPr>
                </m:e>
                <m:sub>
                  <m:r>
                    <m:rPr>
                      <m:sty m:val="p"/>
                    </m:rPr>
                    <w:rPr>
                      <w:rFonts w:ascii="Times New Roman" w:hAnsi="Times New Roman"/>
                      <w:color w:val="auto"/>
                      <w:highlight w:val="none"/>
                    </w:rPr>
                    <m:t>A</m:t>
                  </m:r>
                  <m:r>
                    <m:rPr/>
                    <w:rPr>
                      <w:rFonts w:ascii="Times New Roman" w:hAnsi="Times New Roman"/>
                      <w:color w:val="auto"/>
                      <w:highlight w:val="none"/>
                    </w:rPr>
                    <m:t>j</m:t>
                  </m:r>
                  <m:ctrlPr>
                    <w:rPr>
                      <w:rFonts w:ascii="Cambria Math" w:hAnsi="Cambria Math"/>
                      <w:color w:val="auto"/>
                      <w:highlight w:val="none"/>
                    </w:rPr>
                  </m:ctrlPr>
                </m:sub>
              </m:sSub>
            </m:oMath>
            <w:r>
              <w:rPr>
                <w:rFonts w:hint="eastAsia" w:ascii="Times New Roman" w:hAnsi="Times New Roman"/>
                <w:color w:val="auto"/>
                <w:highlight w:val="none"/>
              </w:rPr>
              <w:t>，在T时间内该声源工作时间为</w:t>
            </w:r>
            <m:oMath>
              <m:sSub>
                <m:sSubPr>
                  <m:ctrlPr>
                    <w:rPr>
                      <w:rFonts w:ascii="Cambria Math" w:hAnsi="Cambria Math"/>
                      <w:color w:val="auto"/>
                      <w:highlight w:val="none"/>
                    </w:rPr>
                  </m:ctrlPr>
                </m:sSubPr>
                <m:e>
                  <m:r>
                    <m:rPr/>
                    <w:rPr>
                      <w:rFonts w:ascii="Times New Roman" w:hAnsi="Times New Roman"/>
                      <w:color w:val="auto"/>
                      <w:highlight w:val="none"/>
                    </w:rPr>
                    <m:t>t</m:t>
                  </m:r>
                  <m:ctrlPr>
                    <w:rPr>
                      <w:rFonts w:ascii="Cambria Math" w:hAnsi="Cambria Math"/>
                      <w:color w:val="auto"/>
                      <w:highlight w:val="none"/>
                    </w:rPr>
                  </m:ctrlPr>
                </m:e>
                <m:sub>
                  <m:r>
                    <m:rPr/>
                    <w:rPr>
                      <w:rFonts w:ascii="Times New Roman" w:hAnsi="Times New Roman"/>
                      <w:color w:val="auto"/>
                      <w:highlight w:val="none"/>
                    </w:rPr>
                    <m:t>j</m:t>
                  </m:r>
                  <m:ctrlPr>
                    <w:rPr>
                      <w:rFonts w:ascii="Cambria Math" w:hAnsi="Cambria Math"/>
                      <w:color w:val="auto"/>
                      <w:highlight w:val="none"/>
                    </w:rPr>
                  </m:ctrlPr>
                </m:sub>
              </m:sSub>
            </m:oMath>
            <w:r>
              <w:rPr>
                <w:rFonts w:hint="eastAsia" w:ascii="Times New Roman" w:hAnsi="Times New Roman"/>
                <w:color w:val="auto"/>
                <w:highlight w:val="none"/>
              </w:rPr>
              <w:t>，则拟建工程声源对预测点产生的贡献值（Leqg）为：</w:t>
            </w:r>
          </w:p>
          <w:p w14:paraId="6A35FAB7">
            <w:pPr>
              <w:pStyle w:val="70"/>
              <w:ind w:left="0" w:leftChars="0" w:firstLine="0" w:firstLineChars="0"/>
              <w:rPr>
                <w:rFonts w:hint="eastAsia" w:ascii="Times New Roman" w:hAnsi="Times New Roman"/>
                <w:color w:val="auto"/>
                <w:highlight w:val="none"/>
              </w:rPr>
            </w:pPr>
            <m:oMathPara>
              <m:oMath>
                <m:sSub>
                  <m:sSubPr>
                    <m:ctrlPr>
                      <w:rPr>
                        <w:rFonts w:ascii="Cambria Math" w:hAnsi="Cambria Math"/>
                        <w:color w:val="auto"/>
                        <w:highlight w:val="none"/>
                      </w:rPr>
                    </m:ctrlPr>
                  </m:sSubPr>
                  <m:e>
                    <m:r>
                      <m:rPr/>
                      <w:rPr>
                        <w:rFonts w:ascii="Times New Roman" w:hAnsi="Times New Roman"/>
                        <w:color w:val="auto"/>
                        <w:highlight w:val="none"/>
                      </w:rPr>
                      <m:t>L</m:t>
                    </m:r>
                    <m:ctrlPr>
                      <w:rPr>
                        <w:rFonts w:ascii="Cambria Math" w:hAnsi="Cambria Math"/>
                        <w:color w:val="auto"/>
                        <w:highlight w:val="none"/>
                      </w:rPr>
                    </m:ctrlPr>
                  </m:e>
                  <m:sub>
                    <m:r>
                      <m:rPr>
                        <m:sty m:val="p"/>
                      </m:rPr>
                      <w:rPr>
                        <w:rFonts w:ascii="Times New Roman" w:hAnsi="Times New Roman"/>
                        <w:color w:val="auto"/>
                        <w:highlight w:val="none"/>
                      </w:rPr>
                      <m:t>eqg</m:t>
                    </m:r>
                    <m:ctrlPr>
                      <w:rPr>
                        <w:rFonts w:ascii="Cambria Math" w:hAnsi="Cambria Math"/>
                        <w:color w:val="auto"/>
                        <w:highlight w:val="none"/>
                      </w:rPr>
                    </m:ctrlPr>
                  </m:sub>
                </m:sSub>
                <m:r>
                  <m:rPr/>
                  <w:rPr>
                    <w:rFonts w:ascii="Times New Roman" w:hAnsi="Times New Roman"/>
                    <w:color w:val="auto"/>
                    <w:highlight w:val="none"/>
                  </w:rPr>
                  <m:t>=10</m:t>
                </m:r>
                <m:r>
                  <m:rPr>
                    <m:sty m:val="p"/>
                  </m:rPr>
                  <w:rPr>
                    <w:rFonts w:ascii="Times New Roman" w:hAnsi="Times New Roman"/>
                    <w:color w:val="auto"/>
                    <w:highlight w:val="none"/>
                  </w:rPr>
                  <m:t>lg</m:t>
                </m:r>
                <m:r>
                  <m:rPr/>
                  <w:rPr>
                    <w:rFonts w:ascii="Times New Roman" w:hAnsi="Times New Roman"/>
                    <w:color w:val="auto"/>
                    <w:highlight w:val="none"/>
                  </w:rPr>
                  <m:t>⁡[</m:t>
                </m:r>
                <m:f>
                  <m:fPr>
                    <m:ctrlPr>
                      <w:rPr>
                        <w:rFonts w:ascii="Cambria Math" w:hAnsi="Cambria Math"/>
                        <w:color w:val="auto"/>
                        <w:highlight w:val="none"/>
                      </w:rPr>
                    </m:ctrlPr>
                  </m:fPr>
                  <m:num>
                    <m:r>
                      <m:rPr/>
                      <w:rPr>
                        <w:rFonts w:ascii="Times New Roman" w:hAnsi="Times New Roman"/>
                        <w:color w:val="auto"/>
                        <w:highlight w:val="none"/>
                      </w:rPr>
                      <m:t>1</m:t>
                    </m:r>
                    <m:ctrlPr>
                      <w:rPr>
                        <w:rFonts w:ascii="Cambria Math" w:hAnsi="Cambria Math"/>
                        <w:color w:val="auto"/>
                        <w:highlight w:val="none"/>
                      </w:rPr>
                    </m:ctrlPr>
                  </m:num>
                  <m:den>
                    <m:r>
                      <m:rPr/>
                      <w:rPr>
                        <w:rFonts w:ascii="Times New Roman" w:hAnsi="Times New Roman"/>
                        <w:color w:val="auto"/>
                        <w:highlight w:val="none"/>
                      </w:rPr>
                      <m:t>T</m:t>
                    </m:r>
                    <m:ctrlPr>
                      <w:rPr>
                        <w:rFonts w:ascii="Cambria Math" w:hAnsi="Cambria Math"/>
                        <w:color w:val="auto"/>
                        <w:highlight w:val="none"/>
                      </w:rPr>
                    </m:ctrlPr>
                  </m:den>
                </m:f>
                <m:r>
                  <m:rPr/>
                  <w:rPr>
                    <w:rFonts w:ascii="Times New Roman" w:hAnsi="Times New Roman"/>
                    <w:color w:val="auto"/>
                    <w:highlight w:val="none"/>
                  </w:rPr>
                  <m:t>(</m:t>
                </m:r>
                <m:nary>
                  <m:naryPr>
                    <m:chr m:val="∑"/>
                    <m:grow m:val="1"/>
                    <m:limLoc m:val="undOvr"/>
                    <m:ctrlPr>
                      <w:rPr>
                        <w:rFonts w:ascii="Cambria Math" w:hAnsi="Cambria Math"/>
                        <w:color w:val="auto"/>
                        <w:highlight w:val="none"/>
                      </w:rPr>
                    </m:ctrlPr>
                  </m:naryPr>
                  <m:sub>
                    <m:r>
                      <m:rPr/>
                      <w:rPr>
                        <w:rFonts w:ascii="Times New Roman" w:hAnsi="Times New Roman"/>
                        <w:color w:val="auto"/>
                        <w:highlight w:val="none"/>
                      </w:rPr>
                      <m:t>i=1</m:t>
                    </m:r>
                    <m:ctrlPr>
                      <w:rPr>
                        <w:rFonts w:ascii="Cambria Math" w:hAnsi="Cambria Math"/>
                        <w:color w:val="auto"/>
                        <w:highlight w:val="none"/>
                      </w:rPr>
                    </m:ctrlPr>
                  </m:sub>
                  <m:sup>
                    <m:r>
                      <m:rPr/>
                      <w:rPr>
                        <w:rFonts w:ascii="Times New Roman" w:hAnsi="Times New Roman"/>
                        <w:color w:val="auto"/>
                        <w:highlight w:val="none"/>
                      </w:rPr>
                      <m:t>N</m:t>
                    </m:r>
                    <m:ctrlPr>
                      <w:rPr>
                        <w:rFonts w:ascii="Cambria Math" w:hAnsi="Cambria Math"/>
                        <w:color w:val="auto"/>
                        <w:highlight w:val="none"/>
                      </w:rPr>
                    </m:ctrlPr>
                  </m:sup>
                  <m:e>
                    <m:sSub>
                      <m:sSubPr>
                        <m:ctrlPr>
                          <w:rPr>
                            <w:rFonts w:ascii="Cambria Math" w:hAnsi="Cambria Math"/>
                            <w:color w:val="auto"/>
                            <w:highlight w:val="none"/>
                          </w:rPr>
                        </m:ctrlPr>
                      </m:sSubPr>
                      <m:e>
                        <m:r>
                          <m:rPr/>
                          <w:rPr>
                            <w:rFonts w:ascii="Times New Roman" w:hAnsi="Times New Roman"/>
                            <w:color w:val="auto"/>
                            <w:highlight w:val="none"/>
                          </w:rPr>
                          <m:t>t</m:t>
                        </m:r>
                        <m:ctrlPr>
                          <w:rPr>
                            <w:rFonts w:ascii="Cambria Math" w:hAnsi="Cambria Math"/>
                            <w:color w:val="auto"/>
                            <w:highlight w:val="none"/>
                          </w:rPr>
                        </m:ctrlPr>
                      </m:e>
                      <m:sub>
                        <m:r>
                          <m:rPr/>
                          <w:rPr>
                            <w:rFonts w:ascii="Times New Roman" w:hAnsi="Times New Roman"/>
                            <w:color w:val="auto"/>
                            <w:highlight w:val="none"/>
                          </w:rPr>
                          <m:t>i</m:t>
                        </m:r>
                        <m:ctrlPr>
                          <w:rPr>
                            <w:rFonts w:ascii="Cambria Math" w:hAnsi="Cambria Math"/>
                            <w:color w:val="auto"/>
                            <w:highlight w:val="none"/>
                          </w:rPr>
                        </m:ctrlPr>
                      </m:sub>
                    </m:sSub>
                    <m:sSup>
                      <m:sSupPr>
                        <m:ctrlPr>
                          <w:rPr>
                            <w:rFonts w:ascii="Cambria Math" w:hAnsi="Cambria Math"/>
                            <w:color w:val="auto"/>
                            <w:highlight w:val="none"/>
                          </w:rPr>
                        </m:ctrlPr>
                      </m:sSupPr>
                      <m:e>
                        <m:r>
                          <m:rPr/>
                          <w:rPr>
                            <w:rFonts w:ascii="Times New Roman" w:hAnsi="Times New Roman"/>
                            <w:color w:val="auto"/>
                            <w:highlight w:val="none"/>
                          </w:rPr>
                          <m:t>10</m:t>
                        </m:r>
                        <m:ctrlPr>
                          <w:rPr>
                            <w:rFonts w:ascii="Cambria Math" w:hAnsi="Cambria Math"/>
                            <w:color w:val="auto"/>
                            <w:highlight w:val="none"/>
                          </w:rPr>
                        </m:ctrlPr>
                      </m:e>
                      <m:sup>
                        <m:r>
                          <m:rPr/>
                          <w:rPr>
                            <w:rFonts w:ascii="Times New Roman" w:hAnsi="Times New Roman"/>
                            <w:color w:val="auto"/>
                            <w:highlight w:val="none"/>
                          </w:rPr>
                          <m:t>0.1</m:t>
                        </m:r>
                        <m:sSub>
                          <m:sSubPr>
                            <m:ctrlPr>
                              <w:rPr>
                                <w:rFonts w:ascii="Cambria Math" w:hAnsi="Cambria Math"/>
                                <w:color w:val="auto"/>
                                <w:highlight w:val="none"/>
                              </w:rPr>
                            </m:ctrlPr>
                          </m:sSubPr>
                          <m:e>
                            <m:r>
                              <m:rPr/>
                              <w:rPr>
                                <w:rFonts w:ascii="Times New Roman" w:hAnsi="Times New Roman"/>
                                <w:color w:val="auto"/>
                                <w:highlight w:val="none"/>
                              </w:rPr>
                              <m:t>L</m:t>
                            </m:r>
                            <m:ctrlPr>
                              <w:rPr>
                                <w:rFonts w:ascii="Cambria Math" w:hAnsi="Cambria Math"/>
                                <w:color w:val="auto"/>
                                <w:highlight w:val="none"/>
                              </w:rPr>
                            </m:ctrlPr>
                          </m:e>
                          <m:sub>
                            <m:r>
                              <m:rPr>
                                <m:sty m:val="p"/>
                              </m:rPr>
                              <w:rPr>
                                <w:rFonts w:ascii="Times New Roman" w:hAnsi="Times New Roman"/>
                                <w:color w:val="auto"/>
                                <w:highlight w:val="none"/>
                              </w:rPr>
                              <m:t>A</m:t>
                            </m:r>
                            <m:r>
                              <m:rPr/>
                              <w:rPr>
                                <w:rFonts w:ascii="Times New Roman" w:hAnsi="Times New Roman"/>
                                <w:color w:val="auto"/>
                                <w:highlight w:val="none"/>
                              </w:rPr>
                              <m:t>i</m:t>
                            </m:r>
                            <m:ctrlPr>
                              <w:rPr>
                                <w:rFonts w:ascii="Cambria Math" w:hAnsi="Cambria Math"/>
                                <w:color w:val="auto"/>
                                <w:highlight w:val="none"/>
                              </w:rPr>
                            </m:ctrlPr>
                          </m:sub>
                        </m:sSub>
                        <m:ctrlPr>
                          <w:rPr>
                            <w:rFonts w:ascii="Cambria Math" w:hAnsi="Cambria Math"/>
                            <w:color w:val="auto"/>
                            <w:highlight w:val="none"/>
                          </w:rPr>
                        </m:ctrlPr>
                      </m:sup>
                    </m:sSup>
                    <m:ctrlPr>
                      <w:rPr>
                        <w:rFonts w:ascii="Cambria Math" w:hAnsi="Cambria Math"/>
                        <w:color w:val="auto"/>
                        <w:highlight w:val="none"/>
                      </w:rPr>
                    </m:ctrlPr>
                  </m:e>
                </m:nary>
                <m:r>
                  <m:rPr/>
                  <w:rPr>
                    <w:rFonts w:ascii="Times New Roman" w:hAnsi="Times New Roman"/>
                    <w:color w:val="auto"/>
                    <w:highlight w:val="none"/>
                  </w:rPr>
                  <m:t>+</m:t>
                </m:r>
                <m:nary>
                  <m:naryPr>
                    <m:chr m:val="∑"/>
                    <m:grow m:val="1"/>
                    <m:limLoc m:val="undOvr"/>
                    <m:ctrlPr>
                      <w:rPr>
                        <w:rFonts w:ascii="Cambria Math" w:hAnsi="Cambria Math"/>
                        <w:color w:val="auto"/>
                        <w:highlight w:val="none"/>
                      </w:rPr>
                    </m:ctrlPr>
                  </m:naryPr>
                  <m:sub>
                    <m:r>
                      <m:rPr/>
                      <w:rPr>
                        <w:rFonts w:ascii="Times New Roman" w:hAnsi="Times New Roman"/>
                        <w:color w:val="auto"/>
                        <w:highlight w:val="none"/>
                      </w:rPr>
                      <m:t>j=1</m:t>
                    </m:r>
                    <m:ctrlPr>
                      <w:rPr>
                        <w:rFonts w:ascii="Cambria Math" w:hAnsi="Cambria Math"/>
                        <w:color w:val="auto"/>
                        <w:highlight w:val="none"/>
                      </w:rPr>
                    </m:ctrlPr>
                  </m:sub>
                  <m:sup>
                    <m:r>
                      <m:rPr/>
                      <w:rPr>
                        <w:rFonts w:ascii="Times New Roman" w:hAnsi="Times New Roman"/>
                        <w:color w:val="auto"/>
                        <w:highlight w:val="none"/>
                      </w:rPr>
                      <m:t>M</m:t>
                    </m:r>
                    <m:ctrlPr>
                      <w:rPr>
                        <w:rFonts w:ascii="Cambria Math" w:hAnsi="Cambria Math"/>
                        <w:color w:val="auto"/>
                        <w:highlight w:val="none"/>
                      </w:rPr>
                    </m:ctrlPr>
                  </m:sup>
                  <m:e>
                    <m:sSub>
                      <m:sSubPr>
                        <m:ctrlPr>
                          <w:rPr>
                            <w:rFonts w:ascii="Cambria Math" w:hAnsi="Cambria Math"/>
                            <w:color w:val="auto"/>
                            <w:highlight w:val="none"/>
                          </w:rPr>
                        </m:ctrlPr>
                      </m:sSubPr>
                      <m:e>
                        <m:r>
                          <m:rPr/>
                          <w:rPr>
                            <w:rFonts w:ascii="Times New Roman" w:hAnsi="Times New Roman"/>
                            <w:color w:val="auto"/>
                            <w:highlight w:val="none"/>
                          </w:rPr>
                          <m:t>t</m:t>
                        </m:r>
                        <m:ctrlPr>
                          <w:rPr>
                            <w:rFonts w:ascii="Cambria Math" w:hAnsi="Cambria Math"/>
                            <w:color w:val="auto"/>
                            <w:highlight w:val="none"/>
                          </w:rPr>
                        </m:ctrlPr>
                      </m:e>
                      <m:sub>
                        <m:r>
                          <m:rPr/>
                          <w:rPr>
                            <w:rFonts w:ascii="Times New Roman" w:hAnsi="Times New Roman"/>
                            <w:color w:val="auto"/>
                            <w:highlight w:val="none"/>
                          </w:rPr>
                          <m:t>j</m:t>
                        </m:r>
                        <m:ctrlPr>
                          <w:rPr>
                            <w:rFonts w:ascii="Cambria Math" w:hAnsi="Cambria Math"/>
                            <w:color w:val="auto"/>
                            <w:highlight w:val="none"/>
                          </w:rPr>
                        </m:ctrlPr>
                      </m:sub>
                    </m:sSub>
                    <m:sSup>
                      <m:sSupPr>
                        <m:ctrlPr>
                          <w:rPr>
                            <w:rFonts w:ascii="Cambria Math" w:hAnsi="Cambria Math"/>
                            <w:color w:val="auto"/>
                            <w:highlight w:val="none"/>
                          </w:rPr>
                        </m:ctrlPr>
                      </m:sSupPr>
                      <m:e>
                        <m:r>
                          <m:rPr/>
                          <w:rPr>
                            <w:rFonts w:ascii="Times New Roman" w:hAnsi="Times New Roman"/>
                            <w:color w:val="auto"/>
                            <w:highlight w:val="none"/>
                          </w:rPr>
                          <m:t>10</m:t>
                        </m:r>
                        <m:ctrlPr>
                          <w:rPr>
                            <w:rFonts w:ascii="Cambria Math" w:hAnsi="Cambria Math"/>
                            <w:color w:val="auto"/>
                            <w:highlight w:val="none"/>
                          </w:rPr>
                        </m:ctrlPr>
                      </m:e>
                      <m:sup>
                        <m:r>
                          <m:rPr/>
                          <w:rPr>
                            <w:rFonts w:ascii="Times New Roman" w:hAnsi="Times New Roman"/>
                            <w:color w:val="auto"/>
                            <w:highlight w:val="none"/>
                          </w:rPr>
                          <m:t>0.1</m:t>
                        </m:r>
                        <m:sSub>
                          <m:sSubPr>
                            <m:ctrlPr>
                              <w:rPr>
                                <w:rFonts w:ascii="Cambria Math" w:hAnsi="Cambria Math"/>
                                <w:color w:val="auto"/>
                                <w:highlight w:val="none"/>
                              </w:rPr>
                            </m:ctrlPr>
                          </m:sSubPr>
                          <m:e>
                            <m:r>
                              <m:rPr/>
                              <w:rPr>
                                <w:rFonts w:ascii="Times New Roman" w:hAnsi="Times New Roman"/>
                                <w:color w:val="auto"/>
                                <w:highlight w:val="none"/>
                              </w:rPr>
                              <m:t>L</m:t>
                            </m:r>
                            <m:ctrlPr>
                              <w:rPr>
                                <w:rFonts w:ascii="Cambria Math" w:hAnsi="Cambria Math"/>
                                <w:color w:val="auto"/>
                                <w:highlight w:val="none"/>
                              </w:rPr>
                            </m:ctrlPr>
                          </m:e>
                          <m:sub>
                            <m:r>
                              <m:rPr>
                                <m:sty m:val="p"/>
                              </m:rPr>
                              <w:rPr>
                                <w:rFonts w:ascii="Times New Roman" w:hAnsi="Times New Roman"/>
                                <w:color w:val="auto"/>
                                <w:highlight w:val="none"/>
                              </w:rPr>
                              <m:t>A</m:t>
                            </m:r>
                            <m:r>
                              <m:rPr/>
                              <w:rPr>
                                <w:rFonts w:ascii="Times New Roman" w:hAnsi="Times New Roman"/>
                                <w:color w:val="auto"/>
                                <w:highlight w:val="none"/>
                              </w:rPr>
                              <m:t>j</m:t>
                            </m:r>
                            <m:ctrlPr>
                              <w:rPr>
                                <w:rFonts w:ascii="Cambria Math" w:hAnsi="Cambria Math"/>
                                <w:color w:val="auto"/>
                                <w:highlight w:val="none"/>
                              </w:rPr>
                            </m:ctrlPr>
                          </m:sub>
                        </m:sSub>
                        <m:ctrlPr>
                          <w:rPr>
                            <w:rFonts w:ascii="Cambria Math" w:hAnsi="Cambria Math"/>
                            <w:color w:val="auto"/>
                            <w:highlight w:val="none"/>
                          </w:rPr>
                        </m:ctrlPr>
                      </m:sup>
                    </m:sSup>
                    <m:ctrlPr>
                      <w:rPr>
                        <w:rFonts w:ascii="Cambria Math" w:hAnsi="Cambria Math"/>
                        <w:color w:val="auto"/>
                        <w:highlight w:val="none"/>
                      </w:rPr>
                    </m:ctrlPr>
                  </m:e>
                </m:nary>
                <m:r>
                  <m:rPr/>
                  <w:rPr>
                    <w:rFonts w:ascii="Times New Roman" w:hAnsi="Times New Roman"/>
                    <w:color w:val="auto"/>
                    <w:highlight w:val="none"/>
                  </w:rPr>
                  <m:t>)]</m:t>
                </m:r>
              </m:oMath>
            </m:oMathPara>
          </w:p>
          <w:p w14:paraId="100F35BD">
            <w:pPr>
              <w:pStyle w:val="70"/>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式中：</w:t>
            </w:r>
            <m:oMath>
              <m:sSub>
                <m:sSubPr>
                  <m:ctrlPr>
                    <w:rPr>
                      <w:rFonts w:ascii="Cambria Math" w:hAnsi="Cambria Math"/>
                      <w:color w:val="auto"/>
                      <w:highlight w:val="none"/>
                    </w:rPr>
                  </m:ctrlPr>
                </m:sSubPr>
                <m:e>
                  <m:r>
                    <m:rPr/>
                    <w:rPr>
                      <w:rFonts w:ascii="Times New Roman" w:hAnsi="Times New Roman"/>
                      <w:color w:val="auto"/>
                      <w:highlight w:val="none"/>
                    </w:rPr>
                    <m:t>L</m:t>
                  </m:r>
                  <m:ctrlPr>
                    <w:rPr>
                      <w:rFonts w:ascii="Cambria Math" w:hAnsi="Cambria Math"/>
                      <w:color w:val="auto"/>
                      <w:highlight w:val="none"/>
                    </w:rPr>
                  </m:ctrlPr>
                </m:e>
                <m:sub>
                  <m:r>
                    <m:rPr>
                      <m:sty m:val="p"/>
                    </m:rPr>
                    <w:rPr>
                      <w:rFonts w:ascii="Times New Roman" w:hAnsi="Times New Roman"/>
                      <w:color w:val="auto"/>
                      <w:highlight w:val="none"/>
                    </w:rPr>
                    <m:t>eqg</m:t>
                  </m:r>
                  <m:ctrlPr>
                    <w:rPr>
                      <w:rFonts w:ascii="Cambria Math" w:hAnsi="Cambria Math"/>
                      <w:color w:val="auto"/>
                      <w:highlight w:val="none"/>
                    </w:rPr>
                  </m:ctrlPr>
                </m:sub>
              </m:sSub>
            </m:oMath>
            <w:r>
              <w:rPr>
                <w:rFonts w:hint="eastAsia" w:ascii="Times New Roman" w:hAnsi="Times New Roman"/>
                <w:color w:val="auto"/>
                <w:highlight w:val="none"/>
              </w:rPr>
              <w:t>——建设项目声源在预测点产生的噪声贡献值，dB；</w:t>
            </w:r>
          </w:p>
          <w:p w14:paraId="2CE841EF">
            <w:pPr>
              <w:pStyle w:val="70"/>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T——用于计算等效声级的时间，s；</w:t>
            </w:r>
          </w:p>
          <w:p w14:paraId="175FA42C">
            <w:pPr>
              <w:pStyle w:val="70"/>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N——室外声源个数；</w:t>
            </w:r>
          </w:p>
          <w:p w14:paraId="2ACC5829">
            <w:pPr>
              <w:pStyle w:val="70"/>
              <w:ind w:firstLine="480"/>
              <w:rPr>
                <w:rFonts w:hint="eastAsia" w:ascii="Times New Roman" w:hAnsi="Times New Roman" w:eastAsia="宋体"/>
                <w:color w:val="auto"/>
                <w:highlight w:val="none"/>
                <w:lang w:eastAsia="zh-CN"/>
              </w:rPr>
            </w:pPr>
            <m:oMath>
              <m:sSub>
                <m:sSubPr>
                  <m:ctrlPr>
                    <w:rPr>
                      <w:rFonts w:ascii="Cambria Math" w:hAnsi="Cambria Math"/>
                      <w:color w:val="auto"/>
                      <w:highlight w:val="none"/>
                    </w:rPr>
                  </m:ctrlPr>
                </m:sSubPr>
                <m:e>
                  <m:r>
                    <m:rPr/>
                    <w:rPr>
                      <w:rFonts w:ascii="Times New Roman" w:hAnsi="Times New Roman"/>
                      <w:color w:val="auto"/>
                      <w:highlight w:val="none"/>
                    </w:rPr>
                    <m:t>t</m:t>
                  </m:r>
                  <m:ctrlPr>
                    <w:rPr>
                      <w:rFonts w:ascii="Cambria Math" w:hAnsi="Cambria Math"/>
                      <w:color w:val="auto"/>
                      <w:highlight w:val="none"/>
                    </w:rPr>
                  </m:ctrlPr>
                </m:e>
                <m:sub>
                  <m:r>
                    <m:rPr/>
                    <w:rPr>
                      <w:rFonts w:ascii="Times New Roman" w:hAnsi="Times New Roman"/>
                      <w:color w:val="auto"/>
                      <w:highlight w:val="none"/>
                    </w:rPr>
                    <m:t>i</m:t>
                  </m:r>
                  <m:ctrlPr>
                    <w:rPr>
                      <w:rFonts w:ascii="Cambria Math" w:hAnsi="Cambria Math"/>
                      <w:color w:val="auto"/>
                      <w:highlight w:val="none"/>
                    </w:rPr>
                  </m:ctrlPr>
                </m:sub>
              </m:sSub>
            </m:oMath>
            <w:r>
              <w:rPr>
                <w:rFonts w:hint="eastAsia" w:ascii="Times New Roman" w:hAnsi="Times New Roman"/>
                <w:color w:val="auto"/>
                <w:highlight w:val="none"/>
              </w:rPr>
              <w:t>——在T时间内i声源工作时间，s；</w:t>
            </w:r>
          </w:p>
          <w:p w14:paraId="2B319340">
            <w:pPr>
              <w:pStyle w:val="70"/>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M——等效室外声源个数；</w:t>
            </w:r>
          </w:p>
          <w:p w14:paraId="501E0A8D">
            <w:pPr>
              <w:pStyle w:val="70"/>
              <w:ind w:firstLine="480"/>
              <w:rPr>
                <w:rFonts w:hint="eastAsia" w:ascii="Times New Roman" w:hAnsi="Times New Roman"/>
                <w:color w:val="auto"/>
                <w:highlight w:val="none"/>
              </w:rPr>
            </w:pPr>
            <m:oMath>
              <m:sSub>
                <m:sSubPr>
                  <m:ctrlPr>
                    <w:rPr>
                      <w:rFonts w:ascii="Cambria Math" w:hAnsi="Cambria Math"/>
                      <w:color w:val="auto"/>
                      <w:highlight w:val="none"/>
                    </w:rPr>
                  </m:ctrlPr>
                </m:sSubPr>
                <m:e>
                  <m:r>
                    <m:rPr/>
                    <w:rPr>
                      <w:rFonts w:ascii="Times New Roman" w:hAnsi="Times New Roman"/>
                      <w:color w:val="auto"/>
                      <w:highlight w:val="none"/>
                    </w:rPr>
                    <m:t>t</m:t>
                  </m:r>
                  <m:ctrlPr>
                    <w:rPr>
                      <w:rFonts w:ascii="Cambria Math" w:hAnsi="Cambria Math"/>
                      <w:color w:val="auto"/>
                      <w:highlight w:val="none"/>
                    </w:rPr>
                  </m:ctrlPr>
                </m:e>
                <m:sub>
                  <m:r>
                    <m:rPr/>
                    <w:rPr>
                      <w:rFonts w:ascii="Times New Roman" w:hAnsi="Times New Roman"/>
                      <w:color w:val="auto"/>
                      <w:highlight w:val="none"/>
                    </w:rPr>
                    <m:t>j</m:t>
                  </m:r>
                  <m:ctrlPr>
                    <w:rPr>
                      <w:rFonts w:ascii="Cambria Math" w:hAnsi="Cambria Math"/>
                      <w:color w:val="auto"/>
                      <w:highlight w:val="none"/>
                    </w:rPr>
                  </m:ctrlPr>
                </m:sub>
              </m:sSub>
            </m:oMath>
            <w:r>
              <w:rPr>
                <w:rFonts w:hint="eastAsia" w:ascii="Times New Roman" w:hAnsi="Times New Roman"/>
                <w:color w:val="auto"/>
                <w:highlight w:val="none"/>
              </w:rPr>
              <w:t>——在T时间内j声源工作时间，s。</w:t>
            </w:r>
          </w:p>
          <w:p w14:paraId="7911BC86">
            <w:pPr>
              <w:pStyle w:val="70"/>
              <w:ind w:firstLine="480"/>
              <w:rPr>
                <w:rFonts w:hint="eastAsia" w:ascii="Times New Roman" w:hAnsi="Times New Roman"/>
                <w:color w:val="auto"/>
                <w:highlight w:val="none"/>
              </w:rPr>
            </w:pPr>
            <w:r>
              <w:rPr>
                <w:rFonts w:hint="eastAsia" w:ascii="Times New Roman" w:hAnsi="Times New Roman"/>
                <w:color w:val="auto"/>
                <w:highlight w:val="none"/>
              </w:rPr>
              <w:t>②噪声预测值（Leq）计算公式为：</w:t>
            </w:r>
          </w:p>
          <w:p w14:paraId="49556106">
            <w:pPr>
              <w:pStyle w:val="70"/>
              <w:ind w:left="0" w:leftChars="0" w:firstLine="0" w:firstLineChars="0"/>
              <w:rPr>
                <w:rFonts w:hint="default" w:ascii="Times New Roman" w:hAnsi="Times New Roman" w:eastAsia="宋体"/>
                <w:color w:val="auto"/>
                <w:highlight w:val="none"/>
                <w:lang w:val="en-US" w:eastAsia="zh-CN"/>
              </w:rPr>
            </w:pPr>
            <m:oMathPara>
              <m:oMath>
                <m:sSub>
                  <m:sSubPr>
                    <m:ctrlPr>
                      <w:rPr>
                        <w:rFonts w:ascii="Cambria Math" w:hAnsi="Cambria Math"/>
                        <w:i/>
                        <w:color w:val="auto"/>
                        <w:highlight w:val="none"/>
                      </w:rPr>
                    </m:ctrlPr>
                  </m:sSubPr>
                  <m:e>
                    <m:r>
                      <m:rPr/>
                      <w:rPr>
                        <w:rFonts w:hint="default" w:ascii="Times New Roman" w:hAnsi="Times New Roman"/>
                        <w:color w:val="auto"/>
                        <w:highlight w:val="none"/>
                        <w:lang w:val="en-US" w:eastAsia="zh-CN"/>
                      </w:rPr>
                      <m:t>L</m:t>
                    </m:r>
                    <m:ctrlPr>
                      <w:rPr>
                        <w:rFonts w:ascii="Cambria Math" w:hAnsi="Cambria Math"/>
                        <w:i/>
                        <w:color w:val="auto"/>
                        <w:highlight w:val="none"/>
                      </w:rPr>
                    </m:ctrlPr>
                  </m:e>
                  <m:sub>
                    <m:r>
                      <m:rPr/>
                      <w:rPr>
                        <w:rFonts w:hint="default" w:ascii="Times New Roman" w:hAnsi="Times New Roman"/>
                        <w:color w:val="auto"/>
                        <w:highlight w:val="none"/>
                        <w:lang w:val="en-US" w:eastAsia="zh-CN"/>
                      </w:rPr>
                      <m:t>eq</m:t>
                    </m:r>
                    <m:ctrlPr>
                      <w:rPr>
                        <w:rFonts w:ascii="Cambria Math" w:hAnsi="Cambria Math"/>
                        <w:i/>
                        <w:color w:val="auto"/>
                        <w:highlight w:val="none"/>
                      </w:rPr>
                    </m:ctrlPr>
                  </m:sub>
                </m:sSub>
                <m:r>
                  <m:rPr/>
                  <w:rPr>
                    <w:rFonts w:ascii="Times New Roman" w:hAnsi="Times New Roman"/>
                    <w:color w:val="auto"/>
                    <w:highlight w:val="none"/>
                  </w:rPr>
                  <m:t>=</m:t>
                </m:r>
                <m:r>
                  <m:rPr/>
                  <w:rPr>
                    <w:rFonts w:hint="default" w:ascii="Times New Roman" w:hAnsi="Times New Roman"/>
                    <w:color w:val="auto"/>
                    <w:highlight w:val="none"/>
                    <w:lang w:val="en-US" w:eastAsia="zh-CN"/>
                  </w:rPr>
                  <m:t>10lg</m:t>
                </m:r>
                <m:d>
                  <m:dPr>
                    <m:ctrlPr>
                      <w:rPr>
                        <w:rFonts w:hint="default" w:ascii="Cambria Math" w:hAnsi="Cambria Math"/>
                        <w:i/>
                        <w:color w:val="auto"/>
                        <w:highlight w:val="none"/>
                        <w:lang w:val="en-US" w:eastAsia="zh-CN"/>
                      </w:rPr>
                    </m:ctrlPr>
                  </m:dPr>
                  <m:e>
                    <m:sSup>
                      <m:sSupPr>
                        <m:ctrlPr>
                          <w:rPr>
                            <w:rFonts w:hint="default" w:ascii="Cambria Math" w:hAnsi="Cambria Math"/>
                            <w:i/>
                            <w:color w:val="auto"/>
                            <w:highlight w:val="none"/>
                            <w:lang w:val="en-US" w:eastAsia="zh-CN"/>
                          </w:rPr>
                        </m:ctrlPr>
                      </m:sSupPr>
                      <m:e>
                        <m:r>
                          <m:rPr/>
                          <w:rPr>
                            <w:rFonts w:hint="default" w:ascii="Times New Roman" w:hAnsi="Times New Roman"/>
                            <w:color w:val="auto"/>
                            <w:highlight w:val="none"/>
                            <w:lang w:val="en-US" w:eastAsia="zh-CN"/>
                          </w:rPr>
                          <m:t>10</m:t>
                        </m:r>
                        <m:ctrlPr>
                          <w:rPr>
                            <w:rFonts w:hint="default" w:ascii="Cambria Math" w:hAnsi="Cambria Math"/>
                            <w:i/>
                            <w:color w:val="auto"/>
                            <w:highlight w:val="none"/>
                            <w:lang w:val="en-US" w:eastAsia="zh-CN"/>
                          </w:rPr>
                        </m:ctrlPr>
                      </m:e>
                      <m:sup>
                        <m:r>
                          <m:rPr/>
                          <w:rPr>
                            <w:rFonts w:hint="default" w:ascii="Times New Roman" w:hAnsi="Times New Roman"/>
                            <w:color w:val="auto"/>
                            <w:highlight w:val="none"/>
                            <w:lang w:val="en-US" w:eastAsia="zh-CN"/>
                          </w:rPr>
                          <m:t>0.1</m:t>
                        </m:r>
                        <m:sSub>
                          <m:sSubPr>
                            <m:ctrlPr>
                              <w:rPr>
                                <w:rFonts w:hint="default" w:ascii="Cambria Math" w:hAnsi="Cambria Math"/>
                                <w:i/>
                                <w:color w:val="auto"/>
                                <w:highlight w:val="none"/>
                                <w:lang w:val="en-US" w:eastAsia="zh-CN"/>
                              </w:rPr>
                            </m:ctrlPr>
                          </m:sSubPr>
                          <m:e>
                            <m:r>
                              <m:rPr/>
                              <w:rPr>
                                <w:rFonts w:hint="default" w:ascii="Times New Roman" w:hAnsi="Times New Roman"/>
                                <w:color w:val="auto"/>
                                <w:highlight w:val="none"/>
                                <w:lang w:val="en-US" w:eastAsia="zh-CN"/>
                              </w:rPr>
                              <m:t>L</m:t>
                            </m:r>
                            <m:ctrlPr>
                              <w:rPr>
                                <w:rFonts w:hint="default" w:ascii="Cambria Math" w:hAnsi="Cambria Math"/>
                                <w:i/>
                                <w:color w:val="auto"/>
                                <w:highlight w:val="none"/>
                                <w:lang w:val="en-US" w:eastAsia="zh-CN"/>
                              </w:rPr>
                            </m:ctrlPr>
                          </m:e>
                          <m:sub>
                            <m:r>
                              <m:rPr/>
                              <w:rPr>
                                <w:rFonts w:hint="default" w:ascii="Times New Roman" w:hAnsi="Times New Roman"/>
                                <w:color w:val="auto"/>
                                <w:highlight w:val="none"/>
                                <w:lang w:val="en-US" w:eastAsia="zh-CN"/>
                              </w:rPr>
                              <m:t>eqg</m:t>
                            </m:r>
                            <m:ctrlPr>
                              <w:rPr>
                                <w:rFonts w:hint="default" w:ascii="Cambria Math" w:hAnsi="Cambria Math"/>
                                <w:i/>
                                <w:color w:val="auto"/>
                                <w:highlight w:val="none"/>
                                <w:lang w:val="en-US" w:eastAsia="zh-CN"/>
                              </w:rPr>
                            </m:ctrlPr>
                          </m:sub>
                        </m:sSub>
                        <m:ctrlPr>
                          <w:rPr>
                            <w:rFonts w:hint="default" w:ascii="Cambria Math" w:hAnsi="Cambria Math"/>
                            <w:i/>
                            <w:color w:val="auto"/>
                            <w:highlight w:val="none"/>
                            <w:lang w:val="en-US" w:eastAsia="zh-CN"/>
                          </w:rPr>
                        </m:ctrlPr>
                      </m:sup>
                    </m:sSup>
                    <m:r>
                      <m:rPr/>
                      <w:rPr>
                        <w:rFonts w:hint="default" w:ascii="Times New Roman" w:hAnsi="Times New Roman"/>
                        <w:color w:val="auto"/>
                        <w:highlight w:val="none"/>
                        <w:lang w:val="en-US" w:eastAsia="zh-CN"/>
                      </w:rPr>
                      <m:t>+</m:t>
                    </m:r>
                    <m:sSup>
                      <m:sSupPr>
                        <m:ctrlPr>
                          <w:rPr>
                            <w:rFonts w:hint="default" w:ascii="Cambria Math" w:hAnsi="Cambria Math"/>
                            <w:i/>
                            <w:color w:val="auto"/>
                            <w:highlight w:val="none"/>
                            <w:lang w:val="en-US" w:eastAsia="zh-CN"/>
                          </w:rPr>
                        </m:ctrlPr>
                      </m:sSupPr>
                      <m:e>
                        <m:r>
                          <m:rPr/>
                          <w:rPr>
                            <w:rFonts w:hint="default" w:ascii="Times New Roman" w:hAnsi="Times New Roman"/>
                            <w:color w:val="auto"/>
                            <w:highlight w:val="none"/>
                            <w:lang w:val="en-US" w:eastAsia="zh-CN"/>
                          </w:rPr>
                          <m:t>10</m:t>
                        </m:r>
                        <m:ctrlPr>
                          <w:rPr>
                            <w:rFonts w:hint="default" w:ascii="Cambria Math" w:hAnsi="Cambria Math"/>
                            <w:i/>
                            <w:color w:val="auto"/>
                            <w:highlight w:val="none"/>
                            <w:lang w:val="en-US" w:eastAsia="zh-CN"/>
                          </w:rPr>
                        </m:ctrlPr>
                      </m:e>
                      <m:sup>
                        <m:r>
                          <m:rPr/>
                          <w:rPr>
                            <w:rFonts w:hint="default" w:ascii="Times New Roman" w:hAnsi="Times New Roman"/>
                            <w:color w:val="auto"/>
                            <w:highlight w:val="none"/>
                            <w:lang w:val="en-US" w:eastAsia="zh-CN"/>
                          </w:rPr>
                          <m:t>0.1</m:t>
                        </m:r>
                        <m:sSub>
                          <m:sSubPr>
                            <m:ctrlPr>
                              <w:rPr>
                                <w:rFonts w:hint="default" w:ascii="Cambria Math" w:hAnsi="Cambria Math"/>
                                <w:i/>
                                <w:color w:val="auto"/>
                                <w:highlight w:val="none"/>
                                <w:lang w:val="en-US" w:eastAsia="zh-CN"/>
                              </w:rPr>
                            </m:ctrlPr>
                          </m:sSubPr>
                          <m:e>
                            <m:r>
                              <m:rPr/>
                              <w:rPr>
                                <w:rFonts w:hint="default" w:ascii="Times New Roman" w:hAnsi="Times New Roman"/>
                                <w:color w:val="auto"/>
                                <w:highlight w:val="none"/>
                                <w:lang w:val="en-US" w:eastAsia="zh-CN"/>
                              </w:rPr>
                              <m:t>L</m:t>
                            </m:r>
                            <m:ctrlPr>
                              <w:rPr>
                                <w:rFonts w:hint="default" w:ascii="Cambria Math" w:hAnsi="Cambria Math"/>
                                <w:i/>
                                <w:color w:val="auto"/>
                                <w:highlight w:val="none"/>
                                <w:lang w:val="en-US" w:eastAsia="zh-CN"/>
                              </w:rPr>
                            </m:ctrlPr>
                          </m:e>
                          <m:sub>
                            <m:r>
                              <m:rPr/>
                              <w:rPr>
                                <w:rFonts w:hint="default" w:ascii="Times New Roman" w:hAnsi="Times New Roman"/>
                                <w:color w:val="auto"/>
                                <w:highlight w:val="none"/>
                                <w:lang w:val="en-US" w:eastAsia="zh-CN"/>
                              </w:rPr>
                              <m:t>epb</m:t>
                            </m:r>
                            <m:ctrlPr>
                              <w:rPr>
                                <w:rFonts w:hint="default" w:ascii="Cambria Math" w:hAnsi="Cambria Math"/>
                                <w:i/>
                                <w:color w:val="auto"/>
                                <w:highlight w:val="none"/>
                                <w:lang w:val="en-US" w:eastAsia="zh-CN"/>
                              </w:rPr>
                            </m:ctrlPr>
                          </m:sub>
                        </m:sSub>
                        <m:ctrlPr>
                          <w:rPr>
                            <w:rFonts w:hint="default" w:ascii="Cambria Math" w:hAnsi="Cambria Math"/>
                            <w:i/>
                            <w:color w:val="auto"/>
                            <w:highlight w:val="none"/>
                            <w:lang w:val="en-US" w:eastAsia="zh-CN"/>
                          </w:rPr>
                        </m:ctrlPr>
                      </m:sup>
                    </m:sSup>
                    <m:ctrlPr>
                      <w:rPr>
                        <w:rFonts w:hint="default" w:ascii="Cambria Math" w:hAnsi="Cambria Math"/>
                        <w:i/>
                        <w:color w:val="auto"/>
                        <w:highlight w:val="none"/>
                        <w:lang w:val="en-US" w:eastAsia="zh-CN"/>
                      </w:rPr>
                    </m:ctrlPr>
                  </m:e>
                </m:d>
              </m:oMath>
            </m:oMathPara>
          </w:p>
          <w:p w14:paraId="508B1D9F">
            <w:pPr>
              <w:pStyle w:val="70"/>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式中：</w:t>
            </w:r>
            <m:oMath>
              <m:sSub>
                <m:sSubPr>
                  <m:ctrlPr>
                    <w:rPr>
                      <w:rFonts w:ascii="Cambria Math" w:hAnsi="Cambria Math"/>
                      <w:i/>
                      <w:color w:val="auto"/>
                      <w:highlight w:val="none"/>
                    </w:rPr>
                  </m:ctrlPr>
                </m:sSubPr>
                <m:e>
                  <m:r>
                    <m:rPr/>
                    <w:rPr>
                      <w:rFonts w:hint="default" w:ascii="Times New Roman" w:hAnsi="Times New Roman"/>
                      <w:color w:val="auto"/>
                      <w:highlight w:val="none"/>
                      <w:lang w:val="en-US" w:eastAsia="zh-CN"/>
                    </w:rPr>
                    <m:t>L</m:t>
                  </m:r>
                  <m:ctrlPr>
                    <w:rPr>
                      <w:rFonts w:ascii="Cambria Math" w:hAnsi="Cambria Math"/>
                      <w:i/>
                      <w:color w:val="auto"/>
                      <w:highlight w:val="none"/>
                    </w:rPr>
                  </m:ctrlPr>
                </m:e>
                <m:sub>
                  <m:r>
                    <m:rPr/>
                    <w:rPr>
                      <w:rFonts w:hint="default" w:ascii="Times New Roman" w:hAnsi="Times New Roman"/>
                      <w:color w:val="auto"/>
                      <w:highlight w:val="none"/>
                      <w:lang w:val="en-US" w:eastAsia="zh-CN"/>
                    </w:rPr>
                    <m:t>eq</m:t>
                  </m:r>
                  <m:ctrlPr>
                    <w:rPr>
                      <w:rFonts w:ascii="Cambria Math" w:hAnsi="Cambria Math"/>
                      <w:i/>
                      <w:color w:val="auto"/>
                      <w:highlight w:val="none"/>
                    </w:rPr>
                  </m:ctrlPr>
                </m:sub>
              </m:sSub>
            </m:oMath>
            <w:r>
              <w:rPr>
                <w:rFonts w:hint="eastAsia" w:ascii="Times New Roman" w:hAnsi="Times New Roman"/>
                <w:color w:val="auto"/>
                <w:highlight w:val="none"/>
              </w:rPr>
              <w:t>——预测点的噪声预测值，dB；</w:t>
            </w:r>
          </w:p>
          <w:p w14:paraId="239C83EC">
            <w:pPr>
              <w:pStyle w:val="70"/>
              <w:ind w:firstLine="480"/>
              <w:rPr>
                <w:rFonts w:hint="eastAsia" w:ascii="Times New Roman" w:hAnsi="Times New Roman" w:eastAsia="宋体"/>
                <w:color w:val="auto"/>
                <w:highlight w:val="none"/>
                <w:lang w:eastAsia="zh-CN"/>
              </w:rPr>
            </w:pPr>
            <m:oMath>
              <m:sSub>
                <m:sSubPr>
                  <m:ctrlPr>
                    <w:rPr>
                      <w:rFonts w:hint="default" w:ascii="Cambria Math" w:hAnsi="Cambria Math"/>
                      <w:i/>
                      <w:color w:val="auto"/>
                      <w:highlight w:val="none"/>
                      <w:lang w:val="en-US" w:eastAsia="zh-CN"/>
                    </w:rPr>
                  </m:ctrlPr>
                </m:sSubPr>
                <m:e>
                  <m:r>
                    <m:rPr/>
                    <w:rPr>
                      <w:rFonts w:hint="default" w:ascii="Times New Roman" w:hAnsi="Times New Roman"/>
                      <w:color w:val="auto"/>
                      <w:highlight w:val="none"/>
                      <w:lang w:val="en-US" w:eastAsia="zh-CN"/>
                    </w:rPr>
                    <m:t>L</m:t>
                  </m:r>
                  <m:ctrlPr>
                    <w:rPr>
                      <w:rFonts w:hint="default" w:ascii="Cambria Math" w:hAnsi="Cambria Math"/>
                      <w:i/>
                      <w:color w:val="auto"/>
                      <w:highlight w:val="none"/>
                      <w:lang w:val="en-US" w:eastAsia="zh-CN"/>
                    </w:rPr>
                  </m:ctrlPr>
                </m:e>
                <m:sub>
                  <m:r>
                    <m:rPr/>
                    <w:rPr>
                      <w:rFonts w:hint="default" w:ascii="Times New Roman" w:hAnsi="Times New Roman"/>
                      <w:color w:val="auto"/>
                      <w:highlight w:val="none"/>
                      <w:lang w:val="en-US" w:eastAsia="zh-CN"/>
                    </w:rPr>
                    <m:t>eqg</m:t>
                  </m:r>
                  <m:ctrlPr>
                    <w:rPr>
                      <w:rFonts w:hint="default" w:ascii="Cambria Math" w:hAnsi="Cambria Math"/>
                      <w:i/>
                      <w:color w:val="auto"/>
                      <w:highlight w:val="none"/>
                      <w:lang w:val="en-US" w:eastAsia="zh-CN"/>
                    </w:rPr>
                  </m:ctrlPr>
                </m:sub>
              </m:sSub>
            </m:oMath>
            <w:r>
              <w:rPr>
                <w:rFonts w:hint="eastAsia" w:ascii="Times New Roman" w:hAnsi="Times New Roman"/>
                <w:color w:val="auto"/>
                <w:highlight w:val="none"/>
              </w:rPr>
              <w:t>——建设项目声源在预测点产生的噪声贡献值，dB；</w:t>
            </w:r>
          </w:p>
          <w:p w14:paraId="5F410775">
            <w:pPr>
              <w:pStyle w:val="70"/>
              <w:ind w:firstLine="480"/>
              <w:rPr>
                <w:rFonts w:hint="eastAsia" w:ascii="Times New Roman" w:hAnsi="Times New Roman" w:eastAsia="宋体"/>
                <w:color w:val="auto"/>
                <w:highlight w:val="none"/>
                <w:lang w:eastAsia="zh-CN"/>
              </w:rPr>
            </w:pPr>
            <m:oMath>
              <m:sSub>
                <m:sSubPr>
                  <m:ctrlPr>
                    <w:rPr>
                      <w:rFonts w:hint="default" w:ascii="Cambria Math" w:hAnsi="Cambria Math"/>
                      <w:i/>
                      <w:color w:val="auto"/>
                      <w:highlight w:val="none"/>
                      <w:lang w:val="en-US" w:eastAsia="zh-CN"/>
                    </w:rPr>
                  </m:ctrlPr>
                </m:sSubPr>
                <m:e>
                  <m:r>
                    <m:rPr/>
                    <w:rPr>
                      <w:rFonts w:hint="default" w:ascii="Times New Roman" w:hAnsi="Times New Roman"/>
                      <w:color w:val="auto"/>
                      <w:highlight w:val="none"/>
                      <w:lang w:val="en-US" w:eastAsia="zh-CN"/>
                    </w:rPr>
                    <m:t>L</m:t>
                  </m:r>
                  <m:ctrlPr>
                    <w:rPr>
                      <w:rFonts w:hint="default" w:ascii="Cambria Math" w:hAnsi="Cambria Math"/>
                      <w:i/>
                      <w:color w:val="auto"/>
                      <w:highlight w:val="none"/>
                      <w:lang w:val="en-US" w:eastAsia="zh-CN"/>
                    </w:rPr>
                  </m:ctrlPr>
                </m:e>
                <m:sub>
                  <m:r>
                    <m:rPr/>
                    <w:rPr>
                      <w:rFonts w:hint="default" w:ascii="Times New Roman" w:hAnsi="Times New Roman"/>
                      <w:color w:val="auto"/>
                      <w:highlight w:val="none"/>
                      <w:lang w:val="en-US" w:eastAsia="zh-CN"/>
                    </w:rPr>
                    <m:t>epb</m:t>
                  </m:r>
                  <m:ctrlPr>
                    <w:rPr>
                      <w:rFonts w:hint="default" w:ascii="Cambria Math" w:hAnsi="Cambria Math"/>
                      <w:i/>
                      <w:color w:val="auto"/>
                      <w:highlight w:val="none"/>
                      <w:lang w:val="en-US" w:eastAsia="zh-CN"/>
                    </w:rPr>
                  </m:ctrlPr>
                </m:sub>
              </m:sSub>
            </m:oMath>
            <w:r>
              <w:rPr>
                <w:rFonts w:hint="eastAsia" w:ascii="Times New Roman" w:hAnsi="Times New Roman"/>
                <w:color w:val="auto"/>
                <w:highlight w:val="none"/>
              </w:rPr>
              <w:t>——预测点的背景噪声值，dB。</w:t>
            </w:r>
          </w:p>
          <w:p w14:paraId="6E4E8648">
            <w:pPr>
              <w:pStyle w:val="70"/>
              <w:ind w:firstLine="48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2）预测模型</w:t>
            </w:r>
          </w:p>
          <w:p w14:paraId="5E6A7988">
            <w:pPr>
              <w:pStyle w:val="70"/>
              <w:ind w:firstLine="480"/>
              <w:rPr>
                <w:rFonts w:hint="eastAsia" w:ascii="Times New Roman" w:hAnsi="Times New Roman"/>
                <w:color w:val="auto"/>
                <w:sz w:val="24"/>
                <w:highlight w:val="none"/>
              </w:rPr>
            </w:pPr>
            <w:r>
              <w:rPr>
                <w:rFonts w:hint="eastAsia" w:ascii="Times New Roman" w:hAnsi="Times New Roman"/>
                <w:color w:val="auto"/>
                <w:sz w:val="24"/>
                <w:highlight w:val="none"/>
              </w:rPr>
              <w:t>本次预测评价，预测软件选择采用环安科技有限公司开发的环安噪声环境影响评价系统（NoiseSystemV4.1）。NoiseSystemV4.1以《环境影响评价技术导则声环境》（HJ2.4-2021）的技术要求和推荐模型为编制依据，采用典型行业噪声预测模型为模型内核，功能全面深入、符合导则要求。</w:t>
            </w:r>
          </w:p>
          <w:p w14:paraId="78069D3E">
            <w:pPr>
              <w:pStyle w:val="70"/>
              <w:ind w:firstLine="48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3</w:t>
            </w:r>
            <w:r>
              <w:rPr>
                <w:rFonts w:hint="eastAsia" w:ascii="Times New Roman" w:hAnsi="Times New Roman"/>
                <w:color w:val="auto"/>
                <w:sz w:val="24"/>
                <w:highlight w:val="none"/>
                <w:lang w:eastAsia="zh-CN"/>
              </w:rPr>
              <w:t>）</w:t>
            </w:r>
            <w:r>
              <w:rPr>
                <w:rFonts w:ascii="Times New Roman" w:hAnsi="Times New Roman"/>
                <w:color w:val="auto"/>
                <w:sz w:val="24"/>
                <w:highlight w:val="none"/>
              </w:rPr>
              <w:t>噪声预测结果及影响分析</w:t>
            </w:r>
          </w:p>
          <w:p w14:paraId="5DDCE61C">
            <w:pPr>
              <w:pStyle w:val="70"/>
              <w:ind w:firstLine="480"/>
              <w:rPr>
                <w:rFonts w:ascii="Times New Roman" w:hAnsi="Times New Roman"/>
                <w:color w:val="auto"/>
                <w:sz w:val="24"/>
                <w:highlight w:val="none"/>
              </w:rPr>
            </w:pPr>
            <w:r>
              <w:rPr>
                <w:rFonts w:ascii="Times New Roman" w:hAnsi="Times New Roman"/>
                <w:color w:val="auto"/>
                <w:sz w:val="24"/>
                <w:highlight w:val="none"/>
              </w:rPr>
              <w:t>本项目各种噪声源距厂界距离参照</w:t>
            </w:r>
            <w:r>
              <w:rPr>
                <w:rFonts w:hint="eastAsia" w:ascii="Times New Roman" w:hAnsi="Times New Roman"/>
                <w:color w:val="auto"/>
                <w:sz w:val="24"/>
                <w:highlight w:val="none"/>
              </w:rPr>
              <w:t>上表</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项目夜间不进行生产，</w:t>
            </w:r>
            <w:r>
              <w:rPr>
                <w:rFonts w:ascii="Times New Roman" w:hAnsi="Times New Roman"/>
                <w:color w:val="auto"/>
                <w:sz w:val="24"/>
                <w:highlight w:val="none"/>
              </w:rPr>
              <w:t>因此本次环评的噪声影响预测昼间，主要预测噪声源对厂界的影响，详见</w:t>
            </w:r>
            <w:r>
              <w:rPr>
                <w:rFonts w:hint="eastAsia" w:ascii="Times New Roman" w:hAnsi="Times New Roman"/>
                <w:color w:val="auto"/>
                <w:sz w:val="24"/>
                <w:highlight w:val="none"/>
              </w:rPr>
              <w:t>下表</w:t>
            </w:r>
            <w:r>
              <w:rPr>
                <w:rFonts w:ascii="Times New Roman" w:hAnsi="Times New Roman"/>
                <w:color w:val="auto"/>
                <w:sz w:val="24"/>
                <w:highlight w:val="none"/>
              </w:rPr>
              <w:t>。</w:t>
            </w:r>
          </w:p>
          <w:p w14:paraId="161CBA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bCs/>
                <w:color w:val="auto"/>
                <w:spacing w:val="4"/>
                <w:kern w:val="0"/>
                <w:sz w:val="24"/>
                <w:highlight w:val="none"/>
                <w:lang w:eastAsia="zh-CN" w:bidi="ar"/>
              </w:rPr>
            </w:pPr>
            <w:r>
              <w:rPr>
                <w:rFonts w:hint="eastAsia" w:ascii="Times New Roman" w:hAnsi="Times New Roman" w:eastAsia="宋体" w:cs="宋体"/>
                <w:b/>
                <w:bCs/>
                <w:color w:val="auto"/>
                <w:spacing w:val="4"/>
                <w:kern w:val="0"/>
                <w:sz w:val="24"/>
                <w:highlight w:val="none"/>
                <w:lang w:eastAsia="zh-CN" w:bidi="ar"/>
              </w:rPr>
              <w:t>表4.2.3-</w:t>
            </w:r>
            <w:r>
              <w:rPr>
                <w:rFonts w:hint="eastAsia" w:ascii="Times New Roman" w:hAnsi="Times New Roman" w:cs="宋体"/>
                <w:b/>
                <w:bCs/>
                <w:color w:val="auto"/>
                <w:spacing w:val="4"/>
                <w:kern w:val="0"/>
                <w:sz w:val="24"/>
                <w:highlight w:val="none"/>
                <w:lang w:val="en-US" w:eastAsia="zh-CN" w:bidi="ar"/>
              </w:rPr>
              <w:t>2项目</w:t>
            </w:r>
            <w:r>
              <w:rPr>
                <w:rFonts w:hint="eastAsia" w:ascii="Times New Roman" w:hAnsi="Times New Roman" w:eastAsia="宋体" w:cs="宋体"/>
                <w:b/>
                <w:bCs/>
                <w:color w:val="auto"/>
                <w:spacing w:val="4"/>
                <w:kern w:val="0"/>
                <w:sz w:val="24"/>
                <w:highlight w:val="none"/>
                <w:lang w:eastAsia="zh-CN" w:bidi="ar"/>
              </w:rPr>
              <w:t>各厂界</w:t>
            </w:r>
            <w:r>
              <w:rPr>
                <w:rFonts w:hint="eastAsia" w:ascii="Times New Roman" w:hAnsi="Times New Roman" w:cs="宋体"/>
                <w:b/>
                <w:bCs/>
                <w:color w:val="auto"/>
                <w:spacing w:val="4"/>
                <w:kern w:val="0"/>
                <w:sz w:val="24"/>
                <w:highlight w:val="none"/>
                <w:lang w:val="en-US" w:eastAsia="zh-CN" w:bidi="ar"/>
              </w:rPr>
              <w:t>昼间</w:t>
            </w:r>
            <w:r>
              <w:rPr>
                <w:rFonts w:hint="eastAsia" w:ascii="Times New Roman" w:hAnsi="Times New Roman" w:eastAsia="宋体" w:cs="宋体"/>
                <w:b/>
                <w:bCs/>
                <w:color w:val="auto"/>
                <w:spacing w:val="4"/>
                <w:kern w:val="0"/>
                <w:sz w:val="24"/>
                <w:highlight w:val="none"/>
                <w:lang w:eastAsia="zh-CN" w:bidi="ar"/>
              </w:rPr>
              <w:t>噪声预测结果单位：dB(A)</w:t>
            </w:r>
          </w:p>
          <w:tbl>
            <w:tblPr>
              <w:tblStyle w:val="36"/>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963"/>
              <w:gridCol w:w="1071"/>
              <w:gridCol w:w="1656"/>
              <w:gridCol w:w="902"/>
              <w:gridCol w:w="920"/>
              <w:gridCol w:w="750"/>
              <w:gridCol w:w="894"/>
            </w:tblGrid>
            <w:tr w14:paraId="50D4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vMerge w:val="restart"/>
                  <w:shd w:val="clear" w:color="auto" w:fill="D7D7D7" w:themeFill="background1" w:themeFillShade="D8"/>
                  <w:vAlign w:val="center"/>
                </w:tcPr>
                <w:p w14:paraId="35E4CFE1">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名称</w:t>
                  </w:r>
                </w:p>
              </w:tc>
              <w:tc>
                <w:tcPr>
                  <w:tcW w:w="963" w:type="dxa"/>
                  <w:vMerge w:val="restart"/>
                  <w:shd w:val="clear" w:color="auto" w:fill="D7D7D7" w:themeFill="background1" w:themeFillShade="D8"/>
                  <w:vAlign w:val="center"/>
                </w:tcPr>
                <w:p w14:paraId="6AB935C0">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X（m）</w:t>
                  </w:r>
                </w:p>
              </w:tc>
              <w:tc>
                <w:tcPr>
                  <w:tcW w:w="1071" w:type="dxa"/>
                  <w:vMerge w:val="restart"/>
                  <w:shd w:val="clear" w:color="auto" w:fill="D7D7D7" w:themeFill="background1" w:themeFillShade="D8"/>
                  <w:vAlign w:val="center"/>
                </w:tcPr>
                <w:p w14:paraId="6788C9AF">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eastAsia" w:ascii="Times New Roman" w:hAnsi="Times New Roman" w:eastAsia="宋体" w:cs="宋体"/>
                      <w:b w:val="0"/>
                      <w:bCs/>
                      <w:color w:val="auto"/>
                      <w:spacing w:val="6"/>
                      <w:kern w:val="0"/>
                      <w:sz w:val="21"/>
                      <w:highlight w:val="none"/>
                      <w:vertAlign w:val="baseline"/>
                      <w:lang w:eastAsia="zh-CN" w:bidi="ar"/>
                    </w:rPr>
                  </w:pPr>
                  <w:r>
                    <w:rPr>
                      <w:rFonts w:hint="eastAsia" w:ascii="Times New Roman" w:hAnsi="Times New Roman" w:cs="宋体"/>
                      <w:b w:val="0"/>
                      <w:bCs/>
                      <w:color w:val="auto"/>
                      <w:spacing w:val="6"/>
                      <w:kern w:val="0"/>
                      <w:sz w:val="21"/>
                      <w:highlight w:val="none"/>
                      <w:vertAlign w:val="baseline"/>
                      <w:lang w:val="en-US" w:eastAsia="zh-CN" w:bidi="ar"/>
                    </w:rPr>
                    <w:t>Y（m）</w:t>
                  </w:r>
                </w:p>
              </w:tc>
              <w:tc>
                <w:tcPr>
                  <w:tcW w:w="1656" w:type="dxa"/>
                  <w:shd w:val="clear" w:color="auto" w:fill="D7D7D7" w:themeFill="background1" w:themeFillShade="D8"/>
                  <w:vAlign w:val="center"/>
                </w:tcPr>
                <w:p w14:paraId="361F1109">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eastAsia" w:ascii="Times New Roman" w:hAnsi="Times New Roman" w:eastAsia="宋体" w:cs="宋体"/>
                      <w:b w:val="0"/>
                      <w:bCs/>
                      <w:color w:val="auto"/>
                      <w:spacing w:val="6"/>
                      <w:kern w:val="0"/>
                      <w:sz w:val="21"/>
                      <w:highlight w:val="none"/>
                      <w:vertAlign w:val="baseline"/>
                      <w:lang w:eastAsia="zh-CN" w:bidi="ar"/>
                    </w:rPr>
                  </w:pPr>
                  <w:r>
                    <w:rPr>
                      <w:rFonts w:hint="eastAsia" w:ascii="Times New Roman" w:hAnsi="Times New Roman" w:cs="宋体"/>
                      <w:b w:val="0"/>
                      <w:bCs/>
                      <w:color w:val="auto"/>
                      <w:spacing w:val="6"/>
                      <w:kern w:val="0"/>
                      <w:sz w:val="21"/>
                      <w:highlight w:val="none"/>
                      <w:vertAlign w:val="baseline"/>
                      <w:lang w:val="en-US" w:eastAsia="zh-CN" w:bidi="ar"/>
                    </w:rPr>
                    <w:t>昼间</w:t>
                  </w:r>
                </w:p>
              </w:tc>
              <w:tc>
                <w:tcPr>
                  <w:tcW w:w="902" w:type="dxa"/>
                  <w:vMerge w:val="restart"/>
                  <w:shd w:val="clear" w:color="auto" w:fill="D7D7D7" w:themeFill="background1" w:themeFillShade="D8"/>
                  <w:vAlign w:val="center"/>
                </w:tcPr>
                <w:p w14:paraId="0454BCA0">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功能区类型</w:t>
                  </w:r>
                </w:p>
              </w:tc>
              <w:tc>
                <w:tcPr>
                  <w:tcW w:w="920" w:type="dxa"/>
                  <w:vMerge w:val="restart"/>
                  <w:shd w:val="clear" w:color="auto" w:fill="D7D7D7" w:themeFill="background1" w:themeFillShade="D8"/>
                  <w:vAlign w:val="center"/>
                </w:tcPr>
                <w:p w14:paraId="1BE4F974">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厂界标准值</w:t>
                  </w:r>
                </w:p>
              </w:tc>
              <w:tc>
                <w:tcPr>
                  <w:tcW w:w="750" w:type="dxa"/>
                  <w:vMerge w:val="restart"/>
                  <w:shd w:val="clear" w:color="auto" w:fill="D7D7D7" w:themeFill="background1" w:themeFillShade="D8"/>
                  <w:vAlign w:val="center"/>
                </w:tcPr>
                <w:p w14:paraId="4FFB5BD1">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宋体"/>
                      <w:b w:val="0"/>
                      <w:bCs/>
                      <w:color w:val="auto"/>
                      <w:spacing w:val="6"/>
                      <w:kern w:val="0"/>
                      <w:sz w:val="21"/>
                      <w:highlight w:val="none"/>
                      <w:vertAlign w:val="baseline"/>
                      <w:lang w:eastAsia="zh-CN" w:bidi="ar"/>
                    </w:rPr>
                  </w:pPr>
                  <w:r>
                    <w:rPr>
                      <w:rFonts w:hint="eastAsia" w:ascii="Times New Roman" w:hAnsi="Times New Roman" w:cs="宋体"/>
                      <w:b w:val="0"/>
                      <w:bCs/>
                      <w:color w:val="auto"/>
                      <w:spacing w:val="6"/>
                      <w:kern w:val="0"/>
                      <w:sz w:val="21"/>
                      <w:highlight w:val="none"/>
                      <w:vertAlign w:val="baseline"/>
                      <w:lang w:val="en-US" w:eastAsia="zh-CN" w:bidi="ar"/>
                    </w:rPr>
                    <w:t>达标情况</w:t>
                  </w:r>
                </w:p>
              </w:tc>
              <w:tc>
                <w:tcPr>
                  <w:tcW w:w="894" w:type="dxa"/>
                  <w:vMerge w:val="restart"/>
                  <w:shd w:val="clear" w:color="auto" w:fill="D7D7D7" w:themeFill="background1" w:themeFillShade="D8"/>
                  <w:vAlign w:val="center"/>
                </w:tcPr>
                <w:p w14:paraId="55B203E5">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与标准差值</w:t>
                  </w:r>
                </w:p>
              </w:tc>
            </w:tr>
            <w:tr w14:paraId="6694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vMerge w:val="continue"/>
                  <w:vAlign w:val="center"/>
                </w:tcPr>
                <w:p w14:paraId="0A0EDE20">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eastAsia" w:ascii="Times New Roman" w:hAnsi="Times New Roman" w:cs="宋体"/>
                      <w:b w:val="0"/>
                      <w:bCs/>
                      <w:color w:val="auto"/>
                      <w:spacing w:val="6"/>
                      <w:kern w:val="0"/>
                      <w:sz w:val="21"/>
                      <w:highlight w:val="none"/>
                      <w:vertAlign w:val="baseline"/>
                      <w:lang w:val="en-US" w:eastAsia="zh-CN" w:bidi="ar"/>
                    </w:rPr>
                  </w:pPr>
                </w:p>
              </w:tc>
              <w:tc>
                <w:tcPr>
                  <w:tcW w:w="963" w:type="dxa"/>
                  <w:vMerge w:val="continue"/>
                  <w:vAlign w:val="center"/>
                </w:tcPr>
                <w:p w14:paraId="3246EB73">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eastAsia" w:ascii="Times New Roman" w:hAnsi="Times New Roman" w:cs="宋体"/>
                      <w:b w:val="0"/>
                      <w:bCs/>
                      <w:color w:val="auto"/>
                      <w:spacing w:val="6"/>
                      <w:kern w:val="0"/>
                      <w:sz w:val="21"/>
                      <w:highlight w:val="none"/>
                      <w:vertAlign w:val="baseline"/>
                      <w:lang w:val="en-US" w:eastAsia="zh-CN" w:bidi="ar"/>
                    </w:rPr>
                  </w:pPr>
                </w:p>
              </w:tc>
              <w:tc>
                <w:tcPr>
                  <w:tcW w:w="1071" w:type="dxa"/>
                  <w:vMerge w:val="continue"/>
                  <w:vAlign w:val="center"/>
                </w:tcPr>
                <w:p w14:paraId="25900A80">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eastAsia" w:ascii="Times New Roman" w:hAnsi="Times New Roman" w:cs="宋体"/>
                      <w:b w:val="0"/>
                      <w:bCs/>
                      <w:color w:val="auto"/>
                      <w:spacing w:val="6"/>
                      <w:kern w:val="0"/>
                      <w:sz w:val="21"/>
                      <w:highlight w:val="none"/>
                      <w:vertAlign w:val="baseline"/>
                      <w:lang w:val="en-US" w:eastAsia="zh-CN" w:bidi="ar"/>
                    </w:rPr>
                  </w:pPr>
                </w:p>
              </w:tc>
              <w:tc>
                <w:tcPr>
                  <w:tcW w:w="1656" w:type="dxa"/>
                  <w:shd w:val="clear" w:color="auto" w:fill="D7D7D7" w:themeFill="background1" w:themeFillShade="D8"/>
                  <w:vAlign w:val="center"/>
                </w:tcPr>
                <w:p w14:paraId="58E1D2C9">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贡献值</w:t>
                  </w:r>
                </w:p>
              </w:tc>
              <w:tc>
                <w:tcPr>
                  <w:tcW w:w="902" w:type="dxa"/>
                  <w:vMerge w:val="continue"/>
                  <w:vAlign w:val="center"/>
                </w:tcPr>
                <w:p w14:paraId="19249BAF">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p>
              </w:tc>
              <w:tc>
                <w:tcPr>
                  <w:tcW w:w="920" w:type="dxa"/>
                  <w:vMerge w:val="continue"/>
                  <w:vAlign w:val="center"/>
                </w:tcPr>
                <w:p w14:paraId="647D1271">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p>
              </w:tc>
              <w:tc>
                <w:tcPr>
                  <w:tcW w:w="750" w:type="dxa"/>
                  <w:vMerge w:val="continue"/>
                  <w:vAlign w:val="center"/>
                </w:tcPr>
                <w:p w14:paraId="04439E57">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firstLineChars="0"/>
                    <w:jc w:val="center"/>
                    <w:textAlignment w:val="auto"/>
                    <w:rPr>
                      <w:rFonts w:hint="eastAsia" w:ascii="Times New Roman" w:hAnsi="Times New Roman" w:eastAsia="宋体" w:cs="宋体"/>
                      <w:b w:val="0"/>
                      <w:bCs/>
                      <w:color w:val="auto"/>
                      <w:spacing w:val="6"/>
                      <w:kern w:val="0"/>
                      <w:sz w:val="21"/>
                      <w:highlight w:val="none"/>
                      <w:vertAlign w:val="baseline"/>
                      <w:lang w:eastAsia="zh-CN" w:bidi="ar"/>
                    </w:rPr>
                  </w:pPr>
                </w:p>
              </w:tc>
              <w:tc>
                <w:tcPr>
                  <w:tcW w:w="894" w:type="dxa"/>
                  <w:vMerge w:val="continue"/>
                  <w:vAlign w:val="center"/>
                </w:tcPr>
                <w:p w14:paraId="228E4E87">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eastAsia" w:ascii="Times New Roman" w:hAnsi="Times New Roman" w:eastAsia="宋体" w:cs="宋体"/>
                      <w:b w:val="0"/>
                      <w:bCs/>
                      <w:color w:val="auto"/>
                      <w:spacing w:val="6"/>
                      <w:kern w:val="0"/>
                      <w:sz w:val="21"/>
                      <w:highlight w:val="none"/>
                      <w:vertAlign w:val="baseline"/>
                      <w:lang w:eastAsia="zh-CN" w:bidi="ar"/>
                    </w:rPr>
                  </w:pPr>
                </w:p>
              </w:tc>
            </w:tr>
            <w:tr w14:paraId="74D4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vAlign w:val="center"/>
                </w:tcPr>
                <w:p w14:paraId="154FC750">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东厂界</w:t>
                  </w:r>
                </w:p>
              </w:tc>
              <w:tc>
                <w:tcPr>
                  <w:tcW w:w="963" w:type="dxa"/>
                  <w:vAlign w:val="center"/>
                </w:tcPr>
                <w:p w14:paraId="6AAF68D2">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164.19</w:t>
                  </w:r>
                </w:p>
              </w:tc>
              <w:tc>
                <w:tcPr>
                  <w:tcW w:w="1071" w:type="dxa"/>
                  <w:vAlign w:val="center"/>
                </w:tcPr>
                <w:p w14:paraId="69FF4F6E">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128.68</w:t>
                  </w:r>
                </w:p>
              </w:tc>
              <w:tc>
                <w:tcPr>
                  <w:tcW w:w="1656" w:type="dxa"/>
                  <w:vAlign w:val="center"/>
                </w:tcPr>
                <w:p w14:paraId="64FA5165">
                  <w:pPr>
                    <w:pStyle w:val="7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olor w:val="auto"/>
                      <w:highlight w:val="none"/>
                      <w:lang w:val="en-US" w:eastAsia="zh-CN"/>
                    </w:rPr>
                    <w:t>62.43</w:t>
                  </w:r>
                </w:p>
              </w:tc>
              <w:tc>
                <w:tcPr>
                  <w:tcW w:w="902" w:type="dxa"/>
                  <w:vMerge w:val="restart"/>
                  <w:vAlign w:val="center"/>
                </w:tcPr>
                <w:p w14:paraId="38FF6008">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3类</w:t>
                  </w:r>
                </w:p>
              </w:tc>
              <w:tc>
                <w:tcPr>
                  <w:tcW w:w="920" w:type="dxa"/>
                  <w:vAlign w:val="center"/>
                </w:tcPr>
                <w:p w14:paraId="67103D9E">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65</w:t>
                  </w:r>
                </w:p>
              </w:tc>
              <w:tc>
                <w:tcPr>
                  <w:tcW w:w="750" w:type="dxa"/>
                  <w:vAlign w:val="center"/>
                </w:tcPr>
                <w:p w14:paraId="3020DBFB">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达标</w:t>
                  </w:r>
                </w:p>
              </w:tc>
              <w:tc>
                <w:tcPr>
                  <w:tcW w:w="894" w:type="dxa"/>
                  <w:vAlign w:val="center"/>
                </w:tcPr>
                <w:p w14:paraId="33274B12">
                  <w:pPr>
                    <w:pStyle w:val="7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-2.</w:t>
                  </w:r>
                  <w:r>
                    <w:rPr>
                      <w:rFonts w:hint="eastAsia" w:ascii="Times New Roman" w:hAnsi="Times New Roman" w:cs="宋体"/>
                      <w:color w:val="auto"/>
                      <w:highlight w:val="none"/>
                      <w:lang w:val="en-US" w:eastAsia="zh-CN"/>
                    </w:rPr>
                    <w:t>57</w:t>
                  </w:r>
                </w:p>
              </w:tc>
            </w:tr>
            <w:tr w14:paraId="4E54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vAlign w:val="center"/>
                </w:tcPr>
                <w:p w14:paraId="1F162EE7">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南厂界</w:t>
                  </w:r>
                </w:p>
              </w:tc>
              <w:tc>
                <w:tcPr>
                  <w:tcW w:w="963" w:type="dxa"/>
                  <w:vAlign w:val="center"/>
                </w:tcPr>
                <w:p w14:paraId="4A40F2B6">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55.59</w:t>
                  </w:r>
                </w:p>
              </w:tc>
              <w:tc>
                <w:tcPr>
                  <w:tcW w:w="1071" w:type="dxa"/>
                  <w:vAlign w:val="center"/>
                </w:tcPr>
                <w:p w14:paraId="0189C1A0">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2.04</w:t>
                  </w:r>
                </w:p>
              </w:tc>
              <w:tc>
                <w:tcPr>
                  <w:tcW w:w="1656" w:type="dxa"/>
                  <w:vAlign w:val="center"/>
                </w:tcPr>
                <w:p w14:paraId="1A6B6ADC">
                  <w:pPr>
                    <w:pStyle w:val="7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olor w:val="auto"/>
                      <w:highlight w:val="none"/>
                      <w:lang w:val="en-US" w:eastAsia="zh-CN"/>
                    </w:rPr>
                    <w:t>57.25</w:t>
                  </w:r>
                </w:p>
              </w:tc>
              <w:tc>
                <w:tcPr>
                  <w:tcW w:w="902" w:type="dxa"/>
                  <w:vMerge w:val="continue"/>
                  <w:vAlign w:val="center"/>
                </w:tcPr>
                <w:p w14:paraId="63996E35">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eastAsia" w:ascii="Times New Roman" w:hAnsi="Times New Roman" w:eastAsia="宋体" w:cs="宋体"/>
                      <w:b w:val="0"/>
                      <w:bCs/>
                      <w:color w:val="auto"/>
                      <w:spacing w:val="6"/>
                      <w:kern w:val="0"/>
                      <w:sz w:val="21"/>
                      <w:highlight w:val="none"/>
                      <w:vertAlign w:val="baseline"/>
                      <w:lang w:eastAsia="zh-CN" w:bidi="ar"/>
                    </w:rPr>
                  </w:pPr>
                </w:p>
              </w:tc>
              <w:tc>
                <w:tcPr>
                  <w:tcW w:w="920" w:type="dxa"/>
                  <w:vAlign w:val="center"/>
                </w:tcPr>
                <w:p w14:paraId="1ABE189E">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65</w:t>
                  </w:r>
                </w:p>
              </w:tc>
              <w:tc>
                <w:tcPr>
                  <w:tcW w:w="750" w:type="dxa"/>
                  <w:vAlign w:val="center"/>
                </w:tcPr>
                <w:p w14:paraId="738976CF">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达标</w:t>
                  </w:r>
                </w:p>
              </w:tc>
              <w:tc>
                <w:tcPr>
                  <w:tcW w:w="894" w:type="dxa"/>
                  <w:vAlign w:val="center"/>
                </w:tcPr>
                <w:p w14:paraId="21A91843">
                  <w:pPr>
                    <w:pStyle w:val="7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-7.75</w:t>
                  </w:r>
                </w:p>
              </w:tc>
            </w:tr>
            <w:tr w14:paraId="65DD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vAlign w:val="center"/>
                </w:tcPr>
                <w:p w14:paraId="096F279B">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西厂界</w:t>
                  </w:r>
                </w:p>
              </w:tc>
              <w:tc>
                <w:tcPr>
                  <w:tcW w:w="963" w:type="dxa"/>
                  <w:vAlign w:val="center"/>
                </w:tcPr>
                <w:p w14:paraId="4F72555B">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-88.89</w:t>
                  </w:r>
                </w:p>
              </w:tc>
              <w:tc>
                <w:tcPr>
                  <w:tcW w:w="1071" w:type="dxa"/>
                  <w:vAlign w:val="center"/>
                </w:tcPr>
                <w:p w14:paraId="5D5382A4">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164.53</w:t>
                  </w:r>
                </w:p>
              </w:tc>
              <w:tc>
                <w:tcPr>
                  <w:tcW w:w="1656" w:type="dxa"/>
                  <w:vAlign w:val="center"/>
                </w:tcPr>
                <w:p w14:paraId="47D7B9F3">
                  <w:pPr>
                    <w:pStyle w:val="7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olor w:val="auto"/>
                      <w:highlight w:val="none"/>
                      <w:lang w:val="en-US" w:eastAsia="zh-CN"/>
                    </w:rPr>
                    <w:t>59.91</w:t>
                  </w:r>
                </w:p>
              </w:tc>
              <w:tc>
                <w:tcPr>
                  <w:tcW w:w="902" w:type="dxa"/>
                  <w:vMerge w:val="continue"/>
                  <w:vAlign w:val="center"/>
                </w:tcPr>
                <w:p w14:paraId="11ABFFAA">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eastAsia" w:ascii="Times New Roman" w:hAnsi="Times New Roman" w:eastAsia="宋体" w:cs="宋体"/>
                      <w:b w:val="0"/>
                      <w:bCs/>
                      <w:color w:val="auto"/>
                      <w:spacing w:val="6"/>
                      <w:kern w:val="0"/>
                      <w:sz w:val="21"/>
                      <w:highlight w:val="none"/>
                      <w:vertAlign w:val="baseline"/>
                      <w:lang w:eastAsia="zh-CN" w:bidi="ar"/>
                    </w:rPr>
                  </w:pPr>
                </w:p>
              </w:tc>
              <w:tc>
                <w:tcPr>
                  <w:tcW w:w="920" w:type="dxa"/>
                  <w:vAlign w:val="center"/>
                </w:tcPr>
                <w:p w14:paraId="50E1DF92">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65</w:t>
                  </w:r>
                </w:p>
              </w:tc>
              <w:tc>
                <w:tcPr>
                  <w:tcW w:w="750" w:type="dxa"/>
                  <w:vAlign w:val="center"/>
                </w:tcPr>
                <w:p w14:paraId="2EB3BB49">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达标</w:t>
                  </w:r>
                </w:p>
              </w:tc>
              <w:tc>
                <w:tcPr>
                  <w:tcW w:w="894" w:type="dxa"/>
                  <w:vAlign w:val="center"/>
                </w:tcPr>
                <w:p w14:paraId="6EB835C1">
                  <w:pPr>
                    <w:pStyle w:val="7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-5.09</w:t>
                  </w:r>
                </w:p>
              </w:tc>
            </w:tr>
            <w:tr w14:paraId="05A0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vAlign w:val="center"/>
                </w:tcPr>
                <w:p w14:paraId="7D38D7E4">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北厂界</w:t>
                  </w:r>
                </w:p>
              </w:tc>
              <w:tc>
                <w:tcPr>
                  <w:tcW w:w="963" w:type="dxa"/>
                  <w:vAlign w:val="center"/>
                </w:tcPr>
                <w:p w14:paraId="3E38CA3C">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102.18</w:t>
                  </w:r>
                </w:p>
              </w:tc>
              <w:tc>
                <w:tcPr>
                  <w:tcW w:w="1071" w:type="dxa"/>
                  <w:vAlign w:val="center"/>
                </w:tcPr>
                <w:p w14:paraId="2A2549E0">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273.15</w:t>
                  </w:r>
                </w:p>
              </w:tc>
              <w:tc>
                <w:tcPr>
                  <w:tcW w:w="1656" w:type="dxa"/>
                  <w:vAlign w:val="center"/>
                </w:tcPr>
                <w:p w14:paraId="3FC040CD">
                  <w:pPr>
                    <w:pStyle w:val="7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olor w:val="auto"/>
                      <w:highlight w:val="none"/>
                      <w:lang w:val="en-US" w:eastAsia="zh-CN"/>
                    </w:rPr>
                    <w:t>63.28</w:t>
                  </w:r>
                </w:p>
              </w:tc>
              <w:tc>
                <w:tcPr>
                  <w:tcW w:w="902" w:type="dxa"/>
                  <w:vMerge w:val="continue"/>
                  <w:vAlign w:val="center"/>
                </w:tcPr>
                <w:p w14:paraId="40DEECEC">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eastAsia" w:ascii="Times New Roman" w:hAnsi="Times New Roman" w:eastAsia="宋体" w:cs="宋体"/>
                      <w:b w:val="0"/>
                      <w:bCs/>
                      <w:color w:val="auto"/>
                      <w:spacing w:val="6"/>
                      <w:kern w:val="0"/>
                      <w:sz w:val="21"/>
                      <w:highlight w:val="none"/>
                      <w:vertAlign w:val="baseline"/>
                      <w:lang w:eastAsia="zh-CN" w:bidi="ar"/>
                    </w:rPr>
                  </w:pPr>
                </w:p>
              </w:tc>
              <w:tc>
                <w:tcPr>
                  <w:tcW w:w="920" w:type="dxa"/>
                  <w:vAlign w:val="center"/>
                </w:tcPr>
                <w:p w14:paraId="1B55725D">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65</w:t>
                  </w:r>
                </w:p>
              </w:tc>
              <w:tc>
                <w:tcPr>
                  <w:tcW w:w="750" w:type="dxa"/>
                  <w:vAlign w:val="center"/>
                </w:tcPr>
                <w:p w14:paraId="1CFB0088">
                  <w:pPr>
                    <w:pStyle w:val="34"/>
                    <w:keepNext w:val="0"/>
                    <w:keepLines w:val="0"/>
                    <w:pageBreakBefore w:val="0"/>
                    <w:widowControl w:val="0"/>
                    <w:kinsoku/>
                    <w:wordWrap/>
                    <w:overflowPunct/>
                    <w:topLinePunct w:val="0"/>
                    <w:autoSpaceDE/>
                    <w:autoSpaceDN/>
                    <w:bidi w:val="0"/>
                    <w:adjustRightInd w:val="0"/>
                    <w:snapToGrid w:val="0"/>
                    <w:spacing w:after="0" w:afterLines="0"/>
                    <w:ind w:left="0" w:leftChars="0" w:firstLine="0"/>
                    <w:jc w:val="center"/>
                    <w:textAlignment w:val="auto"/>
                    <w:rPr>
                      <w:rFonts w:hint="default" w:ascii="Times New Roman" w:hAnsi="Times New Roman" w:eastAsia="宋体" w:cs="宋体"/>
                      <w:b w:val="0"/>
                      <w:bCs/>
                      <w:color w:val="auto"/>
                      <w:spacing w:val="6"/>
                      <w:kern w:val="0"/>
                      <w:sz w:val="21"/>
                      <w:highlight w:val="none"/>
                      <w:vertAlign w:val="baseline"/>
                      <w:lang w:val="en-US" w:eastAsia="zh-CN" w:bidi="ar"/>
                    </w:rPr>
                  </w:pPr>
                  <w:r>
                    <w:rPr>
                      <w:rFonts w:hint="eastAsia" w:ascii="Times New Roman" w:hAnsi="Times New Roman" w:cs="宋体"/>
                      <w:b w:val="0"/>
                      <w:bCs/>
                      <w:color w:val="auto"/>
                      <w:spacing w:val="6"/>
                      <w:kern w:val="0"/>
                      <w:sz w:val="21"/>
                      <w:highlight w:val="none"/>
                      <w:vertAlign w:val="baseline"/>
                      <w:lang w:val="en-US" w:eastAsia="zh-CN" w:bidi="ar"/>
                    </w:rPr>
                    <w:t>达标</w:t>
                  </w:r>
                </w:p>
              </w:tc>
              <w:tc>
                <w:tcPr>
                  <w:tcW w:w="894" w:type="dxa"/>
                  <w:vAlign w:val="center"/>
                </w:tcPr>
                <w:p w14:paraId="5D0A9659">
                  <w:pPr>
                    <w:pStyle w:val="7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-1.72</w:t>
                  </w:r>
                </w:p>
              </w:tc>
            </w:tr>
          </w:tbl>
          <w:p w14:paraId="08E9737E">
            <w:pPr>
              <w:pStyle w:val="70"/>
              <w:spacing w:before="158" w:beforeLines="50"/>
              <w:ind w:firstLine="480"/>
              <w:rPr>
                <w:rFonts w:hint="default" w:ascii="Times New Roman" w:hAnsi="Times New Roman" w:eastAsia="宋体" w:cs="Times New Roman"/>
                <w:color w:val="auto"/>
                <w:sz w:val="24"/>
                <w:szCs w:val="24"/>
                <w:highlight w:val="none"/>
              </w:rPr>
            </w:pPr>
            <w:r>
              <w:rPr>
                <w:rFonts w:hint="eastAsia" w:ascii="Times New Roman" w:hAnsi="Times New Roman" w:eastAsia="宋体"/>
                <w:snapToGrid w:val="0"/>
                <w:color w:val="auto"/>
                <w:sz w:val="24"/>
                <w:highlight w:val="none"/>
              </w:rPr>
              <w:t>由上表可知，本项目</w:t>
            </w:r>
            <w:r>
              <w:rPr>
                <w:rFonts w:hint="eastAsia" w:ascii="Times New Roman" w:hAnsi="Times New Roman"/>
                <w:snapToGrid w:val="0"/>
                <w:color w:val="auto"/>
                <w:sz w:val="24"/>
                <w:highlight w:val="none"/>
                <w:lang w:val="en-US" w:eastAsia="zh-CN"/>
              </w:rPr>
              <w:t>运营期</w:t>
            </w:r>
            <w:r>
              <w:rPr>
                <w:rFonts w:hint="eastAsia" w:ascii="Times New Roman" w:hAnsi="Times New Roman" w:eastAsia="宋体"/>
                <w:snapToGrid w:val="0"/>
                <w:color w:val="auto"/>
                <w:sz w:val="24"/>
                <w:highlight w:val="none"/>
              </w:rPr>
              <w:t>，东、南、西、北各场界昼间噪声贡献值</w:t>
            </w:r>
            <w:r>
              <w:rPr>
                <w:rFonts w:hint="eastAsia" w:ascii="Times New Roman" w:hAnsi="Times New Roman"/>
                <w:snapToGrid w:val="0"/>
                <w:color w:val="auto"/>
                <w:sz w:val="24"/>
                <w:highlight w:val="none"/>
                <w:lang w:val="en-US" w:eastAsia="zh-CN"/>
              </w:rPr>
              <w:t>不大</w:t>
            </w:r>
            <w:r>
              <w:rPr>
                <w:rFonts w:hint="eastAsia" w:ascii="Times New Roman" w:hAnsi="Times New Roman" w:eastAsia="宋体"/>
                <w:snapToGrid w:val="0"/>
                <w:color w:val="auto"/>
                <w:sz w:val="24"/>
                <w:highlight w:val="none"/>
              </w:rPr>
              <w:t>，因此项目区东、南</w:t>
            </w:r>
            <w:r>
              <w:rPr>
                <w:rFonts w:hint="eastAsia" w:ascii="Times New Roman" w:hAnsi="Times New Roman"/>
                <w:snapToGrid w:val="0"/>
                <w:color w:val="auto"/>
                <w:sz w:val="24"/>
                <w:highlight w:val="none"/>
                <w:lang w:eastAsia="zh-CN"/>
              </w:rPr>
              <w:t>、</w:t>
            </w:r>
            <w:r>
              <w:rPr>
                <w:rFonts w:hint="eastAsia" w:ascii="Times New Roman" w:hAnsi="Times New Roman"/>
                <w:snapToGrid w:val="0"/>
                <w:color w:val="auto"/>
                <w:sz w:val="24"/>
                <w:highlight w:val="none"/>
                <w:lang w:val="en-US" w:eastAsia="zh-CN"/>
              </w:rPr>
              <w:t>西</w:t>
            </w:r>
            <w:r>
              <w:rPr>
                <w:rFonts w:hint="eastAsia" w:ascii="Times New Roman" w:hAnsi="Times New Roman" w:eastAsia="宋体"/>
                <w:snapToGrid w:val="0"/>
                <w:color w:val="auto"/>
                <w:sz w:val="24"/>
                <w:highlight w:val="none"/>
              </w:rPr>
              <w:t>、北</w:t>
            </w:r>
            <w:r>
              <w:rPr>
                <w:rFonts w:hint="eastAsia" w:ascii="Times New Roman" w:hAnsi="Times New Roman"/>
                <w:snapToGrid w:val="0"/>
                <w:color w:val="auto"/>
                <w:sz w:val="24"/>
                <w:highlight w:val="none"/>
                <w:lang w:val="en-US" w:eastAsia="zh-CN"/>
              </w:rPr>
              <w:t>厂</w:t>
            </w:r>
            <w:r>
              <w:rPr>
                <w:rFonts w:hint="eastAsia" w:ascii="Times New Roman" w:hAnsi="Times New Roman" w:eastAsia="宋体"/>
                <w:snapToGrid w:val="0"/>
                <w:color w:val="auto"/>
                <w:sz w:val="24"/>
                <w:highlight w:val="none"/>
              </w:rPr>
              <w:t>界昼间噪声均能满足《工业企业厂界环境噪声排放标准》（GB12348-2008）中</w:t>
            </w:r>
            <w:r>
              <w:rPr>
                <w:rFonts w:hint="eastAsia" w:ascii="Times New Roman" w:hAnsi="Times New Roman"/>
                <w:snapToGrid w:val="0"/>
                <w:color w:val="auto"/>
                <w:sz w:val="24"/>
                <w:highlight w:val="none"/>
                <w:lang w:val="en-US" w:eastAsia="zh-CN"/>
              </w:rPr>
              <w:t>3</w:t>
            </w:r>
            <w:r>
              <w:rPr>
                <w:rFonts w:hint="eastAsia" w:ascii="Times New Roman" w:hAnsi="Times New Roman" w:eastAsia="宋体"/>
                <w:snapToGrid w:val="0"/>
                <w:color w:val="auto"/>
                <w:sz w:val="24"/>
                <w:highlight w:val="none"/>
              </w:rPr>
              <w:t>类标准的要求</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项目厂区周围50m内无敏感目标，距离项目最近的研和街道玉屏小学位于项目区东南侧778m处，</w:t>
            </w:r>
            <w:r>
              <w:rPr>
                <w:rFonts w:ascii="Times New Roman" w:hAnsi="Times New Roman"/>
                <w:color w:val="auto"/>
                <w:highlight w:val="none"/>
              </w:rPr>
              <w:t>经预测本项目</w:t>
            </w:r>
            <w:r>
              <w:rPr>
                <w:rFonts w:hint="eastAsia" w:ascii="Times New Roman" w:hAnsi="Times New Roman"/>
                <w:color w:val="auto"/>
                <w:highlight w:val="none"/>
                <w:lang w:val="en-US" w:eastAsia="zh-CN"/>
              </w:rPr>
              <w:t>北</w:t>
            </w:r>
            <w:r>
              <w:rPr>
                <w:rFonts w:ascii="Times New Roman" w:hAnsi="Times New Roman"/>
                <w:color w:val="auto"/>
                <w:highlight w:val="none"/>
              </w:rPr>
              <w:t>厂界</w:t>
            </w:r>
            <w:r>
              <w:rPr>
                <w:rFonts w:hint="eastAsia" w:ascii="Times New Roman" w:hAnsi="Times New Roman"/>
                <w:color w:val="auto"/>
                <w:highlight w:val="none"/>
                <w:lang w:val="en-US" w:eastAsia="zh-CN"/>
              </w:rPr>
              <w:t>对该保护目标</w:t>
            </w:r>
            <w:r>
              <w:rPr>
                <w:rFonts w:ascii="Times New Roman" w:hAnsi="Times New Roman"/>
                <w:color w:val="auto"/>
                <w:highlight w:val="none"/>
              </w:rPr>
              <w:t>最大噪声贡献值为</w:t>
            </w:r>
            <w:r>
              <w:rPr>
                <w:rFonts w:hint="eastAsia" w:ascii="Times New Roman" w:hAnsi="Times New Roman"/>
                <w:color w:val="auto"/>
                <w:highlight w:val="none"/>
                <w:lang w:val="en-US" w:eastAsia="zh-CN"/>
              </w:rPr>
              <w:t>36.74</w:t>
            </w:r>
            <w:r>
              <w:rPr>
                <w:rFonts w:ascii="Times New Roman" w:hAnsi="Times New Roman"/>
                <w:color w:val="auto"/>
                <w:highlight w:val="none"/>
              </w:rPr>
              <w:t>dB（A）</w:t>
            </w:r>
            <w:r>
              <w:rPr>
                <w:rFonts w:hint="eastAsia" w:ascii="Times New Roman" w:hAnsi="Times New Roman"/>
                <w:color w:val="auto"/>
                <w:highlight w:val="none"/>
                <w:lang w:eastAsia="zh-CN"/>
              </w:rPr>
              <w:t>，</w:t>
            </w:r>
            <w:r>
              <w:rPr>
                <w:rFonts w:hint="eastAsia" w:ascii="Times New Roman" w:hAnsi="Times New Roman" w:cs="Times New Roman"/>
                <w:color w:val="auto"/>
                <w:sz w:val="24"/>
                <w:szCs w:val="24"/>
                <w:highlight w:val="none"/>
                <w:lang w:val="en-US" w:eastAsia="zh-CN"/>
              </w:rPr>
              <w:t>因此，项目噪声不会对区域声环境造成大的影响，项目的生产运营不会改变区域生态环境功能。</w:t>
            </w:r>
          </w:p>
          <w:p w14:paraId="5E5CAEA0">
            <w:pPr>
              <w:pStyle w:val="70"/>
              <w:spacing w:before="158" w:beforeLines="50"/>
              <w:ind w:left="0" w:leftChars="0" w:firstLine="0" w:firstLineChars="0"/>
              <w:jc w:val="center"/>
              <w:rPr>
                <w:rFonts w:hint="eastAsia" w:ascii="Times New Roman" w:hAnsi="Times New Roman" w:eastAsia="宋体"/>
                <w:snapToGrid w:val="0"/>
                <w:color w:val="auto"/>
                <w:highlight w:val="none"/>
                <w:lang w:eastAsia="zh-CN"/>
              </w:rPr>
            </w:pPr>
            <w:r>
              <w:rPr>
                <w:rFonts w:hint="eastAsia" w:ascii="Times New Roman" w:hAnsi="Times New Roman" w:eastAsia="宋体"/>
                <w:snapToGrid w:val="0"/>
                <w:color w:val="auto"/>
                <w:highlight w:val="none"/>
                <w:lang w:eastAsia="zh-CN"/>
              </w:rPr>
              <w:drawing>
                <wp:inline distT="0" distB="0" distL="114300" distR="114300">
                  <wp:extent cx="5195570" cy="3674110"/>
                  <wp:effectExtent l="0" t="0" r="5080" b="2540"/>
                  <wp:docPr id="8" name="图片 8" descr="昼间噪声贡献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昼间噪声贡献值"/>
                          <pic:cNvPicPr>
                            <a:picLocks noChangeAspect="1"/>
                          </pic:cNvPicPr>
                        </pic:nvPicPr>
                        <pic:blipFill>
                          <a:blip r:embed="rId25"/>
                          <a:stretch>
                            <a:fillRect/>
                          </a:stretch>
                        </pic:blipFill>
                        <pic:spPr>
                          <a:xfrm>
                            <a:off x="0" y="0"/>
                            <a:ext cx="5195570" cy="3674110"/>
                          </a:xfrm>
                          <a:prstGeom prst="rect">
                            <a:avLst/>
                          </a:prstGeom>
                        </pic:spPr>
                      </pic:pic>
                    </a:graphicData>
                  </a:graphic>
                </wp:inline>
              </w:drawing>
            </w:r>
          </w:p>
          <w:p w14:paraId="7BBBF760">
            <w:pPr>
              <w:pStyle w:val="8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宋体"/>
                <w:b/>
                <w:bCs/>
                <w:color w:val="auto"/>
                <w:highlight w:val="none"/>
              </w:rPr>
            </w:pPr>
            <w:r>
              <w:rPr>
                <w:rFonts w:hint="eastAsia" w:ascii="Times New Roman" w:hAnsi="Times New Roman" w:cs="宋体"/>
                <w:b/>
                <w:bCs/>
                <w:color w:val="auto"/>
                <w:highlight w:val="none"/>
                <w:lang w:val="en-US" w:eastAsia="zh-CN"/>
              </w:rPr>
              <w:t>图</w:t>
            </w:r>
            <w:r>
              <w:rPr>
                <w:rFonts w:hint="eastAsia" w:ascii="Times New Roman" w:hAnsi="Times New Roman" w:cs="宋体"/>
                <w:b/>
                <w:bCs/>
                <w:color w:val="auto"/>
                <w:highlight w:val="none"/>
              </w:rPr>
              <w:t>4.2.3-</w:t>
            </w:r>
            <w:r>
              <w:rPr>
                <w:rFonts w:hint="eastAsia" w:ascii="Times New Roman" w:hAnsi="Times New Roman" w:cs="宋体"/>
                <w:b/>
                <w:bCs/>
                <w:color w:val="auto"/>
                <w:highlight w:val="none"/>
                <w:lang w:val="en-US" w:eastAsia="zh-CN"/>
              </w:rPr>
              <w:t>2</w:t>
            </w:r>
            <w:r>
              <w:rPr>
                <w:rFonts w:hint="eastAsia" w:ascii="Times New Roman" w:hAnsi="Times New Roman" w:cs="宋体"/>
                <w:b/>
                <w:bCs/>
                <w:color w:val="auto"/>
                <w:highlight w:val="none"/>
              </w:rPr>
              <w:t>项目厂界</w:t>
            </w:r>
            <w:r>
              <w:rPr>
                <w:rFonts w:hint="eastAsia" w:ascii="Times New Roman" w:hAnsi="Times New Roman" w:cs="宋体"/>
                <w:b/>
                <w:bCs/>
                <w:color w:val="auto"/>
                <w:highlight w:val="none"/>
                <w:lang w:val="en-US" w:eastAsia="zh-CN"/>
              </w:rPr>
              <w:t>昼间</w:t>
            </w:r>
            <w:r>
              <w:rPr>
                <w:rFonts w:hint="eastAsia" w:ascii="Times New Roman" w:hAnsi="Times New Roman" w:cs="宋体"/>
                <w:b/>
                <w:bCs/>
                <w:color w:val="auto"/>
                <w:highlight w:val="none"/>
              </w:rPr>
              <w:t>噪声贡献值预测结果图</w:t>
            </w:r>
          </w:p>
          <w:p w14:paraId="22458EF3">
            <w:pPr>
              <w:pStyle w:val="70"/>
              <w:ind w:firstLine="0" w:firstLineChars="0"/>
              <w:rPr>
                <w:rFonts w:hint="eastAsia" w:ascii="Times New Roman" w:hAnsi="Times New Roman"/>
                <w:b/>
                <w:bCs/>
                <w:color w:val="auto"/>
                <w:highlight w:val="none"/>
              </w:rPr>
            </w:pPr>
            <w:r>
              <w:rPr>
                <w:rFonts w:hint="eastAsia" w:ascii="Times New Roman" w:hAnsi="Times New Roman"/>
                <w:b/>
                <w:bCs/>
                <w:color w:val="auto"/>
                <w:highlight w:val="none"/>
                <w:lang w:val="en-US" w:eastAsia="zh-CN"/>
              </w:rPr>
              <w:t>三、</w:t>
            </w:r>
            <w:r>
              <w:rPr>
                <w:rFonts w:hint="eastAsia" w:ascii="Times New Roman" w:hAnsi="Times New Roman"/>
                <w:b/>
                <w:bCs/>
                <w:color w:val="auto"/>
                <w:highlight w:val="none"/>
              </w:rPr>
              <w:t>监测要求</w:t>
            </w:r>
          </w:p>
          <w:p w14:paraId="414D5EB2">
            <w:pPr>
              <w:pStyle w:val="70"/>
              <w:ind w:firstLine="480"/>
              <w:rPr>
                <w:rFonts w:ascii="Times New Roman" w:hAnsi="Times New Roman" w:eastAsia="宋体"/>
                <w:color w:val="auto"/>
                <w:highlight w:val="none"/>
              </w:rPr>
            </w:pPr>
            <w:r>
              <w:rPr>
                <w:rFonts w:ascii="Times New Roman" w:hAnsi="Times New Roman"/>
                <w:color w:val="auto"/>
                <w:kern w:val="0"/>
                <w:sz w:val="24"/>
                <w:highlight w:val="none"/>
              </w:rPr>
              <w:t>本次环评根据《排污单位自行监测技术指南总则》（HJ819-2017）</w:t>
            </w:r>
            <w:r>
              <w:rPr>
                <w:rFonts w:hint="eastAsia" w:ascii="Times New Roman" w:hAnsi="Times New Roman" w:eastAsia="宋体"/>
                <w:color w:val="auto"/>
                <w:sz w:val="24"/>
                <w:highlight w:val="none"/>
                <w:lang w:val="en-US" w:eastAsia="zh-CN"/>
              </w:rPr>
              <w:t>并参考</w:t>
            </w:r>
            <w:r>
              <w:rPr>
                <w:rFonts w:hint="eastAsia" w:ascii="Times New Roman" w:hAnsi="Times New Roman" w:eastAsia="宋体"/>
                <w:color w:val="auto"/>
                <w:sz w:val="24"/>
                <w:highlight w:val="none"/>
                <w:lang w:eastAsia="zh-CN"/>
              </w:rPr>
              <w:t>《排污单位自行监测技术指南钢铁工业及炼焦化学工业》（HJ878-2017）</w:t>
            </w:r>
            <w:r>
              <w:rPr>
                <w:rFonts w:hint="eastAsia" w:ascii="Times New Roman" w:hAnsi="Times New Roman" w:eastAsia="宋体"/>
                <w:color w:val="auto"/>
                <w:highlight w:val="none"/>
              </w:rPr>
              <w:t>中噪声监测要求，并结合项目实际，本项目自行监测计划如下</w:t>
            </w:r>
            <w:r>
              <w:rPr>
                <w:rFonts w:ascii="Times New Roman" w:hAnsi="Times New Roman" w:eastAsia="宋体"/>
                <w:color w:val="auto"/>
                <w:highlight w:val="none"/>
              </w:rPr>
              <w:t>。</w:t>
            </w:r>
          </w:p>
          <w:p w14:paraId="73C3097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宋体"/>
                <w:b/>
                <w:bCs/>
                <w:color w:val="auto"/>
                <w:spacing w:val="4"/>
                <w:kern w:val="0"/>
                <w:sz w:val="24"/>
                <w:highlight w:val="none"/>
                <w:lang w:eastAsia="zh-CN" w:bidi="ar"/>
              </w:rPr>
            </w:pPr>
            <w:r>
              <w:rPr>
                <w:rFonts w:hint="eastAsia" w:ascii="Times New Roman" w:hAnsi="Times New Roman" w:eastAsia="宋体" w:cs="宋体"/>
                <w:b/>
                <w:bCs/>
                <w:color w:val="auto"/>
                <w:spacing w:val="4"/>
                <w:kern w:val="0"/>
                <w:sz w:val="24"/>
                <w:highlight w:val="none"/>
                <w:lang w:eastAsia="zh-CN" w:bidi="ar"/>
              </w:rPr>
              <w:t>表</w:t>
            </w:r>
            <w:r>
              <w:rPr>
                <w:rFonts w:hint="eastAsia" w:ascii="Times New Roman" w:hAnsi="Times New Roman" w:eastAsia="宋体" w:cs="宋体"/>
                <w:b/>
                <w:bCs/>
                <w:color w:val="auto"/>
                <w:spacing w:val="6"/>
                <w:kern w:val="0"/>
                <w:sz w:val="24"/>
                <w:highlight w:val="none"/>
                <w:lang w:val="en-US" w:eastAsia="zh-CN" w:bidi="ar"/>
              </w:rPr>
              <w:t>4.2.3-3</w:t>
            </w:r>
            <w:r>
              <w:rPr>
                <w:rFonts w:hint="eastAsia" w:ascii="Times New Roman" w:hAnsi="Times New Roman" w:eastAsia="宋体" w:cs="宋体"/>
                <w:b/>
                <w:bCs/>
                <w:color w:val="auto"/>
                <w:spacing w:val="4"/>
                <w:kern w:val="0"/>
                <w:sz w:val="24"/>
                <w:highlight w:val="none"/>
                <w:lang w:eastAsia="zh-CN" w:bidi="ar"/>
              </w:rPr>
              <w:t>环境监测计划一览表</w:t>
            </w:r>
          </w:p>
          <w:tbl>
            <w:tblPr>
              <w:tblStyle w:val="35"/>
              <w:tblpPr w:leftFromText="180" w:rightFromText="180" w:vertAnchor="text" w:tblpXSpec="center" w:tblpY="1"/>
              <w:tblOverlap w:val="never"/>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122"/>
              <w:gridCol w:w="1151"/>
              <w:gridCol w:w="1151"/>
              <w:gridCol w:w="1220"/>
              <w:gridCol w:w="2250"/>
            </w:tblGrid>
            <w:tr w14:paraId="7F46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3" w:type="dxa"/>
                  <w:shd w:val="clear" w:color="auto" w:fill="D9D9D9"/>
                  <w:vAlign w:val="center"/>
                </w:tcPr>
                <w:p w14:paraId="54952EBD">
                  <w:pPr>
                    <w:pStyle w:val="72"/>
                    <w:jc w:val="center"/>
                    <w:rPr>
                      <w:rFonts w:ascii="Times New Roman" w:hAnsi="Times New Roman" w:eastAsia="宋体"/>
                      <w:color w:val="auto"/>
                      <w:highlight w:val="none"/>
                    </w:rPr>
                  </w:pPr>
                  <w:r>
                    <w:rPr>
                      <w:rFonts w:ascii="Times New Roman" w:hAnsi="Times New Roman" w:eastAsia="宋体"/>
                      <w:color w:val="auto"/>
                      <w:highlight w:val="none"/>
                    </w:rPr>
                    <w:t>监测时间</w:t>
                  </w:r>
                </w:p>
              </w:tc>
              <w:tc>
                <w:tcPr>
                  <w:tcW w:w="1104" w:type="dxa"/>
                  <w:shd w:val="clear" w:color="auto" w:fill="D9D9D9"/>
                  <w:vAlign w:val="center"/>
                </w:tcPr>
                <w:p w14:paraId="683DBB31">
                  <w:pPr>
                    <w:pStyle w:val="72"/>
                    <w:jc w:val="center"/>
                    <w:rPr>
                      <w:rFonts w:ascii="Times New Roman" w:hAnsi="Times New Roman" w:eastAsia="宋体"/>
                      <w:color w:val="auto"/>
                      <w:highlight w:val="none"/>
                    </w:rPr>
                  </w:pPr>
                  <w:r>
                    <w:rPr>
                      <w:rFonts w:ascii="Times New Roman" w:hAnsi="Times New Roman" w:eastAsia="宋体"/>
                      <w:color w:val="auto"/>
                      <w:highlight w:val="none"/>
                    </w:rPr>
                    <w:t>监测对象</w:t>
                  </w:r>
                </w:p>
              </w:tc>
              <w:tc>
                <w:tcPr>
                  <w:tcW w:w="1132" w:type="dxa"/>
                  <w:shd w:val="clear" w:color="auto" w:fill="D9D9D9"/>
                  <w:vAlign w:val="center"/>
                </w:tcPr>
                <w:p w14:paraId="54C9AAC2">
                  <w:pPr>
                    <w:pStyle w:val="72"/>
                    <w:jc w:val="center"/>
                    <w:rPr>
                      <w:rFonts w:ascii="Times New Roman" w:hAnsi="Times New Roman" w:eastAsia="宋体"/>
                      <w:color w:val="auto"/>
                      <w:highlight w:val="none"/>
                    </w:rPr>
                  </w:pPr>
                  <w:r>
                    <w:rPr>
                      <w:rFonts w:ascii="Times New Roman" w:hAnsi="Times New Roman" w:eastAsia="宋体"/>
                      <w:color w:val="auto"/>
                      <w:highlight w:val="none"/>
                    </w:rPr>
                    <w:t>监测点位</w:t>
                  </w:r>
                </w:p>
              </w:tc>
              <w:tc>
                <w:tcPr>
                  <w:tcW w:w="1132" w:type="dxa"/>
                  <w:shd w:val="clear" w:color="auto" w:fill="D9D9D9"/>
                  <w:vAlign w:val="center"/>
                </w:tcPr>
                <w:p w14:paraId="0D373DA3">
                  <w:pPr>
                    <w:pStyle w:val="72"/>
                    <w:jc w:val="center"/>
                    <w:rPr>
                      <w:rFonts w:ascii="Times New Roman" w:hAnsi="Times New Roman" w:eastAsia="宋体"/>
                      <w:color w:val="auto"/>
                      <w:highlight w:val="none"/>
                    </w:rPr>
                  </w:pPr>
                  <w:r>
                    <w:rPr>
                      <w:rFonts w:ascii="Times New Roman" w:hAnsi="Times New Roman" w:eastAsia="宋体"/>
                      <w:color w:val="auto"/>
                      <w:highlight w:val="none"/>
                    </w:rPr>
                    <w:t>监测因子</w:t>
                  </w:r>
                </w:p>
              </w:tc>
              <w:tc>
                <w:tcPr>
                  <w:tcW w:w="1200" w:type="dxa"/>
                  <w:shd w:val="clear" w:color="auto" w:fill="D9D9D9"/>
                  <w:vAlign w:val="center"/>
                </w:tcPr>
                <w:p w14:paraId="1F1B24B9">
                  <w:pPr>
                    <w:pStyle w:val="72"/>
                    <w:jc w:val="center"/>
                    <w:rPr>
                      <w:rFonts w:ascii="Times New Roman" w:hAnsi="Times New Roman" w:eastAsia="宋体"/>
                      <w:color w:val="auto"/>
                      <w:highlight w:val="none"/>
                    </w:rPr>
                  </w:pPr>
                  <w:r>
                    <w:rPr>
                      <w:rFonts w:ascii="Times New Roman" w:hAnsi="Times New Roman" w:eastAsia="宋体"/>
                      <w:color w:val="auto"/>
                      <w:highlight w:val="none"/>
                    </w:rPr>
                    <w:t>监测频率</w:t>
                  </w:r>
                </w:p>
              </w:tc>
              <w:tc>
                <w:tcPr>
                  <w:tcW w:w="2213" w:type="dxa"/>
                  <w:shd w:val="clear" w:color="auto" w:fill="D9D9D9"/>
                  <w:vAlign w:val="center"/>
                </w:tcPr>
                <w:p w14:paraId="14DF8408">
                  <w:pPr>
                    <w:pStyle w:val="72"/>
                    <w:jc w:val="center"/>
                    <w:rPr>
                      <w:rFonts w:ascii="Times New Roman" w:hAnsi="Times New Roman" w:eastAsia="宋体"/>
                      <w:color w:val="auto"/>
                      <w:highlight w:val="none"/>
                    </w:rPr>
                  </w:pPr>
                  <w:r>
                    <w:rPr>
                      <w:rFonts w:ascii="Times New Roman" w:hAnsi="Times New Roman" w:eastAsia="宋体"/>
                      <w:color w:val="auto"/>
                      <w:highlight w:val="none"/>
                    </w:rPr>
                    <w:t>执行标准</w:t>
                  </w:r>
                </w:p>
              </w:tc>
            </w:tr>
            <w:tr w14:paraId="5FFC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03" w:type="dxa"/>
                  <w:vAlign w:val="center"/>
                </w:tcPr>
                <w:p w14:paraId="6BA858A6">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lang w:eastAsia="zh-CN"/>
                    </w:rPr>
                    <w:t>运营</w:t>
                  </w:r>
                  <w:r>
                    <w:rPr>
                      <w:rFonts w:ascii="Times New Roman" w:hAnsi="Times New Roman" w:eastAsia="宋体"/>
                      <w:color w:val="auto"/>
                      <w:highlight w:val="none"/>
                    </w:rPr>
                    <w:t>期</w:t>
                  </w:r>
                </w:p>
              </w:tc>
              <w:tc>
                <w:tcPr>
                  <w:tcW w:w="1104" w:type="dxa"/>
                  <w:vAlign w:val="center"/>
                </w:tcPr>
                <w:p w14:paraId="112B4E93">
                  <w:pPr>
                    <w:pStyle w:val="72"/>
                    <w:jc w:val="center"/>
                    <w:rPr>
                      <w:rFonts w:ascii="Times New Roman" w:hAnsi="Times New Roman" w:eastAsia="宋体"/>
                      <w:color w:val="auto"/>
                      <w:highlight w:val="none"/>
                    </w:rPr>
                  </w:pPr>
                  <w:r>
                    <w:rPr>
                      <w:rFonts w:ascii="Times New Roman" w:hAnsi="Times New Roman" w:eastAsia="宋体"/>
                      <w:color w:val="auto"/>
                      <w:highlight w:val="none"/>
                    </w:rPr>
                    <w:t>噪声</w:t>
                  </w:r>
                </w:p>
              </w:tc>
              <w:tc>
                <w:tcPr>
                  <w:tcW w:w="1132" w:type="dxa"/>
                  <w:vAlign w:val="center"/>
                </w:tcPr>
                <w:p w14:paraId="5C60B6DA">
                  <w:pPr>
                    <w:pStyle w:val="72"/>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厂界四周</w:t>
                  </w:r>
                </w:p>
              </w:tc>
              <w:tc>
                <w:tcPr>
                  <w:tcW w:w="1132" w:type="dxa"/>
                  <w:vAlign w:val="center"/>
                </w:tcPr>
                <w:p w14:paraId="197BAAF0">
                  <w:pPr>
                    <w:pStyle w:val="72"/>
                    <w:jc w:val="center"/>
                    <w:rPr>
                      <w:rFonts w:ascii="Times New Roman" w:hAnsi="Times New Roman" w:eastAsia="宋体"/>
                      <w:color w:val="auto"/>
                      <w:highlight w:val="none"/>
                    </w:rPr>
                  </w:pPr>
                  <w:r>
                    <w:rPr>
                      <w:rFonts w:ascii="Times New Roman" w:hAnsi="Times New Roman" w:eastAsia="宋体"/>
                      <w:color w:val="auto"/>
                      <w:highlight w:val="none"/>
                    </w:rPr>
                    <w:t>等效声级LepdB（A）</w:t>
                  </w:r>
                </w:p>
              </w:tc>
              <w:tc>
                <w:tcPr>
                  <w:tcW w:w="1200" w:type="dxa"/>
                  <w:vAlign w:val="center"/>
                </w:tcPr>
                <w:p w14:paraId="4CE506C7">
                  <w:pPr>
                    <w:pStyle w:val="72"/>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1次/</w:t>
                  </w:r>
                  <w:r>
                    <w:rPr>
                      <w:rFonts w:hint="eastAsia" w:ascii="Times New Roman" w:hAnsi="Times New Roman" w:eastAsia="宋体"/>
                      <w:color w:val="auto"/>
                      <w:highlight w:val="none"/>
                      <w:lang w:eastAsia="zh-CN"/>
                    </w:rPr>
                    <w:t>季度</w:t>
                  </w:r>
                </w:p>
              </w:tc>
              <w:tc>
                <w:tcPr>
                  <w:tcW w:w="2213" w:type="dxa"/>
                  <w:vAlign w:val="center"/>
                </w:tcPr>
                <w:p w14:paraId="58A09C63">
                  <w:pPr>
                    <w:pStyle w:val="72"/>
                    <w:jc w:val="center"/>
                    <w:rPr>
                      <w:rFonts w:ascii="Times New Roman" w:hAnsi="Times New Roman" w:eastAsia="宋体"/>
                      <w:color w:val="auto"/>
                      <w:highlight w:val="none"/>
                    </w:rPr>
                  </w:pPr>
                  <w:r>
                    <w:rPr>
                      <w:rFonts w:hint="eastAsia" w:ascii="Times New Roman" w:hAnsi="Times New Roman" w:eastAsia="宋体"/>
                      <w:color w:val="auto"/>
                      <w:highlight w:val="none"/>
                      <w:lang w:eastAsia="zh-CN"/>
                    </w:rPr>
                    <w:t>执行</w:t>
                  </w:r>
                  <w:r>
                    <w:rPr>
                      <w:rFonts w:ascii="Times New Roman" w:hAnsi="Times New Roman" w:eastAsia="宋体"/>
                      <w:color w:val="auto"/>
                      <w:highlight w:val="none"/>
                    </w:rPr>
                    <w:t>《工业企业厂界环境噪声排放标准》</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GB12348-2008</w:t>
                  </w:r>
                  <w:r>
                    <w:rPr>
                      <w:rFonts w:hint="eastAsia" w:ascii="Times New Roman" w:hAnsi="Times New Roman" w:eastAsia="宋体"/>
                      <w:color w:val="auto"/>
                      <w:highlight w:val="none"/>
                      <w:lang w:eastAsia="zh-CN"/>
                    </w:rPr>
                    <w:t>）</w:t>
                  </w:r>
                  <w:r>
                    <w:rPr>
                      <w:rFonts w:hint="eastAsia" w:ascii="Times New Roman" w:hAnsi="Times New Roman"/>
                      <w:color w:val="auto"/>
                      <w:highlight w:val="none"/>
                      <w:lang w:val="en-US" w:eastAsia="zh-CN"/>
                    </w:rPr>
                    <w:t>3</w:t>
                  </w:r>
                  <w:r>
                    <w:rPr>
                      <w:rFonts w:ascii="Times New Roman" w:hAnsi="Times New Roman" w:eastAsia="宋体"/>
                      <w:color w:val="auto"/>
                      <w:highlight w:val="none"/>
                    </w:rPr>
                    <w:t>类区标准</w:t>
                  </w:r>
                </w:p>
              </w:tc>
            </w:tr>
          </w:tbl>
          <w:p w14:paraId="21301FFE">
            <w:pPr>
              <w:pStyle w:val="70"/>
              <w:spacing w:before="158" w:beforeLines="50"/>
              <w:ind w:firstLine="0" w:firstLineChars="0"/>
              <w:rPr>
                <w:rFonts w:ascii="Times New Roman" w:hAnsi="Times New Roman"/>
                <w:b/>
                <w:bCs/>
                <w:color w:val="auto"/>
                <w:highlight w:val="none"/>
              </w:rPr>
            </w:pPr>
            <w:r>
              <w:rPr>
                <w:rFonts w:hint="eastAsia" w:ascii="Times New Roman" w:hAnsi="Times New Roman"/>
                <w:b/>
                <w:bCs/>
                <w:color w:val="auto"/>
                <w:highlight w:val="none"/>
                <w:lang w:val="en-US" w:eastAsia="zh-CN"/>
              </w:rPr>
              <w:t>四、</w:t>
            </w:r>
            <w:r>
              <w:rPr>
                <w:rFonts w:ascii="Times New Roman" w:hAnsi="Times New Roman"/>
                <w:b/>
                <w:bCs/>
                <w:color w:val="auto"/>
                <w:highlight w:val="none"/>
              </w:rPr>
              <w:t>运营期声环境影响评价结论</w:t>
            </w:r>
          </w:p>
          <w:p w14:paraId="07707E7F">
            <w:pPr>
              <w:pStyle w:val="70"/>
              <w:ind w:firstLine="480"/>
              <w:rPr>
                <w:rFonts w:hint="eastAsia" w:ascii="Times New Roman" w:hAnsi="Times New Roman"/>
                <w:color w:val="auto"/>
                <w:highlight w:val="none"/>
              </w:rPr>
            </w:pPr>
            <w:r>
              <w:rPr>
                <w:rFonts w:ascii="Times New Roman" w:hAnsi="Times New Roman"/>
                <w:color w:val="auto"/>
                <w:highlight w:val="none"/>
              </w:rPr>
              <w:t>项目在运行期产生的噪声，只要采取环评报告提出的对策措施后，均可做到厂界达标排放。项目区生产噪声不会改变声环境功能，因此，对周围环境的影响不大</w:t>
            </w:r>
            <w:r>
              <w:rPr>
                <w:rFonts w:hint="eastAsia" w:ascii="Times New Roman" w:hAnsi="Times New Roman"/>
                <w:color w:val="auto"/>
                <w:highlight w:val="none"/>
              </w:rPr>
              <w:t>。</w:t>
            </w:r>
          </w:p>
          <w:p w14:paraId="2B0C5ADE">
            <w:pPr>
              <w:pStyle w:val="8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auto"/>
                <w:sz w:val="24"/>
                <w:szCs w:val="24"/>
                <w:highlight w:val="none"/>
                <w:lang w:val="zh-CN" w:eastAsia="zh-CN"/>
              </w:rPr>
            </w:pPr>
            <w:r>
              <w:rPr>
                <w:rFonts w:hint="eastAsia" w:ascii="Times New Roman" w:hAnsi="Times New Roman" w:eastAsia="宋体" w:cs="Times New Roman"/>
                <w:b/>
                <w:bCs/>
                <w:color w:val="auto"/>
                <w:sz w:val="24"/>
                <w:szCs w:val="24"/>
                <w:highlight w:val="none"/>
                <w:lang w:val="zh-CN" w:eastAsia="zh-CN"/>
              </w:rPr>
              <w:t>4</w:t>
            </w:r>
            <w:r>
              <w:rPr>
                <w:rFonts w:hint="eastAsia" w:ascii="Times New Roman" w:hAnsi="Times New Roman" w:eastAsia="宋体" w:cs="Times New Roman"/>
                <w:b/>
                <w:bCs/>
                <w:color w:val="auto"/>
                <w:sz w:val="24"/>
                <w:szCs w:val="24"/>
                <w:highlight w:val="none"/>
                <w:lang w:val="en-US" w:eastAsia="zh-CN"/>
              </w:rPr>
              <w:t>.2.4</w:t>
            </w:r>
            <w:r>
              <w:rPr>
                <w:rFonts w:hint="eastAsia" w:ascii="Times New Roman" w:hAnsi="Times New Roman" w:eastAsia="宋体" w:cs="Times New Roman"/>
                <w:b/>
                <w:bCs/>
                <w:color w:val="auto"/>
                <w:sz w:val="24"/>
                <w:szCs w:val="24"/>
                <w:highlight w:val="none"/>
                <w:lang w:val="zh-CN" w:eastAsia="zh-CN"/>
              </w:rPr>
              <w:t>、固体废物</w:t>
            </w:r>
          </w:p>
          <w:p w14:paraId="1AE9D223">
            <w:pPr>
              <w:pStyle w:val="83"/>
              <w:keepNext w:val="0"/>
              <w:keepLines w:val="0"/>
              <w:pageBreakBefore w:val="0"/>
              <w:widowControl w:val="0"/>
              <w:kinsoku/>
              <w:wordWrap/>
              <w:overflowPunct/>
              <w:topLinePunct/>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b/>
                <w:bCs/>
                <w:color w:val="auto"/>
                <w:sz w:val="24"/>
                <w:szCs w:val="24"/>
                <w:highlight w:val="none"/>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一、固体废物产生量核算结果及相关参数</w:t>
            </w:r>
          </w:p>
          <w:p w14:paraId="24166F4A">
            <w:pPr>
              <w:pStyle w:val="70"/>
              <w:ind w:firstLine="480"/>
              <w:rPr>
                <w:rFonts w:hint="default" w:ascii="Times New Roman" w:hAnsi="Times New Roman" w:eastAsia="宋体" w:cs="宋体"/>
                <w:color w:val="auto"/>
                <w:sz w:val="24"/>
                <w:highlight w:val="none"/>
              </w:rPr>
            </w:pPr>
            <w:r>
              <w:rPr>
                <w:rFonts w:hint="eastAsia" w:ascii="Times New Roman" w:hAnsi="Times New Roman" w:cs="宋体"/>
                <w:color w:val="auto"/>
                <w:sz w:val="24"/>
                <w:highlight w:val="none"/>
                <w:lang w:val="en-US" w:eastAsia="zh-CN"/>
              </w:rPr>
              <w:t>根据</w:t>
            </w:r>
            <w:r>
              <w:rPr>
                <w:rFonts w:hint="default" w:ascii="Times New Roman" w:hAnsi="Times New Roman" w:eastAsia="宋体" w:cs="宋体"/>
                <w:color w:val="auto"/>
                <w:sz w:val="24"/>
                <w:highlight w:val="none"/>
                <w:lang w:val="en-US" w:eastAsia="zh-CN"/>
              </w:rPr>
              <w:t>项目工程分析，</w:t>
            </w: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color w:val="auto"/>
                <w:sz w:val="24"/>
                <w:szCs w:val="24"/>
                <w:highlight w:val="none"/>
              </w:rPr>
              <w:t>运营期产生的固废主要</w:t>
            </w:r>
            <w:r>
              <w:rPr>
                <w:rFonts w:hint="default" w:ascii="Times New Roman" w:hAnsi="Times New Roman" w:eastAsia="宋体" w:cs="Times New Roman"/>
                <w:color w:val="auto"/>
                <w:sz w:val="24"/>
                <w:szCs w:val="24"/>
                <w:highlight w:val="none"/>
                <w:lang w:eastAsia="zh-CN"/>
              </w:rPr>
              <w:t>包括生活垃圾、一般固废及危险废物。其中一般固废包括</w:t>
            </w:r>
            <w:r>
              <w:rPr>
                <w:rFonts w:hint="eastAsia" w:ascii="Times New Roman" w:hAnsi="Times New Roman" w:eastAsia="宋体" w:cs="Times New Roman"/>
                <w:bCs/>
                <w:color w:val="auto"/>
                <w:sz w:val="24"/>
                <w:highlight w:val="none"/>
                <w:lang w:val="en-US" w:eastAsia="zh-CN"/>
              </w:rPr>
              <w:t>布袋</w:t>
            </w:r>
            <w:r>
              <w:rPr>
                <w:rFonts w:hint="default" w:ascii="Times New Roman" w:hAnsi="Times New Roman" w:eastAsia="宋体" w:cs="Times New Roman"/>
                <w:bCs/>
                <w:color w:val="auto"/>
                <w:sz w:val="24"/>
                <w:highlight w:val="none"/>
                <w:lang w:val="en-US" w:eastAsia="zh-CN"/>
              </w:rPr>
              <w:t>收尘灰；</w:t>
            </w:r>
            <w:r>
              <w:rPr>
                <w:rFonts w:hint="default" w:ascii="Times New Roman" w:hAnsi="Times New Roman" w:eastAsia="宋体" w:cs="Times New Roman"/>
                <w:color w:val="auto"/>
                <w:sz w:val="24"/>
                <w:szCs w:val="24"/>
                <w:highlight w:val="none"/>
                <w:lang w:val="en-US" w:eastAsia="zh-CN"/>
              </w:rPr>
              <w:t>危险废物包括</w:t>
            </w:r>
            <w:r>
              <w:rPr>
                <w:rFonts w:hint="default" w:ascii="Times New Roman" w:hAnsi="Times New Roman" w:eastAsia="宋体" w:cs="Times New Roman"/>
                <w:bCs/>
                <w:color w:val="auto"/>
                <w:sz w:val="24"/>
                <w:highlight w:val="none"/>
              </w:rPr>
              <w:t>废</w:t>
            </w:r>
            <w:r>
              <w:rPr>
                <w:rFonts w:hint="default" w:ascii="Times New Roman" w:hAnsi="Times New Roman" w:eastAsia="宋体" w:cs="Times New Roman"/>
                <w:bCs/>
                <w:color w:val="auto"/>
                <w:sz w:val="24"/>
                <w:highlight w:val="none"/>
                <w:lang w:val="en-US" w:eastAsia="zh-CN"/>
              </w:rPr>
              <w:t>润滑油和</w:t>
            </w:r>
            <w:r>
              <w:rPr>
                <w:rFonts w:hint="default" w:ascii="Times New Roman" w:hAnsi="Times New Roman" w:eastAsia="宋体" w:cs="Times New Roman"/>
                <w:bCs/>
                <w:color w:val="auto"/>
                <w:sz w:val="24"/>
                <w:highlight w:val="none"/>
              </w:rPr>
              <w:t>废</w:t>
            </w:r>
            <w:r>
              <w:rPr>
                <w:rFonts w:hint="default" w:ascii="Times New Roman" w:hAnsi="Times New Roman" w:eastAsia="宋体" w:cs="Times New Roman"/>
                <w:bCs/>
                <w:color w:val="auto"/>
                <w:sz w:val="24"/>
                <w:highlight w:val="none"/>
                <w:lang w:val="en-US" w:eastAsia="zh-CN"/>
              </w:rPr>
              <w:t>润滑</w:t>
            </w:r>
            <w:r>
              <w:rPr>
                <w:rFonts w:hint="default" w:ascii="Times New Roman" w:hAnsi="Times New Roman" w:eastAsia="宋体" w:cs="Times New Roman"/>
                <w:bCs/>
                <w:color w:val="auto"/>
                <w:sz w:val="24"/>
                <w:highlight w:val="none"/>
              </w:rPr>
              <w:t>油桶</w:t>
            </w:r>
            <w:r>
              <w:rPr>
                <w:rFonts w:hint="default" w:ascii="Times New Roman" w:hAnsi="Times New Roman" w:eastAsia="宋体" w:cs="宋体"/>
                <w:color w:val="auto"/>
                <w:sz w:val="24"/>
                <w:highlight w:val="none"/>
              </w:rPr>
              <w:t>。</w:t>
            </w:r>
          </w:p>
          <w:p w14:paraId="2D5670E1">
            <w:pPr>
              <w:pStyle w:val="70"/>
              <w:ind w:firstLine="480"/>
              <w:rPr>
                <w:rFonts w:hint="default" w:ascii="Times New Roman" w:hAnsi="Times New Roman" w:eastAsia="宋体" w:cs="宋体"/>
                <w:b/>
                <w:bCs/>
                <w:color w:val="auto"/>
                <w:sz w:val="24"/>
                <w:highlight w:val="none"/>
              </w:rPr>
            </w:pPr>
            <w:r>
              <w:rPr>
                <w:rFonts w:hint="default" w:ascii="Times New Roman" w:hAnsi="Times New Roman" w:eastAsia="宋体" w:cs="宋体"/>
                <w:b/>
                <w:bCs/>
                <w:color w:val="auto"/>
                <w:sz w:val="24"/>
                <w:highlight w:val="none"/>
                <w:lang w:val="en-US" w:eastAsia="zh-CN"/>
              </w:rPr>
              <w:t>1）</w:t>
            </w:r>
            <w:r>
              <w:rPr>
                <w:rFonts w:hint="default" w:ascii="Times New Roman" w:hAnsi="Times New Roman" w:eastAsia="宋体" w:cs="宋体"/>
                <w:b/>
                <w:bCs/>
                <w:color w:val="auto"/>
                <w:sz w:val="24"/>
                <w:highlight w:val="none"/>
              </w:rPr>
              <w:t>生活垃圾</w:t>
            </w:r>
          </w:p>
          <w:p w14:paraId="74846BE9">
            <w:pPr>
              <w:pStyle w:val="70"/>
              <w:ind w:firstLine="480"/>
              <w:rPr>
                <w:rFonts w:hint="default" w:ascii="Times New Roman" w:hAnsi="Times New Roman" w:eastAsia="宋体" w:cs="宋体"/>
                <w:color w:val="auto"/>
                <w:sz w:val="24"/>
                <w:highlight w:val="none"/>
                <w:lang w:val="en-US" w:eastAsia="zh-CN"/>
              </w:rPr>
            </w:pPr>
            <w:r>
              <w:rPr>
                <w:rFonts w:hint="eastAsia" w:ascii="Times New Roman" w:hAnsi="Times New Roman" w:cs="宋体"/>
                <w:color w:val="auto"/>
                <w:sz w:val="24"/>
                <w:highlight w:val="none"/>
                <w:lang w:val="en-US" w:eastAsia="zh-CN"/>
              </w:rPr>
              <w:t>①员工生活垃圾</w:t>
            </w:r>
          </w:p>
          <w:p w14:paraId="54BCA434">
            <w:pPr>
              <w:pStyle w:val="70"/>
              <w:ind w:firstLine="480"/>
              <w:rPr>
                <w:rFonts w:hint="default" w:ascii="Times New Roman" w:hAnsi="Times New Roman" w:eastAsia="宋体" w:cs="宋体"/>
                <w:color w:val="auto"/>
                <w:sz w:val="24"/>
                <w:highlight w:val="none"/>
              </w:rPr>
            </w:pPr>
            <w:r>
              <w:rPr>
                <w:rFonts w:hint="default" w:ascii="Times New Roman" w:hAnsi="Times New Roman" w:eastAsia="宋体" w:cs="宋体"/>
                <w:color w:val="auto"/>
                <w:sz w:val="24"/>
                <w:highlight w:val="none"/>
              </w:rPr>
              <w:t>项目</w:t>
            </w:r>
            <w:r>
              <w:rPr>
                <w:rFonts w:hint="default" w:ascii="Times New Roman" w:hAnsi="Times New Roman" w:eastAsia="宋体" w:cs="宋体"/>
                <w:color w:val="auto"/>
                <w:sz w:val="24"/>
                <w:highlight w:val="none"/>
                <w:lang w:eastAsia="zh-CN"/>
              </w:rPr>
              <w:t>员工人数为</w:t>
            </w:r>
            <w:r>
              <w:rPr>
                <w:rFonts w:hint="eastAsia" w:ascii="Times New Roman" w:hAnsi="Times New Roman" w:cs="宋体"/>
                <w:color w:val="auto"/>
                <w:sz w:val="24"/>
                <w:highlight w:val="none"/>
                <w:lang w:val="en-US" w:eastAsia="zh-CN"/>
              </w:rPr>
              <w:t>35</w:t>
            </w:r>
            <w:r>
              <w:rPr>
                <w:rFonts w:hint="default" w:ascii="Times New Roman" w:hAnsi="Times New Roman" w:eastAsia="宋体" w:cs="宋体"/>
                <w:color w:val="auto"/>
                <w:sz w:val="24"/>
                <w:highlight w:val="none"/>
                <w:lang w:val="en-US" w:eastAsia="zh-CN"/>
              </w:rPr>
              <w:t>人</w:t>
            </w:r>
            <w:r>
              <w:rPr>
                <w:rFonts w:hint="default" w:ascii="Times New Roman" w:hAnsi="Times New Roman" w:eastAsia="宋体" w:cs="宋体"/>
                <w:color w:val="auto"/>
                <w:sz w:val="24"/>
                <w:highlight w:val="none"/>
              </w:rPr>
              <w:t>，年总工作日</w:t>
            </w:r>
            <w:r>
              <w:rPr>
                <w:rFonts w:hint="eastAsia" w:ascii="Times New Roman" w:hAnsi="Times New Roman" w:eastAsia="宋体" w:cs="宋体"/>
                <w:color w:val="auto"/>
                <w:sz w:val="24"/>
                <w:highlight w:val="none"/>
                <w:lang w:val="en-US" w:eastAsia="zh-CN"/>
              </w:rPr>
              <w:t>300</w:t>
            </w:r>
            <w:r>
              <w:rPr>
                <w:rFonts w:hint="default" w:ascii="Times New Roman" w:hAnsi="Times New Roman" w:eastAsia="宋体" w:cs="宋体"/>
                <w:color w:val="auto"/>
                <w:sz w:val="24"/>
                <w:highlight w:val="none"/>
              </w:rPr>
              <w:t>天，生活垃圾按每人每日产生0.5kg，生活垃圾产生量为</w:t>
            </w:r>
            <w:r>
              <w:rPr>
                <w:rFonts w:hint="eastAsia" w:ascii="Times New Roman" w:hAnsi="Times New Roman" w:cs="宋体"/>
                <w:color w:val="auto"/>
                <w:sz w:val="24"/>
                <w:highlight w:val="none"/>
                <w:lang w:val="en-US" w:eastAsia="zh-CN"/>
              </w:rPr>
              <w:t>17.5</w:t>
            </w:r>
            <w:r>
              <w:rPr>
                <w:rFonts w:hint="default" w:ascii="Times New Roman" w:hAnsi="Times New Roman" w:eastAsia="宋体" w:cs="宋体"/>
                <w:color w:val="auto"/>
                <w:sz w:val="24"/>
                <w:highlight w:val="none"/>
              </w:rPr>
              <w:t>kg/d，</w:t>
            </w:r>
            <w:r>
              <w:rPr>
                <w:rFonts w:hint="eastAsia" w:ascii="Times New Roman" w:hAnsi="Times New Roman" w:cs="宋体"/>
                <w:color w:val="auto"/>
                <w:sz w:val="24"/>
                <w:highlight w:val="none"/>
                <w:lang w:val="en-US" w:eastAsia="zh-CN"/>
              </w:rPr>
              <w:t>5.25</w:t>
            </w:r>
            <w:r>
              <w:rPr>
                <w:rFonts w:hint="eastAsia" w:ascii="Times New Roman" w:hAnsi="Times New Roman" w:eastAsia="宋体" w:cs="宋体"/>
                <w:color w:val="auto"/>
                <w:sz w:val="24"/>
                <w:highlight w:val="none"/>
                <w:lang w:val="en-US" w:eastAsia="zh-CN"/>
              </w:rPr>
              <w:t>t</w:t>
            </w:r>
            <w:r>
              <w:rPr>
                <w:rFonts w:hint="default" w:ascii="Times New Roman" w:hAnsi="Times New Roman" w:eastAsia="宋体" w:cs="宋体"/>
                <w:color w:val="auto"/>
                <w:sz w:val="24"/>
                <w:highlight w:val="none"/>
              </w:rPr>
              <w:t>/a，厂区</w:t>
            </w:r>
            <w:r>
              <w:rPr>
                <w:rFonts w:hint="eastAsia" w:ascii="Times New Roman" w:hAnsi="Times New Roman" w:cs="宋体"/>
                <w:color w:val="auto"/>
                <w:sz w:val="24"/>
                <w:highlight w:val="none"/>
                <w:lang w:eastAsia="zh-CN"/>
              </w:rPr>
              <w:t>设置若干个</w:t>
            </w:r>
            <w:r>
              <w:rPr>
                <w:rFonts w:hint="default" w:ascii="Times New Roman" w:hAnsi="Times New Roman" w:eastAsia="宋体" w:cs="宋体"/>
                <w:color w:val="auto"/>
                <w:sz w:val="24"/>
                <w:highlight w:val="none"/>
              </w:rPr>
              <w:t>垃圾桶，用于收集生活垃圾，收集后运至附近垃圾收集点由环卫部门统一清运处置。</w:t>
            </w:r>
            <w:r>
              <w:rPr>
                <w:rFonts w:hint="eastAsia" w:ascii="Times New Roman" w:hAnsi="Times New Roman" w:eastAsia="宋体" w:cs="Times New Roman"/>
                <w:b w:val="0"/>
                <w:bCs w:val="0"/>
                <w:color w:val="auto"/>
                <w:sz w:val="24"/>
                <w:highlight w:val="none"/>
                <w:lang w:val="en-US" w:eastAsia="zh-CN"/>
              </w:rPr>
              <w:t>根据《固体废物分类与代码目录》（生态环境部2024年4号），生活垃圾属于SW64其他垃圾中以上之外的生活垃圾，废物代码为900-099-S64。</w:t>
            </w:r>
          </w:p>
          <w:p w14:paraId="34DA511B">
            <w:pPr>
              <w:pStyle w:val="70"/>
              <w:ind w:firstLine="480"/>
              <w:rPr>
                <w:rFonts w:hint="default" w:ascii="Times New Roman" w:hAnsi="Times New Roman" w:eastAsia="宋体" w:cs="宋体"/>
                <w:color w:val="auto"/>
                <w:sz w:val="24"/>
                <w:highlight w:val="none"/>
                <w:lang w:val="en-US" w:eastAsia="zh-CN"/>
              </w:rPr>
            </w:pPr>
            <w:r>
              <w:rPr>
                <w:rFonts w:hint="eastAsia" w:ascii="Times New Roman" w:hAnsi="Times New Roman" w:cs="宋体"/>
                <w:color w:val="auto"/>
                <w:sz w:val="24"/>
                <w:highlight w:val="none"/>
                <w:lang w:val="en-US" w:eastAsia="zh-CN"/>
              </w:rPr>
              <w:t>②化粪池污泥</w:t>
            </w:r>
          </w:p>
          <w:p w14:paraId="3AC2EDA5">
            <w:pPr>
              <w:pStyle w:val="70"/>
              <w:ind w:firstLine="480"/>
              <w:rPr>
                <w:rFonts w:hint="default" w:ascii="Times New Roman" w:hAnsi="Times New Roman" w:eastAsia="宋体" w:cs="宋体"/>
                <w:color w:val="auto"/>
                <w:sz w:val="24"/>
                <w:highlight w:val="none"/>
                <w:lang w:val="en-US"/>
              </w:rPr>
            </w:pPr>
            <w:r>
              <w:rPr>
                <w:rFonts w:hint="eastAsia" w:ascii="Times New Roman" w:hAnsi="Times New Roman"/>
                <w:color w:val="auto"/>
                <w:sz w:val="24"/>
                <w:szCs w:val="24"/>
                <w:highlight w:val="none"/>
                <w:lang w:val="en-US" w:eastAsia="zh-CN"/>
              </w:rPr>
              <w:t>项目食堂废水通过隔油池处理后，与其他生活污水一起进入化粪池处理，最后</w:t>
            </w:r>
            <w:r>
              <w:rPr>
                <w:rFonts w:hint="eastAsia" w:ascii="Times New Roman" w:hAnsi="Times New Roman" w:eastAsia="宋体" w:cs="宋体"/>
                <w:color w:val="auto"/>
                <w:sz w:val="24"/>
                <w:highlight w:val="none"/>
                <w:lang w:val="en-US" w:eastAsia="zh-CN"/>
              </w:rPr>
              <w:t>进入新建的污水处理站</w:t>
            </w:r>
            <w:r>
              <w:rPr>
                <w:rFonts w:hint="eastAsia" w:ascii="Times New Roman" w:hAnsi="Times New Roman" w:cs="宋体"/>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处理达</w:t>
            </w:r>
            <w:r>
              <w:rPr>
                <w:rFonts w:hint="eastAsia" w:ascii="Times New Roman" w:hAnsi="Times New Roman" w:eastAsia="宋体" w:cs="Times New Roman"/>
                <w:color w:val="auto"/>
                <w:sz w:val="24"/>
                <w:szCs w:val="24"/>
                <w:highlight w:val="none"/>
                <w:lang w:val="en-US" w:eastAsia="zh-CN"/>
              </w:rPr>
              <w:t>到</w:t>
            </w:r>
            <w:r>
              <w:rPr>
                <w:rFonts w:hint="default" w:ascii="Times New Roman" w:hAnsi="Times New Roman" w:eastAsia="宋体" w:cs="Times New Roman"/>
                <w:color w:val="auto"/>
                <w:sz w:val="24"/>
                <w:szCs w:val="24"/>
                <w:highlight w:val="none"/>
                <w:lang w:val="en-US" w:eastAsia="zh-CN"/>
              </w:rPr>
              <w:t>《城市污水再生利用城市杂用水水质》（GB/T18920-2020）中的城市绿化标准后，回用于厂区绿化</w:t>
            </w:r>
            <w:r>
              <w:rPr>
                <w:rFonts w:hint="eastAsia" w:ascii="Times New Roman" w:hAnsi="Times New Roman" w:eastAsia="宋体"/>
                <w:color w:val="auto"/>
                <w:highlight w:val="none"/>
                <w:lang w:eastAsia="zh-CN"/>
              </w:rPr>
              <w:t>。</w:t>
            </w:r>
            <w:r>
              <w:rPr>
                <w:rFonts w:hint="default" w:ascii="Times New Roman" w:hAnsi="Times New Roman" w:eastAsia="宋体" w:cs="宋体"/>
                <w:color w:val="auto"/>
                <w:sz w:val="24"/>
                <w:highlight w:val="none"/>
              </w:rPr>
              <w:t>化粪池污泥委托环卫部门清掏处置。</w:t>
            </w:r>
            <w:r>
              <w:rPr>
                <w:rFonts w:hint="default" w:ascii="Times New Roman" w:hAnsi="Times New Roman" w:cs="Times New Roman"/>
                <w:b w:val="0"/>
                <w:bCs/>
                <w:color w:val="auto"/>
                <w:sz w:val="24"/>
                <w:szCs w:val="24"/>
                <w:highlight w:val="none"/>
              </w:rPr>
              <w:t>根据《建筑给水排水设计规范》（GB50015-20</w:t>
            </w:r>
            <w:r>
              <w:rPr>
                <w:rFonts w:hint="eastAsia" w:ascii="Times New Roman" w:hAnsi="Times New Roman" w:cs="Times New Roman"/>
                <w:b w:val="0"/>
                <w:bCs/>
                <w:color w:val="auto"/>
                <w:sz w:val="24"/>
                <w:szCs w:val="24"/>
                <w:highlight w:val="none"/>
                <w:lang w:val="en-US" w:eastAsia="zh-CN"/>
              </w:rPr>
              <w:t>19</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eastAsia="zh-CN"/>
              </w:rPr>
              <w:t>，</w:t>
            </w:r>
            <w:r>
              <w:rPr>
                <w:rFonts w:hint="eastAsia" w:ascii="Times New Roman" w:hAnsi="Times New Roman" w:cs="Times New Roman"/>
                <w:b w:val="0"/>
                <w:bCs/>
                <w:color w:val="auto"/>
                <w:sz w:val="24"/>
                <w:szCs w:val="24"/>
                <w:highlight w:val="none"/>
                <w:lang w:val="en-US" w:eastAsia="zh-CN"/>
              </w:rPr>
              <w:t>化粪池污泥产生量为0.7L/人·d，项目劳动定员35人，</w:t>
            </w:r>
            <w:r>
              <w:rPr>
                <w:rFonts w:hint="default" w:ascii="Times New Roman" w:hAnsi="Times New Roman" w:eastAsia="宋体" w:cs="Times New Roman"/>
                <w:b w:val="0"/>
                <w:bCs w:val="0"/>
                <w:color w:val="auto"/>
                <w:kern w:val="0"/>
                <w:sz w:val="24"/>
                <w:szCs w:val="24"/>
                <w:highlight w:val="none"/>
                <w:lang w:val="en-US" w:eastAsia="zh-CN" w:bidi="ar"/>
              </w:rPr>
              <w:t>污泥产生量约</w:t>
            </w:r>
            <w:r>
              <w:rPr>
                <w:rFonts w:hint="eastAsia" w:ascii="Times New Roman" w:hAnsi="Times New Roman" w:eastAsia="宋体" w:cs="Times New Roman"/>
                <w:b w:val="0"/>
                <w:bCs w:val="0"/>
                <w:color w:val="auto"/>
                <w:kern w:val="0"/>
                <w:sz w:val="24"/>
                <w:szCs w:val="24"/>
                <w:highlight w:val="none"/>
                <w:lang w:val="en-US" w:eastAsia="zh-CN" w:bidi="ar"/>
              </w:rPr>
              <w:t>7.35</w:t>
            </w:r>
            <w:r>
              <w:rPr>
                <w:rFonts w:hint="default" w:ascii="Times New Roman" w:hAnsi="Times New Roman" w:eastAsia="宋体" w:cs="Times New Roman"/>
                <w:b w:val="0"/>
                <w:bCs w:val="0"/>
                <w:color w:val="auto"/>
                <w:kern w:val="0"/>
                <w:sz w:val="24"/>
                <w:szCs w:val="24"/>
                <w:highlight w:val="none"/>
                <w:lang w:val="en-US" w:eastAsia="zh-CN" w:bidi="ar"/>
              </w:rPr>
              <w:t>t/a</w:t>
            </w:r>
            <w:r>
              <w:rPr>
                <w:rFonts w:hint="eastAsia" w:ascii="Times New Roman" w:hAnsi="Times New Roman" w:eastAsia="宋体" w:cs="Times New Roman"/>
                <w:b w:val="0"/>
                <w:bCs w:val="0"/>
                <w:color w:val="auto"/>
                <w:kern w:val="0"/>
                <w:sz w:val="24"/>
                <w:szCs w:val="24"/>
                <w:highlight w:val="none"/>
                <w:lang w:val="en-US" w:eastAsia="zh-CN" w:bidi="ar"/>
              </w:rPr>
              <w:t>。</w:t>
            </w:r>
            <w:r>
              <w:rPr>
                <w:rFonts w:hint="eastAsia" w:ascii="Times New Roman" w:hAnsi="Times New Roman" w:eastAsia="宋体" w:cs="Times New Roman"/>
                <w:b w:val="0"/>
                <w:bCs w:val="0"/>
                <w:color w:val="auto"/>
                <w:sz w:val="24"/>
                <w:szCs w:val="24"/>
                <w:highlight w:val="none"/>
                <w:lang w:val="en-US" w:eastAsia="zh-CN"/>
              </w:rPr>
              <w:t>根据《固体废物分类与代码目录》（生态环境部</w:t>
            </w:r>
            <w:r>
              <w:rPr>
                <w:rFonts w:hint="eastAsia" w:ascii="Times New Roman" w:hAnsi="Times New Roman" w:eastAsia="宋体" w:cs="Times New Roman"/>
                <w:b w:val="0"/>
                <w:bCs w:val="0"/>
                <w:color w:val="auto"/>
                <w:sz w:val="24"/>
                <w:highlight w:val="none"/>
                <w:lang w:val="en-US" w:eastAsia="zh-CN"/>
              </w:rPr>
              <w:t>2024年4号），</w:t>
            </w:r>
            <w:r>
              <w:rPr>
                <w:rFonts w:hint="default" w:ascii="Times New Roman" w:hAnsi="Times New Roman" w:eastAsia="宋体" w:cs="Times New Roman"/>
                <w:b w:val="0"/>
                <w:bCs w:val="0"/>
                <w:color w:val="auto"/>
                <w:kern w:val="0"/>
                <w:sz w:val="24"/>
                <w:highlight w:val="none"/>
                <w:lang w:val="en-US" w:eastAsia="zh-CN" w:bidi="ar"/>
              </w:rPr>
              <w:t>化粪池污泥</w:t>
            </w:r>
            <w:r>
              <w:rPr>
                <w:rFonts w:hint="eastAsia" w:ascii="Times New Roman" w:hAnsi="Times New Roman" w:eastAsia="宋体" w:cs="Times New Roman"/>
                <w:b w:val="0"/>
                <w:bCs w:val="0"/>
                <w:color w:val="auto"/>
                <w:sz w:val="24"/>
                <w:highlight w:val="none"/>
                <w:lang w:val="en-US" w:eastAsia="zh-CN"/>
              </w:rPr>
              <w:t>属于SW64其他垃圾中清扫垃圾，环境卫生管理服务中从公共场所清扫的垃圾、化粪池污泥、厕所粪便等，废物代码为900-002-S64，</w:t>
            </w:r>
            <w:r>
              <w:rPr>
                <w:rFonts w:hint="default" w:ascii="Times New Roman" w:hAnsi="Times New Roman" w:eastAsia="宋体" w:cs="Times New Roman"/>
                <w:b w:val="0"/>
                <w:bCs w:val="0"/>
                <w:color w:val="auto"/>
                <w:kern w:val="0"/>
                <w:sz w:val="24"/>
                <w:highlight w:val="none"/>
                <w:lang w:val="en-US" w:eastAsia="zh-CN" w:bidi="ar"/>
              </w:rPr>
              <w:t>化粪池污泥定期委托</w:t>
            </w:r>
            <w:r>
              <w:rPr>
                <w:rFonts w:hint="eastAsia" w:ascii="Times New Roman" w:hAnsi="Times New Roman" w:eastAsia="宋体" w:cs="Times New Roman"/>
                <w:b w:val="0"/>
                <w:bCs w:val="0"/>
                <w:color w:val="auto"/>
                <w:kern w:val="0"/>
                <w:sz w:val="24"/>
                <w:highlight w:val="none"/>
                <w:lang w:val="en-US" w:eastAsia="zh-CN" w:bidi="ar"/>
              </w:rPr>
              <w:t>有资质</w:t>
            </w:r>
            <w:r>
              <w:rPr>
                <w:rFonts w:hint="default" w:ascii="Times New Roman" w:hAnsi="Times New Roman" w:eastAsia="宋体" w:cs="Times New Roman"/>
                <w:b w:val="0"/>
                <w:bCs w:val="0"/>
                <w:color w:val="auto"/>
                <w:kern w:val="0"/>
                <w:sz w:val="24"/>
                <w:highlight w:val="none"/>
                <w:lang w:val="en-US" w:eastAsia="zh-CN" w:bidi="ar"/>
              </w:rPr>
              <w:t>环卫</w:t>
            </w:r>
            <w:r>
              <w:rPr>
                <w:rFonts w:hint="eastAsia" w:ascii="Times New Roman" w:hAnsi="Times New Roman" w:eastAsia="宋体" w:cs="Times New Roman"/>
                <w:b w:val="0"/>
                <w:bCs w:val="0"/>
                <w:color w:val="auto"/>
                <w:kern w:val="0"/>
                <w:sz w:val="24"/>
                <w:highlight w:val="none"/>
                <w:lang w:val="en-US" w:eastAsia="zh-CN" w:bidi="ar"/>
              </w:rPr>
              <w:t>公司</w:t>
            </w:r>
            <w:r>
              <w:rPr>
                <w:rFonts w:hint="default" w:ascii="Times New Roman" w:hAnsi="Times New Roman" w:eastAsia="宋体" w:cs="Times New Roman"/>
                <w:b w:val="0"/>
                <w:bCs w:val="0"/>
                <w:color w:val="auto"/>
                <w:kern w:val="0"/>
                <w:sz w:val="24"/>
                <w:highlight w:val="none"/>
                <w:lang w:val="en-US" w:eastAsia="zh-CN" w:bidi="ar"/>
              </w:rPr>
              <w:t>清掏</w:t>
            </w:r>
            <w:r>
              <w:rPr>
                <w:rFonts w:hint="eastAsia" w:ascii="Times New Roman" w:hAnsi="Times New Roman" w:eastAsia="宋体" w:cs="Times New Roman"/>
                <w:b w:val="0"/>
                <w:bCs w:val="0"/>
                <w:color w:val="auto"/>
                <w:kern w:val="0"/>
                <w:sz w:val="24"/>
                <w:highlight w:val="none"/>
                <w:lang w:val="en-US" w:eastAsia="zh-CN" w:bidi="ar"/>
              </w:rPr>
              <w:t>、</w:t>
            </w:r>
            <w:r>
              <w:rPr>
                <w:rFonts w:hint="default" w:ascii="Times New Roman" w:hAnsi="Times New Roman" w:eastAsia="宋体" w:cs="Times New Roman"/>
                <w:b w:val="0"/>
                <w:bCs w:val="0"/>
                <w:color w:val="auto"/>
                <w:kern w:val="0"/>
                <w:sz w:val="24"/>
                <w:highlight w:val="none"/>
                <w:lang w:val="en-US" w:eastAsia="zh-CN" w:bidi="ar"/>
              </w:rPr>
              <w:t>清运处置</w:t>
            </w:r>
            <w:r>
              <w:rPr>
                <w:rFonts w:hint="eastAsia" w:ascii="Times New Roman" w:hAnsi="Times New Roman" w:eastAsia="宋体" w:cs="Times New Roman"/>
                <w:b w:val="0"/>
                <w:bCs w:val="0"/>
                <w:color w:val="auto"/>
                <w:kern w:val="0"/>
                <w:sz w:val="24"/>
                <w:highlight w:val="none"/>
                <w:lang w:val="en-US" w:eastAsia="zh-CN" w:bidi="ar"/>
              </w:rPr>
              <w:t>。</w:t>
            </w:r>
          </w:p>
          <w:p w14:paraId="3647848C">
            <w:pPr>
              <w:pStyle w:val="70"/>
              <w:ind w:firstLine="480"/>
              <w:rPr>
                <w:rFonts w:hint="default" w:ascii="Times New Roman" w:hAnsi="Times New Roman" w:eastAsia="宋体" w:cs="宋体"/>
                <w:color w:val="auto"/>
                <w:sz w:val="24"/>
                <w:highlight w:val="none"/>
                <w:lang w:val="en-US" w:eastAsia="zh-CN"/>
              </w:rPr>
            </w:pPr>
            <w:r>
              <w:rPr>
                <w:rFonts w:hint="eastAsia" w:ascii="Times New Roman" w:hAnsi="Times New Roman" w:cs="宋体"/>
                <w:color w:val="auto"/>
                <w:sz w:val="24"/>
                <w:highlight w:val="none"/>
                <w:lang w:val="en-US" w:eastAsia="zh-CN"/>
              </w:rPr>
              <w:t>③食堂隔油池废油脂</w:t>
            </w:r>
          </w:p>
          <w:p w14:paraId="2B8CC06E">
            <w:pPr>
              <w:pStyle w:val="70"/>
              <w:ind w:firstLine="480"/>
              <w:rPr>
                <w:rFonts w:hint="default" w:ascii="Times New Roman" w:hAnsi="Times New Roman" w:eastAsia="宋体" w:cs="宋体"/>
                <w:color w:val="auto"/>
                <w:sz w:val="24"/>
                <w:highlight w:val="none"/>
              </w:rPr>
            </w:pPr>
            <w:r>
              <w:rPr>
                <w:rFonts w:ascii="Times New Roman" w:hAnsi="Times New Roman" w:cs="Times New Roman"/>
                <w:color w:val="auto"/>
                <w:szCs w:val="21"/>
                <w:highlight w:val="none"/>
                <w:lang w:val="zh-CN"/>
              </w:rPr>
              <w:t>食堂设置</w:t>
            </w:r>
            <w:r>
              <w:rPr>
                <w:rFonts w:hint="eastAsia" w:ascii="Times New Roman" w:hAnsi="Times New Roman" w:cs="Times New Roman"/>
                <w:color w:val="auto"/>
                <w:szCs w:val="21"/>
                <w:highlight w:val="none"/>
                <w:lang w:val="en-US" w:eastAsia="zh-CN"/>
              </w:rPr>
              <w:t>隔油池</w:t>
            </w:r>
            <w:r>
              <w:rPr>
                <w:rFonts w:ascii="Times New Roman" w:hAnsi="Times New Roman" w:cs="Times New Roman"/>
                <w:color w:val="auto"/>
                <w:szCs w:val="21"/>
                <w:highlight w:val="none"/>
                <w:lang w:val="zh-CN"/>
              </w:rPr>
              <w:t>对含油废水进行隔油预处理，运营中会产生废油脂。</w:t>
            </w:r>
            <w:r>
              <w:rPr>
                <w:rFonts w:hint="eastAsia" w:ascii="Times New Roman" w:hAnsi="Times New Roman" w:cs="Times New Roman"/>
                <w:color w:val="auto"/>
                <w:szCs w:val="21"/>
                <w:highlight w:val="none"/>
                <w:lang w:val="en-US" w:eastAsia="zh-CN"/>
              </w:rPr>
              <w:t>隔油池</w:t>
            </w:r>
            <w:r>
              <w:rPr>
                <w:rFonts w:ascii="Times New Roman" w:hAnsi="Times New Roman" w:cs="Times New Roman"/>
                <w:color w:val="auto"/>
                <w:szCs w:val="21"/>
                <w:highlight w:val="none"/>
                <w:lang w:val="zh-CN"/>
              </w:rPr>
              <w:t>预处理污水量</w:t>
            </w:r>
            <w:r>
              <w:rPr>
                <w:rFonts w:hint="eastAsia" w:ascii="Times New Roman" w:hAnsi="Times New Roman" w:cs="Times New Roman"/>
                <w:color w:val="auto"/>
                <w:szCs w:val="21"/>
                <w:highlight w:val="none"/>
                <w:lang w:val="en-US" w:eastAsia="zh-CN"/>
              </w:rPr>
              <w:t>1.12t</w:t>
            </w:r>
            <w:r>
              <w:rPr>
                <w:rFonts w:ascii="Times New Roman" w:hAnsi="Times New Roman" w:cs="Times New Roman"/>
                <w:color w:val="auto"/>
                <w:szCs w:val="21"/>
                <w:highlight w:val="none"/>
                <w:lang w:val="zh-CN"/>
              </w:rPr>
              <w:t>/d，</w:t>
            </w:r>
            <w:r>
              <w:rPr>
                <w:rFonts w:hint="eastAsia" w:ascii="Times New Roman" w:hAnsi="Times New Roman" w:cs="Times New Roman"/>
                <w:color w:val="auto"/>
                <w:szCs w:val="21"/>
                <w:highlight w:val="none"/>
                <w:lang w:val="en-US" w:eastAsia="zh-CN"/>
              </w:rPr>
              <w:t>336t</w:t>
            </w:r>
            <w:r>
              <w:rPr>
                <w:rFonts w:ascii="Times New Roman" w:hAnsi="Times New Roman" w:cs="Times New Roman"/>
                <w:color w:val="auto"/>
                <w:szCs w:val="21"/>
                <w:highlight w:val="none"/>
                <w:lang w:val="zh-CN"/>
              </w:rPr>
              <w:t>/a，</w:t>
            </w:r>
            <w:r>
              <w:rPr>
                <w:rFonts w:hint="eastAsia" w:ascii="Times New Roman" w:hAnsi="Times New Roman" w:cs="Times New Roman"/>
                <w:color w:val="auto"/>
                <w:szCs w:val="21"/>
                <w:highlight w:val="none"/>
                <w:lang w:val="en-US" w:eastAsia="zh-CN"/>
              </w:rPr>
              <w:t>油水分离器</w:t>
            </w:r>
            <w:r>
              <w:rPr>
                <w:rFonts w:ascii="Times New Roman" w:hAnsi="Times New Roman" w:cs="Times New Roman"/>
                <w:color w:val="auto"/>
                <w:szCs w:val="21"/>
                <w:highlight w:val="none"/>
                <w:lang w:val="zh-CN"/>
              </w:rPr>
              <w:t>进水含动植物油浓度为200mg/L，动植物油去除效率约为</w:t>
            </w:r>
            <w:r>
              <w:rPr>
                <w:rFonts w:ascii="Times New Roman" w:hAnsi="Times New Roman" w:cs="Times New Roman"/>
                <w:color w:val="auto"/>
                <w:szCs w:val="21"/>
                <w:highlight w:val="none"/>
              </w:rPr>
              <w:t>9</w:t>
            </w:r>
            <w:r>
              <w:rPr>
                <w:rFonts w:ascii="Times New Roman" w:hAnsi="Times New Roman" w:cs="Times New Roman"/>
                <w:color w:val="auto"/>
                <w:szCs w:val="21"/>
                <w:highlight w:val="none"/>
                <w:lang w:val="zh-CN"/>
              </w:rPr>
              <w:t>0%，则本项目</w:t>
            </w:r>
            <w:r>
              <w:rPr>
                <w:rFonts w:hint="eastAsia" w:ascii="Times New Roman" w:hAnsi="Times New Roman" w:cs="Times New Roman"/>
                <w:color w:val="auto"/>
                <w:szCs w:val="21"/>
                <w:highlight w:val="none"/>
                <w:lang w:val="en-US" w:eastAsia="zh-CN"/>
              </w:rPr>
              <w:t>油水分离器废油脂</w:t>
            </w:r>
            <w:r>
              <w:rPr>
                <w:rFonts w:ascii="Times New Roman" w:hAnsi="Times New Roman" w:cs="Times New Roman"/>
                <w:color w:val="auto"/>
                <w:szCs w:val="21"/>
                <w:highlight w:val="none"/>
                <w:lang w:val="zh-CN"/>
              </w:rPr>
              <w:t>产生量约为</w:t>
            </w:r>
            <w:r>
              <w:rPr>
                <w:rFonts w:ascii="Times New Roman" w:hAnsi="Times New Roman" w:cs="Times New Roman"/>
                <w:color w:val="auto"/>
                <w:szCs w:val="21"/>
                <w:highlight w:val="none"/>
              </w:rPr>
              <w:t>0.</w:t>
            </w:r>
            <w:r>
              <w:rPr>
                <w:rFonts w:hint="eastAsia" w:ascii="Times New Roman" w:hAnsi="Times New Roman" w:cs="Times New Roman"/>
                <w:color w:val="auto"/>
                <w:szCs w:val="21"/>
                <w:highlight w:val="none"/>
                <w:lang w:val="en-US" w:eastAsia="zh-CN"/>
              </w:rPr>
              <w:t>2016</w:t>
            </w:r>
            <w:r>
              <w:rPr>
                <w:rFonts w:ascii="Times New Roman" w:hAnsi="Times New Roman" w:cs="Times New Roman"/>
                <w:color w:val="auto"/>
                <w:szCs w:val="21"/>
                <w:highlight w:val="none"/>
                <w:lang w:val="zh-CN"/>
              </w:rPr>
              <w:t>kg/d，</w:t>
            </w:r>
            <w:r>
              <w:rPr>
                <w:rFonts w:ascii="Times New Roman" w:hAnsi="Times New Roman" w:cs="Times New Roman"/>
                <w:color w:val="auto"/>
                <w:szCs w:val="21"/>
                <w:highlight w:val="none"/>
              </w:rPr>
              <w:t>0.</w:t>
            </w:r>
            <w:r>
              <w:rPr>
                <w:rFonts w:hint="eastAsia" w:ascii="Times New Roman" w:hAnsi="Times New Roman" w:cs="Times New Roman"/>
                <w:color w:val="auto"/>
                <w:szCs w:val="21"/>
                <w:highlight w:val="none"/>
                <w:lang w:val="en-US" w:eastAsia="zh-CN"/>
              </w:rPr>
              <w:t>0605</w:t>
            </w:r>
            <w:r>
              <w:rPr>
                <w:rFonts w:ascii="Times New Roman" w:hAnsi="Times New Roman" w:cs="Times New Roman"/>
                <w:color w:val="auto"/>
                <w:szCs w:val="21"/>
                <w:highlight w:val="none"/>
                <w:lang w:val="zh-CN"/>
              </w:rPr>
              <w:t>/a。环评提出项目</w:t>
            </w:r>
            <w:r>
              <w:rPr>
                <w:rFonts w:hint="eastAsia" w:ascii="Times New Roman" w:hAnsi="Times New Roman" w:cs="Times New Roman"/>
                <w:color w:val="auto"/>
                <w:szCs w:val="21"/>
                <w:highlight w:val="none"/>
                <w:lang w:val="en-US" w:eastAsia="zh-CN"/>
              </w:rPr>
              <w:t>隔油池</w:t>
            </w:r>
            <w:r>
              <w:rPr>
                <w:rFonts w:ascii="Times New Roman" w:hAnsi="Times New Roman" w:cs="Times New Roman"/>
                <w:color w:val="auto"/>
                <w:szCs w:val="21"/>
                <w:highlight w:val="none"/>
                <w:lang w:val="zh-CN"/>
              </w:rPr>
              <w:t>应定期</w:t>
            </w:r>
            <w:r>
              <w:rPr>
                <w:rFonts w:hint="eastAsia" w:ascii="Times New Roman" w:hAnsi="Times New Roman" w:cs="Times New Roman"/>
                <w:color w:val="auto"/>
                <w:szCs w:val="21"/>
                <w:highlight w:val="none"/>
                <w:lang w:val="en-US" w:eastAsia="zh-CN"/>
              </w:rPr>
              <w:t>清理废油脂</w:t>
            </w:r>
            <w:r>
              <w:rPr>
                <w:rFonts w:ascii="Times New Roman" w:hAnsi="Times New Roman" w:cs="Times New Roman"/>
                <w:color w:val="auto"/>
                <w:szCs w:val="21"/>
                <w:highlight w:val="none"/>
                <w:lang w:val="zh-CN"/>
              </w:rPr>
              <w:t>，同时设置</w:t>
            </w:r>
            <w:r>
              <w:rPr>
                <w:rFonts w:ascii="Times New Roman" w:hAnsi="Times New Roman" w:cs="Times New Roman"/>
                <w:color w:val="auto"/>
                <w:szCs w:val="21"/>
                <w:highlight w:val="none"/>
              </w:rPr>
              <w:t>2</w:t>
            </w:r>
            <w:r>
              <w:rPr>
                <w:rFonts w:hint="eastAsia" w:ascii="Times New Roman" w:hAnsi="Times New Roman" w:cs="Times New Roman"/>
                <w:color w:val="auto"/>
                <w:szCs w:val="21"/>
                <w:highlight w:val="none"/>
                <w:lang w:val="en-US" w:eastAsia="zh-CN"/>
              </w:rPr>
              <w:t>个</w:t>
            </w:r>
            <w:r>
              <w:rPr>
                <w:rFonts w:ascii="Times New Roman" w:hAnsi="Times New Roman" w:cs="Times New Roman"/>
                <w:color w:val="auto"/>
                <w:szCs w:val="21"/>
                <w:highlight w:val="none"/>
              </w:rPr>
              <w:t>容积为20L的</w:t>
            </w:r>
            <w:r>
              <w:rPr>
                <w:rFonts w:ascii="Times New Roman" w:hAnsi="Times New Roman" w:cs="Times New Roman"/>
                <w:color w:val="auto"/>
                <w:szCs w:val="21"/>
                <w:highlight w:val="none"/>
                <w:lang w:val="zh-CN"/>
              </w:rPr>
              <w:t>收集桶将废油脂统一收集后委托有资质单位进行处置</w:t>
            </w:r>
            <w:r>
              <w:rPr>
                <w:rFonts w:hint="eastAsia" w:ascii="Times New Roman" w:hAnsi="Times New Roman" w:cs="Times New Roman"/>
                <w:color w:val="auto"/>
                <w:szCs w:val="21"/>
                <w:highlight w:val="none"/>
                <w:lang w:val="zh-CN"/>
              </w:rPr>
              <w:t>。</w:t>
            </w:r>
            <w:r>
              <w:rPr>
                <w:rFonts w:hint="eastAsia" w:ascii="Times New Roman" w:hAnsi="Times New Roman" w:eastAsia="宋体" w:cs="Times New Roman"/>
                <w:b w:val="0"/>
                <w:bCs w:val="0"/>
                <w:color w:val="auto"/>
                <w:sz w:val="24"/>
                <w:highlight w:val="none"/>
                <w:lang w:val="en-US" w:eastAsia="zh-CN"/>
              </w:rPr>
              <w:t>根据《固体废物分类与代码目录》（生态环境部2024年4号），生活垃圾属于SW61厨余垃圾，废物代码为900-002-S61。</w:t>
            </w:r>
          </w:p>
          <w:p w14:paraId="7348D490">
            <w:pPr>
              <w:pStyle w:val="70"/>
              <w:ind w:firstLine="480"/>
              <w:rPr>
                <w:rFonts w:hint="default" w:ascii="Times New Roman" w:hAnsi="Times New Roman" w:eastAsia="宋体" w:cs="宋体"/>
                <w:b/>
                <w:bCs/>
                <w:color w:val="auto"/>
                <w:sz w:val="24"/>
                <w:highlight w:val="none"/>
              </w:rPr>
            </w:pPr>
            <w:r>
              <w:rPr>
                <w:rFonts w:hint="default" w:ascii="Times New Roman" w:hAnsi="Times New Roman" w:eastAsia="宋体" w:cs="宋体"/>
                <w:b/>
                <w:bCs/>
                <w:color w:val="auto"/>
                <w:sz w:val="24"/>
                <w:highlight w:val="none"/>
                <w:lang w:val="en-US" w:eastAsia="zh-CN"/>
              </w:rPr>
              <w:t>2）</w:t>
            </w:r>
            <w:r>
              <w:rPr>
                <w:rFonts w:hint="default" w:ascii="Times New Roman" w:hAnsi="Times New Roman" w:eastAsia="宋体" w:cs="宋体"/>
                <w:b/>
                <w:bCs/>
                <w:color w:val="auto"/>
                <w:sz w:val="24"/>
                <w:highlight w:val="none"/>
                <w:lang w:eastAsia="zh-CN"/>
              </w:rPr>
              <w:t>一般固废</w:t>
            </w:r>
          </w:p>
          <w:p w14:paraId="1AFE80A6">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w:t>
            </w:r>
            <w:r>
              <w:rPr>
                <w:rFonts w:hint="eastAsia" w:ascii="Times New Roman" w:hAnsi="Times New Roman" w:eastAsia="宋体" w:cs="Times New Roman"/>
                <w:bCs/>
                <w:color w:val="auto"/>
                <w:sz w:val="24"/>
                <w:highlight w:val="none"/>
                <w:lang w:val="en-US" w:eastAsia="zh-CN"/>
              </w:rPr>
              <w:t>铁矿石破碎筛分</w:t>
            </w:r>
            <w:r>
              <w:rPr>
                <w:rFonts w:hint="default" w:ascii="Times New Roman" w:hAnsi="Times New Roman" w:eastAsia="宋体" w:cs="Times New Roman"/>
                <w:bCs/>
                <w:color w:val="auto"/>
                <w:sz w:val="24"/>
                <w:highlight w:val="none"/>
                <w:lang w:val="en-US" w:eastAsia="zh-CN"/>
              </w:rPr>
              <w:t>过程中收集的收尘灰主要成分为铁</w:t>
            </w:r>
            <w:r>
              <w:rPr>
                <w:rFonts w:hint="eastAsia" w:ascii="Times New Roman" w:hAnsi="Times New Roman" w:eastAsia="宋体" w:cs="Times New Roman"/>
                <w:bCs/>
                <w:color w:val="auto"/>
                <w:sz w:val="24"/>
                <w:highlight w:val="none"/>
                <w:lang w:val="en-US" w:eastAsia="zh-CN"/>
              </w:rPr>
              <w:t>矿石粉</w:t>
            </w:r>
            <w:r>
              <w:rPr>
                <w:rFonts w:hint="default" w:ascii="Times New Roman" w:hAnsi="Times New Roman" w:eastAsia="宋体" w:cs="Times New Roman"/>
                <w:bCs/>
                <w:color w:val="auto"/>
                <w:sz w:val="24"/>
                <w:highlight w:val="none"/>
                <w:lang w:val="en-US" w:eastAsia="zh-CN"/>
              </w:rPr>
              <w:t>，根据上述废气计算，颗粒物产生量为</w:t>
            </w:r>
            <w:r>
              <w:rPr>
                <w:rFonts w:hint="eastAsia" w:cs="Times New Roman"/>
                <w:bCs/>
                <w:color w:val="auto"/>
                <w:sz w:val="24"/>
                <w:highlight w:val="none"/>
                <w:lang w:val="en-US" w:eastAsia="zh-CN"/>
              </w:rPr>
              <w:t>892.8</w:t>
            </w:r>
            <w:r>
              <w:rPr>
                <w:rFonts w:hint="default" w:ascii="Times New Roman" w:hAnsi="Times New Roman" w:eastAsia="宋体" w:cs="Times New Roman"/>
                <w:bCs/>
                <w:color w:val="auto"/>
                <w:sz w:val="24"/>
                <w:highlight w:val="none"/>
                <w:lang w:val="en-US" w:eastAsia="zh-CN"/>
              </w:rPr>
              <w:t>t/a，</w:t>
            </w:r>
            <w:r>
              <w:rPr>
                <w:rFonts w:hint="eastAsia" w:ascii="Times New Roman" w:hAnsi="Times New Roman" w:eastAsia="宋体" w:cs="Times New Roman"/>
                <w:bCs/>
                <w:color w:val="auto"/>
                <w:sz w:val="24"/>
                <w:highlight w:val="none"/>
                <w:lang w:val="en-US" w:eastAsia="zh-CN"/>
              </w:rPr>
              <w:t>集气罩</w:t>
            </w:r>
            <w:r>
              <w:rPr>
                <w:rFonts w:hint="default" w:ascii="Times New Roman" w:hAnsi="Times New Roman" w:eastAsia="宋体" w:cs="Times New Roman"/>
                <w:bCs/>
                <w:color w:val="auto"/>
                <w:sz w:val="24"/>
                <w:highlight w:val="none"/>
                <w:lang w:val="en-US" w:eastAsia="zh-CN"/>
              </w:rPr>
              <w:t>收集率为</w:t>
            </w:r>
            <w:r>
              <w:rPr>
                <w:rFonts w:hint="eastAsia" w:ascii="Times New Roman" w:hAnsi="Times New Roman" w:eastAsia="宋体" w:cs="Times New Roman"/>
                <w:bCs/>
                <w:color w:val="auto"/>
                <w:sz w:val="24"/>
                <w:highlight w:val="none"/>
                <w:lang w:val="en-US" w:eastAsia="zh-CN"/>
              </w:rPr>
              <w:t>90</w:t>
            </w:r>
            <w:r>
              <w:rPr>
                <w:rFonts w:hint="default" w:ascii="Times New Roman" w:hAnsi="Times New Roman" w:eastAsia="宋体" w:cs="Times New Roman"/>
                <w:bCs/>
                <w:color w:val="auto"/>
                <w:sz w:val="24"/>
                <w:highlight w:val="none"/>
                <w:lang w:val="en-US" w:eastAsia="zh-CN"/>
              </w:rPr>
              <w:t>%，除尘器除尘效率为99%，则收尘灰产生量约为</w:t>
            </w:r>
            <w:r>
              <w:rPr>
                <w:rFonts w:hint="eastAsia" w:cs="Times New Roman"/>
                <w:bCs/>
                <w:color w:val="auto"/>
                <w:sz w:val="24"/>
                <w:highlight w:val="none"/>
                <w:lang w:val="en-US" w:eastAsia="zh-CN"/>
              </w:rPr>
              <w:t>883.872</w:t>
            </w:r>
            <w:r>
              <w:rPr>
                <w:rFonts w:hint="default" w:ascii="Times New Roman" w:hAnsi="Times New Roman" w:eastAsia="宋体" w:cs="Times New Roman"/>
                <w:bCs/>
                <w:color w:val="auto"/>
                <w:sz w:val="24"/>
                <w:highlight w:val="none"/>
                <w:lang w:val="en-US" w:eastAsia="zh-CN"/>
              </w:rPr>
              <w:t>t/a，</w:t>
            </w:r>
            <w:r>
              <w:rPr>
                <w:rFonts w:hint="eastAsia" w:ascii="Times New Roman" w:hAnsi="Times New Roman" w:eastAsia="宋体" w:cs="Times New Roman"/>
                <w:bCs/>
                <w:color w:val="auto"/>
                <w:sz w:val="24"/>
                <w:highlight w:val="none"/>
                <w:lang w:val="en-US" w:eastAsia="zh-CN"/>
              </w:rPr>
              <w:t>不设单独储存区，</w:t>
            </w:r>
            <w:r>
              <w:rPr>
                <w:rFonts w:hint="default" w:ascii="Times New Roman" w:hAnsi="Times New Roman" w:eastAsia="宋体" w:cs="Times New Roman"/>
                <w:bCs/>
                <w:color w:val="auto"/>
                <w:sz w:val="24"/>
                <w:highlight w:val="none"/>
                <w:lang w:val="en-US" w:eastAsia="zh-CN"/>
              </w:rPr>
              <w:t>收集后</w:t>
            </w:r>
            <w:r>
              <w:rPr>
                <w:rFonts w:hint="eastAsia" w:cs="Times New Roman"/>
                <w:bCs/>
                <w:color w:val="auto"/>
                <w:sz w:val="24"/>
                <w:highlight w:val="none"/>
                <w:lang w:val="en-US" w:eastAsia="zh-CN"/>
              </w:rPr>
              <w:t>直接配入产品中</w:t>
            </w:r>
            <w:r>
              <w:rPr>
                <w:rFonts w:hint="default" w:ascii="Times New Roman" w:hAnsi="Times New Roman" w:eastAsia="宋体" w:cs="Times New Roman"/>
                <w:bCs/>
                <w:color w:val="auto"/>
                <w:sz w:val="24"/>
                <w:highlight w:val="none"/>
                <w:lang w:val="en-US" w:eastAsia="zh-CN"/>
              </w:rPr>
              <w:t>。</w:t>
            </w:r>
          </w:p>
          <w:p w14:paraId="57C493E1">
            <w:pPr>
              <w:pStyle w:val="70"/>
              <w:ind w:firstLine="480"/>
              <w:rPr>
                <w:rFonts w:hint="default" w:ascii="Times New Roman" w:hAnsi="Times New Roman" w:eastAsia="宋体" w:cs="宋体"/>
                <w:color w:val="auto"/>
                <w:sz w:val="24"/>
                <w:highlight w:val="none"/>
                <w:lang w:val="en-US" w:eastAsia="zh-CN"/>
              </w:rPr>
            </w:pPr>
            <w:r>
              <w:rPr>
                <w:rFonts w:hint="eastAsia" w:ascii="Times New Roman" w:hAnsi="Times New Roman" w:cs="宋体"/>
                <w:color w:val="auto"/>
                <w:sz w:val="24"/>
                <w:highlight w:val="none"/>
                <w:lang w:val="en-US" w:eastAsia="zh-CN"/>
              </w:rPr>
              <w:t>根据《固体废物鉴别标准 通则》（GB34330-2025）：“4.2  下列生产、生活和其他活动中满足使用用途要求，按原始用途使用的物质，不属于固体废物：4.2.1 生产企业内部通过以下方式返回原生产线作为原料使用的物质：a） 不经过贮存或堆积过程，直接返回。”，故项目除尘器收尘灰不属于固体废弃物。</w:t>
            </w:r>
          </w:p>
          <w:p w14:paraId="2398825B">
            <w:pPr>
              <w:keepNext w:val="0"/>
              <w:keepLines/>
              <w:pageBreakBefore w:val="0"/>
              <w:kinsoku/>
              <w:overflowPunct/>
              <w:bidi w:val="0"/>
              <w:adjustRightInd/>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）危险废物</w:t>
            </w:r>
          </w:p>
          <w:p w14:paraId="5F9A05D7">
            <w:pPr>
              <w:pStyle w:val="107"/>
              <w:bidi w:val="0"/>
              <w:rPr>
                <w:rFonts w:hint="default" w:ascii="Times New Roman" w:hAnsi="Times New Roman"/>
                <w:b/>
                <w:bCs/>
                <w:color w:val="auto"/>
                <w:highlight w:val="none"/>
                <w:lang w:val="en-US" w:eastAsia="zh-CN"/>
              </w:rPr>
            </w:pPr>
            <w:r>
              <w:rPr>
                <w:rFonts w:hint="eastAsia" w:ascii="Times New Roman" w:hAnsi="Times New Roman" w:eastAsia="宋体" w:cs="Times New Roman"/>
                <w:b/>
                <w:bCs/>
                <w:color w:val="auto"/>
                <w:sz w:val="24"/>
                <w:highlight w:val="none"/>
                <w:lang w:val="en-US" w:eastAsia="zh-CN"/>
              </w:rPr>
              <w:t>①废润滑油</w:t>
            </w:r>
          </w:p>
          <w:p w14:paraId="63DB7F40">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废润滑油产生于设备电机保养维修产生，产生量约0.2t/a。根据《国家危险废物名录（2025年版）》，废润滑油属于HW08 废矿物油和含矿物油废物中非特定行业900-217-08使用工业齿轮油进行机械设备润滑过程中产生的废润滑油；废物特性为T，I。废润滑油采用桶收集后暂存在危废间，定期委托有危废资质的单位转运处置。</w:t>
            </w:r>
          </w:p>
          <w:p w14:paraId="1FF82B05">
            <w:pPr>
              <w:keepNext w:val="0"/>
              <w:keepLines w:val="0"/>
              <w:pageBreakBefore w:val="0"/>
              <w:widowControl w:val="0"/>
              <w:kinsoku/>
              <w:wordWrap/>
              <w:overflowPunct/>
              <w:topLinePunct/>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②</w:t>
            </w:r>
            <w:r>
              <w:rPr>
                <w:rFonts w:hint="eastAsia" w:ascii="Times New Roman" w:hAnsi="Times New Roman" w:eastAsia="宋体" w:cs="Times New Roman"/>
                <w:b/>
                <w:bCs/>
                <w:color w:val="auto"/>
                <w:sz w:val="24"/>
                <w:highlight w:val="none"/>
                <w:lang w:val="en-US" w:eastAsia="zh-CN"/>
              </w:rPr>
              <w:t>废润滑油桶</w:t>
            </w:r>
          </w:p>
          <w:p w14:paraId="5918127B">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设备维修保养使用完的润滑油会产生少量润滑油桶，</w:t>
            </w:r>
            <w:r>
              <w:rPr>
                <w:rFonts w:hint="eastAsia" w:ascii="Times New Roman" w:hAnsi="Times New Roman" w:eastAsia="宋体" w:cs="Times New Roman"/>
                <w:color w:val="auto"/>
                <w:sz w:val="24"/>
                <w:highlight w:val="none"/>
                <w:lang w:val="en-US" w:eastAsia="zh-CN"/>
              </w:rPr>
              <w:t>产生量约0.02t/a。根据《国家危险废物名录（2025年版）》，废润滑油桶属于HW08 废矿物油和含矿物油废物中非特定行业900-249-08其他生产、销售、使用过程中产生的废矿物油或沾染矿物油的废弃包装物；废物特性为T，I。收集后暂存在危废间，定期委托有危废资质的单位转运处置。</w:t>
            </w:r>
          </w:p>
          <w:p w14:paraId="72676AE9">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综上，项目各固体废弃物均得到妥善处置，处置率为100%，对周边环境的影响可接受。本项目营运期固废汇总情况如下。</w:t>
            </w:r>
          </w:p>
          <w:p w14:paraId="1927AF5B">
            <w:pPr>
              <w:adjustRightInd w:val="0"/>
              <w:snapToGrid w:val="0"/>
              <w:spacing w:after="158" w:afterLines="50"/>
              <w:jc w:val="center"/>
              <w:rPr>
                <w:rFonts w:hint="eastAsia" w:ascii="Times New Roman" w:hAnsi="Times New Roman" w:eastAsia="宋体" w:cs="宋体"/>
                <w:b/>
                <w:bCs/>
                <w:color w:val="auto"/>
                <w:spacing w:val="4"/>
                <w:kern w:val="0"/>
                <w:sz w:val="24"/>
                <w:highlight w:val="none"/>
                <w:lang w:bidi="ar"/>
              </w:rPr>
            </w:pPr>
            <w:r>
              <w:rPr>
                <w:rFonts w:hint="eastAsia" w:ascii="Times New Roman" w:hAnsi="Times New Roman" w:eastAsia="宋体" w:cs="宋体"/>
                <w:b/>
                <w:bCs/>
                <w:color w:val="auto"/>
                <w:spacing w:val="4"/>
                <w:kern w:val="0"/>
                <w:sz w:val="24"/>
                <w:highlight w:val="none"/>
                <w:lang w:bidi="ar"/>
              </w:rPr>
              <w:t>表4.2.4-1项目一般固废产生及处置情况一览表</w:t>
            </w:r>
          </w:p>
          <w:tbl>
            <w:tblPr>
              <w:tblStyle w:val="36"/>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868"/>
              <w:gridCol w:w="1855"/>
              <w:gridCol w:w="2617"/>
            </w:tblGrid>
            <w:tr w14:paraId="51DA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D7D7D7" w:themeFill="background1" w:themeFillShade="D8"/>
                  <w:vAlign w:val="center"/>
                </w:tcPr>
                <w:p w14:paraId="59BA6E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名称</w:t>
                  </w:r>
                </w:p>
              </w:tc>
              <w:tc>
                <w:tcPr>
                  <w:tcW w:w="1868" w:type="dxa"/>
                  <w:vAlign w:val="center"/>
                </w:tcPr>
                <w:p w14:paraId="19ADD1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生活垃圾</w:t>
                  </w:r>
                </w:p>
              </w:tc>
              <w:tc>
                <w:tcPr>
                  <w:tcW w:w="1855" w:type="dxa"/>
                  <w:vAlign w:val="center"/>
                </w:tcPr>
                <w:p w14:paraId="0063FA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化粪池污泥</w:t>
                  </w:r>
                </w:p>
              </w:tc>
              <w:tc>
                <w:tcPr>
                  <w:tcW w:w="2617" w:type="dxa"/>
                  <w:vAlign w:val="center"/>
                </w:tcPr>
                <w:p w14:paraId="7B641A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eastAsia="宋体" w:cs="宋体"/>
                      <w:b w:val="0"/>
                      <w:bCs w:val="0"/>
                      <w:color w:val="auto"/>
                      <w:spacing w:val="6"/>
                      <w:kern w:val="0"/>
                      <w:sz w:val="21"/>
                      <w:highlight w:val="none"/>
                      <w:vertAlign w:val="baseline"/>
                      <w:lang w:bidi="ar"/>
                    </w:rPr>
                    <w:t>食堂</w:t>
                  </w:r>
                  <w:r>
                    <w:rPr>
                      <w:rFonts w:hint="eastAsia" w:ascii="Times New Roman" w:hAnsi="Times New Roman" w:cs="宋体"/>
                      <w:b w:val="0"/>
                      <w:bCs w:val="0"/>
                      <w:color w:val="auto"/>
                      <w:spacing w:val="6"/>
                      <w:kern w:val="0"/>
                      <w:sz w:val="21"/>
                      <w:highlight w:val="none"/>
                      <w:vertAlign w:val="baseline"/>
                      <w:lang w:val="en-US" w:eastAsia="zh-CN" w:bidi="ar"/>
                    </w:rPr>
                    <w:t>隔油池</w:t>
                  </w:r>
                  <w:r>
                    <w:rPr>
                      <w:rFonts w:hint="eastAsia" w:ascii="Times New Roman" w:hAnsi="Times New Roman" w:eastAsia="宋体" w:cs="宋体"/>
                      <w:b w:val="0"/>
                      <w:bCs w:val="0"/>
                      <w:color w:val="auto"/>
                      <w:spacing w:val="6"/>
                      <w:kern w:val="0"/>
                      <w:sz w:val="21"/>
                      <w:highlight w:val="none"/>
                      <w:vertAlign w:val="baseline"/>
                      <w:lang w:bidi="ar"/>
                    </w:rPr>
                    <w:t>废油脂</w:t>
                  </w:r>
                </w:p>
              </w:tc>
            </w:tr>
            <w:tr w14:paraId="7388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D7D7D7" w:themeFill="background1" w:themeFillShade="D8"/>
                  <w:vAlign w:val="center"/>
                </w:tcPr>
                <w:p w14:paraId="0DAA12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产生环节</w:t>
                  </w:r>
                </w:p>
              </w:tc>
              <w:tc>
                <w:tcPr>
                  <w:tcW w:w="1868" w:type="dxa"/>
                  <w:vAlign w:val="center"/>
                </w:tcPr>
                <w:p w14:paraId="7776EF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员工生活</w:t>
                  </w:r>
                </w:p>
              </w:tc>
              <w:tc>
                <w:tcPr>
                  <w:tcW w:w="1855" w:type="dxa"/>
                  <w:vAlign w:val="center"/>
                </w:tcPr>
                <w:p w14:paraId="69E6F0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员工生活</w:t>
                  </w:r>
                </w:p>
              </w:tc>
              <w:tc>
                <w:tcPr>
                  <w:tcW w:w="2617" w:type="dxa"/>
                  <w:vAlign w:val="center"/>
                </w:tcPr>
                <w:p w14:paraId="095921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食堂废水处理</w:t>
                  </w:r>
                </w:p>
              </w:tc>
            </w:tr>
            <w:tr w14:paraId="5F93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D7D7D7" w:themeFill="background1" w:themeFillShade="D8"/>
                  <w:vAlign w:val="center"/>
                </w:tcPr>
                <w:p w14:paraId="4D1E8A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属性</w:t>
                  </w:r>
                </w:p>
              </w:tc>
              <w:tc>
                <w:tcPr>
                  <w:tcW w:w="6340" w:type="dxa"/>
                  <w:gridSpan w:val="3"/>
                  <w:vAlign w:val="center"/>
                </w:tcPr>
                <w:p w14:paraId="6BFC47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生活垃圾</w:t>
                  </w:r>
                </w:p>
              </w:tc>
            </w:tr>
            <w:tr w14:paraId="6024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D7D7D7" w:themeFill="background1" w:themeFillShade="D8"/>
                  <w:vAlign w:val="center"/>
                </w:tcPr>
                <w:p w14:paraId="18918F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固废代码</w:t>
                  </w:r>
                </w:p>
              </w:tc>
              <w:tc>
                <w:tcPr>
                  <w:tcW w:w="1868" w:type="dxa"/>
                  <w:vAlign w:val="center"/>
                </w:tcPr>
                <w:p w14:paraId="239455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cs="宋体"/>
                      <w:b w:val="0"/>
                      <w:bCs w:val="0"/>
                      <w:color w:val="auto"/>
                      <w:spacing w:val="6"/>
                      <w:kern w:val="0"/>
                      <w:sz w:val="21"/>
                      <w:highlight w:val="none"/>
                      <w:vertAlign w:val="baseline"/>
                      <w:lang w:val="en-US" w:eastAsia="zh-CN" w:bidi="ar"/>
                    </w:rPr>
                    <w:t>900-099-S64</w:t>
                  </w:r>
                </w:p>
              </w:tc>
              <w:tc>
                <w:tcPr>
                  <w:tcW w:w="1855" w:type="dxa"/>
                  <w:vAlign w:val="center"/>
                </w:tcPr>
                <w:p w14:paraId="1CA593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900-002-S64</w:t>
                  </w:r>
                </w:p>
              </w:tc>
              <w:tc>
                <w:tcPr>
                  <w:tcW w:w="2617" w:type="dxa"/>
                  <w:vAlign w:val="center"/>
                </w:tcPr>
                <w:p w14:paraId="079D3A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cs="宋体"/>
                      <w:b w:val="0"/>
                      <w:bCs w:val="0"/>
                      <w:color w:val="auto"/>
                      <w:spacing w:val="6"/>
                      <w:kern w:val="0"/>
                      <w:sz w:val="21"/>
                      <w:highlight w:val="none"/>
                      <w:vertAlign w:val="baseline"/>
                      <w:lang w:val="en-US" w:eastAsia="zh-CN" w:bidi="ar"/>
                    </w:rPr>
                    <w:t>900-002-S61</w:t>
                  </w:r>
                </w:p>
              </w:tc>
            </w:tr>
            <w:tr w14:paraId="1C37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D7D7D7" w:themeFill="background1" w:themeFillShade="D8"/>
                  <w:vAlign w:val="center"/>
                </w:tcPr>
                <w:p w14:paraId="714A47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物理性状</w:t>
                  </w:r>
                </w:p>
              </w:tc>
              <w:tc>
                <w:tcPr>
                  <w:tcW w:w="1868" w:type="dxa"/>
                  <w:vAlign w:val="center"/>
                </w:tcPr>
                <w:p w14:paraId="215B43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cs="宋体"/>
                      <w:b w:val="0"/>
                      <w:bCs w:val="0"/>
                      <w:color w:val="auto"/>
                      <w:spacing w:val="6"/>
                      <w:kern w:val="0"/>
                      <w:sz w:val="21"/>
                      <w:highlight w:val="none"/>
                      <w:vertAlign w:val="baseline"/>
                      <w:lang w:val="en-US" w:eastAsia="zh-CN" w:bidi="ar"/>
                    </w:rPr>
                    <w:t>固态</w:t>
                  </w:r>
                </w:p>
              </w:tc>
              <w:tc>
                <w:tcPr>
                  <w:tcW w:w="1855" w:type="dxa"/>
                  <w:vAlign w:val="center"/>
                </w:tcPr>
                <w:p w14:paraId="1077BB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bidi="ar"/>
                    </w:rPr>
                  </w:pPr>
                  <w:r>
                    <w:rPr>
                      <w:rFonts w:hint="eastAsia" w:ascii="Times New Roman" w:hAnsi="Times New Roman" w:cs="宋体"/>
                      <w:b w:val="0"/>
                      <w:bCs w:val="0"/>
                      <w:color w:val="auto"/>
                      <w:spacing w:val="6"/>
                      <w:kern w:val="0"/>
                      <w:sz w:val="21"/>
                      <w:highlight w:val="none"/>
                      <w:vertAlign w:val="baseline"/>
                      <w:lang w:val="en-US" w:eastAsia="zh-CN" w:bidi="ar"/>
                    </w:rPr>
                    <w:t>固态、液态</w:t>
                  </w:r>
                </w:p>
              </w:tc>
              <w:tc>
                <w:tcPr>
                  <w:tcW w:w="2617" w:type="dxa"/>
                  <w:vAlign w:val="center"/>
                </w:tcPr>
                <w:p w14:paraId="383D30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cs="宋体"/>
                      <w:b w:val="0"/>
                      <w:bCs w:val="0"/>
                      <w:color w:val="auto"/>
                      <w:spacing w:val="6"/>
                      <w:kern w:val="0"/>
                      <w:sz w:val="21"/>
                      <w:highlight w:val="none"/>
                      <w:vertAlign w:val="baseline"/>
                      <w:lang w:val="en-US" w:eastAsia="zh-CN" w:bidi="ar"/>
                    </w:rPr>
                    <w:t>固态</w:t>
                  </w:r>
                </w:p>
              </w:tc>
            </w:tr>
            <w:tr w14:paraId="576E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D7D7D7" w:themeFill="background1" w:themeFillShade="D8"/>
                  <w:vAlign w:val="center"/>
                </w:tcPr>
                <w:p w14:paraId="5F872F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年度产生量（t/a）</w:t>
                  </w:r>
                </w:p>
              </w:tc>
              <w:tc>
                <w:tcPr>
                  <w:tcW w:w="1868" w:type="dxa"/>
                  <w:vAlign w:val="center"/>
                </w:tcPr>
                <w:p w14:paraId="046115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5.25</w:t>
                  </w:r>
                </w:p>
              </w:tc>
              <w:tc>
                <w:tcPr>
                  <w:tcW w:w="1855" w:type="dxa"/>
                  <w:vAlign w:val="center"/>
                </w:tcPr>
                <w:p w14:paraId="45E988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7.35</w:t>
                  </w:r>
                </w:p>
              </w:tc>
              <w:tc>
                <w:tcPr>
                  <w:tcW w:w="2617" w:type="dxa"/>
                  <w:vAlign w:val="center"/>
                </w:tcPr>
                <w:p w14:paraId="301E35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0.0605</w:t>
                  </w:r>
                </w:p>
              </w:tc>
            </w:tr>
            <w:tr w14:paraId="7289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D7D7D7" w:themeFill="background1" w:themeFillShade="D8"/>
                  <w:vAlign w:val="center"/>
                </w:tcPr>
                <w:p w14:paraId="0B9FF9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贮存方式</w:t>
                  </w:r>
                </w:p>
              </w:tc>
              <w:tc>
                <w:tcPr>
                  <w:tcW w:w="3723" w:type="dxa"/>
                  <w:gridSpan w:val="2"/>
                  <w:vAlign w:val="center"/>
                </w:tcPr>
                <w:p w14:paraId="3FC9DA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不暂存</w:t>
                  </w:r>
                </w:p>
              </w:tc>
              <w:tc>
                <w:tcPr>
                  <w:tcW w:w="2617" w:type="dxa"/>
                  <w:vAlign w:val="center"/>
                </w:tcPr>
                <w:p w14:paraId="7EA967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食堂收集桶</w:t>
                  </w:r>
                </w:p>
              </w:tc>
            </w:tr>
            <w:tr w14:paraId="70CD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D7D7D7" w:themeFill="background1" w:themeFillShade="D8"/>
                  <w:vAlign w:val="center"/>
                </w:tcPr>
                <w:p w14:paraId="323096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利用处置方式和去向</w:t>
                  </w:r>
                </w:p>
              </w:tc>
              <w:tc>
                <w:tcPr>
                  <w:tcW w:w="1868" w:type="dxa"/>
                  <w:vAlign w:val="center"/>
                </w:tcPr>
                <w:p w14:paraId="40CFDC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环卫部门清运</w:t>
                  </w:r>
                </w:p>
              </w:tc>
              <w:tc>
                <w:tcPr>
                  <w:tcW w:w="1855" w:type="dxa"/>
                  <w:vAlign w:val="center"/>
                </w:tcPr>
                <w:p w14:paraId="55D392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cs="宋体"/>
                      <w:b w:val="0"/>
                      <w:bCs w:val="0"/>
                      <w:color w:val="auto"/>
                      <w:spacing w:val="6"/>
                      <w:kern w:val="0"/>
                      <w:sz w:val="21"/>
                      <w:highlight w:val="none"/>
                      <w:vertAlign w:val="baseline"/>
                      <w:lang w:val="en-US" w:eastAsia="zh-CN" w:bidi="ar"/>
                    </w:rPr>
                    <w:t>环卫部门清运</w:t>
                  </w:r>
                </w:p>
              </w:tc>
              <w:tc>
                <w:tcPr>
                  <w:tcW w:w="2617" w:type="dxa"/>
                  <w:vAlign w:val="center"/>
                </w:tcPr>
                <w:p w14:paraId="504640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有资质单位清运</w:t>
                  </w:r>
                </w:p>
              </w:tc>
            </w:tr>
            <w:tr w14:paraId="7B63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D7D7D7" w:themeFill="background1" w:themeFillShade="D8"/>
                  <w:vAlign w:val="center"/>
                </w:tcPr>
                <w:p w14:paraId="4649D9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利用或处置量</w:t>
                  </w:r>
                </w:p>
              </w:tc>
              <w:tc>
                <w:tcPr>
                  <w:tcW w:w="1868" w:type="dxa"/>
                  <w:vAlign w:val="center"/>
                </w:tcPr>
                <w:p w14:paraId="39C714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cs="宋体"/>
                      <w:b w:val="0"/>
                      <w:bCs w:val="0"/>
                      <w:color w:val="auto"/>
                      <w:spacing w:val="6"/>
                      <w:kern w:val="0"/>
                      <w:sz w:val="21"/>
                      <w:highlight w:val="none"/>
                      <w:vertAlign w:val="baseline"/>
                      <w:lang w:val="en-US" w:eastAsia="zh-CN" w:bidi="ar"/>
                    </w:rPr>
                    <w:t>5.25</w:t>
                  </w:r>
                </w:p>
              </w:tc>
              <w:tc>
                <w:tcPr>
                  <w:tcW w:w="1855" w:type="dxa"/>
                  <w:vAlign w:val="center"/>
                </w:tcPr>
                <w:p w14:paraId="44FAD3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cs="宋体"/>
                      <w:b w:val="0"/>
                      <w:bCs w:val="0"/>
                      <w:color w:val="auto"/>
                      <w:spacing w:val="6"/>
                      <w:kern w:val="0"/>
                      <w:sz w:val="21"/>
                      <w:highlight w:val="none"/>
                      <w:vertAlign w:val="baseline"/>
                      <w:lang w:val="en-US" w:eastAsia="zh-CN" w:bidi="ar"/>
                    </w:rPr>
                    <w:t>7.35</w:t>
                  </w:r>
                </w:p>
              </w:tc>
              <w:tc>
                <w:tcPr>
                  <w:tcW w:w="2617" w:type="dxa"/>
                  <w:vAlign w:val="center"/>
                </w:tcPr>
                <w:p w14:paraId="09C6EA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cs="宋体"/>
                      <w:b w:val="0"/>
                      <w:bCs w:val="0"/>
                      <w:color w:val="auto"/>
                      <w:spacing w:val="6"/>
                      <w:kern w:val="0"/>
                      <w:sz w:val="21"/>
                      <w:highlight w:val="none"/>
                      <w:vertAlign w:val="baseline"/>
                      <w:lang w:val="en-US" w:eastAsia="zh-CN" w:bidi="ar"/>
                    </w:rPr>
                    <w:t>0.0605</w:t>
                  </w:r>
                </w:p>
              </w:tc>
            </w:tr>
          </w:tbl>
          <w:p w14:paraId="1D59053F">
            <w:pPr>
              <w:adjustRightInd w:val="0"/>
              <w:snapToGrid w:val="0"/>
              <w:spacing w:after="158" w:afterLines="50"/>
              <w:jc w:val="center"/>
              <w:rPr>
                <w:rFonts w:hint="eastAsia" w:ascii="Times New Roman" w:hAnsi="Times New Roman" w:eastAsia="宋体" w:cs="宋体"/>
                <w:b/>
                <w:bCs/>
                <w:color w:val="auto"/>
                <w:spacing w:val="4"/>
                <w:kern w:val="0"/>
                <w:sz w:val="24"/>
                <w:highlight w:val="none"/>
                <w:lang w:bidi="ar"/>
              </w:rPr>
            </w:pPr>
            <w:r>
              <w:rPr>
                <w:rFonts w:hint="eastAsia" w:ascii="Times New Roman" w:hAnsi="Times New Roman" w:eastAsia="宋体" w:cs="宋体"/>
                <w:b/>
                <w:bCs/>
                <w:color w:val="auto"/>
                <w:spacing w:val="4"/>
                <w:kern w:val="0"/>
                <w:sz w:val="24"/>
                <w:highlight w:val="none"/>
                <w:lang w:bidi="ar"/>
              </w:rPr>
              <w:t>表4.2.4-</w:t>
            </w:r>
            <w:r>
              <w:rPr>
                <w:rFonts w:hint="eastAsia" w:ascii="Times New Roman" w:hAnsi="Times New Roman" w:eastAsia="宋体" w:cs="宋体"/>
                <w:b/>
                <w:bCs/>
                <w:color w:val="auto"/>
                <w:spacing w:val="4"/>
                <w:kern w:val="0"/>
                <w:sz w:val="24"/>
                <w:highlight w:val="none"/>
                <w:lang w:val="en-US" w:eastAsia="zh-CN" w:bidi="ar"/>
              </w:rPr>
              <w:t>2</w:t>
            </w:r>
            <w:r>
              <w:rPr>
                <w:rFonts w:hint="eastAsia" w:ascii="Times New Roman" w:hAnsi="Times New Roman" w:eastAsia="宋体" w:cs="宋体"/>
                <w:b/>
                <w:bCs/>
                <w:color w:val="auto"/>
                <w:spacing w:val="4"/>
                <w:kern w:val="0"/>
                <w:sz w:val="24"/>
                <w:highlight w:val="none"/>
                <w:lang w:bidi="ar"/>
              </w:rPr>
              <w:t>项目</w:t>
            </w:r>
            <w:r>
              <w:rPr>
                <w:rFonts w:hint="eastAsia" w:ascii="Times New Roman" w:hAnsi="Times New Roman" w:eastAsia="宋体" w:cs="宋体"/>
                <w:b/>
                <w:bCs/>
                <w:color w:val="auto"/>
                <w:spacing w:val="4"/>
                <w:kern w:val="0"/>
                <w:sz w:val="24"/>
                <w:highlight w:val="none"/>
                <w:lang w:val="en-US" w:eastAsia="zh-CN" w:bidi="ar"/>
              </w:rPr>
              <w:t>危险废物</w:t>
            </w:r>
            <w:r>
              <w:rPr>
                <w:rFonts w:hint="eastAsia" w:ascii="Times New Roman" w:hAnsi="Times New Roman" w:eastAsia="宋体" w:cs="宋体"/>
                <w:b/>
                <w:bCs/>
                <w:color w:val="auto"/>
                <w:spacing w:val="4"/>
                <w:kern w:val="0"/>
                <w:sz w:val="24"/>
                <w:highlight w:val="none"/>
                <w:lang w:bidi="ar"/>
              </w:rPr>
              <w:t>产生及处置情况一览表</w:t>
            </w:r>
          </w:p>
          <w:tbl>
            <w:tblPr>
              <w:tblStyle w:val="36"/>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9"/>
              <w:gridCol w:w="3151"/>
              <w:gridCol w:w="2110"/>
              <w:gridCol w:w="8"/>
            </w:tblGrid>
            <w:tr w14:paraId="6BB1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1785" w:type="dxa"/>
                  <w:shd w:val="clear" w:color="auto" w:fill="D7D7D7" w:themeFill="background1" w:themeFillShade="D8"/>
                  <w:vAlign w:val="center"/>
                </w:tcPr>
                <w:p w14:paraId="3C1E6A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危险废物名称</w:t>
                  </w:r>
                </w:p>
              </w:tc>
              <w:tc>
                <w:tcPr>
                  <w:tcW w:w="1988" w:type="dxa"/>
                  <w:vAlign w:val="center"/>
                </w:tcPr>
                <w:p w14:paraId="7751C2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废润滑油</w:t>
                  </w:r>
                </w:p>
              </w:tc>
              <w:tc>
                <w:tcPr>
                  <w:tcW w:w="1331" w:type="dxa"/>
                  <w:vAlign w:val="center"/>
                </w:tcPr>
                <w:p w14:paraId="1FA62F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废润滑油桶</w:t>
                  </w:r>
                </w:p>
              </w:tc>
            </w:tr>
            <w:tr w14:paraId="2B27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shd w:val="clear" w:color="auto" w:fill="D7D7D7" w:themeFill="background1" w:themeFillShade="D8"/>
                  <w:vAlign w:val="center"/>
                </w:tcPr>
                <w:p w14:paraId="6208D5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危险废物类别</w:t>
                  </w:r>
                </w:p>
              </w:tc>
              <w:tc>
                <w:tcPr>
                  <w:tcW w:w="3324" w:type="dxa"/>
                  <w:gridSpan w:val="3"/>
                  <w:vAlign w:val="center"/>
                </w:tcPr>
                <w:p w14:paraId="340559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eastAsia="宋体" w:cs="宋体"/>
                      <w:b w:val="0"/>
                      <w:bCs w:val="0"/>
                      <w:color w:val="auto"/>
                      <w:spacing w:val="6"/>
                      <w:kern w:val="0"/>
                      <w:sz w:val="21"/>
                      <w:highlight w:val="none"/>
                      <w:vertAlign w:val="baseline"/>
                      <w:lang w:bidi="ar"/>
                    </w:rPr>
                    <w:t>HW08废矿物油与含矿物油废物</w:t>
                  </w:r>
                </w:p>
              </w:tc>
            </w:tr>
            <w:tr w14:paraId="0A0C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1785" w:type="dxa"/>
                  <w:shd w:val="clear" w:color="auto" w:fill="D7D7D7" w:themeFill="background1" w:themeFillShade="D8"/>
                  <w:vAlign w:val="center"/>
                </w:tcPr>
                <w:p w14:paraId="389BE0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危险废物代码</w:t>
                  </w:r>
                </w:p>
              </w:tc>
              <w:tc>
                <w:tcPr>
                  <w:tcW w:w="1988" w:type="dxa"/>
                  <w:vAlign w:val="center"/>
                </w:tcPr>
                <w:p w14:paraId="7F5F6C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eastAsia="宋体" w:cs="宋体"/>
                      <w:b w:val="0"/>
                      <w:bCs w:val="0"/>
                      <w:color w:val="auto"/>
                      <w:spacing w:val="6"/>
                      <w:kern w:val="0"/>
                      <w:sz w:val="21"/>
                      <w:highlight w:val="none"/>
                      <w:vertAlign w:val="baseline"/>
                      <w:lang w:bidi="ar"/>
                    </w:rPr>
                    <w:t>900-217-08</w:t>
                  </w:r>
                </w:p>
              </w:tc>
              <w:tc>
                <w:tcPr>
                  <w:tcW w:w="1331" w:type="dxa"/>
                  <w:vAlign w:val="center"/>
                </w:tcPr>
                <w:p w14:paraId="7BD31C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eastAsia="宋体" w:cs="宋体"/>
                      <w:b w:val="0"/>
                      <w:bCs w:val="0"/>
                      <w:color w:val="auto"/>
                      <w:spacing w:val="6"/>
                      <w:kern w:val="0"/>
                      <w:sz w:val="21"/>
                      <w:highlight w:val="none"/>
                      <w:vertAlign w:val="baseline"/>
                      <w:lang w:bidi="ar"/>
                    </w:rPr>
                    <w:t>900-</w:t>
                  </w:r>
                  <w:r>
                    <w:rPr>
                      <w:rFonts w:hint="eastAsia" w:ascii="Times New Roman" w:hAnsi="Times New Roman" w:cs="宋体"/>
                      <w:b w:val="0"/>
                      <w:bCs w:val="0"/>
                      <w:color w:val="auto"/>
                      <w:spacing w:val="6"/>
                      <w:kern w:val="0"/>
                      <w:sz w:val="21"/>
                      <w:highlight w:val="none"/>
                      <w:vertAlign w:val="baseline"/>
                      <w:lang w:val="en-US" w:eastAsia="zh-CN" w:bidi="ar"/>
                    </w:rPr>
                    <w:t>249</w:t>
                  </w:r>
                  <w:r>
                    <w:rPr>
                      <w:rFonts w:hint="eastAsia" w:ascii="Times New Roman" w:hAnsi="Times New Roman" w:eastAsia="宋体" w:cs="宋体"/>
                      <w:b w:val="0"/>
                      <w:bCs w:val="0"/>
                      <w:color w:val="auto"/>
                      <w:spacing w:val="6"/>
                      <w:kern w:val="0"/>
                      <w:sz w:val="21"/>
                      <w:highlight w:val="none"/>
                      <w:vertAlign w:val="baseline"/>
                      <w:lang w:bidi="ar"/>
                    </w:rPr>
                    <w:t>-08</w:t>
                  </w:r>
                </w:p>
              </w:tc>
            </w:tr>
            <w:tr w14:paraId="3A50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1785" w:type="dxa"/>
                  <w:shd w:val="clear" w:color="auto" w:fill="D7D7D7" w:themeFill="background1" w:themeFillShade="D8"/>
                  <w:vAlign w:val="center"/>
                </w:tcPr>
                <w:p w14:paraId="20DC5F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产生量合计（t/a）</w:t>
                  </w:r>
                </w:p>
              </w:tc>
              <w:tc>
                <w:tcPr>
                  <w:tcW w:w="1988" w:type="dxa"/>
                  <w:vAlign w:val="center"/>
                </w:tcPr>
                <w:p w14:paraId="1A08C1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0.2</w:t>
                  </w:r>
                </w:p>
              </w:tc>
              <w:tc>
                <w:tcPr>
                  <w:tcW w:w="1331" w:type="dxa"/>
                  <w:vAlign w:val="center"/>
                </w:tcPr>
                <w:p w14:paraId="4AE93B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0.02</w:t>
                  </w:r>
                </w:p>
              </w:tc>
            </w:tr>
            <w:tr w14:paraId="50C8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1785" w:type="dxa"/>
                  <w:shd w:val="clear" w:color="auto" w:fill="D7D7D7" w:themeFill="background1" w:themeFillShade="D8"/>
                  <w:vAlign w:val="center"/>
                </w:tcPr>
                <w:p w14:paraId="37105A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产生工序及装置</w:t>
                  </w:r>
                </w:p>
              </w:tc>
              <w:tc>
                <w:tcPr>
                  <w:tcW w:w="1988" w:type="dxa"/>
                  <w:vAlign w:val="center"/>
                </w:tcPr>
                <w:p w14:paraId="587236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生产设备等</w:t>
                  </w:r>
                </w:p>
              </w:tc>
              <w:tc>
                <w:tcPr>
                  <w:tcW w:w="1331" w:type="dxa"/>
                  <w:vAlign w:val="center"/>
                </w:tcPr>
                <w:p w14:paraId="07D5E3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润滑油使用</w:t>
                  </w:r>
                </w:p>
              </w:tc>
            </w:tr>
            <w:tr w14:paraId="50A6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1785" w:type="dxa"/>
                  <w:shd w:val="clear" w:color="auto" w:fill="D7D7D7" w:themeFill="background1" w:themeFillShade="D8"/>
                  <w:vAlign w:val="center"/>
                </w:tcPr>
                <w:p w14:paraId="6F114D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形态</w:t>
                  </w:r>
                </w:p>
              </w:tc>
              <w:tc>
                <w:tcPr>
                  <w:tcW w:w="1988" w:type="dxa"/>
                  <w:vAlign w:val="center"/>
                </w:tcPr>
                <w:p w14:paraId="08FD3B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液态</w:t>
                  </w:r>
                </w:p>
              </w:tc>
              <w:tc>
                <w:tcPr>
                  <w:tcW w:w="1331" w:type="dxa"/>
                  <w:vAlign w:val="center"/>
                </w:tcPr>
                <w:p w14:paraId="647F2C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固态</w:t>
                  </w:r>
                </w:p>
              </w:tc>
            </w:tr>
            <w:tr w14:paraId="310D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1785" w:type="dxa"/>
                  <w:shd w:val="clear" w:color="auto" w:fill="D7D7D7" w:themeFill="background1" w:themeFillShade="D8"/>
                  <w:vAlign w:val="center"/>
                </w:tcPr>
                <w:p w14:paraId="718D14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有害成分</w:t>
                  </w:r>
                </w:p>
              </w:tc>
              <w:tc>
                <w:tcPr>
                  <w:tcW w:w="1988" w:type="dxa"/>
                  <w:vAlign w:val="center"/>
                </w:tcPr>
                <w:p w14:paraId="19B43D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矿物油</w:t>
                  </w:r>
                </w:p>
              </w:tc>
              <w:tc>
                <w:tcPr>
                  <w:tcW w:w="1331" w:type="dxa"/>
                  <w:vAlign w:val="center"/>
                </w:tcPr>
                <w:p w14:paraId="2DEA2D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矿物油</w:t>
                  </w:r>
                </w:p>
              </w:tc>
            </w:tr>
            <w:tr w14:paraId="0C1A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1785" w:type="dxa"/>
                  <w:shd w:val="clear" w:color="auto" w:fill="D7D7D7" w:themeFill="background1" w:themeFillShade="D8"/>
                  <w:vAlign w:val="center"/>
                </w:tcPr>
                <w:p w14:paraId="4B08A2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产危周期</w:t>
                  </w:r>
                </w:p>
              </w:tc>
              <w:tc>
                <w:tcPr>
                  <w:tcW w:w="1988" w:type="dxa"/>
                  <w:vAlign w:val="center"/>
                </w:tcPr>
                <w:p w14:paraId="309046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不定期</w:t>
                  </w:r>
                </w:p>
              </w:tc>
              <w:tc>
                <w:tcPr>
                  <w:tcW w:w="1331" w:type="dxa"/>
                  <w:vAlign w:val="center"/>
                </w:tcPr>
                <w:p w14:paraId="3F712E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不定期</w:t>
                  </w:r>
                </w:p>
              </w:tc>
            </w:tr>
            <w:tr w14:paraId="1874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1785" w:type="dxa"/>
                  <w:shd w:val="clear" w:color="auto" w:fill="D7D7D7" w:themeFill="background1" w:themeFillShade="D8"/>
                  <w:vAlign w:val="center"/>
                </w:tcPr>
                <w:p w14:paraId="27CED1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危险特性</w:t>
                  </w:r>
                </w:p>
              </w:tc>
              <w:tc>
                <w:tcPr>
                  <w:tcW w:w="1988" w:type="dxa"/>
                  <w:vAlign w:val="center"/>
                </w:tcPr>
                <w:p w14:paraId="47B9DD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T、I</w:t>
                  </w:r>
                </w:p>
              </w:tc>
              <w:tc>
                <w:tcPr>
                  <w:tcW w:w="1331" w:type="dxa"/>
                  <w:vAlign w:val="center"/>
                </w:tcPr>
                <w:p w14:paraId="21BCAC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T、I</w:t>
                  </w:r>
                </w:p>
              </w:tc>
            </w:tr>
            <w:tr w14:paraId="522A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Pr>
              <w:tc>
                <w:tcPr>
                  <w:tcW w:w="1785" w:type="dxa"/>
                  <w:shd w:val="clear" w:color="auto" w:fill="D7D7D7" w:themeFill="background1" w:themeFillShade="D8"/>
                  <w:vAlign w:val="center"/>
                </w:tcPr>
                <w:p w14:paraId="266A77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贮存方式</w:t>
                  </w:r>
                </w:p>
              </w:tc>
              <w:tc>
                <w:tcPr>
                  <w:tcW w:w="1988" w:type="dxa"/>
                  <w:vAlign w:val="center"/>
                </w:tcPr>
                <w:p w14:paraId="0486CA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eastAsia="宋体" w:cs="宋体"/>
                      <w:b w:val="0"/>
                      <w:bCs w:val="0"/>
                      <w:color w:val="auto"/>
                      <w:spacing w:val="6"/>
                      <w:kern w:val="0"/>
                      <w:sz w:val="21"/>
                      <w:highlight w:val="none"/>
                      <w:vertAlign w:val="baseline"/>
                      <w:lang w:bidi="ar"/>
                    </w:rPr>
                    <w:t>桶装、危废暂存间暂存</w:t>
                  </w:r>
                </w:p>
              </w:tc>
              <w:tc>
                <w:tcPr>
                  <w:tcW w:w="1331" w:type="dxa"/>
                  <w:vAlign w:val="center"/>
                </w:tcPr>
                <w:p w14:paraId="7E46AB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highlight w:val="none"/>
                      <w:vertAlign w:val="baseline"/>
                      <w:lang w:bidi="ar"/>
                    </w:rPr>
                  </w:pPr>
                  <w:r>
                    <w:rPr>
                      <w:rFonts w:hint="eastAsia" w:ascii="Times New Roman" w:hAnsi="Times New Roman" w:eastAsia="宋体" w:cs="宋体"/>
                      <w:b w:val="0"/>
                      <w:bCs w:val="0"/>
                      <w:color w:val="auto"/>
                      <w:spacing w:val="6"/>
                      <w:kern w:val="0"/>
                      <w:sz w:val="21"/>
                      <w:highlight w:val="none"/>
                      <w:vertAlign w:val="baseline"/>
                      <w:lang w:bidi="ar"/>
                    </w:rPr>
                    <w:t>危废暂存间暂存</w:t>
                  </w:r>
                </w:p>
              </w:tc>
            </w:tr>
            <w:tr w14:paraId="3B54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shd w:val="clear" w:color="auto" w:fill="D7D7D7" w:themeFill="background1" w:themeFillShade="D8"/>
                  <w:vAlign w:val="center"/>
                </w:tcPr>
                <w:p w14:paraId="6333F3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处置方式及去向</w:t>
                  </w:r>
                </w:p>
              </w:tc>
              <w:tc>
                <w:tcPr>
                  <w:tcW w:w="3324" w:type="dxa"/>
                  <w:gridSpan w:val="3"/>
                  <w:vAlign w:val="center"/>
                </w:tcPr>
                <w:p w14:paraId="64C36E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highlight w:val="none"/>
                      <w:vertAlign w:val="baseline"/>
                      <w:lang w:val="en-US" w:eastAsia="zh-CN" w:bidi="ar"/>
                    </w:rPr>
                  </w:pPr>
                  <w:r>
                    <w:rPr>
                      <w:rFonts w:hint="eastAsia" w:ascii="Times New Roman" w:hAnsi="Times New Roman" w:cs="宋体"/>
                      <w:b w:val="0"/>
                      <w:bCs w:val="0"/>
                      <w:color w:val="auto"/>
                      <w:spacing w:val="6"/>
                      <w:kern w:val="0"/>
                      <w:sz w:val="21"/>
                      <w:highlight w:val="none"/>
                      <w:vertAlign w:val="baseline"/>
                      <w:lang w:val="en-US" w:eastAsia="zh-CN" w:bidi="ar"/>
                    </w:rPr>
                    <w:t>定期委托有资质单位清运处置</w:t>
                  </w:r>
                </w:p>
              </w:tc>
            </w:tr>
          </w:tbl>
          <w:p w14:paraId="0872BB75">
            <w:pPr>
              <w:keepNext w:val="0"/>
              <w:keepLines w:val="0"/>
              <w:pageBreakBefore w:val="0"/>
              <w:widowControl w:val="0"/>
              <w:kinsoku/>
              <w:wordWrap/>
              <w:overflowPunct/>
              <w:topLinePunct w:val="0"/>
              <w:autoSpaceDE/>
              <w:autoSpaceDN/>
              <w:bidi w:val="0"/>
              <w:adjustRightInd/>
              <w:snapToGrid/>
              <w:spacing w:before="160" w:beforeLines="50" w:line="360" w:lineRule="auto"/>
              <w:textAlignment w:val="auto"/>
              <w:rPr>
                <w:rFonts w:ascii="Times New Roman" w:hAnsi="Times New Roman"/>
                <w:b/>
                <w:color w:val="auto"/>
                <w:sz w:val="24"/>
                <w:highlight w:val="none"/>
              </w:rPr>
            </w:pPr>
            <w:r>
              <w:rPr>
                <w:rFonts w:hint="eastAsia" w:ascii="Times New Roman" w:hAnsi="Times New Roman"/>
                <w:b/>
                <w:color w:val="auto"/>
                <w:sz w:val="24"/>
                <w:highlight w:val="none"/>
                <w:lang w:val="en-US" w:eastAsia="zh-CN"/>
              </w:rPr>
              <w:t>二、</w:t>
            </w:r>
            <w:r>
              <w:rPr>
                <w:rFonts w:ascii="Times New Roman" w:hAnsi="Times New Roman"/>
                <w:b/>
                <w:bCs/>
                <w:color w:val="auto"/>
                <w:sz w:val="24"/>
                <w:highlight w:val="none"/>
              </w:rPr>
              <w:t>固体废物的产生及处置方式</w:t>
            </w:r>
          </w:p>
          <w:p w14:paraId="73ED724A">
            <w:pPr>
              <w:keepNext/>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3"/>
              <w:rPr>
                <w:rFonts w:hint="eastAsia" w:ascii="Times New Roman" w:hAnsi="Times New Roman" w:eastAsia="黑体" w:cs="Times New Roman"/>
                <w:b/>
                <w:bCs/>
                <w:color w:val="auto"/>
                <w:kern w:val="0"/>
                <w:sz w:val="24"/>
                <w:highlight w:val="none"/>
                <w:lang w:val="zh-CN"/>
              </w:rPr>
            </w:pPr>
            <w:r>
              <w:rPr>
                <w:rFonts w:hint="eastAsia" w:ascii="Times New Roman" w:hAnsi="Times New Roman" w:eastAsia="黑体" w:cs="Times New Roman"/>
                <w:b/>
                <w:bCs/>
                <w:color w:val="auto"/>
                <w:kern w:val="0"/>
                <w:sz w:val="24"/>
                <w:highlight w:val="none"/>
                <w:lang w:val="zh-CN"/>
              </w:rPr>
              <w:t>（</w:t>
            </w:r>
            <w:r>
              <w:rPr>
                <w:rFonts w:hint="eastAsia" w:ascii="Times New Roman" w:hAnsi="Times New Roman" w:eastAsia="黑体" w:cs="Times New Roman"/>
                <w:b/>
                <w:bCs/>
                <w:color w:val="auto"/>
                <w:kern w:val="0"/>
                <w:sz w:val="24"/>
                <w:highlight w:val="none"/>
                <w:lang w:val="en-US" w:eastAsia="zh-CN"/>
              </w:rPr>
              <w:t>1</w:t>
            </w:r>
            <w:r>
              <w:rPr>
                <w:rFonts w:hint="eastAsia" w:ascii="Times New Roman" w:hAnsi="Times New Roman" w:eastAsia="黑体" w:cs="Times New Roman"/>
                <w:b/>
                <w:bCs/>
                <w:color w:val="auto"/>
                <w:kern w:val="0"/>
                <w:sz w:val="24"/>
                <w:highlight w:val="none"/>
                <w:lang w:val="zh-CN"/>
              </w:rPr>
              <w:t>）生活垃圾</w:t>
            </w:r>
          </w:p>
          <w:p w14:paraId="43FCC40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宋体"/>
                <w:color w:val="auto"/>
                <w:sz w:val="24"/>
                <w:highlight w:val="none"/>
                <w:lang w:val="en-US" w:eastAsia="zh-CN"/>
              </w:rPr>
            </w:pPr>
            <w:r>
              <w:rPr>
                <w:rFonts w:hint="eastAsia" w:ascii="Times New Roman" w:hAnsi="Times New Roman" w:cs="宋体"/>
                <w:color w:val="auto"/>
                <w:sz w:val="24"/>
                <w:highlight w:val="none"/>
              </w:rPr>
              <w:t>项目</w:t>
            </w:r>
            <w:r>
              <w:rPr>
                <w:rFonts w:hint="eastAsia" w:ascii="Times New Roman" w:hAnsi="Times New Roman" w:cs="宋体"/>
                <w:color w:val="auto"/>
                <w:sz w:val="24"/>
                <w:highlight w:val="none"/>
                <w:lang w:val="en-US" w:eastAsia="zh-CN"/>
              </w:rPr>
              <w:t>生活垃圾</w:t>
            </w:r>
            <w:r>
              <w:rPr>
                <w:rFonts w:hint="eastAsia" w:ascii="Times New Roman" w:hAnsi="Times New Roman" w:cs="宋体"/>
                <w:color w:val="auto"/>
                <w:kern w:val="52"/>
                <w:position w:val="-2"/>
                <w:sz w:val="24"/>
                <w:highlight w:val="none"/>
              </w:rPr>
              <w:t>采用垃圾收集桶集中收集后，</w:t>
            </w:r>
            <w:r>
              <w:rPr>
                <w:rFonts w:hint="eastAsia" w:ascii="Times New Roman" w:hAnsi="Times New Roman"/>
                <w:color w:val="auto"/>
                <w:kern w:val="2"/>
                <w:sz w:val="24"/>
                <w:szCs w:val="24"/>
                <w:highlight w:val="none"/>
                <w:lang w:val="en-US" w:eastAsia="zh-CN"/>
              </w:rPr>
              <w:t>定期由当地环卫部门清运处理。</w:t>
            </w:r>
          </w:p>
          <w:p w14:paraId="3D982155">
            <w:pPr>
              <w:keepNext/>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3"/>
              <w:rPr>
                <w:rFonts w:hint="eastAsia" w:ascii="Times New Roman" w:hAnsi="Times New Roman" w:eastAsia="黑体" w:cs="Times New Roman"/>
                <w:b/>
                <w:bCs/>
                <w:color w:val="auto"/>
                <w:kern w:val="0"/>
                <w:sz w:val="24"/>
                <w:highlight w:val="none"/>
                <w:lang w:val="zh-CN"/>
              </w:rPr>
            </w:pPr>
            <w:r>
              <w:rPr>
                <w:rFonts w:hint="eastAsia" w:ascii="Times New Roman" w:hAnsi="Times New Roman" w:eastAsia="黑体" w:cs="Times New Roman"/>
                <w:b/>
                <w:bCs/>
                <w:color w:val="auto"/>
                <w:kern w:val="0"/>
                <w:sz w:val="24"/>
                <w:highlight w:val="none"/>
                <w:lang w:val="zh-CN"/>
              </w:rPr>
              <w:t>（</w:t>
            </w:r>
            <w:r>
              <w:rPr>
                <w:rFonts w:hint="eastAsia" w:ascii="Times New Roman" w:hAnsi="Times New Roman" w:eastAsia="黑体" w:cs="Times New Roman"/>
                <w:b/>
                <w:bCs/>
                <w:color w:val="auto"/>
                <w:kern w:val="0"/>
                <w:sz w:val="24"/>
                <w:highlight w:val="none"/>
                <w:lang w:val="en-US" w:eastAsia="zh-CN"/>
              </w:rPr>
              <w:t>2</w:t>
            </w:r>
            <w:r>
              <w:rPr>
                <w:rFonts w:hint="eastAsia" w:ascii="Times New Roman" w:hAnsi="Times New Roman" w:eastAsia="黑体" w:cs="Times New Roman"/>
                <w:b/>
                <w:bCs/>
                <w:color w:val="auto"/>
                <w:kern w:val="0"/>
                <w:sz w:val="24"/>
                <w:highlight w:val="none"/>
                <w:lang w:val="zh-CN"/>
              </w:rPr>
              <w:t>）危险废物</w:t>
            </w:r>
          </w:p>
          <w:p w14:paraId="1CAC1F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auto"/>
                <w:sz w:val="24"/>
                <w:highlight w:val="none"/>
              </w:rPr>
            </w:pPr>
            <w:r>
              <w:rPr>
                <w:rFonts w:hint="eastAsia" w:ascii="Times New Roman" w:hAnsi="Times New Roman" w:cs="宋体"/>
                <w:color w:val="auto"/>
                <w:sz w:val="24"/>
                <w:highlight w:val="none"/>
              </w:rPr>
              <w:t>通过</w:t>
            </w:r>
            <w:r>
              <w:rPr>
                <w:rFonts w:ascii="Times New Roman" w:hAnsi="Times New Roman" w:cs="宋体"/>
                <w:color w:val="auto"/>
                <w:sz w:val="24"/>
                <w:highlight w:val="none"/>
              </w:rPr>
              <w:t>工程分析，项目</w:t>
            </w:r>
            <w:r>
              <w:rPr>
                <w:rFonts w:hint="eastAsia" w:ascii="Times New Roman" w:hAnsi="Times New Roman" w:cs="宋体"/>
                <w:color w:val="auto"/>
                <w:sz w:val="24"/>
                <w:highlight w:val="none"/>
                <w:lang w:val="en-US" w:eastAsia="zh-CN"/>
              </w:rPr>
              <w:t>产生的危险废物主要为废润滑油和废润滑油桶</w:t>
            </w:r>
            <w:r>
              <w:rPr>
                <w:rFonts w:hint="eastAsia" w:ascii="Times New Roman" w:hAnsi="Times New Roman" w:cs="宋体"/>
                <w:color w:val="auto"/>
                <w:sz w:val="24"/>
                <w:highlight w:val="none"/>
                <w:lang w:bidi="ar"/>
              </w:rPr>
              <w:t>。</w:t>
            </w:r>
            <w:r>
              <w:rPr>
                <w:rFonts w:hint="eastAsia" w:ascii="Times New Roman" w:hAnsi="Times New Roman" w:cs="宋体"/>
                <w:color w:val="auto"/>
                <w:sz w:val="24"/>
                <w:highlight w:val="none"/>
                <w:lang w:val="en-US" w:eastAsia="zh-CN" w:bidi="ar"/>
              </w:rPr>
              <w:t>废润滑油量为0.2t/a，废润滑油桶量为0.02t/a</w:t>
            </w:r>
            <w:r>
              <w:rPr>
                <w:rFonts w:hint="eastAsia" w:ascii="Times New Roman" w:hAnsi="Times New Roman" w:cs="宋体"/>
                <w:color w:val="auto"/>
                <w:sz w:val="24"/>
                <w:highlight w:val="none"/>
                <w:lang w:bidi="ar"/>
              </w:rPr>
              <w:t>。</w:t>
            </w:r>
            <w:r>
              <w:rPr>
                <w:rFonts w:ascii="Times New Roman" w:hAnsi="Times New Roman" w:cs="宋体"/>
                <w:color w:val="auto"/>
                <w:sz w:val="24"/>
                <w:highlight w:val="none"/>
                <w:lang w:bidi="ar"/>
              </w:rPr>
              <w:t>根据《国家危险废物名录（202</w:t>
            </w:r>
            <w:r>
              <w:rPr>
                <w:rFonts w:hint="eastAsia" w:ascii="Times New Roman" w:hAnsi="Times New Roman" w:cs="宋体"/>
                <w:color w:val="auto"/>
                <w:sz w:val="24"/>
                <w:highlight w:val="none"/>
                <w:lang w:val="en-US" w:eastAsia="zh-CN" w:bidi="ar"/>
              </w:rPr>
              <w:t>5</w:t>
            </w:r>
            <w:r>
              <w:rPr>
                <w:rFonts w:ascii="Times New Roman" w:hAnsi="Times New Roman" w:cs="宋体"/>
                <w:color w:val="auto"/>
                <w:sz w:val="24"/>
                <w:highlight w:val="none"/>
                <w:lang w:bidi="ar"/>
              </w:rPr>
              <w:t>）》</w:t>
            </w:r>
            <w:r>
              <w:rPr>
                <w:rFonts w:hint="eastAsia" w:ascii="Times New Roman" w:hAnsi="Times New Roman" w:cs="宋体"/>
                <w:color w:val="auto"/>
                <w:sz w:val="24"/>
                <w:highlight w:val="none"/>
                <w:lang w:eastAsia="zh-CN" w:bidi="ar"/>
              </w:rPr>
              <w:t>，</w:t>
            </w:r>
            <w:r>
              <w:rPr>
                <w:rFonts w:hint="eastAsia" w:ascii="Times New Roman" w:hAnsi="Times New Roman" w:cs="宋体"/>
                <w:color w:val="auto"/>
                <w:sz w:val="24"/>
                <w:highlight w:val="none"/>
                <w:lang w:val="en-US" w:eastAsia="zh-CN" w:bidi="ar"/>
              </w:rPr>
              <w:t>废润滑油属于HW08类危险废物，废物代码：</w:t>
            </w:r>
            <w:r>
              <w:rPr>
                <w:rFonts w:hint="default" w:ascii="Times New Roman" w:hAnsi="Times New Roman" w:cs="Times New Roman"/>
                <w:color w:val="auto"/>
                <w:sz w:val="24"/>
                <w:highlight w:val="none"/>
              </w:rPr>
              <w:t>900-21</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-08</w:t>
            </w:r>
            <w:r>
              <w:rPr>
                <w:rFonts w:hint="eastAsia" w:ascii="Times New Roman" w:hAnsi="Times New Roman" w:cs="Times New Roman"/>
                <w:color w:val="auto"/>
                <w:sz w:val="24"/>
                <w:highlight w:val="none"/>
                <w:lang w:eastAsia="zh-CN"/>
              </w:rPr>
              <w:t>（使用工业齿轮油进行机械设备润滑过程中产生的废润滑油）</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宋体"/>
                <w:color w:val="auto"/>
                <w:sz w:val="24"/>
                <w:highlight w:val="none"/>
                <w:lang w:val="en-US" w:eastAsia="zh-CN" w:bidi="ar"/>
              </w:rPr>
              <w:t>润滑油桶</w:t>
            </w:r>
            <w:r>
              <w:rPr>
                <w:rFonts w:hint="eastAsia" w:ascii="Times New Roman" w:hAnsi="Times New Roman" w:cs="宋体"/>
                <w:color w:val="auto"/>
                <w:sz w:val="24"/>
                <w:highlight w:val="none"/>
                <w:lang w:bidi="ar"/>
              </w:rPr>
              <w:t>属于</w:t>
            </w:r>
            <w:r>
              <w:rPr>
                <w:rFonts w:ascii="Times New Roman" w:hAnsi="Times New Roman"/>
                <w:color w:val="auto"/>
                <w:sz w:val="24"/>
                <w:highlight w:val="none"/>
                <w:lang w:bidi="ar"/>
              </w:rPr>
              <w:t>HW08</w:t>
            </w:r>
            <w:r>
              <w:rPr>
                <w:rFonts w:hint="eastAsia" w:ascii="Times New Roman" w:hAnsi="Times New Roman" w:cs="宋体"/>
                <w:color w:val="auto"/>
                <w:sz w:val="24"/>
                <w:highlight w:val="none"/>
                <w:lang w:bidi="ar"/>
              </w:rPr>
              <w:t>类危险废物，废物代码</w:t>
            </w:r>
            <w:r>
              <w:rPr>
                <w:rFonts w:ascii="Times New Roman" w:hAnsi="Times New Roman" w:cs="宋体"/>
                <w:color w:val="auto"/>
                <w:sz w:val="24"/>
                <w:highlight w:val="none"/>
                <w:lang w:bidi="ar"/>
              </w:rPr>
              <w:t>HW08</w:t>
            </w:r>
            <w:r>
              <w:rPr>
                <w:rFonts w:hint="eastAsia" w:ascii="Times New Roman" w:hAnsi="Times New Roman" w:cs="宋体"/>
                <w:color w:val="auto"/>
                <w:sz w:val="24"/>
                <w:highlight w:val="none"/>
                <w:lang w:eastAsia="zh-CN" w:bidi="ar"/>
              </w:rPr>
              <w:t>：</w:t>
            </w:r>
            <w:r>
              <w:rPr>
                <w:rFonts w:ascii="Times New Roman" w:hAnsi="Times New Roman" w:cs="宋体"/>
                <w:color w:val="auto"/>
                <w:sz w:val="24"/>
                <w:highlight w:val="none"/>
                <w:lang w:bidi="ar"/>
              </w:rPr>
              <w:t>900-2</w:t>
            </w:r>
            <w:r>
              <w:rPr>
                <w:rFonts w:hint="eastAsia" w:ascii="Times New Roman" w:hAnsi="Times New Roman" w:cs="宋体"/>
                <w:color w:val="auto"/>
                <w:sz w:val="24"/>
                <w:highlight w:val="none"/>
                <w:lang w:val="en-US" w:eastAsia="zh-CN" w:bidi="ar"/>
              </w:rPr>
              <w:t>49</w:t>
            </w:r>
            <w:r>
              <w:rPr>
                <w:rFonts w:ascii="Times New Roman" w:hAnsi="Times New Roman" w:cs="宋体"/>
                <w:color w:val="auto"/>
                <w:sz w:val="24"/>
                <w:highlight w:val="none"/>
                <w:lang w:bidi="ar"/>
              </w:rPr>
              <w:t>-08</w:t>
            </w:r>
            <w:r>
              <w:rPr>
                <w:rFonts w:hint="eastAsia" w:ascii="Times New Roman" w:hAnsi="Times New Roman" w:cs="宋体"/>
                <w:color w:val="auto"/>
                <w:sz w:val="24"/>
                <w:highlight w:val="none"/>
                <w:lang w:bidi="ar"/>
              </w:rPr>
              <w:t>（其他生产、销售、使用过程中产生的废矿物油及沾染矿物油的废弃包装物），危险废物需</w:t>
            </w:r>
            <w:r>
              <w:rPr>
                <w:rFonts w:hint="eastAsia" w:ascii="Times New Roman" w:hAnsi="Times New Roman" w:cs="宋体"/>
                <w:bCs/>
                <w:color w:val="auto"/>
                <w:sz w:val="24"/>
                <w:highlight w:val="none"/>
                <w:lang w:bidi="ar"/>
              </w:rPr>
              <w:t>按照危废管理有关规定</w:t>
            </w:r>
            <w:r>
              <w:rPr>
                <w:rFonts w:hint="eastAsia" w:ascii="Times New Roman" w:hAnsi="Times New Roman" w:cs="宋体"/>
                <w:color w:val="auto"/>
                <w:sz w:val="24"/>
                <w:highlight w:val="none"/>
                <w:lang w:bidi="ar"/>
              </w:rPr>
              <w:t>委托有资质单位进行处置。</w:t>
            </w:r>
          </w:p>
          <w:p w14:paraId="2BED09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宋体"/>
                <w:color w:val="auto"/>
                <w:sz w:val="24"/>
                <w:highlight w:val="none"/>
              </w:rPr>
            </w:pPr>
            <w:r>
              <w:rPr>
                <w:rFonts w:hint="eastAsia" w:ascii="Times New Roman" w:hAnsi="Times New Roman" w:cs="宋体"/>
                <w:color w:val="auto"/>
                <w:sz w:val="24"/>
                <w:szCs w:val="20"/>
                <w:highlight w:val="none"/>
                <w:lang w:bidi="ar"/>
              </w:rPr>
              <w:t>危险废物暂存、管理应按照</w:t>
            </w:r>
            <w:r>
              <w:rPr>
                <w:rFonts w:hint="eastAsia" w:ascii="Times New Roman" w:hAnsi="Times New Roman"/>
                <w:color w:val="auto"/>
                <w:sz w:val="24"/>
                <w:highlight w:val="none"/>
              </w:rPr>
              <w:t>《危险废物贮存污染控制标准》（GB18597-2023）</w:t>
            </w:r>
            <w:r>
              <w:rPr>
                <w:rFonts w:hint="eastAsia" w:ascii="Times New Roman" w:hAnsi="Times New Roman" w:cs="宋体"/>
                <w:color w:val="auto"/>
                <w:sz w:val="24"/>
                <w:szCs w:val="20"/>
                <w:highlight w:val="none"/>
                <w:lang w:bidi="ar"/>
              </w:rPr>
              <w:t>的要求，危险废物应使用符合标准的专用容器盛装，且危废暂存间应单独隔开，危废暂存间采取必要的防风、防晒、防雨、防漏、防渗、防腐以及其他环境污染防治措施，确保危险废物不造成二次污染。</w:t>
            </w:r>
          </w:p>
          <w:p w14:paraId="73F549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宋体"/>
                <w:bCs/>
                <w:color w:val="auto"/>
                <w:sz w:val="24"/>
                <w:highlight w:val="none"/>
              </w:rPr>
            </w:pPr>
            <w:r>
              <w:rPr>
                <w:rFonts w:hint="eastAsia" w:ascii="Times New Roman" w:hAnsi="Times New Roman" w:cs="宋体"/>
                <w:bCs/>
                <w:color w:val="auto"/>
                <w:sz w:val="24"/>
                <w:highlight w:val="none"/>
              </w:rPr>
              <w:t>本环评提出项目单位设置专用存储容器对</w:t>
            </w:r>
            <w:r>
              <w:rPr>
                <w:rFonts w:hint="eastAsia" w:ascii="Times New Roman" w:hAnsi="Times New Roman" w:cs="宋体"/>
                <w:bCs/>
                <w:color w:val="auto"/>
                <w:sz w:val="24"/>
                <w:highlight w:val="none"/>
                <w:lang w:val="en-US" w:eastAsia="zh-CN"/>
              </w:rPr>
              <w:t>废润滑油、废润滑油桶</w:t>
            </w:r>
            <w:r>
              <w:rPr>
                <w:rFonts w:hint="eastAsia" w:ascii="Times New Roman" w:hAnsi="Times New Roman" w:cs="宋体"/>
                <w:bCs/>
                <w:color w:val="auto"/>
                <w:sz w:val="24"/>
                <w:highlight w:val="none"/>
              </w:rPr>
              <w:t>进行收集。储存容器为可密闭式的塑胶桶，</w:t>
            </w:r>
            <w:r>
              <w:rPr>
                <w:rFonts w:ascii="Times New Roman" w:hAnsi="Times New Roman" w:cs="宋体"/>
                <w:bCs/>
                <w:color w:val="auto"/>
                <w:sz w:val="24"/>
                <w:highlight w:val="none"/>
              </w:rPr>
              <w:t>危险废物暂存间</w:t>
            </w:r>
            <w:r>
              <w:rPr>
                <w:rFonts w:hint="eastAsia" w:ascii="Times New Roman" w:hAnsi="Times New Roman" w:cs="宋体"/>
                <w:bCs/>
                <w:color w:val="auto"/>
                <w:sz w:val="24"/>
                <w:highlight w:val="none"/>
              </w:rPr>
              <w:t>设置为</w:t>
            </w:r>
            <w:r>
              <w:rPr>
                <w:rFonts w:ascii="Times New Roman" w:hAnsi="Times New Roman" w:cs="宋体"/>
                <w:bCs/>
                <w:color w:val="auto"/>
                <w:sz w:val="24"/>
                <w:highlight w:val="none"/>
              </w:rPr>
              <w:t>占地</w:t>
            </w:r>
            <w:r>
              <w:rPr>
                <w:rFonts w:hint="eastAsia" w:ascii="Times New Roman" w:hAnsi="Times New Roman" w:cs="宋体"/>
                <w:bCs/>
                <w:color w:val="auto"/>
                <w:sz w:val="24"/>
                <w:highlight w:val="none"/>
                <w:lang w:val="en-US" w:eastAsia="zh-CN"/>
              </w:rPr>
              <w:t>10</w:t>
            </w:r>
            <w:r>
              <w:rPr>
                <w:rFonts w:ascii="Times New Roman" w:hAnsi="Times New Roman" w:cs="宋体"/>
                <w:bCs/>
                <w:color w:val="auto"/>
                <w:sz w:val="24"/>
                <w:highlight w:val="none"/>
              </w:rPr>
              <w:t>m</w:t>
            </w:r>
            <w:r>
              <w:rPr>
                <w:rFonts w:hint="eastAsia" w:ascii="Times New Roman" w:hAnsi="Times New Roman" w:cs="宋体"/>
                <w:bCs/>
                <w:color w:val="auto"/>
                <w:sz w:val="24"/>
                <w:highlight w:val="none"/>
                <w:vertAlign w:val="superscript"/>
              </w:rPr>
              <w:t>2</w:t>
            </w:r>
            <w:r>
              <w:rPr>
                <w:rFonts w:hint="eastAsia" w:ascii="Times New Roman" w:hAnsi="Times New Roman" w:cs="宋体"/>
                <w:bCs/>
                <w:color w:val="auto"/>
                <w:sz w:val="24"/>
                <w:highlight w:val="none"/>
              </w:rPr>
              <w:t>的</w:t>
            </w:r>
            <w:r>
              <w:rPr>
                <w:rFonts w:ascii="Times New Roman" w:hAnsi="Times New Roman" w:cs="宋体"/>
                <w:bCs/>
                <w:color w:val="auto"/>
                <w:sz w:val="24"/>
                <w:highlight w:val="none"/>
              </w:rPr>
              <w:t>封闭建筑</w:t>
            </w:r>
            <w:r>
              <w:rPr>
                <w:rFonts w:hint="eastAsia" w:ascii="Times New Roman" w:hAnsi="Times New Roman" w:cs="宋体"/>
                <w:bCs/>
                <w:color w:val="auto"/>
                <w:sz w:val="24"/>
                <w:highlight w:val="none"/>
              </w:rPr>
              <w:t>，</w:t>
            </w:r>
            <w:r>
              <w:rPr>
                <w:rFonts w:ascii="Times New Roman" w:hAnsi="Times New Roman" w:cs="宋体"/>
                <w:bCs/>
                <w:color w:val="auto"/>
                <w:sz w:val="24"/>
                <w:highlight w:val="none"/>
              </w:rPr>
              <w:t>其建设</w:t>
            </w:r>
            <w:r>
              <w:rPr>
                <w:rFonts w:hint="eastAsia" w:ascii="Times New Roman" w:hAnsi="Times New Roman" w:cs="宋体"/>
                <w:bCs/>
                <w:color w:val="auto"/>
                <w:sz w:val="24"/>
                <w:highlight w:val="none"/>
              </w:rPr>
              <w:t>和</w:t>
            </w:r>
            <w:r>
              <w:rPr>
                <w:rFonts w:ascii="Times New Roman" w:hAnsi="Times New Roman" w:cs="宋体"/>
                <w:bCs/>
                <w:color w:val="auto"/>
                <w:sz w:val="24"/>
                <w:highlight w:val="none"/>
              </w:rPr>
              <w:t>暂存要求需满足</w:t>
            </w:r>
            <w:r>
              <w:rPr>
                <w:rFonts w:hint="eastAsia" w:ascii="Times New Roman" w:hAnsi="Times New Roman" w:cs="宋体"/>
                <w:bCs/>
                <w:color w:val="auto"/>
                <w:sz w:val="24"/>
                <w:highlight w:val="none"/>
              </w:rPr>
              <w:t>以下几点：</w:t>
            </w:r>
          </w:p>
          <w:p w14:paraId="78174F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1）一般规定</w:t>
            </w:r>
          </w:p>
          <w:p w14:paraId="2E97D1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①贮存设施应根据危险废物的形态、物理化学性质、包装形式和污染物迁移途径，采取必要的防风、防晒、防雨、防漏、防渗、防腐以及其他环境污染防治措施，不应露天堆放危险废物。</w:t>
            </w:r>
          </w:p>
          <w:p w14:paraId="3BA02D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②贮存设施应根据危险废物的类别、数量、形态、物理化学性质和污染防治等要求设置必要的贮存分区，避免不相容的危险废物接触、混合。</w:t>
            </w:r>
          </w:p>
          <w:p w14:paraId="3F9880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③贮存设施或贮存分区内地面、墙面裙脚、堵截泄漏的围堰、接触危险废物的隔板和墙体等应采用坚固的材料建造，表面无裂缝。</w:t>
            </w:r>
          </w:p>
          <w:p w14:paraId="255861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宋体"/>
                <w:bCs/>
                <w:color w:val="auto"/>
                <w:sz w:val="24"/>
                <w:highlight w:val="none"/>
                <w:vertAlign w:val="superscript"/>
                <w:lang w:val="en-US" w:eastAsia="zh-CN"/>
              </w:rPr>
              <w:t>-7</w:t>
            </w:r>
            <w:r>
              <w:rPr>
                <w:rFonts w:hint="eastAsia" w:ascii="Times New Roman" w:hAnsi="Times New Roman" w:eastAsia="宋体" w:cs="宋体"/>
                <w:bCs/>
                <w:color w:val="auto"/>
                <w:sz w:val="24"/>
                <w:highlight w:val="none"/>
                <w:lang w:val="en-US" w:eastAsia="zh-CN"/>
              </w:rPr>
              <w:t>cm/s），或至少2mm厚高密度聚乙烯膜等人工防渗材料（渗透系数不大于10</w:t>
            </w:r>
            <w:r>
              <w:rPr>
                <w:rFonts w:hint="eastAsia" w:ascii="Times New Roman" w:hAnsi="Times New Roman" w:eastAsia="宋体" w:cs="宋体"/>
                <w:bCs/>
                <w:color w:val="auto"/>
                <w:sz w:val="24"/>
                <w:highlight w:val="none"/>
                <w:vertAlign w:val="superscript"/>
                <w:lang w:val="en-US" w:eastAsia="zh-CN"/>
              </w:rPr>
              <w:t>-10</w:t>
            </w:r>
            <w:r>
              <w:rPr>
                <w:rFonts w:hint="eastAsia" w:ascii="Times New Roman" w:hAnsi="Times New Roman" w:eastAsia="宋体" w:cs="宋体"/>
                <w:bCs/>
                <w:color w:val="auto"/>
                <w:sz w:val="24"/>
                <w:highlight w:val="none"/>
                <w:lang w:val="en-US" w:eastAsia="zh-CN"/>
              </w:rPr>
              <w:t>cm/s），或其他防渗性能等效的材料。</w:t>
            </w:r>
          </w:p>
          <w:p w14:paraId="3B95C4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5257BF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⑥贮存设施应采取技术和管理措施防止无关人员进入。</w:t>
            </w:r>
          </w:p>
          <w:p w14:paraId="3A98F9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2）存储库</w:t>
            </w:r>
          </w:p>
          <w:p w14:paraId="4A1C3C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①贮存库内不同贮存分区之间应采取隔离措施。隔离措施可根据危险废物特性采用过道、隔板或隔墙等方式。</w:t>
            </w:r>
          </w:p>
          <w:p w14:paraId="2D3DA5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②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20795C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3）容器和包装物污染控制要求</w:t>
            </w:r>
          </w:p>
          <w:p w14:paraId="334508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①容器和包装物材质、内衬应与盛装的危险废物相容。</w:t>
            </w:r>
          </w:p>
          <w:p w14:paraId="2EB903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②针对不同类别、形态、物理化学性质的危险废物，其容器和包装物应满足相应的防渗、防漏、防腐和强度等要求。</w:t>
            </w:r>
          </w:p>
          <w:p w14:paraId="4E9D09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③硬质容器和包装物及其支护结构堆叠码放时不应有明显变形，无破损泄漏。</w:t>
            </w:r>
          </w:p>
          <w:p w14:paraId="2B1A7B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④柔性容器和包装物堆叠码放时应封口严密，无破损泄漏。</w:t>
            </w:r>
          </w:p>
          <w:p w14:paraId="12773A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⑤使用容器盛装液态、半固态危险废物时，容器内部应留有适当的空间，以适应因温度变化等可能引发的收缩和膨胀，防止其导致容器渗漏或永久变形。</w:t>
            </w:r>
          </w:p>
          <w:p w14:paraId="4BAA8E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⑥容器和包装物外表面应保持清洁。</w:t>
            </w:r>
          </w:p>
          <w:p w14:paraId="3961CE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highlight w:val="none"/>
                <w:lang w:val="en-US" w:eastAsia="zh-CN"/>
              </w:rPr>
            </w:pPr>
            <w:r>
              <w:rPr>
                <w:rFonts w:hint="eastAsia" w:ascii="Times New Roman" w:hAnsi="Times New Roman" w:cs="宋体"/>
                <w:bCs/>
                <w:color w:val="auto"/>
                <w:sz w:val="24"/>
                <w:highlight w:val="none"/>
                <w:lang w:val="en-US" w:eastAsia="zh-CN"/>
              </w:rPr>
              <w:t>4）转运和处置</w:t>
            </w:r>
          </w:p>
          <w:p w14:paraId="5DCDA2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highlight w:val="none"/>
                <w:lang w:val="en-US" w:eastAsia="zh-CN"/>
              </w:rPr>
            </w:pPr>
            <w:r>
              <w:rPr>
                <w:rFonts w:hint="eastAsia" w:ascii="Times New Roman" w:hAnsi="Times New Roman" w:eastAsia="宋体" w:cs="宋体"/>
                <w:bCs/>
                <w:color w:val="auto"/>
                <w:sz w:val="24"/>
                <w:highlight w:val="none"/>
                <w:lang w:val="en-US" w:eastAsia="zh-CN"/>
              </w:rPr>
              <w:t>项目危险废物转运和处置须严格遵循《中华人民共和国固体废物污染环境防治法》《危险废物转移联单管理办法》等法规要求。危险废物应按类别分类存放于专用防渗、防漏、防雨的贮存设施，配备明显警示标识；转运前需规范包装，选用符合标准的专用容器，委托具备相应资质的运输单位，使用密闭防泄漏专用车辆，全程落实转移联单制度，确保转运轨迹可追溯。处置环节需委托持有危险废物经营许可证的单位，根据废物特性采用焚烧、安全填埋或资源化利用等合规方式处理，严禁非法倾倒、处置。同时建立完整台账，详细记录危险废物产生、转运、处置的种类、数量、去向等信息，定期开展设施检查与风险排查，保障全流程合规安全。</w:t>
            </w:r>
          </w:p>
          <w:p w14:paraId="2EC1E504">
            <w:pPr>
              <w:pStyle w:val="70"/>
              <w:ind w:firstLine="0" w:firstLineChars="0"/>
              <w:rPr>
                <w:rFonts w:ascii="Times New Roman" w:hAnsi="Times New Roman"/>
                <w:b/>
                <w:bCs/>
                <w:color w:val="auto"/>
                <w:highlight w:val="none"/>
              </w:rPr>
            </w:pPr>
            <w:r>
              <w:rPr>
                <w:rFonts w:hint="eastAsia" w:ascii="Times New Roman" w:hAnsi="Times New Roman"/>
                <w:b/>
                <w:bCs/>
                <w:color w:val="auto"/>
                <w:highlight w:val="none"/>
                <w:lang w:val="en-US" w:eastAsia="zh-CN"/>
              </w:rPr>
              <w:t>三、</w:t>
            </w:r>
            <w:r>
              <w:rPr>
                <w:rFonts w:ascii="Times New Roman" w:hAnsi="Times New Roman"/>
                <w:b/>
                <w:bCs/>
                <w:color w:val="auto"/>
                <w:highlight w:val="none"/>
              </w:rPr>
              <w:t>运营期固体废弃物环境影响评价结论</w:t>
            </w:r>
          </w:p>
          <w:p w14:paraId="1CDEE09E">
            <w:pPr>
              <w:pStyle w:val="70"/>
              <w:ind w:firstLine="480"/>
              <w:rPr>
                <w:rFonts w:ascii="Times New Roman" w:hAnsi="Times New Roman"/>
                <w:color w:val="auto"/>
                <w:highlight w:val="none"/>
              </w:rPr>
            </w:pPr>
            <w:r>
              <w:rPr>
                <w:rFonts w:ascii="Times New Roman" w:hAnsi="Times New Roman"/>
                <w:color w:val="auto"/>
                <w:highlight w:val="none"/>
              </w:rPr>
              <w:t>根据项目提出的固废处置措施，本项目运营期产生的</w:t>
            </w:r>
            <w:r>
              <w:rPr>
                <w:rFonts w:hint="eastAsia" w:ascii="Times New Roman" w:hAnsi="Times New Roman"/>
                <w:color w:val="auto"/>
                <w:highlight w:val="none"/>
                <w:lang w:val="en-US" w:eastAsia="zh-CN"/>
              </w:rPr>
              <w:t>废润滑油和</w:t>
            </w:r>
            <w:r>
              <w:rPr>
                <w:rFonts w:hint="eastAsia" w:ascii="Times New Roman" w:hAnsi="Times New Roman"/>
                <w:color w:val="auto"/>
                <w:highlight w:val="none"/>
              </w:rPr>
              <w:t>废</w:t>
            </w:r>
            <w:r>
              <w:rPr>
                <w:rFonts w:hint="eastAsia" w:ascii="Times New Roman" w:hAnsi="Times New Roman"/>
                <w:color w:val="auto"/>
                <w:highlight w:val="none"/>
                <w:lang w:val="en-US" w:eastAsia="zh-CN"/>
              </w:rPr>
              <w:t>润滑油桶</w:t>
            </w:r>
            <w:r>
              <w:rPr>
                <w:rFonts w:ascii="Times New Roman" w:hAnsi="Times New Roman"/>
                <w:color w:val="auto"/>
                <w:highlight w:val="none"/>
              </w:rPr>
              <w:t>按照相关规定收集、包装、贮存，委托</w:t>
            </w:r>
            <w:r>
              <w:rPr>
                <w:rFonts w:hint="eastAsia" w:ascii="Times New Roman" w:hAnsi="Times New Roman"/>
                <w:color w:val="auto"/>
                <w:highlight w:val="none"/>
              </w:rPr>
              <w:t>有资质单位</w:t>
            </w:r>
            <w:r>
              <w:rPr>
                <w:rFonts w:ascii="Times New Roman" w:hAnsi="Times New Roman"/>
                <w:color w:val="auto"/>
                <w:highlight w:val="none"/>
              </w:rPr>
              <w:t>进行清运和处置；生活垃圾</w:t>
            </w:r>
            <w:r>
              <w:rPr>
                <w:rFonts w:hint="eastAsia" w:ascii="Times New Roman" w:hAnsi="Times New Roman"/>
                <w:color w:val="auto"/>
                <w:highlight w:val="none"/>
              </w:rPr>
              <w:t>统一收集后</w:t>
            </w:r>
            <w:r>
              <w:rPr>
                <w:rFonts w:ascii="Times New Roman" w:hAnsi="Times New Roman"/>
                <w:color w:val="auto"/>
                <w:highlight w:val="none"/>
              </w:rPr>
              <w:t>，由当地环卫部门负责定期清运。各种固体废弃物均得到了妥善处置，不外排，对环境影响不大。</w:t>
            </w:r>
          </w:p>
          <w:p w14:paraId="67689337">
            <w:pPr>
              <w:pStyle w:val="8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4.2.5地下水和土壤影响分析</w:t>
            </w:r>
          </w:p>
          <w:p w14:paraId="11695DA0">
            <w:pPr>
              <w:adjustRightInd w:val="0"/>
              <w:snapToGrid w:val="0"/>
              <w:spacing w:line="360" w:lineRule="auto"/>
              <w:ind w:firstLine="482"/>
              <w:jc w:val="left"/>
              <w:rPr>
                <w:rFonts w:ascii="Times New Roman" w:hAnsi="Times New Roman"/>
                <w:b/>
                <w:color w:val="auto"/>
                <w:sz w:val="24"/>
                <w:highlight w:val="none"/>
              </w:rPr>
            </w:pPr>
            <w:r>
              <w:rPr>
                <w:rFonts w:ascii="Times New Roman" w:hAnsi="Times New Roman"/>
                <w:b/>
                <w:color w:val="auto"/>
                <w:sz w:val="24"/>
                <w:highlight w:val="none"/>
              </w:rPr>
              <w:t>1、地下水</w:t>
            </w:r>
          </w:p>
          <w:p w14:paraId="73633003">
            <w:pPr>
              <w:keepNext w:val="0"/>
              <w:keepLines w:val="0"/>
              <w:pageBreakBefore w:val="0"/>
              <w:widowControl w:val="0"/>
              <w:kinsoku/>
              <w:wordWrap/>
              <w:overflowPunct/>
              <w:topLinePunct/>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地下水环境》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HJ610-2016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)，本项目属于附录A中</w:t>
            </w:r>
            <w:r>
              <w:rPr>
                <w:rFonts w:hint="eastAsia" w:ascii="Times New Roman" w:hAnsi="Times New Roman" w:eastAsia="宋体"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lang w:val="en-US" w:eastAsia="zh-CN"/>
              </w:rPr>
              <w:t>黑色金属采选</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环评类别为报告表，无</w:t>
            </w:r>
            <w:r>
              <w:rPr>
                <w:rFonts w:hint="default" w:ascii="Times New Roman" w:hAnsi="Times New Roman" w:eastAsia="宋体" w:cs="Times New Roman"/>
                <w:color w:val="auto"/>
                <w:sz w:val="24"/>
                <w:szCs w:val="24"/>
                <w:highlight w:val="none"/>
              </w:rPr>
              <w:t>地下水环境影响评价项目类别，不开展地下水环境影响评价。为避免</w:t>
            </w:r>
            <w:r>
              <w:rPr>
                <w:rFonts w:hint="default" w:ascii="Times New Roman" w:hAnsi="Times New Roman" w:eastAsia="宋体" w:cs="Times New Roman"/>
                <w:color w:val="auto"/>
                <w:sz w:val="24"/>
                <w:szCs w:val="24"/>
                <w:highlight w:val="none"/>
                <w:lang w:val="en-US" w:eastAsia="zh-CN"/>
              </w:rPr>
              <w:t>危废</w:t>
            </w:r>
            <w:r>
              <w:rPr>
                <w:rFonts w:hint="default" w:ascii="Times New Roman" w:hAnsi="Times New Roman" w:eastAsia="宋体" w:cs="Times New Roman"/>
                <w:color w:val="auto"/>
                <w:sz w:val="24"/>
                <w:szCs w:val="24"/>
                <w:highlight w:val="none"/>
              </w:rPr>
              <w:t>泄漏污染地下水，建议提出以下控制措施。</w:t>
            </w:r>
          </w:p>
          <w:p w14:paraId="7C5550AE">
            <w:pPr>
              <w:pStyle w:val="83"/>
              <w:adjustRightInd w:val="0"/>
              <w:snapToGrid w:val="0"/>
              <w:spacing w:line="360" w:lineRule="auto"/>
              <w:ind w:firstLine="480"/>
              <w:rPr>
                <w:rFonts w:hint="default" w:ascii="Times New Roman" w:hAnsi="Times New Roman" w:eastAsia="宋体" w:cs="Times New Roman"/>
                <w:bCs/>
                <w:color w:val="auto"/>
                <w:kern w:val="0"/>
                <w:sz w:val="24"/>
                <w:highlight w:val="none"/>
                <w:lang w:val="en-US" w:eastAsia="zh-CN"/>
              </w:rPr>
            </w:pPr>
            <w:r>
              <w:rPr>
                <w:rFonts w:hint="eastAsia" w:ascii="Times New Roman" w:hAnsi="Times New Roman" w:cs="Times New Roman"/>
                <w:bCs/>
                <w:color w:val="auto"/>
                <w:kern w:val="0"/>
                <w:sz w:val="24"/>
                <w:highlight w:val="none"/>
                <w:lang w:val="en-US" w:eastAsia="zh-CN"/>
              </w:rPr>
              <w:t>（1）</w:t>
            </w:r>
            <w:r>
              <w:rPr>
                <w:rFonts w:hint="default" w:ascii="Times New Roman" w:hAnsi="Times New Roman" w:eastAsia="宋体" w:cs="Times New Roman"/>
                <w:bCs/>
                <w:color w:val="auto"/>
                <w:kern w:val="0"/>
                <w:sz w:val="24"/>
                <w:highlight w:val="none"/>
                <w:lang w:val="en-US" w:eastAsia="zh-CN"/>
              </w:rPr>
              <w:t>污染源</w:t>
            </w:r>
          </w:p>
          <w:p w14:paraId="54CACFB3">
            <w:pPr>
              <w:pStyle w:val="83"/>
              <w:adjustRightInd w:val="0"/>
              <w:snapToGrid w:val="0"/>
              <w:spacing w:line="360" w:lineRule="auto"/>
              <w:ind w:firstLine="48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lang w:eastAsia="zh-CN"/>
              </w:rPr>
              <w:t>项目地下水</w:t>
            </w:r>
            <w:r>
              <w:rPr>
                <w:rFonts w:hint="eastAsia" w:ascii="Times New Roman" w:hAnsi="Times New Roman" w:eastAsia="宋体" w:cs="Times New Roman"/>
                <w:bCs/>
                <w:color w:val="auto"/>
                <w:kern w:val="0"/>
                <w:sz w:val="24"/>
                <w:highlight w:val="none"/>
                <w:lang w:val="en-US" w:eastAsia="zh-CN"/>
              </w:rPr>
              <w:t>和土壤</w:t>
            </w:r>
            <w:r>
              <w:rPr>
                <w:rFonts w:hint="default" w:ascii="Times New Roman" w:hAnsi="Times New Roman" w:eastAsia="宋体" w:cs="Times New Roman"/>
                <w:bCs/>
                <w:color w:val="auto"/>
                <w:kern w:val="0"/>
                <w:sz w:val="24"/>
                <w:highlight w:val="none"/>
                <w:lang w:eastAsia="zh-CN"/>
              </w:rPr>
              <w:t>污染源为</w:t>
            </w:r>
            <w:r>
              <w:rPr>
                <w:rFonts w:hint="default" w:ascii="Times New Roman" w:hAnsi="Times New Roman" w:eastAsia="宋体" w:cs="Times New Roman"/>
                <w:bCs/>
                <w:color w:val="auto"/>
                <w:kern w:val="0"/>
                <w:sz w:val="24"/>
                <w:highlight w:val="none"/>
                <w:lang w:val="en-US" w:eastAsia="zh-CN"/>
              </w:rPr>
              <w:t>危废暂存间</w:t>
            </w:r>
            <w:r>
              <w:rPr>
                <w:rFonts w:hint="eastAsia" w:ascii="Times New Roman" w:hAnsi="Times New Roman" w:eastAsia="宋体" w:cs="Times New Roman"/>
                <w:bCs/>
                <w:color w:val="auto"/>
                <w:kern w:val="0"/>
                <w:sz w:val="24"/>
                <w:highlight w:val="none"/>
                <w:lang w:val="en-US" w:eastAsia="zh-CN"/>
              </w:rPr>
              <w:t>、</w:t>
            </w:r>
            <w:r>
              <w:rPr>
                <w:rFonts w:hint="default" w:ascii="Times New Roman" w:hAnsi="Times New Roman" w:eastAsia="宋体" w:cs="Times New Roman"/>
                <w:bCs/>
                <w:color w:val="auto"/>
                <w:kern w:val="0"/>
                <w:sz w:val="24"/>
                <w:highlight w:val="none"/>
                <w:lang w:val="en-US" w:eastAsia="zh-CN"/>
              </w:rPr>
              <w:t>化粪池</w:t>
            </w:r>
            <w:r>
              <w:rPr>
                <w:rFonts w:hint="eastAsia" w:ascii="Times New Roman" w:hAnsi="Times New Roman" w:eastAsia="宋体" w:cs="Times New Roman"/>
                <w:bCs/>
                <w:color w:val="auto"/>
                <w:kern w:val="0"/>
                <w:sz w:val="24"/>
                <w:highlight w:val="none"/>
                <w:lang w:val="en-US" w:eastAsia="zh-CN"/>
              </w:rPr>
              <w:t>、</w:t>
            </w:r>
            <w:r>
              <w:rPr>
                <w:rFonts w:hint="default" w:ascii="Times New Roman" w:hAnsi="Times New Roman" w:eastAsia="宋体" w:cs="Times New Roman"/>
                <w:bCs/>
                <w:color w:val="auto"/>
                <w:kern w:val="0"/>
                <w:sz w:val="24"/>
                <w:highlight w:val="none"/>
                <w:lang w:val="en-US" w:eastAsia="zh-CN"/>
              </w:rPr>
              <w:t>一体化污水处理设施</w:t>
            </w:r>
            <w:r>
              <w:rPr>
                <w:rFonts w:hint="eastAsia" w:ascii="Times New Roman" w:hAnsi="Times New Roman" w:eastAsia="宋体" w:cs="Times New Roman"/>
                <w:bCs/>
                <w:color w:val="auto"/>
                <w:kern w:val="0"/>
                <w:sz w:val="24"/>
                <w:highlight w:val="none"/>
                <w:lang w:val="en-US" w:eastAsia="zh-CN"/>
              </w:rPr>
              <w:t>和柴油储罐区</w:t>
            </w:r>
            <w:r>
              <w:rPr>
                <w:rFonts w:hint="default" w:ascii="Times New Roman" w:hAnsi="Times New Roman" w:eastAsia="宋体" w:cs="Times New Roman"/>
                <w:bCs/>
                <w:color w:val="auto"/>
                <w:kern w:val="0"/>
                <w:sz w:val="24"/>
                <w:highlight w:val="none"/>
                <w:lang w:val="en-US" w:eastAsia="zh-CN"/>
              </w:rPr>
              <w:t>。</w:t>
            </w:r>
          </w:p>
          <w:p w14:paraId="5F889CD5">
            <w:pPr>
              <w:pStyle w:val="83"/>
              <w:adjustRightInd w:val="0"/>
              <w:snapToGrid w:val="0"/>
              <w:spacing w:line="360" w:lineRule="auto"/>
              <w:ind w:firstLine="480"/>
              <w:rPr>
                <w:rFonts w:hint="default" w:ascii="Times New Roman" w:hAnsi="Times New Roman" w:eastAsia="宋体" w:cs="Times New Roman"/>
                <w:bCs/>
                <w:color w:val="auto"/>
                <w:kern w:val="0"/>
                <w:sz w:val="24"/>
                <w:highlight w:val="none"/>
                <w:lang w:val="en-US" w:eastAsia="zh-CN"/>
              </w:rPr>
            </w:pPr>
            <w:r>
              <w:rPr>
                <w:rFonts w:hint="eastAsia" w:ascii="Times New Roman" w:hAnsi="Times New Roman" w:cs="Times New Roman"/>
                <w:bCs/>
                <w:color w:val="auto"/>
                <w:kern w:val="0"/>
                <w:sz w:val="24"/>
                <w:highlight w:val="none"/>
                <w:lang w:val="en-US" w:eastAsia="zh-CN"/>
              </w:rPr>
              <w:t>（2）</w:t>
            </w:r>
            <w:r>
              <w:rPr>
                <w:rFonts w:hint="default" w:ascii="Times New Roman" w:hAnsi="Times New Roman" w:eastAsia="宋体" w:cs="Times New Roman"/>
                <w:bCs/>
                <w:color w:val="auto"/>
                <w:kern w:val="0"/>
                <w:sz w:val="24"/>
                <w:highlight w:val="none"/>
                <w:lang w:val="en-US" w:eastAsia="zh-CN"/>
              </w:rPr>
              <w:t>污染物类型</w:t>
            </w:r>
          </w:p>
          <w:p w14:paraId="3C1B94AE">
            <w:pPr>
              <w:pStyle w:val="83"/>
              <w:adjustRightInd w:val="0"/>
              <w:snapToGrid w:val="0"/>
              <w:spacing w:line="360" w:lineRule="auto"/>
              <w:ind w:firstLine="48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危险废物暂存间</w:t>
            </w:r>
            <w:r>
              <w:rPr>
                <w:rFonts w:hint="eastAsia" w:ascii="Times New Roman" w:hAnsi="Times New Roman" w:eastAsia="宋体" w:cs="Times New Roman"/>
                <w:bCs/>
                <w:color w:val="auto"/>
                <w:kern w:val="0"/>
                <w:sz w:val="24"/>
                <w:highlight w:val="none"/>
                <w:lang w:val="en-US" w:eastAsia="zh-CN"/>
              </w:rPr>
              <w:t>和柴油储罐区</w:t>
            </w:r>
            <w:r>
              <w:rPr>
                <w:rFonts w:hint="default" w:ascii="Times New Roman" w:hAnsi="Times New Roman" w:eastAsia="宋体" w:cs="Times New Roman"/>
                <w:bCs/>
                <w:color w:val="auto"/>
                <w:kern w:val="0"/>
                <w:sz w:val="24"/>
                <w:highlight w:val="none"/>
                <w:lang w:eastAsia="zh-CN"/>
              </w:rPr>
              <w:t>污染因子主要为石油烃；</w:t>
            </w:r>
            <w:r>
              <w:rPr>
                <w:rFonts w:hint="default" w:ascii="Times New Roman" w:hAnsi="Times New Roman" w:eastAsia="宋体" w:cs="Times New Roman"/>
                <w:bCs/>
                <w:color w:val="auto"/>
                <w:kern w:val="0"/>
                <w:sz w:val="24"/>
                <w:highlight w:val="none"/>
                <w:lang w:val="en-US" w:eastAsia="zh-CN"/>
              </w:rPr>
              <w:t>化粪池和一体化污水处理设施</w:t>
            </w:r>
            <w:r>
              <w:rPr>
                <w:rFonts w:hint="default" w:ascii="Times New Roman" w:hAnsi="Times New Roman" w:eastAsia="宋体" w:cs="Times New Roman"/>
                <w:bCs/>
                <w:color w:val="auto"/>
                <w:kern w:val="0"/>
                <w:sz w:val="24"/>
                <w:highlight w:val="none"/>
                <w:lang w:eastAsia="zh-CN"/>
              </w:rPr>
              <w:t>污染因子主要是</w:t>
            </w:r>
            <w:r>
              <w:rPr>
                <w:rFonts w:hint="default" w:ascii="Times New Roman" w:hAnsi="Times New Roman" w:eastAsia="宋体" w:cs="Times New Roman"/>
                <w:bCs/>
                <w:color w:val="auto"/>
                <w:kern w:val="0"/>
                <w:sz w:val="24"/>
                <w:highlight w:val="none"/>
                <w:lang w:val="en-US" w:eastAsia="zh-CN"/>
              </w:rPr>
              <w:t>CODcr、BOD</w:t>
            </w:r>
            <w:r>
              <w:rPr>
                <w:rFonts w:hint="default" w:ascii="Times New Roman" w:hAnsi="Times New Roman" w:eastAsia="宋体" w:cs="Times New Roman"/>
                <w:bCs/>
                <w:color w:val="auto"/>
                <w:kern w:val="0"/>
                <w:sz w:val="24"/>
                <w:highlight w:val="none"/>
                <w:vertAlign w:val="subscript"/>
                <w:lang w:val="en-US" w:eastAsia="zh-CN"/>
              </w:rPr>
              <w:t>5、</w:t>
            </w:r>
            <w:r>
              <w:rPr>
                <w:rFonts w:hint="default" w:ascii="Times New Roman" w:hAnsi="Times New Roman" w:eastAsia="宋体" w:cs="Times New Roman"/>
                <w:bCs/>
                <w:color w:val="auto"/>
                <w:kern w:val="0"/>
                <w:sz w:val="24"/>
                <w:highlight w:val="none"/>
                <w:vertAlign w:val="baseline"/>
                <w:lang w:val="en-US" w:eastAsia="zh-CN"/>
              </w:rPr>
              <w:t>SS、总磷、</w:t>
            </w:r>
            <w:r>
              <w:rPr>
                <w:rFonts w:hint="default" w:ascii="Times New Roman" w:hAnsi="Times New Roman" w:eastAsia="宋体" w:cs="Times New Roman"/>
                <w:color w:val="auto"/>
                <w:kern w:val="0"/>
                <w:sz w:val="24"/>
                <w:szCs w:val="24"/>
              </w:rPr>
              <w:t>氨氮</w:t>
            </w:r>
            <w:r>
              <w:rPr>
                <w:rFonts w:hint="default" w:ascii="Times New Roman" w:hAnsi="Times New Roman" w:eastAsia="宋体" w:cs="Times New Roman"/>
                <w:bCs/>
                <w:color w:val="auto"/>
                <w:kern w:val="0"/>
                <w:sz w:val="24"/>
                <w:highlight w:val="none"/>
                <w:lang w:val="en-US" w:eastAsia="zh-CN"/>
              </w:rPr>
              <w:t>。</w:t>
            </w:r>
          </w:p>
          <w:p w14:paraId="5A855FAA">
            <w:pPr>
              <w:pStyle w:val="83"/>
              <w:adjustRightInd w:val="0"/>
              <w:snapToGrid w:val="0"/>
              <w:spacing w:line="360" w:lineRule="auto"/>
              <w:ind w:firstLine="480"/>
              <w:rPr>
                <w:rFonts w:hint="default" w:ascii="Times New Roman" w:hAnsi="Times New Roman" w:eastAsia="宋体" w:cs="Times New Roman"/>
                <w:bCs/>
                <w:color w:val="auto"/>
                <w:kern w:val="0"/>
                <w:sz w:val="24"/>
                <w:highlight w:val="none"/>
                <w:lang w:val="en-US" w:eastAsia="zh-CN"/>
              </w:rPr>
            </w:pPr>
            <w:r>
              <w:rPr>
                <w:rFonts w:hint="eastAsia" w:ascii="Times New Roman" w:hAnsi="Times New Roman" w:cs="Times New Roman"/>
                <w:bCs/>
                <w:color w:val="auto"/>
                <w:kern w:val="0"/>
                <w:sz w:val="24"/>
                <w:highlight w:val="none"/>
                <w:lang w:val="en-US" w:eastAsia="zh-CN"/>
              </w:rPr>
              <w:t>（3）</w:t>
            </w:r>
            <w:r>
              <w:rPr>
                <w:rFonts w:hint="default" w:ascii="Times New Roman" w:hAnsi="Times New Roman" w:eastAsia="宋体" w:cs="Times New Roman"/>
                <w:bCs/>
                <w:color w:val="auto"/>
                <w:kern w:val="0"/>
                <w:sz w:val="24"/>
                <w:highlight w:val="none"/>
                <w:lang w:val="en-US" w:eastAsia="zh-CN"/>
              </w:rPr>
              <w:t>污染途径</w:t>
            </w:r>
          </w:p>
          <w:p w14:paraId="72D66B7A">
            <w:pPr>
              <w:pStyle w:val="83"/>
              <w:adjustRightInd w:val="0"/>
              <w:snapToGrid w:val="0"/>
              <w:spacing w:line="360" w:lineRule="auto"/>
              <w:ind w:firstLine="480"/>
              <w:rPr>
                <w:rFonts w:hint="default" w:ascii="Times New Roman" w:hAnsi="Times New Roman" w:eastAsia="宋体" w:cs="Times New Roman"/>
                <w:bCs/>
                <w:color w:val="auto"/>
                <w:kern w:val="0"/>
                <w:sz w:val="24"/>
                <w:highlight w:val="none"/>
                <w:lang w:val="zh-CN" w:eastAsia="zh-CN"/>
              </w:rPr>
            </w:pPr>
            <w:r>
              <w:rPr>
                <w:rFonts w:hint="default" w:ascii="Times New Roman" w:hAnsi="Times New Roman" w:eastAsia="宋体" w:cs="Times New Roman"/>
                <w:bCs/>
                <w:color w:val="auto"/>
                <w:kern w:val="0"/>
                <w:sz w:val="24"/>
                <w:highlight w:val="none"/>
                <w:lang w:eastAsia="zh-CN"/>
              </w:rPr>
              <w:t>本项目对地下水</w:t>
            </w:r>
            <w:r>
              <w:rPr>
                <w:rFonts w:hint="eastAsia" w:ascii="Times New Roman" w:hAnsi="Times New Roman" w:eastAsia="宋体" w:cs="Times New Roman"/>
                <w:bCs/>
                <w:color w:val="auto"/>
                <w:kern w:val="0"/>
                <w:sz w:val="24"/>
                <w:highlight w:val="none"/>
                <w:lang w:eastAsia="zh-CN"/>
              </w:rPr>
              <w:t>、</w:t>
            </w:r>
            <w:r>
              <w:rPr>
                <w:rFonts w:hint="eastAsia" w:ascii="Times New Roman" w:hAnsi="Times New Roman" w:eastAsia="宋体" w:cs="Times New Roman"/>
                <w:bCs/>
                <w:color w:val="auto"/>
                <w:kern w:val="0"/>
                <w:sz w:val="24"/>
                <w:highlight w:val="none"/>
                <w:lang w:val="en-US" w:eastAsia="zh-CN"/>
              </w:rPr>
              <w:t>土壤</w:t>
            </w:r>
            <w:r>
              <w:rPr>
                <w:rFonts w:hint="default" w:ascii="Times New Roman" w:hAnsi="Times New Roman" w:eastAsia="宋体" w:cs="Times New Roman"/>
                <w:bCs/>
                <w:color w:val="auto"/>
                <w:kern w:val="0"/>
                <w:sz w:val="24"/>
                <w:highlight w:val="none"/>
                <w:lang w:eastAsia="zh-CN"/>
              </w:rPr>
              <w:t>环境可能产生影响的环节</w:t>
            </w:r>
            <w:r>
              <w:rPr>
                <w:rFonts w:hint="default" w:ascii="Times New Roman" w:hAnsi="Times New Roman" w:eastAsia="宋体" w:cs="Times New Roman"/>
                <w:bCs/>
                <w:color w:val="auto"/>
                <w:kern w:val="0"/>
                <w:sz w:val="24"/>
                <w:highlight w:val="none"/>
                <w:lang w:val="zh-CN" w:eastAsia="zh-CN"/>
              </w:rPr>
              <w:t>主要有：</w:t>
            </w:r>
          </w:p>
          <w:p w14:paraId="31A0C22A">
            <w:pPr>
              <w:pStyle w:val="83"/>
              <w:adjustRightInd w:val="0"/>
              <w:snapToGrid w:val="0"/>
              <w:spacing w:line="360" w:lineRule="auto"/>
              <w:ind w:firstLine="48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①危险废物暂存间地面防渗破损，废润滑油泄漏，渗透污染地下水</w:t>
            </w:r>
            <w:r>
              <w:rPr>
                <w:rFonts w:hint="eastAsia" w:ascii="Times New Roman" w:hAnsi="Times New Roman" w:eastAsia="宋体" w:cs="Times New Roman"/>
                <w:bCs/>
                <w:color w:val="auto"/>
                <w:kern w:val="0"/>
                <w:sz w:val="24"/>
                <w:highlight w:val="none"/>
                <w:lang w:val="en-US" w:eastAsia="zh-CN"/>
              </w:rPr>
              <w:t>和土壤</w:t>
            </w:r>
            <w:r>
              <w:rPr>
                <w:rFonts w:hint="default" w:ascii="Times New Roman" w:hAnsi="Times New Roman" w:eastAsia="宋体" w:cs="Times New Roman"/>
                <w:bCs/>
                <w:color w:val="auto"/>
                <w:kern w:val="0"/>
                <w:sz w:val="24"/>
                <w:highlight w:val="none"/>
                <w:lang w:eastAsia="zh-CN"/>
              </w:rPr>
              <w:t>。</w:t>
            </w:r>
          </w:p>
          <w:p w14:paraId="3EE29804">
            <w:pPr>
              <w:pStyle w:val="83"/>
              <w:adjustRightInd w:val="0"/>
              <w:snapToGrid w:val="0"/>
              <w:spacing w:line="360" w:lineRule="auto"/>
              <w:ind w:firstLine="48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②</w:t>
            </w:r>
            <w:r>
              <w:rPr>
                <w:rFonts w:hint="eastAsia" w:ascii="Times New Roman" w:hAnsi="Times New Roman" w:eastAsia="宋体" w:cs="Times New Roman"/>
                <w:bCs/>
                <w:color w:val="auto"/>
                <w:kern w:val="0"/>
                <w:sz w:val="24"/>
                <w:highlight w:val="none"/>
                <w:lang w:val="en-US" w:eastAsia="zh-CN"/>
              </w:rPr>
              <w:t>柴油储罐</w:t>
            </w:r>
            <w:r>
              <w:rPr>
                <w:rFonts w:hint="default" w:ascii="Times New Roman" w:hAnsi="Times New Roman" w:eastAsia="宋体" w:cs="Times New Roman"/>
                <w:bCs/>
                <w:color w:val="auto"/>
                <w:kern w:val="0"/>
                <w:sz w:val="24"/>
                <w:highlight w:val="none"/>
                <w:lang w:eastAsia="zh-CN"/>
              </w:rPr>
              <w:t>防渗破损，</w:t>
            </w:r>
            <w:r>
              <w:rPr>
                <w:rFonts w:hint="eastAsia" w:ascii="Times New Roman" w:hAnsi="Times New Roman" w:eastAsia="宋体" w:cs="Times New Roman"/>
                <w:bCs/>
                <w:color w:val="auto"/>
                <w:kern w:val="0"/>
                <w:sz w:val="24"/>
                <w:highlight w:val="none"/>
                <w:lang w:val="en-US" w:eastAsia="zh-CN"/>
              </w:rPr>
              <w:t>柴油</w:t>
            </w:r>
            <w:r>
              <w:rPr>
                <w:rFonts w:hint="default" w:ascii="Times New Roman" w:hAnsi="Times New Roman" w:eastAsia="宋体" w:cs="Times New Roman"/>
                <w:bCs/>
                <w:color w:val="auto"/>
                <w:kern w:val="0"/>
                <w:sz w:val="24"/>
                <w:highlight w:val="none"/>
                <w:lang w:eastAsia="zh-CN"/>
              </w:rPr>
              <w:t>泄漏，渗透污染地下水</w:t>
            </w:r>
            <w:r>
              <w:rPr>
                <w:rFonts w:hint="eastAsia" w:ascii="Times New Roman" w:hAnsi="Times New Roman" w:eastAsia="宋体" w:cs="Times New Roman"/>
                <w:bCs/>
                <w:color w:val="auto"/>
                <w:kern w:val="0"/>
                <w:sz w:val="24"/>
                <w:highlight w:val="none"/>
                <w:lang w:val="en-US" w:eastAsia="zh-CN"/>
              </w:rPr>
              <w:t>和土壤</w:t>
            </w:r>
            <w:r>
              <w:rPr>
                <w:rFonts w:hint="default" w:ascii="Times New Roman" w:hAnsi="Times New Roman" w:eastAsia="宋体" w:cs="Times New Roman"/>
                <w:bCs/>
                <w:color w:val="auto"/>
                <w:kern w:val="0"/>
                <w:sz w:val="24"/>
                <w:highlight w:val="none"/>
                <w:lang w:eastAsia="zh-CN"/>
              </w:rPr>
              <w:t>。</w:t>
            </w:r>
          </w:p>
          <w:p w14:paraId="06B5F7B3">
            <w:pPr>
              <w:pStyle w:val="83"/>
              <w:adjustRightInd w:val="0"/>
              <w:snapToGrid w:val="0"/>
              <w:spacing w:line="360" w:lineRule="auto"/>
              <w:ind w:firstLine="48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val="en-US" w:eastAsia="zh-CN"/>
              </w:rPr>
              <w:t>③化粪池和一体化污水处理设施</w:t>
            </w:r>
            <w:r>
              <w:rPr>
                <w:rFonts w:hint="default" w:ascii="Times New Roman" w:hAnsi="Times New Roman" w:eastAsia="宋体" w:cs="Times New Roman"/>
                <w:bCs/>
                <w:color w:val="auto"/>
                <w:kern w:val="0"/>
                <w:sz w:val="24"/>
                <w:szCs w:val="24"/>
                <w:highlight w:val="none"/>
                <w:lang w:eastAsia="zh-CN"/>
              </w:rPr>
              <w:t>破损</w:t>
            </w:r>
            <w:r>
              <w:rPr>
                <w:rFonts w:hint="default" w:ascii="Times New Roman" w:hAnsi="Times New Roman" w:eastAsia="宋体" w:cs="Times New Roman"/>
                <w:bCs/>
                <w:color w:val="auto"/>
                <w:kern w:val="0"/>
                <w:sz w:val="24"/>
                <w:szCs w:val="24"/>
                <w:highlight w:val="none"/>
                <w:lang w:val="en-US" w:eastAsia="zh-CN"/>
              </w:rPr>
              <w:t>导致生活污水直接排放，渗透地下水</w:t>
            </w:r>
            <w:r>
              <w:rPr>
                <w:rFonts w:hint="eastAsia" w:ascii="Times New Roman" w:hAnsi="Times New Roman" w:eastAsia="宋体" w:cs="Times New Roman"/>
                <w:bCs/>
                <w:color w:val="auto"/>
                <w:kern w:val="0"/>
                <w:sz w:val="24"/>
                <w:highlight w:val="none"/>
                <w:lang w:val="en-US" w:eastAsia="zh-CN"/>
              </w:rPr>
              <w:t>和土壤</w:t>
            </w:r>
            <w:r>
              <w:rPr>
                <w:rFonts w:hint="default" w:ascii="Times New Roman" w:hAnsi="Times New Roman" w:eastAsia="宋体" w:cs="Times New Roman"/>
                <w:bCs/>
                <w:color w:val="auto"/>
                <w:kern w:val="0"/>
                <w:sz w:val="24"/>
                <w:szCs w:val="24"/>
                <w:highlight w:val="none"/>
                <w:lang w:val="en-US" w:eastAsia="zh-CN"/>
              </w:rPr>
              <w:t>。</w:t>
            </w:r>
          </w:p>
          <w:p w14:paraId="1069C56A">
            <w:pPr>
              <w:keepNext w:val="0"/>
              <w:keepLines w:val="0"/>
              <w:pageBreakBefore w:val="0"/>
              <w:widowControl w:val="0"/>
              <w:kinsoku/>
              <w:wordWrap/>
              <w:overflowPunct/>
              <w:topLinePunct/>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b w:val="0"/>
                <w:bCs w:val="0"/>
                <w:color w:val="auto"/>
                <w:sz w:val="24"/>
                <w:szCs w:val="24"/>
                <w:highlight w:val="none"/>
              </w:rPr>
              <w:t>（</w:t>
            </w:r>
            <w:r>
              <w:rPr>
                <w:rFonts w:hint="eastAsia" w:eastAsia="宋体"/>
                <w:b w:val="0"/>
                <w:bCs w:val="0"/>
                <w:color w:val="auto"/>
                <w:sz w:val="24"/>
                <w:szCs w:val="24"/>
                <w:highlight w:val="none"/>
                <w:lang w:val="en-US" w:eastAsia="zh-CN"/>
              </w:rPr>
              <w:t>4</w:t>
            </w:r>
            <w:r>
              <w:rPr>
                <w:rFonts w:hint="eastAsia" w:ascii="Times New Roman" w:hAnsi="Times New Roman" w:eastAsia="宋体"/>
                <w:b w:val="0"/>
                <w:bCs w:val="0"/>
                <w:color w:val="auto"/>
                <w:sz w:val="24"/>
                <w:szCs w:val="24"/>
                <w:highlight w:val="none"/>
              </w:rPr>
              <w:t>）正常情况下地下水影响分析</w:t>
            </w:r>
          </w:p>
          <w:p w14:paraId="6E538FB9">
            <w:pPr>
              <w:keepNext w:val="0"/>
              <w:keepLines w:val="0"/>
              <w:pageBreakBefore w:val="0"/>
              <w:widowControl w:val="0"/>
              <w:kinsoku/>
              <w:wordWrap/>
              <w:overflowPunct/>
              <w:topLinePunct/>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项目</w:t>
            </w:r>
            <w:r>
              <w:rPr>
                <w:rFonts w:hint="eastAsia" w:ascii="Times New Roman" w:hAnsi="Times New Roman" w:eastAsia="宋体" w:cs="Times New Roman"/>
                <w:b w:val="0"/>
                <w:bCs w:val="0"/>
                <w:color w:val="auto"/>
                <w:sz w:val="24"/>
                <w:szCs w:val="24"/>
                <w:highlight w:val="none"/>
                <w:lang w:val="en-US" w:eastAsia="zh-CN"/>
              </w:rPr>
              <w:t>运营期</w:t>
            </w:r>
            <w:r>
              <w:rPr>
                <w:rFonts w:hint="eastAsia" w:ascii="Times New Roman" w:hAnsi="Times New Roman" w:eastAsia="宋体" w:cs="Times New Roman"/>
                <w:b w:val="0"/>
                <w:bCs w:val="0"/>
                <w:color w:val="auto"/>
                <w:sz w:val="24"/>
                <w:szCs w:val="24"/>
                <w:highlight w:val="none"/>
              </w:rPr>
              <w:t>产生的废水主要为</w:t>
            </w:r>
            <w:r>
              <w:rPr>
                <w:rFonts w:hint="eastAsia" w:ascii="Times New Roman" w:hAnsi="Times New Roman" w:eastAsia="宋体" w:cs="Times New Roman"/>
                <w:b w:val="0"/>
                <w:bCs w:val="0"/>
                <w:color w:val="auto"/>
                <w:sz w:val="24"/>
                <w:szCs w:val="24"/>
                <w:highlight w:val="none"/>
                <w:lang w:val="en-US" w:eastAsia="zh-CN"/>
              </w:rPr>
              <w:t>食堂废水和生活污水</w:t>
            </w:r>
            <w:r>
              <w:rPr>
                <w:rFonts w:hint="eastAsia" w:ascii="Times New Roman" w:hAnsi="Times New Roman" w:eastAsia="宋体" w:cs="Times New Roman"/>
                <w:b w:val="0"/>
                <w:bCs w:val="0"/>
                <w:color w:val="auto"/>
                <w:sz w:val="24"/>
                <w:szCs w:val="24"/>
                <w:highlight w:val="none"/>
              </w:rPr>
              <w:t>，产生的固体废物包括一般固废、危险废物。根据项目特征，本项目对地下水环境可能产生影响的环节主要有污水管道、危废暂存间、</w:t>
            </w:r>
            <w:r>
              <w:rPr>
                <w:rFonts w:hint="eastAsia" w:ascii="Times New Roman" w:hAnsi="Times New Roman" w:eastAsia="宋体" w:cs="Times New Roman"/>
                <w:b w:val="0"/>
                <w:bCs w:val="0"/>
                <w:color w:val="auto"/>
                <w:sz w:val="24"/>
                <w:szCs w:val="24"/>
                <w:highlight w:val="none"/>
                <w:lang w:val="en-US" w:eastAsia="zh-CN"/>
              </w:rPr>
              <w:t>化粪池</w:t>
            </w:r>
            <w:r>
              <w:rPr>
                <w:rFonts w:hint="eastAsia" w:ascii="Times New Roman" w:hAnsi="Times New Roman" w:eastAsia="宋体" w:cs="Times New Roman"/>
                <w:b w:val="0"/>
                <w:bCs w:val="0"/>
                <w:color w:val="auto"/>
                <w:sz w:val="24"/>
                <w:szCs w:val="24"/>
                <w:highlight w:val="none"/>
              </w:rPr>
              <w:t>等在封闭不严、设备、管道发生渗漏、防渗措施不到位或损坏的情况下，会有某种程度的下渗，对周围地下水造成一定的影响。</w:t>
            </w:r>
          </w:p>
          <w:p w14:paraId="703A0CDE">
            <w:pPr>
              <w:keepNext w:val="0"/>
              <w:keepLines w:val="0"/>
              <w:pageBreakBefore w:val="0"/>
              <w:widowControl w:val="0"/>
              <w:kinsoku/>
              <w:wordWrap/>
              <w:overflowPunct/>
              <w:topLinePunct/>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项目区实行雨污分流制，项目运营期</w:t>
            </w:r>
            <w:r>
              <w:rPr>
                <w:rFonts w:hint="eastAsia" w:cs="Times New Roman"/>
                <w:b w:val="0"/>
                <w:bCs/>
                <w:color w:val="auto"/>
                <w:kern w:val="2"/>
                <w:sz w:val="24"/>
                <w:szCs w:val="24"/>
                <w:highlight w:val="none"/>
                <w:lang w:val="en-US" w:eastAsia="zh-CN" w:bidi="ar-SA"/>
              </w:rPr>
              <w:t>废水仅为洗车废水，经沉淀后回用</w:t>
            </w:r>
            <w:r>
              <w:rPr>
                <w:rFonts w:hint="eastAsia" w:ascii="Times New Roman" w:hAnsi="Times New Roman" w:eastAsia="宋体" w:cs="Times New Roman"/>
                <w:b w:val="0"/>
                <w:bCs/>
                <w:color w:val="auto"/>
                <w:kern w:val="2"/>
                <w:sz w:val="24"/>
                <w:szCs w:val="24"/>
                <w:highlight w:val="none"/>
                <w:lang w:val="en-US" w:eastAsia="zh-CN" w:bidi="ar-SA"/>
              </w:rPr>
              <w:t>，</w:t>
            </w:r>
            <w:r>
              <w:rPr>
                <w:rFonts w:hint="eastAsia" w:ascii="Times New Roman" w:hAnsi="Times New Roman"/>
                <w:color w:val="auto"/>
                <w:sz w:val="24"/>
                <w:szCs w:val="24"/>
                <w:highlight w:val="none"/>
                <w:lang w:val="en-US" w:eastAsia="zh-CN"/>
              </w:rPr>
              <w:t>食堂废水通过隔油池处理后，与其他生活污水一起进入化粪池处理，最后</w:t>
            </w:r>
            <w:r>
              <w:rPr>
                <w:rFonts w:hint="eastAsia" w:ascii="Times New Roman" w:hAnsi="Times New Roman" w:eastAsia="宋体" w:cs="宋体"/>
                <w:color w:val="auto"/>
                <w:sz w:val="24"/>
                <w:highlight w:val="none"/>
                <w:lang w:val="en-US" w:eastAsia="zh-CN"/>
              </w:rPr>
              <w:t>进入新建的污水处理站</w:t>
            </w:r>
            <w:r>
              <w:rPr>
                <w:rFonts w:hint="eastAsia" w:ascii="Times New Roman" w:hAnsi="Times New Roman" w:cs="宋体"/>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处理达</w:t>
            </w:r>
            <w:r>
              <w:rPr>
                <w:rFonts w:hint="eastAsia" w:ascii="Times New Roman" w:hAnsi="Times New Roman" w:eastAsia="宋体" w:cs="Times New Roman"/>
                <w:color w:val="auto"/>
                <w:sz w:val="24"/>
                <w:szCs w:val="24"/>
                <w:highlight w:val="none"/>
                <w:lang w:val="en-US" w:eastAsia="zh-CN"/>
              </w:rPr>
              <w:t>到</w:t>
            </w:r>
            <w:r>
              <w:rPr>
                <w:rFonts w:hint="default" w:ascii="Times New Roman" w:hAnsi="Times New Roman" w:eastAsia="宋体" w:cs="Times New Roman"/>
                <w:color w:val="auto"/>
                <w:sz w:val="24"/>
                <w:szCs w:val="24"/>
                <w:highlight w:val="none"/>
                <w:lang w:val="en-US" w:eastAsia="zh-CN"/>
              </w:rPr>
              <w:t>《城市污水再生利用城市杂用水水质》（GB/T18920-2020）中的城市绿化标准后，回用于厂区绿化</w:t>
            </w:r>
            <w:r>
              <w:rPr>
                <w:rFonts w:hint="eastAsia" w:ascii="Times New Roman" w:hAnsi="Times New Roman" w:eastAsia="宋体" w:cs="宋体"/>
                <w:color w:val="auto"/>
                <w:sz w:val="24"/>
                <w:highlight w:val="none"/>
                <w:lang w:val="en-US" w:eastAsia="zh-CN"/>
              </w:rPr>
              <w:t>，不外排</w:t>
            </w:r>
            <w:r>
              <w:rPr>
                <w:rFonts w:hint="eastAsia" w:ascii="Times New Roman" w:hAnsi="Times New Roman" w:eastAsia="宋体" w:cs="Times New Roman"/>
                <w:b w:val="0"/>
                <w:bCs/>
                <w:color w:val="auto"/>
                <w:sz w:val="24"/>
                <w:szCs w:val="24"/>
                <w:highlight w:val="none"/>
                <w:lang w:val="en-US" w:eastAsia="zh-CN"/>
              </w:rPr>
              <w:t>。</w:t>
            </w:r>
            <w:r>
              <w:rPr>
                <w:rFonts w:hint="eastAsia" w:ascii="Times New Roman" w:hAnsi="Times New Roman"/>
                <w:b w:val="0"/>
                <w:bCs/>
                <w:color w:val="auto"/>
                <w:sz w:val="24"/>
                <w:szCs w:val="24"/>
                <w:highlight w:val="none"/>
                <w:lang w:val="en-US" w:eastAsia="zh-CN"/>
              </w:rPr>
              <w:t>初期雨水经厂区雨水沟/管收集后经初期雨水收集池沉淀处理后回用厂区洒水降尘，不外排。因此</w:t>
            </w:r>
            <w:r>
              <w:rPr>
                <w:rFonts w:hint="eastAsia" w:ascii="Times New Roman" w:hAnsi="Times New Roman" w:eastAsia="宋体" w:cs="Times New Roman"/>
                <w:b w:val="0"/>
                <w:bCs w:val="0"/>
                <w:color w:val="auto"/>
                <w:sz w:val="24"/>
                <w:szCs w:val="24"/>
                <w:highlight w:val="none"/>
                <w:lang w:val="en-US" w:eastAsia="zh-CN"/>
              </w:rPr>
              <w:t>正常情况下，</w:t>
            </w:r>
            <w:r>
              <w:rPr>
                <w:rFonts w:hint="eastAsia" w:ascii="Times New Roman" w:hAnsi="Times New Roman"/>
                <w:b w:val="0"/>
                <w:bCs/>
                <w:color w:val="auto"/>
                <w:sz w:val="24"/>
                <w:szCs w:val="24"/>
                <w:highlight w:val="none"/>
                <w:lang w:val="en-US" w:eastAsia="zh-CN"/>
              </w:rPr>
              <w:t>食堂废水和生活污水</w:t>
            </w:r>
            <w:r>
              <w:rPr>
                <w:rFonts w:hint="eastAsia" w:ascii="Times New Roman" w:hAnsi="Times New Roman" w:eastAsia="宋体" w:cs="Times New Roman"/>
                <w:b w:val="0"/>
                <w:bCs w:val="0"/>
                <w:color w:val="auto"/>
                <w:sz w:val="24"/>
                <w:szCs w:val="24"/>
                <w:highlight w:val="none"/>
                <w:lang w:val="en-US" w:eastAsia="zh-CN"/>
              </w:rPr>
              <w:t>不会对地下水造成影响。</w:t>
            </w:r>
          </w:p>
          <w:p w14:paraId="6E134A99">
            <w:pPr>
              <w:keepNext w:val="0"/>
              <w:keepLines w:val="0"/>
              <w:pageBreakBefore w:val="0"/>
              <w:widowControl w:val="0"/>
              <w:kinsoku/>
              <w:wordWrap/>
              <w:overflowPunct/>
              <w:topLinePunct/>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运营期产生的危险废物暂存在危废暂存间，再委托有资质单位进行转移处置，危废间严格按照《危险废物贮存污染控制标准》（GB18597-2023）的要求，采取防渗漏、防溢流、防腐蚀等措施，防止污染地下水。因此项目在正常工况下，不会由于固体废物中有害成分渗入地下影响地下水水质。</w:t>
            </w:r>
          </w:p>
          <w:p w14:paraId="25F2FE71">
            <w:pPr>
              <w:keepNext w:val="0"/>
              <w:keepLines w:val="0"/>
              <w:pageBreakBefore w:val="0"/>
              <w:widowControl w:val="0"/>
              <w:kinsoku/>
              <w:wordWrap/>
              <w:overflowPunct/>
              <w:topLinePunct/>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正常工况下，柴油储罐不会污染地下水，核心基于柴油特性、储罐防护设计及日常管控三重保障。柴油难溶于水且密度小于水，即使少量泄漏也会浮于水面，难以渗透至地下含水层。同时，储罐均按规范设置防腐涂层、防渗层及防渗池，底部铺设HDPE防渗膜等防渗材料，可有效阻隔柴油渗漏。此外，日常管理中会定期对储罐密封性、防渗设施进行巡检检测，及时排查阀门、法兰等部位的潜在渗漏隐患，确保无跑冒滴漏现象。加之储罐选址避开地下水敏感区域，基础设计符合地下水防护要求，多重防护叠加，可有效阻断柴油与地下水的接触路径，因此正常情况下不会对地下水造成污染。</w:t>
            </w:r>
          </w:p>
          <w:p w14:paraId="56F89FD1">
            <w:pPr>
              <w:keepNext w:val="0"/>
              <w:keepLines w:val="0"/>
              <w:pageBreakBefore w:val="0"/>
              <w:widowControl w:val="0"/>
              <w:kinsoku/>
              <w:wordWrap/>
              <w:overflowPunct/>
              <w:topLinePunct/>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5</w:t>
            </w:r>
            <w:r>
              <w:rPr>
                <w:rFonts w:hint="eastAsia" w:ascii="Times New Roman" w:hAnsi="Times New Roman" w:eastAsia="宋体" w:cs="Times New Roman"/>
                <w:b w:val="0"/>
                <w:bCs w:val="0"/>
                <w:color w:val="auto"/>
                <w:kern w:val="2"/>
                <w:sz w:val="24"/>
                <w:szCs w:val="24"/>
                <w:highlight w:val="none"/>
                <w:lang w:val="en-US" w:eastAsia="zh-CN" w:bidi="ar-SA"/>
              </w:rPr>
              <w:t>）非正常情况下地下水环境影响分析</w:t>
            </w:r>
          </w:p>
          <w:p w14:paraId="5AA6CC3E">
            <w:pPr>
              <w:pStyle w:val="107"/>
              <w:keepNext w:val="0"/>
              <w:keepLines w:val="0"/>
              <w:pageBreakBefore w:val="0"/>
              <w:widowControl w:val="0"/>
              <w:kinsoku/>
              <w:wordWrap/>
              <w:overflowPunct/>
              <w:topLinePunct/>
              <w:autoSpaceDE/>
              <w:autoSpaceDN/>
              <w:bidi w:val="0"/>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非正常情况下，在项目运行中危废暂存间贮存的废润滑油有一定的事故发生概率，一旦发生泄漏事故，可能有一定量的废润滑油通过包气带泄漏到地下水环境，会对区域地下水造成污染。废润滑油泄漏污染地下水时会使地下水产生严重异味，并具有较强的致畸、致癌性，且由于这种渗漏必然穿过较厚的土壤层，使</w:t>
            </w:r>
            <w:r>
              <w:rPr>
                <w:rFonts w:hint="eastAsia" w:ascii="Times New Roman" w:hAnsi="Times New Roman" w:cs="Times New Roman"/>
                <w:color w:val="auto"/>
                <w:kern w:val="2"/>
                <w:sz w:val="24"/>
                <w:szCs w:val="24"/>
                <w:highlight w:val="none"/>
                <w:lang w:val="en-US" w:eastAsia="zh-CN" w:bidi="ar-SA"/>
              </w:rPr>
              <w:t>土壤层</w:t>
            </w:r>
            <w:r>
              <w:rPr>
                <w:rFonts w:hint="eastAsia" w:ascii="Times New Roman" w:hAnsi="Times New Roman" w:eastAsia="宋体" w:cs="Times New Roman"/>
                <w:color w:val="auto"/>
                <w:kern w:val="2"/>
                <w:sz w:val="24"/>
                <w:szCs w:val="24"/>
                <w:highlight w:val="none"/>
                <w:lang w:val="en-US" w:eastAsia="zh-CN" w:bidi="ar-SA"/>
              </w:rPr>
              <w:t>吸附大量的油品，土壤层吸附的燃料油不仅会造成植物的死亡，而且土壤层吸附的燃料油还会随着地表水下渗冲刷土壤层进而补充到地下水，这样尽管污染源得到及时控制，由于含水层的自净降解是一个长期的过程，达到地下水的完全恢复</w:t>
            </w:r>
            <w:r>
              <w:rPr>
                <w:rFonts w:hint="eastAsia" w:ascii="Times New Roman" w:hAnsi="Times New Roman" w:cs="Times New Roman"/>
                <w:color w:val="auto"/>
                <w:kern w:val="2"/>
                <w:sz w:val="24"/>
                <w:szCs w:val="24"/>
                <w:highlight w:val="none"/>
                <w:lang w:val="en-US" w:eastAsia="zh-CN" w:bidi="ar-SA"/>
              </w:rPr>
              <w:t>需要</w:t>
            </w:r>
            <w:r>
              <w:rPr>
                <w:rFonts w:hint="eastAsia" w:ascii="Times New Roman" w:hAnsi="Times New Roman" w:eastAsia="宋体" w:cs="Times New Roman"/>
                <w:color w:val="auto"/>
                <w:kern w:val="2"/>
                <w:sz w:val="24"/>
                <w:szCs w:val="24"/>
                <w:highlight w:val="none"/>
                <w:lang w:val="en-US" w:eastAsia="zh-CN" w:bidi="ar-SA"/>
              </w:rPr>
              <w:t>几十年甚至上百年的时间。</w:t>
            </w:r>
          </w:p>
          <w:p w14:paraId="24AADE1B">
            <w:pPr>
              <w:pStyle w:val="107"/>
              <w:keepNext w:val="0"/>
              <w:keepLines w:val="0"/>
              <w:pageBreakBefore w:val="0"/>
              <w:widowControl w:val="0"/>
              <w:kinsoku/>
              <w:wordWrap/>
              <w:overflowPunct/>
              <w:topLinePunct/>
              <w:autoSpaceDE/>
              <w:autoSpaceDN/>
              <w:bidi w:val="0"/>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非正常工况下，柴油储罐易对地下水造成污染，核心源于储罐破损、防渗失效及违规操作等隐患。储罐防腐涂层老化破损、防渗层开裂或防渗池损坏，会导致柴油直接泄漏；违规卸料、检修疏漏或自然灾害（如地震、场地沉降），也会引发柴油外泄。柴油虽难溶于水，但泄漏量较大时，会突破防渗屏障，缓慢渗透至地下含水层，在地下水径流作用下扩散，导致地下水油类污染物超标，破坏水质。污染后的地下水会影响周边居民饮用水安全，危害土壤生态，且柴油降解难度大、治理周期长，易造成长期环境隐患，需及时排查各类非正常隐患，防范泄漏污染。</w:t>
            </w:r>
          </w:p>
          <w:p w14:paraId="58238DCD">
            <w:pPr>
              <w:pStyle w:val="107"/>
              <w:keepNext w:val="0"/>
              <w:keepLines w:val="0"/>
              <w:pageBreakBefore w:val="0"/>
              <w:widowControl w:val="0"/>
              <w:kinsoku/>
              <w:wordWrap/>
              <w:overflowPunct/>
              <w:topLinePunct/>
              <w:autoSpaceDE/>
              <w:autoSpaceDN/>
              <w:bidi w:val="0"/>
              <w:adjustRightInd w:val="0"/>
              <w:snapToGrid w:val="0"/>
              <w:spacing w:line="360" w:lineRule="auto"/>
              <w:ind w:firstLine="480" w:firstLineChars="200"/>
              <w:rPr>
                <w:rFonts w:hint="default" w:ascii="Times New Roman" w:hAnsi="Times New Roman" w:cs="Times New Roman"/>
                <w:color w:val="auto"/>
                <w:highlight w:val="none"/>
              </w:rPr>
            </w:pPr>
            <w:r>
              <w:rPr>
                <w:rFonts w:hint="eastAsia" w:ascii="Times New Roman" w:hAnsi="Times New Roman" w:eastAsia="宋体" w:cs="Times New Roman"/>
                <w:color w:val="auto"/>
                <w:kern w:val="2"/>
                <w:sz w:val="24"/>
                <w:szCs w:val="24"/>
                <w:highlight w:val="none"/>
                <w:lang w:val="en-US" w:eastAsia="zh-CN" w:bidi="ar-SA"/>
              </w:rPr>
              <w:t>为避免非正常情况下废润滑油、柴油泄漏影响地下水，环评要求项目厂区应严格按照分区防渗的要求对项目区进行防渗，</w:t>
            </w:r>
            <w:r>
              <w:rPr>
                <w:rFonts w:hint="default" w:ascii="Times New Roman" w:hAnsi="Times New Roman" w:cs="Times New Roman"/>
                <w:color w:val="auto"/>
                <w:highlight w:val="none"/>
              </w:rPr>
              <w:t>结合项目污染特征因子及其污染控制难易程度、项目场地天然包气带特征及其防污特性，项目按照《环境影响评价导则</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地下水》（HJ610-2016）表7规定要求实施分区防渗，将场地划分为重点防渗区、一般防渗区和简单防渗区分区，分区情况及防渗要求详见下表。</w:t>
            </w:r>
          </w:p>
          <w:p w14:paraId="7CF1201D">
            <w:pPr>
              <w:adjustRightInd w:val="0"/>
              <w:snapToGrid w:val="0"/>
              <w:spacing w:after="158" w:afterLines="50"/>
              <w:jc w:val="center"/>
              <w:rPr>
                <w:rFonts w:hint="eastAsia" w:ascii="Times New Roman" w:hAnsi="Times New Roman" w:eastAsia="宋体" w:cs="宋体"/>
                <w:b/>
                <w:bCs/>
                <w:color w:val="auto"/>
                <w:spacing w:val="4"/>
                <w:kern w:val="0"/>
                <w:sz w:val="24"/>
                <w:highlight w:val="none"/>
                <w:lang w:eastAsia="zh-CN" w:bidi="ar"/>
              </w:rPr>
            </w:pPr>
          </w:p>
          <w:p w14:paraId="3F90CEB0">
            <w:pPr>
              <w:adjustRightInd w:val="0"/>
              <w:snapToGrid w:val="0"/>
              <w:spacing w:after="158" w:afterLines="50"/>
              <w:jc w:val="center"/>
              <w:rPr>
                <w:rFonts w:hint="eastAsia" w:ascii="Times New Roman" w:hAnsi="Times New Roman" w:eastAsia="宋体" w:cs="宋体"/>
                <w:b/>
                <w:bCs/>
                <w:color w:val="auto"/>
                <w:spacing w:val="4"/>
                <w:kern w:val="0"/>
                <w:sz w:val="24"/>
                <w:highlight w:val="none"/>
                <w:lang w:eastAsia="zh-CN" w:bidi="ar"/>
              </w:rPr>
            </w:pPr>
          </w:p>
          <w:p w14:paraId="3B7DBB0E">
            <w:pPr>
              <w:adjustRightInd w:val="0"/>
              <w:snapToGrid w:val="0"/>
              <w:spacing w:after="158" w:afterLines="50"/>
              <w:jc w:val="center"/>
              <w:rPr>
                <w:rFonts w:hint="eastAsia" w:ascii="Times New Roman" w:hAnsi="Times New Roman" w:eastAsia="宋体" w:cs="宋体"/>
                <w:b/>
                <w:bCs/>
                <w:color w:val="auto"/>
                <w:spacing w:val="4"/>
                <w:kern w:val="0"/>
                <w:sz w:val="24"/>
                <w:highlight w:val="none"/>
                <w:lang w:eastAsia="zh-CN" w:bidi="ar"/>
              </w:rPr>
            </w:pPr>
          </w:p>
          <w:p w14:paraId="50194C5C">
            <w:pPr>
              <w:adjustRightInd w:val="0"/>
              <w:snapToGrid w:val="0"/>
              <w:spacing w:after="158" w:afterLines="50"/>
              <w:jc w:val="center"/>
              <w:rPr>
                <w:rFonts w:hint="eastAsia" w:ascii="Times New Roman" w:hAnsi="Times New Roman" w:eastAsia="宋体" w:cs="宋体"/>
                <w:b/>
                <w:bCs/>
                <w:color w:val="auto"/>
                <w:spacing w:val="4"/>
                <w:kern w:val="0"/>
                <w:sz w:val="24"/>
                <w:highlight w:val="none"/>
                <w:lang w:eastAsia="zh-CN" w:bidi="ar"/>
              </w:rPr>
            </w:pPr>
          </w:p>
          <w:p w14:paraId="753E723F">
            <w:pPr>
              <w:adjustRightInd w:val="0"/>
              <w:snapToGrid w:val="0"/>
              <w:spacing w:after="158" w:afterLines="50"/>
              <w:jc w:val="center"/>
              <w:rPr>
                <w:rFonts w:hint="eastAsia" w:ascii="Times New Roman" w:hAnsi="Times New Roman" w:eastAsia="宋体" w:cs="宋体"/>
                <w:b/>
                <w:bCs/>
                <w:color w:val="auto"/>
                <w:spacing w:val="4"/>
                <w:kern w:val="0"/>
                <w:sz w:val="24"/>
                <w:highlight w:val="none"/>
                <w:lang w:eastAsia="zh-CN" w:bidi="ar"/>
              </w:rPr>
            </w:pPr>
          </w:p>
          <w:p w14:paraId="1E1D7E87">
            <w:pPr>
              <w:adjustRightInd w:val="0"/>
              <w:snapToGrid w:val="0"/>
              <w:spacing w:after="158" w:afterLines="50"/>
              <w:jc w:val="center"/>
              <w:rPr>
                <w:rFonts w:hint="default" w:ascii="Times New Roman" w:hAnsi="Times New Roman" w:eastAsia="宋体" w:cs="宋体"/>
                <w:b/>
                <w:bCs/>
                <w:color w:val="auto"/>
                <w:spacing w:val="4"/>
                <w:kern w:val="0"/>
                <w:sz w:val="24"/>
                <w:highlight w:val="none"/>
                <w:lang w:val="en-US" w:eastAsia="zh-CN" w:bidi="ar"/>
              </w:rPr>
            </w:pPr>
            <w:r>
              <w:rPr>
                <w:rFonts w:hint="eastAsia" w:ascii="Times New Roman" w:hAnsi="Times New Roman" w:eastAsia="宋体" w:cs="宋体"/>
                <w:b/>
                <w:bCs/>
                <w:color w:val="auto"/>
                <w:spacing w:val="4"/>
                <w:kern w:val="0"/>
                <w:sz w:val="24"/>
                <w:highlight w:val="none"/>
                <w:lang w:eastAsia="zh-CN" w:bidi="ar"/>
              </w:rPr>
              <w:t>表</w:t>
            </w:r>
            <w:r>
              <w:rPr>
                <w:rFonts w:hint="eastAsia" w:ascii="Times New Roman" w:hAnsi="Times New Roman" w:eastAsia="宋体" w:cs="宋体"/>
                <w:b/>
                <w:bCs/>
                <w:color w:val="auto"/>
                <w:spacing w:val="4"/>
                <w:kern w:val="0"/>
                <w:sz w:val="24"/>
                <w:highlight w:val="none"/>
                <w:lang w:val="en-US" w:eastAsia="zh-CN" w:bidi="ar"/>
              </w:rPr>
              <w:t>4.2.5-1地下水分区防渗表</w:t>
            </w:r>
          </w:p>
          <w:tbl>
            <w:tblPr>
              <w:tblStyle w:val="35"/>
              <w:tblW w:w="495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0"/>
              <w:gridCol w:w="2282"/>
              <w:gridCol w:w="4572"/>
            </w:tblGrid>
            <w:tr w14:paraId="4F7A1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trPr>
              <w:tc>
                <w:tcPr>
                  <w:tcW w:w="766" w:type="pct"/>
                  <w:shd w:val="clear" w:color="auto" w:fill="D7D7D7" w:themeFill="background1" w:themeFillShade="D8"/>
                  <w:noWrap w:val="0"/>
                  <w:vAlign w:val="center"/>
                </w:tcPr>
                <w:p w14:paraId="01DD6FB7">
                  <w:pPr>
                    <w:pStyle w:val="108"/>
                    <w:keepNext w:val="0"/>
                    <w:keepLines w:val="0"/>
                    <w:pageBreakBefore w:val="0"/>
                    <w:widowControl w:val="0"/>
                    <w:kinsoku/>
                    <w:wordWrap/>
                    <w:overflowPunct/>
                    <w:autoSpaceDE/>
                    <w:autoSpaceDN/>
                    <w:bidi w:val="0"/>
                    <w:adjustRightInd w:val="0"/>
                    <w:snapToGrid w:val="0"/>
                    <w:textAlignment w:val="auto"/>
                    <w:rPr>
                      <w:rFonts w:ascii="Times New Roman" w:hAnsi="Times New Roman"/>
                      <w:color w:val="auto"/>
                      <w:highlight w:val="none"/>
                    </w:rPr>
                  </w:pPr>
                  <w:r>
                    <w:rPr>
                      <w:rFonts w:ascii="Times New Roman" w:hAnsi="Times New Roman"/>
                      <w:color w:val="auto"/>
                      <w:highlight w:val="none"/>
                    </w:rPr>
                    <w:t>防渗分区</w:t>
                  </w:r>
                </w:p>
              </w:tc>
              <w:tc>
                <w:tcPr>
                  <w:tcW w:w="1409" w:type="pct"/>
                  <w:shd w:val="clear" w:color="auto" w:fill="D7D7D7" w:themeFill="background1" w:themeFillShade="D8"/>
                  <w:noWrap w:val="0"/>
                  <w:vAlign w:val="center"/>
                </w:tcPr>
                <w:p w14:paraId="0F772D2A">
                  <w:pPr>
                    <w:pStyle w:val="108"/>
                    <w:keepNext w:val="0"/>
                    <w:keepLines w:val="0"/>
                    <w:pageBreakBefore w:val="0"/>
                    <w:widowControl w:val="0"/>
                    <w:kinsoku/>
                    <w:wordWrap/>
                    <w:overflowPunct/>
                    <w:autoSpaceDE/>
                    <w:autoSpaceDN/>
                    <w:bidi w:val="0"/>
                    <w:adjustRightInd w:val="0"/>
                    <w:snapToGrid w:val="0"/>
                    <w:textAlignment w:val="auto"/>
                    <w:rPr>
                      <w:rFonts w:ascii="Times New Roman" w:hAnsi="Times New Roman"/>
                      <w:color w:val="auto"/>
                      <w:highlight w:val="none"/>
                    </w:rPr>
                  </w:pPr>
                  <w:r>
                    <w:rPr>
                      <w:rFonts w:ascii="Times New Roman" w:hAnsi="Times New Roman"/>
                      <w:color w:val="auto"/>
                      <w:highlight w:val="none"/>
                    </w:rPr>
                    <w:t>构筑物</w:t>
                  </w:r>
                </w:p>
              </w:tc>
              <w:tc>
                <w:tcPr>
                  <w:tcW w:w="2824" w:type="pct"/>
                  <w:shd w:val="clear" w:color="auto" w:fill="D7D7D7" w:themeFill="background1" w:themeFillShade="D8"/>
                  <w:noWrap w:val="0"/>
                  <w:vAlign w:val="center"/>
                </w:tcPr>
                <w:p w14:paraId="2A968A49">
                  <w:pPr>
                    <w:pStyle w:val="108"/>
                    <w:keepNext w:val="0"/>
                    <w:keepLines w:val="0"/>
                    <w:pageBreakBefore w:val="0"/>
                    <w:widowControl w:val="0"/>
                    <w:kinsoku/>
                    <w:wordWrap/>
                    <w:overflowPunct/>
                    <w:autoSpaceDE/>
                    <w:autoSpaceDN/>
                    <w:bidi w:val="0"/>
                    <w:adjustRightInd w:val="0"/>
                    <w:snapToGrid w:val="0"/>
                    <w:textAlignment w:val="auto"/>
                    <w:rPr>
                      <w:rFonts w:ascii="Times New Roman" w:hAnsi="Times New Roman"/>
                      <w:color w:val="auto"/>
                      <w:highlight w:val="none"/>
                    </w:rPr>
                  </w:pPr>
                  <w:r>
                    <w:rPr>
                      <w:rFonts w:ascii="Times New Roman" w:hAnsi="Times New Roman"/>
                      <w:color w:val="auto"/>
                      <w:highlight w:val="none"/>
                    </w:rPr>
                    <w:t>防渗技术要求</w:t>
                  </w:r>
                </w:p>
              </w:tc>
            </w:tr>
            <w:tr w14:paraId="503E4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trPr>
              <w:tc>
                <w:tcPr>
                  <w:tcW w:w="766" w:type="pct"/>
                  <w:noWrap w:val="0"/>
                  <w:vAlign w:val="center"/>
                </w:tcPr>
                <w:p w14:paraId="624DD687">
                  <w:pPr>
                    <w:pStyle w:val="108"/>
                    <w:keepNext w:val="0"/>
                    <w:keepLines w:val="0"/>
                    <w:pageBreakBefore w:val="0"/>
                    <w:widowControl w:val="0"/>
                    <w:kinsoku/>
                    <w:wordWrap/>
                    <w:overflowPunct/>
                    <w:autoSpaceDE/>
                    <w:autoSpaceDN/>
                    <w:bidi w:val="0"/>
                    <w:adjustRightInd w:val="0"/>
                    <w:snapToGrid w:val="0"/>
                    <w:textAlignment w:val="auto"/>
                    <w:rPr>
                      <w:rFonts w:ascii="Times New Roman" w:hAnsi="Times New Roman"/>
                      <w:color w:val="auto"/>
                      <w:highlight w:val="none"/>
                    </w:rPr>
                  </w:pPr>
                  <w:r>
                    <w:rPr>
                      <w:rFonts w:ascii="Times New Roman" w:hAnsi="Times New Roman"/>
                      <w:color w:val="auto"/>
                      <w:highlight w:val="none"/>
                    </w:rPr>
                    <w:t>重点防渗区</w:t>
                  </w:r>
                </w:p>
              </w:tc>
              <w:tc>
                <w:tcPr>
                  <w:tcW w:w="2282" w:type="dxa"/>
                  <w:noWrap w:val="0"/>
                  <w:vAlign w:val="center"/>
                </w:tcPr>
                <w:p w14:paraId="77438D77">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s="Times New Roman"/>
                      <w:color w:val="auto"/>
                      <w:kern w:val="24"/>
                      <w:szCs w:val="21"/>
                      <w:highlight w:val="none"/>
                    </w:rPr>
                    <w:t>危废暂存间</w:t>
                  </w:r>
                  <w:r>
                    <w:rPr>
                      <w:rFonts w:hint="eastAsia" w:ascii="Times New Roman" w:hAnsi="Times New Roman" w:eastAsia="宋体" w:cs="Times New Roman"/>
                      <w:color w:val="auto"/>
                      <w:kern w:val="24"/>
                      <w:szCs w:val="21"/>
                      <w:highlight w:val="none"/>
                      <w:lang w:eastAsia="zh-CN"/>
                    </w:rPr>
                    <w:t>、</w:t>
                  </w:r>
                  <w:r>
                    <w:rPr>
                      <w:rFonts w:hint="eastAsia" w:ascii="Times New Roman" w:hAnsi="Times New Roman" w:eastAsia="宋体" w:cs="Times New Roman"/>
                      <w:color w:val="auto"/>
                      <w:kern w:val="24"/>
                      <w:szCs w:val="21"/>
                      <w:highlight w:val="none"/>
                      <w:lang w:val="en-US" w:eastAsia="zh-CN"/>
                    </w:rPr>
                    <w:t>柴油储罐区</w:t>
                  </w:r>
                </w:p>
              </w:tc>
              <w:tc>
                <w:tcPr>
                  <w:tcW w:w="4573" w:type="dxa"/>
                  <w:noWrap w:val="0"/>
                  <w:vAlign w:val="center"/>
                </w:tcPr>
                <w:p w14:paraId="15405804">
                  <w:pPr>
                    <w:keepNext w:val="0"/>
                    <w:keepLines w:val="0"/>
                    <w:pageBreakBefore w:val="0"/>
                    <w:widowControl w:val="0"/>
                    <w:kinsoku/>
                    <w:wordWrap/>
                    <w:overflowPunct/>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危险废物暂存间。</w:t>
                  </w:r>
                  <w:r>
                    <w:rPr>
                      <w:rFonts w:hint="default" w:ascii="Times New Roman" w:hAnsi="Times New Roman" w:eastAsia="宋体" w:cs="Times New Roman"/>
                      <w:bCs/>
                      <w:color w:val="auto"/>
                      <w:szCs w:val="21"/>
                      <w:highlight w:val="none"/>
                    </w:rPr>
                    <w:t>按照《危险废物贮存污染控制标准》（GB18597-2023）</w:t>
                  </w:r>
                  <w:r>
                    <w:rPr>
                      <w:rFonts w:hint="default" w:ascii="Times New Roman" w:hAnsi="Times New Roman" w:eastAsia="宋体" w:cs="Times New Roman"/>
                      <w:bCs/>
                      <w:color w:val="auto"/>
                      <w:kern w:val="0"/>
                      <w:szCs w:val="21"/>
                      <w:highlight w:val="none"/>
                    </w:rPr>
                    <w:t>中的防渗要求进行防渗设计，防渗层的防渗性能应等效于渗透系数≤1.0×10</w:t>
                  </w:r>
                  <w:r>
                    <w:rPr>
                      <w:rFonts w:hint="default" w:ascii="Times New Roman" w:hAnsi="Times New Roman" w:eastAsia="宋体" w:cs="Times New Roman"/>
                      <w:bCs/>
                      <w:color w:val="auto"/>
                      <w:kern w:val="0"/>
                      <w:szCs w:val="21"/>
                      <w:highlight w:val="none"/>
                      <w:vertAlign w:val="superscript"/>
                    </w:rPr>
                    <w:t>-7</w:t>
                  </w:r>
                  <w:r>
                    <w:rPr>
                      <w:rFonts w:hint="default" w:ascii="Times New Roman" w:hAnsi="Times New Roman" w:eastAsia="宋体" w:cs="Times New Roman"/>
                      <w:bCs/>
                      <w:color w:val="auto"/>
                      <w:kern w:val="0"/>
                      <w:szCs w:val="21"/>
                      <w:highlight w:val="none"/>
                    </w:rPr>
                    <w:t>cm/s的黏土层的防渗性能或2毫米厚高密度聚乙烯，或等效于渗透系数≤10</w:t>
                  </w:r>
                  <w:r>
                    <w:rPr>
                      <w:rFonts w:hint="default" w:ascii="Times New Roman" w:hAnsi="Times New Roman" w:eastAsia="宋体" w:cs="Times New Roman"/>
                      <w:bCs/>
                      <w:color w:val="auto"/>
                      <w:kern w:val="0"/>
                      <w:szCs w:val="21"/>
                      <w:highlight w:val="none"/>
                      <w:vertAlign w:val="superscript"/>
                    </w:rPr>
                    <w:t>-10</w:t>
                  </w:r>
                  <w:r>
                    <w:rPr>
                      <w:rFonts w:hint="default" w:ascii="Times New Roman" w:hAnsi="Times New Roman" w:eastAsia="宋体" w:cs="Times New Roman"/>
                      <w:bCs/>
                      <w:color w:val="auto"/>
                      <w:kern w:val="0"/>
                      <w:szCs w:val="21"/>
                      <w:highlight w:val="none"/>
                    </w:rPr>
                    <w:t>cm/s的至少2毫米厚的</w:t>
                  </w:r>
                  <w:r>
                    <w:rPr>
                      <w:rFonts w:hint="eastAsia" w:ascii="Times New Roman" w:hAnsi="Times New Roman" w:cs="Times New Roman"/>
                      <w:bCs/>
                      <w:color w:val="auto"/>
                      <w:kern w:val="0"/>
                      <w:szCs w:val="21"/>
                      <w:highlight w:val="none"/>
                      <w:lang w:eastAsia="zh-CN"/>
                    </w:rPr>
                    <w:t>其他人工</w:t>
                  </w:r>
                  <w:r>
                    <w:rPr>
                      <w:rFonts w:hint="default" w:ascii="Times New Roman" w:hAnsi="Times New Roman" w:eastAsia="宋体" w:cs="Times New Roman"/>
                      <w:bCs/>
                      <w:color w:val="auto"/>
                      <w:kern w:val="0"/>
                      <w:szCs w:val="21"/>
                      <w:highlight w:val="none"/>
                    </w:rPr>
                    <w:t>材料，其次</w:t>
                  </w:r>
                  <w:r>
                    <w:rPr>
                      <w:rFonts w:hint="default" w:ascii="Times New Roman" w:hAnsi="Times New Roman" w:eastAsia="宋体" w:cs="Times New Roman"/>
                      <w:color w:val="auto"/>
                      <w:szCs w:val="21"/>
                      <w:highlight w:val="none"/>
                    </w:rPr>
                    <w:t>须设置防晒、防雨淋等装置，应设计堵截</w:t>
                  </w:r>
                  <w:r>
                    <w:rPr>
                      <w:rFonts w:hint="eastAsia" w:ascii="Times New Roman" w:hAnsi="Times New Roman" w:cs="Times New Roman"/>
                      <w:color w:val="auto"/>
                      <w:szCs w:val="21"/>
                      <w:highlight w:val="none"/>
                      <w:lang w:eastAsia="zh-CN"/>
                    </w:rPr>
                    <w:t>泄漏</w:t>
                  </w:r>
                  <w:r>
                    <w:rPr>
                      <w:rFonts w:hint="default" w:ascii="Times New Roman" w:hAnsi="Times New Roman" w:eastAsia="宋体" w:cs="Times New Roman"/>
                      <w:color w:val="auto"/>
                      <w:szCs w:val="21"/>
                      <w:highlight w:val="none"/>
                    </w:rPr>
                    <w:t>的裙脚，地面与裙脚所围建的容积不低于堵截最大容器最大储量或总储量的1/5；须设置收集沟及收集井等</w:t>
                  </w:r>
                  <w:r>
                    <w:rPr>
                      <w:rFonts w:hint="eastAsia" w:ascii="Times New Roman" w:hAnsi="Times New Roman" w:eastAsia="宋体" w:cs="Times New Roman"/>
                      <w:color w:val="auto"/>
                      <w:szCs w:val="21"/>
                      <w:highlight w:val="none"/>
                      <w:lang w:eastAsia="zh-CN"/>
                    </w:rPr>
                    <w:t>。</w:t>
                  </w:r>
                </w:p>
                <w:p w14:paraId="05CE11C6">
                  <w:pPr>
                    <w:keepNext w:val="0"/>
                    <w:keepLines w:val="0"/>
                    <w:pageBreakBefore w:val="0"/>
                    <w:widowControl w:val="0"/>
                    <w:kinsoku/>
                    <w:wordWrap/>
                    <w:overflowPunct/>
                    <w:autoSpaceDE/>
                    <w:autoSpaceDN/>
                    <w:bidi w:val="0"/>
                    <w:adjustRightInd w:val="0"/>
                    <w:snapToGrid w:val="0"/>
                    <w:jc w:val="center"/>
                    <w:textAlignment w:val="auto"/>
                    <w:rPr>
                      <w:rFonts w:hint="eastAsia" w:ascii="Times New Roman" w:hAnsi="Times New Roman" w:eastAsia="宋体"/>
                      <w:color w:val="auto"/>
                      <w:sz w:val="21"/>
                      <w:szCs w:val="21"/>
                      <w:highlight w:val="none"/>
                      <w:lang w:eastAsia="zh-CN"/>
                    </w:rPr>
                  </w:pPr>
                  <w:r>
                    <w:rPr>
                      <w:rFonts w:hint="default" w:ascii="Times New Roman" w:hAnsi="Times New Roman" w:eastAsia="宋体" w:cs="Times New Roman"/>
                      <w:bCs/>
                      <w:color w:val="auto"/>
                      <w:kern w:val="0"/>
                      <w:szCs w:val="21"/>
                      <w:highlight w:val="none"/>
                    </w:rPr>
                    <w:t>柴油</w:t>
                  </w:r>
                  <w:r>
                    <w:rPr>
                      <w:rFonts w:hint="eastAsia" w:ascii="Times New Roman" w:hAnsi="Times New Roman" w:eastAsia="宋体" w:cs="Times New Roman"/>
                      <w:bCs/>
                      <w:color w:val="auto"/>
                      <w:kern w:val="0"/>
                      <w:szCs w:val="21"/>
                      <w:highlight w:val="none"/>
                      <w:lang w:val="en-US" w:eastAsia="zh-CN"/>
                    </w:rPr>
                    <w:t>储</w:t>
                  </w:r>
                  <w:r>
                    <w:rPr>
                      <w:rFonts w:hint="default" w:ascii="Times New Roman" w:hAnsi="Times New Roman" w:eastAsia="宋体" w:cs="Times New Roman"/>
                      <w:bCs/>
                      <w:color w:val="auto"/>
                      <w:kern w:val="0"/>
                      <w:szCs w:val="21"/>
                      <w:highlight w:val="none"/>
                    </w:rPr>
                    <w:t>罐放置</w:t>
                  </w:r>
                  <w:r>
                    <w:rPr>
                      <w:rFonts w:hint="default" w:ascii="Times New Roman" w:hAnsi="Times New Roman" w:eastAsia="宋体" w:cs="Times New Roman"/>
                      <w:bCs/>
                      <w:color w:val="auto"/>
                      <w:kern w:val="0"/>
                      <w:szCs w:val="21"/>
                      <w:highlight w:val="none"/>
                      <w:lang w:val="en-US" w:eastAsia="zh-CN"/>
                    </w:rPr>
                    <w:t>在</w:t>
                  </w:r>
                  <w:r>
                    <w:rPr>
                      <w:rFonts w:hint="default" w:ascii="Times New Roman" w:hAnsi="Times New Roman" w:eastAsia="宋体" w:cs="Times New Roman"/>
                      <w:bCs/>
                      <w:color w:val="auto"/>
                      <w:kern w:val="0"/>
                      <w:szCs w:val="21"/>
                      <w:highlight w:val="none"/>
                    </w:rPr>
                    <w:t>围堰</w:t>
                  </w:r>
                  <w:r>
                    <w:rPr>
                      <w:rFonts w:hint="default" w:ascii="Times New Roman" w:hAnsi="Times New Roman" w:eastAsia="宋体" w:cs="Times New Roman"/>
                      <w:bCs/>
                      <w:color w:val="auto"/>
                      <w:kern w:val="0"/>
                      <w:szCs w:val="21"/>
                      <w:highlight w:val="none"/>
                      <w:lang w:val="en-US" w:eastAsia="zh-CN"/>
                    </w:rPr>
                    <w:t>内</w:t>
                  </w:r>
                  <w:r>
                    <w:rPr>
                      <w:rFonts w:hint="default" w:ascii="Times New Roman" w:hAnsi="Times New Roman" w:eastAsia="宋体" w:cs="Times New Roman"/>
                      <w:bCs/>
                      <w:color w:val="auto"/>
                      <w:kern w:val="0"/>
                      <w:szCs w:val="21"/>
                      <w:highlight w:val="none"/>
                    </w:rPr>
                    <w:t>，</w:t>
                  </w:r>
                  <w:r>
                    <w:rPr>
                      <w:rFonts w:hint="default" w:ascii="Times New Roman" w:hAnsi="Times New Roman" w:eastAsia="宋体" w:cs="Times New Roman"/>
                      <w:bCs/>
                      <w:color w:val="auto"/>
                      <w:kern w:val="0"/>
                      <w:szCs w:val="21"/>
                      <w:highlight w:val="none"/>
                      <w:lang w:val="en-US" w:eastAsia="zh-CN"/>
                    </w:rPr>
                    <w:t>围堰池体采用钢筋混凝土浇筑，</w:t>
                  </w:r>
                  <w:r>
                    <w:rPr>
                      <w:rFonts w:hint="default" w:ascii="Times New Roman" w:hAnsi="Times New Roman" w:eastAsia="宋体" w:cs="Times New Roman"/>
                      <w:bCs/>
                      <w:color w:val="auto"/>
                      <w:kern w:val="0"/>
                      <w:szCs w:val="21"/>
                      <w:highlight w:val="none"/>
                      <w:lang w:eastAsia="zh-CN"/>
                    </w:rPr>
                    <w:t>池底和内壁采用环氧树脂或</w:t>
                  </w:r>
                  <w:r>
                    <w:rPr>
                      <w:rFonts w:hint="eastAsia" w:ascii="Times New Roman" w:hAnsi="Times New Roman" w:cs="Times New Roman"/>
                      <w:bCs/>
                      <w:color w:val="auto"/>
                      <w:kern w:val="0"/>
                      <w:szCs w:val="21"/>
                      <w:highlight w:val="none"/>
                      <w:lang w:eastAsia="zh-CN"/>
                    </w:rPr>
                    <w:t>其他</w:t>
                  </w:r>
                  <w:r>
                    <w:rPr>
                      <w:rFonts w:hint="default" w:ascii="Times New Roman" w:hAnsi="Times New Roman" w:eastAsia="宋体" w:cs="Times New Roman"/>
                      <w:bCs/>
                      <w:color w:val="auto"/>
                      <w:kern w:val="0"/>
                      <w:szCs w:val="21"/>
                      <w:highlight w:val="none"/>
                      <w:lang w:eastAsia="zh-CN"/>
                    </w:rPr>
                    <w:t>防渗材料进行防渗处理</w:t>
                  </w:r>
                  <w:r>
                    <w:rPr>
                      <w:rFonts w:hint="default" w:ascii="Times New Roman" w:hAnsi="Times New Roman" w:eastAsia="宋体" w:cs="Times New Roman"/>
                      <w:bCs/>
                      <w:color w:val="auto"/>
                      <w:kern w:val="0"/>
                      <w:szCs w:val="21"/>
                      <w:highlight w:val="none"/>
                    </w:rPr>
                    <w:t>（渗透系数≤10</w:t>
                  </w:r>
                  <w:r>
                    <w:rPr>
                      <w:rFonts w:hint="default" w:ascii="Times New Roman" w:hAnsi="Times New Roman" w:eastAsia="宋体" w:cs="Times New Roman"/>
                      <w:bCs/>
                      <w:color w:val="auto"/>
                      <w:kern w:val="0"/>
                      <w:szCs w:val="21"/>
                      <w:highlight w:val="none"/>
                      <w:vertAlign w:val="superscript"/>
                      <w:lang w:val="en-US" w:eastAsia="zh-CN"/>
                    </w:rPr>
                    <w:t>-10</w:t>
                  </w:r>
                  <w:r>
                    <w:rPr>
                      <w:rFonts w:hint="default" w:ascii="Times New Roman" w:hAnsi="Times New Roman" w:eastAsia="宋体" w:cs="Times New Roman"/>
                      <w:bCs/>
                      <w:color w:val="auto"/>
                      <w:kern w:val="0"/>
                      <w:szCs w:val="21"/>
                      <w:highlight w:val="none"/>
                    </w:rPr>
                    <w:t>cm/s），定期对围堰进行检查，发现破裂处立即维护</w:t>
                  </w:r>
                </w:p>
              </w:tc>
            </w:tr>
            <w:tr w14:paraId="69905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trPr>
              <w:tc>
                <w:tcPr>
                  <w:tcW w:w="766" w:type="pct"/>
                  <w:noWrap w:val="0"/>
                  <w:vAlign w:val="center"/>
                </w:tcPr>
                <w:p w14:paraId="7ED94EE0">
                  <w:pPr>
                    <w:pStyle w:val="108"/>
                    <w:keepNext w:val="0"/>
                    <w:keepLines w:val="0"/>
                    <w:pageBreakBefore w:val="0"/>
                    <w:widowControl w:val="0"/>
                    <w:kinsoku/>
                    <w:wordWrap/>
                    <w:overflowPunct/>
                    <w:autoSpaceDE/>
                    <w:autoSpaceDN/>
                    <w:bidi w:val="0"/>
                    <w:adjustRightInd w:val="0"/>
                    <w:snapToGrid w:val="0"/>
                    <w:textAlignment w:val="auto"/>
                    <w:rPr>
                      <w:rFonts w:ascii="Times New Roman" w:hAnsi="Times New Roman"/>
                      <w:color w:val="auto"/>
                      <w:highlight w:val="none"/>
                    </w:rPr>
                  </w:pPr>
                  <w:r>
                    <w:rPr>
                      <w:rFonts w:ascii="Times New Roman" w:hAnsi="Times New Roman"/>
                      <w:color w:val="auto"/>
                      <w:highlight w:val="none"/>
                    </w:rPr>
                    <w:t>一般防渗区</w:t>
                  </w:r>
                </w:p>
              </w:tc>
              <w:tc>
                <w:tcPr>
                  <w:tcW w:w="1409" w:type="pct"/>
                  <w:noWrap w:val="0"/>
                  <w:vAlign w:val="center"/>
                </w:tcPr>
                <w:p w14:paraId="6D6219D9">
                  <w:pPr>
                    <w:pStyle w:val="108"/>
                    <w:keepNext w:val="0"/>
                    <w:keepLines w:val="0"/>
                    <w:pageBreakBefore w:val="0"/>
                    <w:widowControl w:val="0"/>
                    <w:kinsoku/>
                    <w:wordWrap/>
                    <w:overflowPunct/>
                    <w:autoSpaceDE/>
                    <w:autoSpaceDN/>
                    <w:bidi w:val="0"/>
                    <w:adjustRightInd w:val="0"/>
                    <w:snapToGrid w:val="0"/>
                    <w:jc w:val="both"/>
                    <w:textAlignment w:val="auto"/>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隔油池、化粪池、初期雨水收集池、污水处理站</w:t>
                  </w:r>
                  <w:r>
                    <w:rPr>
                      <w:rFonts w:hint="eastAsia"/>
                      <w:color w:val="auto"/>
                      <w:highlight w:val="none"/>
                      <w:lang w:val="en-US" w:eastAsia="zh-CN"/>
                    </w:rPr>
                    <w:t>、洗车沉淀池、生产区</w:t>
                  </w:r>
                </w:p>
              </w:tc>
              <w:tc>
                <w:tcPr>
                  <w:tcW w:w="2824" w:type="pct"/>
                  <w:noWrap w:val="0"/>
                  <w:vAlign w:val="center"/>
                </w:tcPr>
                <w:p w14:paraId="48AF8677">
                  <w:pPr>
                    <w:pStyle w:val="108"/>
                    <w:keepNext w:val="0"/>
                    <w:keepLines w:val="0"/>
                    <w:pageBreakBefore w:val="0"/>
                    <w:widowControl w:val="0"/>
                    <w:kinsoku/>
                    <w:wordWrap/>
                    <w:overflowPunct/>
                    <w:autoSpaceDE/>
                    <w:autoSpaceDN/>
                    <w:bidi w:val="0"/>
                    <w:adjustRightInd w:val="0"/>
                    <w:snapToGrid w:val="0"/>
                    <w:jc w:val="both"/>
                    <w:textAlignment w:val="auto"/>
                    <w:rPr>
                      <w:rFonts w:hint="eastAsia" w:ascii="Times New Roman" w:hAnsi="Times New Roman"/>
                      <w:color w:val="auto"/>
                      <w:highlight w:val="none"/>
                    </w:rPr>
                  </w:pPr>
                  <w:r>
                    <w:rPr>
                      <w:rFonts w:ascii="Times New Roman" w:hAnsi="Times New Roman"/>
                      <w:color w:val="auto"/>
                      <w:highlight w:val="none"/>
                    </w:rPr>
                    <w:t>等效黏土防渗层厚度Mb≥1.5m，渗透系数K≤1.0×10</w:t>
                  </w:r>
                  <w:r>
                    <w:rPr>
                      <w:rFonts w:ascii="Times New Roman" w:hAnsi="Times New Roman"/>
                      <w:color w:val="auto"/>
                      <w:highlight w:val="none"/>
                      <w:vertAlign w:val="superscript"/>
                    </w:rPr>
                    <w:t>-7</w:t>
                  </w:r>
                  <w:r>
                    <w:rPr>
                      <w:rFonts w:ascii="Times New Roman" w:hAnsi="Times New Roman"/>
                      <w:color w:val="auto"/>
                      <w:highlight w:val="none"/>
                    </w:rPr>
                    <w:t>cm/s</w:t>
                  </w:r>
                </w:p>
              </w:tc>
            </w:tr>
            <w:tr w14:paraId="4E90A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trPr>
              <w:tc>
                <w:tcPr>
                  <w:tcW w:w="766" w:type="pct"/>
                  <w:noWrap w:val="0"/>
                  <w:vAlign w:val="center"/>
                </w:tcPr>
                <w:p w14:paraId="534C6B0B">
                  <w:pPr>
                    <w:pStyle w:val="108"/>
                    <w:keepNext w:val="0"/>
                    <w:keepLines w:val="0"/>
                    <w:pageBreakBefore w:val="0"/>
                    <w:widowControl w:val="0"/>
                    <w:kinsoku/>
                    <w:wordWrap/>
                    <w:overflowPunct/>
                    <w:autoSpaceDE/>
                    <w:autoSpaceDN/>
                    <w:bidi w:val="0"/>
                    <w:adjustRightInd w:val="0"/>
                    <w:snapToGrid w:val="0"/>
                    <w:textAlignment w:val="auto"/>
                    <w:rPr>
                      <w:rFonts w:ascii="Times New Roman" w:hAnsi="Times New Roman"/>
                      <w:color w:val="auto"/>
                      <w:highlight w:val="none"/>
                    </w:rPr>
                  </w:pPr>
                  <w:r>
                    <w:rPr>
                      <w:rFonts w:ascii="Times New Roman" w:hAnsi="Times New Roman"/>
                      <w:color w:val="auto"/>
                      <w:highlight w:val="none"/>
                    </w:rPr>
                    <w:t>简单防渗区</w:t>
                  </w:r>
                </w:p>
              </w:tc>
              <w:tc>
                <w:tcPr>
                  <w:tcW w:w="1409" w:type="pct"/>
                  <w:noWrap w:val="0"/>
                  <w:vAlign w:val="center"/>
                </w:tcPr>
                <w:p w14:paraId="5A02EA69">
                  <w:pPr>
                    <w:pStyle w:val="108"/>
                    <w:keepNext w:val="0"/>
                    <w:keepLines w:val="0"/>
                    <w:pageBreakBefore w:val="0"/>
                    <w:widowControl w:val="0"/>
                    <w:kinsoku/>
                    <w:wordWrap/>
                    <w:overflowPunct/>
                    <w:autoSpaceDE/>
                    <w:autoSpaceDN/>
                    <w:bidi w:val="0"/>
                    <w:adjustRightInd w:val="0"/>
                    <w:snapToGrid w:val="0"/>
                    <w:jc w:val="both"/>
                    <w:textAlignment w:val="auto"/>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办公区、厂区道路、倒班宿舍区</w:t>
                  </w:r>
                </w:p>
              </w:tc>
              <w:tc>
                <w:tcPr>
                  <w:tcW w:w="2824" w:type="pct"/>
                  <w:noWrap w:val="0"/>
                  <w:vAlign w:val="center"/>
                </w:tcPr>
                <w:p w14:paraId="11B0E922">
                  <w:pPr>
                    <w:pStyle w:val="108"/>
                    <w:keepNext w:val="0"/>
                    <w:keepLines w:val="0"/>
                    <w:pageBreakBefore w:val="0"/>
                    <w:widowControl w:val="0"/>
                    <w:kinsoku/>
                    <w:wordWrap/>
                    <w:overflowPunct/>
                    <w:autoSpaceDE/>
                    <w:autoSpaceDN/>
                    <w:bidi w:val="0"/>
                    <w:adjustRightInd w:val="0"/>
                    <w:snapToGrid w:val="0"/>
                    <w:textAlignment w:val="auto"/>
                    <w:rPr>
                      <w:rFonts w:ascii="Times New Roman" w:hAnsi="Times New Roman"/>
                      <w:color w:val="auto"/>
                      <w:highlight w:val="none"/>
                    </w:rPr>
                  </w:pPr>
                  <w:r>
                    <w:rPr>
                      <w:rFonts w:ascii="Times New Roman" w:hAnsi="Times New Roman"/>
                      <w:color w:val="auto"/>
                      <w:highlight w:val="none"/>
                    </w:rPr>
                    <w:t>地面采用混凝土硬化</w:t>
                  </w:r>
                </w:p>
              </w:tc>
            </w:tr>
          </w:tbl>
          <w:p w14:paraId="14BA6ACE">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2"/>
              <w:jc w:val="left"/>
              <w:textAlignment w:val="auto"/>
              <w:rPr>
                <w:rFonts w:ascii="Times New Roman" w:hAnsi="Times New Roman"/>
                <w:b/>
                <w:color w:val="auto"/>
                <w:sz w:val="24"/>
                <w:highlight w:val="none"/>
              </w:rPr>
            </w:pPr>
            <w:r>
              <w:rPr>
                <w:rFonts w:ascii="Times New Roman" w:hAnsi="Times New Roman"/>
                <w:b/>
                <w:color w:val="auto"/>
                <w:sz w:val="24"/>
                <w:highlight w:val="none"/>
              </w:rPr>
              <w:t>2、土壤</w:t>
            </w:r>
          </w:p>
          <w:p w14:paraId="37A36A11">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ascii="Times New Roman" w:hAnsi="Times New Roman"/>
                <w:b w:val="0"/>
                <w:bCs/>
                <w:color w:val="auto"/>
                <w:kern w:val="24"/>
                <w:sz w:val="24"/>
                <w:szCs w:val="24"/>
                <w:highlight w:val="none"/>
              </w:rPr>
              <w:t>本项目土壤影响类型及影响途</w:t>
            </w:r>
            <w:r>
              <w:rPr>
                <w:rFonts w:hint="eastAsia" w:ascii="Times New Roman" w:hAnsi="Times New Roman"/>
                <w:b w:val="0"/>
                <w:bCs/>
                <w:color w:val="auto"/>
                <w:kern w:val="24"/>
                <w:sz w:val="24"/>
                <w:szCs w:val="24"/>
                <w:highlight w:val="none"/>
                <w:lang w:val="en-US" w:eastAsia="zh-CN"/>
              </w:rPr>
              <w:t>径</w:t>
            </w:r>
            <w:r>
              <w:rPr>
                <w:rFonts w:ascii="Times New Roman" w:hAnsi="Times New Roman"/>
                <w:b w:val="0"/>
                <w:bCs/>
                <w:color w:val="auto"/>
                <w:kern w:val="24"/>
                <w:sz w:val="24"/>
                <w:szCs w:val="24"/>
                <w:highlight w:val="none"/>
              </w:rPr>
              <w:t>主要有</w:t>
            </w:r>
            <w:r>
              <w:rPr>
                <w:rFonts w:hint="eastAsia" w:ascii="Times New Roman" w:hAnsi="Times New Roman"/>
                <w:b w:val="0"/>
                <w:bCs/>
                <w:color w:val="auto"/>
                <w:kern w:val="24"/>
                <w:sz w:val="24"/>
                <w:szCs w:val="24"/>
                <w:highlight w:val="none"/>
                <w:lang w:val="en-US" w:eastAsia="zh-CN"/>
              </w:rPr>
              <w:t>垂直入渗和大气沉降</w:t>
            </w:r>
            <w:r>
              <w:rPr>
                <w:rFonts w:ascii="Times New Roman" w:hAnsi="Times New Roman"/>
                <w:b w:val="0"/>
                <w:bCs/>
                <w:color w:val="auto"/>
                <w:kern w:val="24"/>
                <w:sz w:val="24"/>
                <w:szCs w:val="24"/>
                <w:highlight w:val="none"/>
              </w:rPr>
              <w:t>途径</w:t>
            </w:r>
            <w:r>
              <w:rPr>
                <w:rFonts w:hint="eastAsia" w:ascii="Times New Roman" w:hAnsi="Times New Roman"/>
                <w:b w:val="0"/>
                <w:bCs/>
                <w:color w:val="auto"/>
                <w:kern w:val="24"/>
                <w:sz w:val="24"/>
                <w:szCs w:val="24"/>
                <w:highlight w:val="none"/>
                <w:lang w:eastAsia="zh-CN"/>
              </w:rPr>
              <w:t>。</w:t>
            </w:r>
          </w:p>
          <w:p w14:paraId="2E0A65D8">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（1）危废暂存间</w:t>
            </w:r>
            <w:r>
              <w:rPr>
                <w:rFonts w:hint="eastAsia" w:ascii="Times New Roman" w:hAnsi="Times New Roman" w:eastAsia="宋体" w:cs="Times New Roman"/>
                <w:color w:val="auto"/>
                <w:kern w:val="2"/>
                <w:sz w:val="24"/>
                <w:szCs w:val="24"/>
                <w:highlight w:val="none"/>
                <w:lang w:val="en-US" w:eastAsia="zh-CN" w:bidi="ar-SA"/>
              </w:rPr>
              <w:t>废润滑油或者柴油储罐</w:t>
            </w:r>
            <w:r>
              <w:rPr>
                <w:rFonts w:hint="eastAsia" w:ascii="Times New Roman" w:hAnsi="Times New Roman" w:eastAsia="宋体" w:cs="Times New Roman"/>
                <w:color w:val="auto"/>
                <w:sz w:val="24"/>
                <w:szCs w:val="24"/>
                <w:highlight w:val="none"/>
                <w:lang w:val="en-US" w:eastAsia="zh-CN"/>
              </w:rPr>
              <w:t>存储过程中保护措施不当或防渗层破损发生渗漏，污染物垂直入渗进入土壤。本项目危险废物经分类收集暂存于危废暂存间内，危废暂存间地面及裙脚采取重点防渗措施，房间内设置导流沟和收集池，危险废物定期交由资质单位处置；柴油储罐防止污染土壤，需设置防渗层、防渗池及泄漏收集装置，做好储罐防腐处理；定期巡检排查渗漏隐患，规范卸料检修操作，若发生泄漏及时清理处置，避免柴油渗入土壤造成污染</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szCs w:val="24"/>
                <w:highlight w:val="none"/>
                <w:lang w:val="en-US" w:eastAsia="zh-CN"/>
              </w:rPr>
              <w:t>生活垃圾委托园区环卫部门清运处置；</w:t>
            </w:r>
            <w:r>
              <w:rPr>
                <w:rFonts w:hint="eastAsia" w:ascii="Times New Roman" w:hAnsi="Times New Roman" w:eastAsia="宋体" w:cs="Times New Roman"/>
                <w:color w:val="auto"/>
                <w:kern w:val="2"/>
                <w:sz w:val="24"/>
                <w:szCs w:val="24"/>
                <w:highlight w:val="none"/>
                <w:lang w:val="en-US" w:eastAsia="zh-CN" w:bidi="ar-SA"/>
              </w:rPr>
              <w:t>化粪池污泥委托</w:t>
            </w:r>
            <w:r>
              <w:rPr>
                <w:rFonts w:hint="eastAsia" w:ascii="Times New Roman" w:hAnsi="Times New Roman" w:eastAsia="宋体" w:cs="Times New Roman"/>
                <w:b w:val="0"/>
                <w:bCs/>
                <w:color w:val="auto"/>
                <w:sz w:val="24"/>
                <w:szCs w:val="24"/>
                <w:highlight w:val="none"/>
                <w:lang w:val="en-US" w:eastAsia="zh-CN"/>
              </w:rPr>
              <w:t>有资质的环卫公司使用吸粪车定期清掏</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项目运营期固废均能得到合理处置，不会造成垂直入渗等污染。</w:t>
            </w:r>
          </w:p>
          <w:p w14:paraId="266EDF16">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（2）项目排放的颗粒物经大气污染沉降至土壤内造成土壤污染。</w:t>
            </w:r>
          </w:p>
          <w:p w14:paraId="38A51AB5">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color w:val="auto"/>
                <w:sz w:val="24"/>
                <w:szCs w:val="24"/>
                <w:highlight w:val="none"/>
              </w:rPr>
              <w:t>项目运营</w:t>
            </w:r>
            <w:r>
              <w:rPr>
                <w:rFonts w:hint="eastAsia" w:ascii="Times New Roman" w:hAnsi="Times New Roman"/>
                <w:color w:val="auto"/>
                <w:sz w:val="24"/>
                <w:szCs w:val="24"/>
                <w:highlight w:val="none"/>
                <w:lang w:val="en-US" w:eastAsia="zh-CN"/>
              </w:rPr>
              <w:t>期</w:t>
            </w:r>
            <w:r>
              <w:rPr>
                <w:rFonts w:hint="eastAsia" w:ascii="Times New Roman" w:hAnsi="Times New Roman"/>
                <w:b w:val="0"/>
                <w:bCs w:val="0"/>
                <w:color w:val="auto"/>
                <w:sz w:val="24"/>
                <w:szCs w:val="24"/>
                <w:highlight w:val="none"/>
                <w:lang w:val="en-US" w:eastAsia="zh-CN"/>
              </w:rPr>
              <w:t>在破碎、筛分等工序处</w:t>
            </w:r>
            <w:r>
              <w:rPr>
                <w:rFonts w:hint="eastAsia" w:ascii="Times New Roman" w:hAnsi="Times New Roman"/>
                <w:b w:val="0"/>
                <w:bCs w:val="0"/>
                <w:color w:val="auto"/>
                <w:sz w:val="24"/>
                <w:szCs w:val="24"/>
                <w:highlight w:val="none"/>
              </w:rPr>
              <w:t>设置</w:t>
            </w:r>
            <w:r>
              <w:rPr>
                <w:rFonts w:hint="eastAsia" w:ascii="Times New Roman" w:hAnsi="Times New Roman"/>
                <w:b w:val="0"/>
                <w:bCs w:val="0"/>
                <w:color w:val="auto"/>
                <w:sz w:val="24"/>
                <w:szCs w:val="24"/>
                <w:highlight w:val="none"/>
                <w:lang w:val="en-US" w:eastAsia="zh-CN"/>
              </w:rPr>
              <w:t>集气罩收集粉尘，收集的粉尘经密闭管道引至各个生产线布袋除尘器（TA001、TA002、TA003）处理后，分别由各个生产线1</w:t>
            </w:r>
            <w:r>
              <w:rPr>
                <w:rFonts w:hint="eastAsia"/>
                <w:b w:val="0"/>
                <w:bCs w:val="0"/>
                <w:color w:val="auto"/>
                <w:sz w:val="24"/>
                <w:szCs w:val="24"/>
                <w:highlight w:val="none"/>
                <w:lang w:val="en-US" w:eastAsia="zh-CN"/>
              </w:rPr>
              <w:t>6</w:t>
            </w:r>
            <w:r>
              <w:rPr>
                <w:rFonts w:hint="eastAsia" w:ascii="Times New Roman" w:hAnsi="Times New Roman"/>
                <w:b w:val="0"/>
                <w:bCs w:val="0"/>
                <w:color w:val="auto"/>
                <w:sz w:val="24"/>
                <w:szCs w:val="24"/>
                <w:highlight w:val="none"/>
                <w:lang w:val="en-US" w:eastAsia="zh-CN"/>
              </w:rPr>
              <w:t>m高排气筒（DA001、DA002、DA003）排放</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lang w:val="en-US" w:eastAsia="zh-CN"/>
              </w:rPr>
              <w:t>根据前文分析，运营期</w:t>
            </w:r>
            <w:r>
              <w:rPr>
                <w:rFonts w:hint="eastAsia" w:ascii="Times New Roman" w:hAnsi="Times New Roman" w:eastAsia="宋体"/>
                <w:color w:val="auto"/>
                <w:sz w:val="24"/>
                <w:szCs w:val="24"/>
                <w:highlight w:val="none"/>
                <w:lang w:val="en-US" w:eastAsia="zh-CN"/>
              </w:rPr>
              <w:t>布袋</w:t>
            </w:r>
            <w:r>
              <w:rPr>
                <w:rFonts w:hint="eastAsia" w:ascii="Times New Roman" w:hAnsi="Times New Roman" w:eastAsia="宋体"/>
                <w:color w:val="auto"/>
                <w:sz w:val="24"/>
                <w:szCs w:val="24"/>
                <w:highlight w:val="none"/>
              </w:rPr>
              <w:t>除尘废气排口</w:t>
            </w:r>
            <w:r>
              <w:rPr>
                <w:rFonts w:hint="eastAsia" w:ascii="Times New Roman" w:hAnsi="Times New Roman" w:eastAsia="宋体"/>
                <w:color w:val="auto"/>
                <w:sz w:val="24"/>
                <w:szCs w:val="24"/>
                <w:highlight w:val="none"/>
                <w:lang w:eastAsia="zh-CN"/>
              </w:rPr>
              <w:t>（</w:t>
            </w:r>
            <w:r>
              <w:rPr>
                <w:rFonts w:hint="eastAsia" w:ascii="Times New Roman" w:hAnsi="Times New Roman"/>
                <w:b w:val="0"/>
                <w:bCs w:val="0"/>
                <w:color w:val="auto"/>
                <w:sz w:val="24"/>
                <w:szCs w:val="24"/>
                <w:highlight w:val="none"/>
                <w:lang w:val="en-US" w:eastAsia="zh-CN"/>
              </w:rPr>
              <w:t>DA001、DA002、DA003</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颗粒物</w:t>
            </w:r>
            <w:r>
              <w:rPr>
                <w:rFonts w:hint="eastAsia" w:ascii="Times New Roman" w:hAnsi="Times New Roman" w:eastAsia="宋体" w:cs="Times New Roman"/>
                <w:color w:val="auto"/>
                <w:sz w:val="24"/>
                <w:szCs w:val="24"/>
                <w:highlight w:val="none"/>
                <w:lang w:val="en-US" w:eastAsia="zh-CN"/>
              </w:rPr>
              <w:t>排放浓度满足</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铁矿采选工业污染物</w:t>
            </w:r>
            <w:r>
              <w:rPr>
                <w:rFonts w:hint="default" w:ascii="Times New Roman" w:hAnsi="Times New Roman" w:eastAsia="宋体" w:cs="Times New Roman"/>
                <w:bCs/>
                <w:color w:val="auto"/>
                <w:sz w:val="24"/>
                <w:szCs w:val="24"/>
                <w:highlight w:val="none"/>
              </w:rPr>
              <w:t>排放标准》（GB</w:t>
            </w:r>
            <w:r>
              <w:rPr>
                <w:rFonts w:hint="eastAsia" w:ascii="Times New Roman" w:hAnsi="Times New Roman" w:eastAsia="宋体" w:cs="Times New Roman"/>
                <w:bCs/>
                <w:color w:val="auto"/>
                <w:sz w:val="24"/>
                <w:szCs w:val="24"/>
                <w:highlight w:val="none"/>
                <w:lang w:val="en-US" w:eastAsia="zh-CN"/>
              </w:rPr>
              <w:t>28661</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2012</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表5</w:t>
            </w:r>
            <w:r>
              <w:rPr>
                <w:rFonts w:hint="eastAsia" w:ascii="Times New Roman" w:hAnsi="Times New Roman"/>
                <w:bCs/>
                <w:color w:val="auto"/>
                <w:spacing w:val="0"/>
                <w:sz w:val="24"/>
                <w:szCs w:val="24"/>
                <w:highlight w:val="none"/>
                <w:vertAlign w:val="baseline"/>
                <w:lang w:val="en-US" w:eastAsia="zh-CN"/>
              </w:rPr>
              <w:t>标准限值要求，排放的颗粒物</w:t>
            </w:r>
            <w:r>
              <w:rPr>
                <w:rFonts w:hint="eastAsia" w:ascii="Times New Roman" w:hAnsi="Times New Roman" w:eastAsia="宋体" w:cs="Times New Roman"/>
                <w:color w:val="auto"/>
                <w:sz w:val="24"/>
                <w:szCs w:val="24"/>
                <w:highlight w:val="none"/>
                <w:lang w:val="en-US" w:eastAsia="zh-CN"/>
              </w:rPr>
              <w:t>经大气污染沉降至土壤的影响较小。</w:t>
            </w:r>
          </w:p>
          <w:p w14:paraId="35ACDF01">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为避免非正常情况下废润滑油、柴油泄漏污染土壤，环评要求项目厂区应严格按照分区防渗的要求进行防渗，具体防渗措施详见上表，此处不再赘述。</w:t>
            </w:r>
          </w:p>
          <w:p w14:paraId="177D8670">
            <w:pPr>
              <w:pStyle w:val="70"/>
              <w:ind w:firstLine="482"/>
              <w:rPr>
                <w:rFonts w:hint="eastAsia" w:ascii="Times New Roman" w:hAnsi="Times New Roman" w:eastAsia="宋体" w:cs="宋体"/>
                <w:b/>
                <w:bCs/>
                <w:color w:val="auto"/>
                <w:kern w:val="0"/>
                <w:highlight w:val="none"/>
                <w:lang w:val="zh-CN"/>
              </w:rPr>
            </w:pPr>
            <w:r>
              <w:rPr>
                <w:rFonts w:hint="eastAsia" w:ascii="Times New Roman" w:hAnsi="Times New Roman" w:eastAsia="宋体" w:cs="宋体"/>
                <w:b/>
                <w:bCs/>
                <w:color w:val="auto"/>
                <w:kern w:val="0"/>
                <w:highlight w:val="none"/>
                <w:lang w:val="en-US" w:eastAsia="zh-CN"/>
              </w:rPr>
              <w:t>4.2.6</w:t>
            </w:r>
            <w:r>
              <w:rPr>
                <w:rFonts w:hint="eastAsia" w:ascii="Times New Roman" w:hAnsi="Times New Roman" w:eastAsia="宋体" w:cs="宋体"/>
                <w:b/>
                <w:bCs/>
                <w:color w:val="auto"/>
                <w:kern w:val="0"/>
                <w:highlight w:val="none"/>
                <w:lang w:val="zh-CN"/>
              </w:rPr>
              <w:t>生态环境影响分析</w:t>
            </w:r>
          </w:p>
          <w:p w14:paraId="5E843B8D">
            <w:pPr>
              <w:pStyle w:val="70"/>
              <w:ind w:firstLine="480"/>
              <w:rPr>
                <w:rFonts w:ascii="Times New Roman" w:hAnsi="Times New Roman"/>
                <w:color w:val="auto"/>
                <w:highlight w:val="none"/>
              </w:rPr>
            </w:pPr>
            <w:r>
              <w:rPr>
                <w:rFonts w:hint="eastAsia" w:ascii="Times New Roman" w:hAnsi="Times New Roman"/>
                <w:color w:val="auto"/>
                <w:highlight w:val="none"/>
              </w:rPr>
              <w:t>项目所在区域为</w:t>
            </w:r>
            <w:r>
              <w:rPr>
                <w:rFonts w:hint="eastAsia" w:ascii="Times New Roman" w:hAnsi="Times New Roman" w:cs="黑体"/>
                <w:color w:val="auto"/>
                <w:sz w:val="24"/>
                <w:highlight w:val="none"/>
                <w:lang w:eastAsia="zh-CN"/>
              </w:rPr>
              <w:t>云南红塔产业园区研和片区二地块</w:t>
            </w:r>
            <w:r>
              <w:rPr>
                <w:rFonts w:hint="eastAsia" w:ascii="Times New Roman" w:hAnsi="Times New Roman"/>
                <w:color w:val="auto"/>
                <w:highlight w:val="none"/>
              </w:rPr>
              <w:t>，受人为活动影响，项目内生物多样性低下，生态环境一般。调查范围内无自然保护区、风景名胜区、森林公园、历史文化遗迹等需要特殊保护的生态敏感目标，无国家</w:t>
            </w:r>
            <w:r>
              <w:rPr>
                <w:rFonts w:hint="eastAsia" w:ascii="Times New Roman" w:hAnsi="Times New Roman"/>
                <w:color w:val="auto"/>
                <w:highlight w:val="none"/>
                <w:lang w:eastAsia="zh-CN"/>
              </w:rPr>
              <w:t>珍稀</w:t>
            </w:r>
            <w:r>
              <w:rPr>
                <w:rFonts w:hint="eastAsia" w:ascii="Times New Roman" w:hAnsi="Times New Roman"/>
                <w:color w:val="auto"/>
                <w:highlight w:val="none"/>
              </w:rPr>
              <w:t>濒危保护物种、国家重点保护野生植物和云南省级重点野生保护动物，也没有特有种类存在。</w:t>
            </w:r>
            <w:r>
              <w:rPr>
                <w:rFonts w:ascii="Times New Roman" w:hAnsi="Times New Roman"/>
                <w:color w:val="auto"/>
                <w:highlight w:val="none"/>
              </w:rPr>
              <w:t>项目运营期生产过程产生的废气</w:t>
            </w:r>
            <w:r>
              <w:rPr>
                <w:rFonts w:hint="eastAsia" w:ascii="Times New Roman" w:hAnsi="Times New Roman"/>
                <w:color w:val="auto"/>
                <w:highlight w:val="none"/>
              </w:rPr>
              <w:t>、废水</w:t>
            </w:r>
            <w:r>
              <w:rPr>
                <w:rFonts w:ascii="Times New Roman" w:hAnsi="Times New Roman"/>
                <w:color w:val="auto"/>
                <w:highlight w:val="none"/>
              </w:rPr>
              <w:t>、噪声、固废等均采取有效合理的防治措施，对周围环境影响较小。项目</w:t>
            </w:r>
            <w:r>
              <w:rPr>
                <w:rFonts w:hint="eastAsia" w:ascii="Times New Roman" w:hAnsi="Times New Roman"/>
                <w:color w:val="auto"/>
                <w:highlight w:val="none"/>
              </w:rPr>
              <w:t>生产运营</w:t>
            </w:r>
            <w:r>
              <w:rPr>
                <w:rFonts w:ascii="Times New Roman" w:hAnsi="Times New Roman"/>
                <w:color w:val="auto"/>
                <w:highlight w:val="none"/>
              </w:rPr>
              <w:t>对生态环境造成的影响不大，是可以接受的。</w:t>
            </w:r>
          </w:p>
          <w:p w14:paraId="1EDE57D7">
            <w:pPr>
              <w:pStyle w:val="70"/>
              <w:ind w:firstLine="482"/>
              <w:rPr>
                <w:rFonts w:hint="eastAsia" w:ascii="Times New Roman" w:hAnsi="Times New Roman" w:eastAsia="宋体" w:cs="宋体"/>
                <w:b/>
                <w:bCs/>
                <w:color w:val="auto"/>
                <w:kern w:val="0"/>
                <w:highlight w:val="none"/>
                <w:lang w:val="zh-CN"/>
              </w:rPr>
            </w:pPr>
            <w:r>
              <w:rPr>
                <w:rFonts w:hint="eastAsia" w:ascii="Times New Roman" w:hAnsi="Times New Roman" w:eastAsia="宋体" w:cs="宋体"/>
                <w:b/>
                <w:bCs/>
                <w:color w:val="auto"/>
                <w:kern w:val="0"/>
                <w:highlight w:val="none"/>
                <w:lang w:val="en-US" w:eastAsia="zh-CN"/>
              </w:rPr>
              <w:t>4.2.7</w:t>
            </w:r>
            <w:r>
              <w:rPr>
                <w:rFonts w:hint="eastAsia" w:ascii="Times New Roman" w:hAnsi="Times New Roman" w:eastAsia="宋体" w:cs="宋体"/>
                <w:b/>
                <w:bCs/>
                <w:color w:val="auto"/>
                <w:kern w:val="0"/>
                <w:highlight w:val="none"/>
                <w:lang w:val="zh-CN"/>
              </w:rPr>
              <w:t>运营期环境风险分析</w:t>
            </w:r>
          </w:p>
          <w:p w14:paraId="5EF4188E">
            <w:pPr>
              <w:keepNext w:val="0"/>
              <w:keepLines/>
              <w:pageBreakBefore w:val="0"/>
              <w:kinsoku/>
              <w:overflowPunct/>
              <w:bidi w:val="0"/>
              <w:adjustRightInd/>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343986EA">
            <w:pPr>
              <w:keepNext w:val="0"/>
              <w:keepLines/>
              <w:pageBreakBefore w:val="0"/>
              <w:kinsoku/>
              <w:overflowPunct/>
              <w:bidi w:val="0"/>
              <w:adjustRightInd/>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物质环境急性损害防控为目标，对建设项目的环境风险进行分析、预测和评估，提出环境风险预防、控制、减缓措施，明确环境风险监控及应急要求，为建设项目环境风险防控提供科学依据。</w:t>
            </w:r>
          </w:p>
          <w:p w14:paraId="5D8CC29A">
            <w:pPr>
              <w:keepNext w:val="0"/>
              <w:keepLines/>
              <w:pageBreakBefore w:val="0"/>
              <w:kinsoku/>
              <w:overflowPunct/>
              <w:bidi w:val="0"/>
              <w:adjustRightIn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待本项目建设完成后，本环评建议建设单位及时进行突发环境事件应急预案</w:t>
            </w:r>
            <w:r>
              <w:rPr>
                <w:rFonts w:hint="default" w:ascii="Times New Roman" w:hAnsi="Times New Roman" w:cs="Times New Roman"/>
                <w:color w:val="auto"/>
                <w:sz w:val="24"/>
                <w:highlight w:val="none"/>
                <w:lang w:eastAsia="zh-CN"/>
              </w:rPr>
              <w:t>编制</w:t>
            </w:r>
            <w:r>
              <w:rPr>
                <w:rFonts w:hint="default" w:ascii="Times New Roman" w:hAnsi="Times New Roman" w:cs="Times New Roman"/>
                <w:color w:val="auto"/>
                <w:sz w:val="24"/>
                <w:highlight w:val="none"/>
              </w:rPr>
              <w:t>工作。</w:t>
            </w:r>
          </w:p>
          <w:p w14:paraId="28F20837">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（1）环境风险识别</w:t>
            </w:r>
          </w:p>
          <w:p w14:paraId="53CCDC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rPr>
            </w:pPr>
            <w:r>
              <w:rPr>
                <w:rFonts w:hint="default" w:ascii="Times New Roman" w:hAnsi="Times New Roman" w:cs="Times New Roman"/>
                <w:color w:val="auto"/>
                <w:kern w:val="24"/>
                <w:sz w:val="24"/>
                <w:highlight w:val="none"/>
              </w:rPr>
              <w:t>目生产中使用的原辅料、生产中产污及产品对照《建设项目环境风险评价技术导则》（HJ169-2018）附录B核查。</w:t>
            </w:r>
            <w:r>
              <w:rPr>
                <w:rFonts w:hint="eastAsia" w:ascii="Times New Roman" w:hAnsi="Times New Roman" w:cs="Times New Roman"/>
                <w:color w:val="auto"/>
                <w:kern w:val="24"/>
                <w:sz w:val="24"/>
                <w:highlight w:val="none"/>
                <w:lang w:val="en-US" w:eastAsia="zh-CN"/>
              </w:rPr>
              <w:t>项目不涉及危险化学品的使用，</w:t>
            </w:r>
            <w:r>
              <w:rPr>
                <w:rFonts w:hint="default" w:ascii="Times New Roman" w:hAnsi="Times New Roman" w:eastAsia="宋体" w:cs="Times New Roman"/>
                <w:color w:val="auto"/>
                <w:sz w:val="24"/>
                <w:highlight w:val="none"/>
                <w:lang w:val="en-US"/>
              </w:rPr>
              <w:t>项目涉及风</w:t>
            </w:r>
            <w:r>
              <w:rPr>
                <w:rFonts w:hint="default" w:ascii="Times New Roman" w:hAnsi="Times New Roman" w:eastAsia="宋体" w:cs="Times New Roman"/>
                <w:color w:val="auto"/>
                <w:sz w:val="24"/>
                <w:highlight w:val="none"/>
                <w:lang w:val="en-US" w:eastAsia="zh-CN"/>
              </w:rPr>
              <w:t>险</w:t>
            </w:r>
            <w:r>
              <w:rPr>
                <w:rFonts w:hint="default" w:ascii="Times New Roman" w:hAnsi="Times New Roman" w:eastAsia="宋体" w:cs="Times New Roman"/>
                <w:color w:val="auto"/>
                <w:sz w:val="24"/>
                <w:highlight w:val="none"/>
                <w:lang w:val="en-US"/>
              </w:rPr>
              <w:t>物质为废润滑油</w:t>
            </w:r>
            <w:r>
              <w:rPr>
                <w:rFonts w:hint="default" w:ascii="Times New Roman" w:hAnsi="Times New Roman" w:eastAsia="宋体" w:cs="Times New Roman"/>
                <w:color w:val="auto"/>
                <w:sz w:val="24"/>
                <w:highlight w:val="none"/>
              </w:rPr>
              <w:t>及</w:t>
            </w:r>
            <w:r>
              <w:rPr>
                <w:rFonts w:hint="eastAsia" w:ascii="Times New Roman" w:hAnsi="Times New Roman" w:eastAsia="宋体" w:cs="Times New Roman"/>
                <w:color w:val="auto"/>
                <w:sz w:val="24"/>
                <w:highlight w:val="none"/>
                <w:lang w:val="en-US" w:eastAsia="zh-CN"/>
              </w:rPr>
              <w:t>柴油</w:t>
            </w:r>
            <w:r>
              <w:rPr>
                <w:rFonts w:hint="default" w:ascii="Times New Roman" w:hAnsi="Times New Roman" w:eastAsia="宋体" w:cs="Times New Roman"/>
                <w:color w:val="auto"/>
                <w:sz w:val="24"/>
                <w:highlight w:val="none"/>
                <w:lang w:val="en-US"/>
              </w:rPr>
              <w:t>。危险物质分布、影响途径及环境风险防范措施情况如下。</w:t>
            </w:r>
          </w:p>
          <w:p w14:paraId="7FC5459D">
            <w:pPr>
              <w:adjustRightInd w:val="0"/>
              <w:snapToGrid w:val="0"/>
              <w:spacing w:after="158" w:afterLines="50"/>
              <w:jc w:val="center"/>
              <w:rPr>
                <w:rFonts w:hint="default" w:ascii="Times New Roman" w:hAnsi="Times New Roman" w:eastAsia="宋体" w:cs="宋体"/>
                <w:b/>
                <w:bCs/>
                <w:color w:val="auto"/>
                <w:spacing w:val="4"/>
                <w:kern w:val="0"/>
                <w:sz w:val="24"/>
                <w:highlight w:val="none"/>
                <w:lang w:eastAsia="zh-CN" w:bidi="ar"/>
              </w:rPr>
            </w:pPr>
          </w:p>
          <w:p w14:paraId="36150B98">
            <w:pPr>
              <w:adjustRightInd w:val="0"/>
              <w:snapToGrid w:val="0"/>
              <w:spacing w:after="158" w:afterLines="50"/>
              <w:jc w:val="center"/>
              <w:rPr>
                <w:rFonts w:hint="default" w:ascii="Times New Roman" w:hAnsi="Times New Roman" w:eastAsia="宋体" w:cs="宋体"/>
                <w:b/>
                <w:bCs/>
                <w:color w:val="auto"/>
                <w:spacing w:val="4"/>
                <w:kern w:val="0"/>
                <w:sz w:val="24"/>
                <w:highlight w:val="none"/>
                <w:lang w:eastAsia="zh-CN" w:bidi="ar"/>
              </w:rPr>
            </w:pPr>
          </w:p>
          <w:p w14:paraId="5AA80D77">
            <w:pPr>
              <w:adjustRightInd w:val="0"/>
              <w:snapToGrid w:val="0"/>
              <w:spacing w:after="158" w:afterLines="5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宋体"/>
                <w:b/>
                <w:bCs/>
                <w:color w:val="auto"/>
                <w:spacing w:val="4"/>
                <w:kern w:val="0"/>
                <w:sz w:val="24"/>
                <w:highlight w:val="none"/>
                <w:lang w:eastAsia="zh-CN" w:bidi="ar"/>
              </w:rPr>
              <w:t>表</w:t>
            </w:r>
            <w:r>
              <w:rPr>
                <w:rFonts w:hint="eastAsia" w:ascii="Times New Roman" w:hAnsi="Times New Roman" w:eastAsia="宋体" w:cs="宋体"/>
                <w:b/>
                <w:bCs/>
                <w:color w:val="auto"/>
                <w:spacing w:val="4"/>
                <w:kern w:val="0"/>
                <w:sz w:val="24"/>
                <w:highlight w:val="none"/>
                <w:lang w:val="en-US" w:eastAsia="zh-CN" w:bidi="ar"/>
              </w:rPr>
              <w:t>4.2.7-1</w:t>
            </w:r>
            <w:r>
              <w:rPr>
                <w:rFonts w:hint="default" w:ascii="Times New Roman" w:hAnsi="Times New Roman" w:eastAsia="宋体" w:cs="宋体"/>
                <w:b/>
                <w:bCs/>
                <w:color w:val="auto"/>
                <w:spacing w:val="4"/>
                <w:kern w:val="0"/>
                <w:sz w:val="24"/>
                <w:highlight w:val="none"/>
                <w:lang w:eastAsia="zh-CN" w:bidi="ar"/>
              </w:rPr>
              <w:t>环境风险物质识别表</w:t>
            </w:r>
          </w:p>
          <w:tbl>
            <w:tblPr>
              <w:tblStyle w:val="3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949"/>
              <w:gridCol w:w="1118"/>
              <w:gridCol w:w="1050"/>
              <w:gridCol w:w="982"/>
              <w:gridCol w:w="3066"/>
            </w:tblGrid>
            <w:tr w14:paraId="7437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D7D7D7" w:themeFill="background1" w:themeFillShade="D8"/>
                  <w:noWrap w:val="0"/>
                  <w:vAlign w:val="center"/>
                </w:tcPr>
                <w:p w14:paraId="27E8411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名称</w:t>
                  </w:r>
                </w:p>
              </w:tc>
              <w:tc>
                <w:tcPr>
                  <w:tcW w:w="580" w:type="pct"/>
                  <w:shd w:val="clear" w:color="auto" w:fill="D7D7D7" w:themeFill="background1" w:themeFillShade="D8"/>
                  <w:noWrap w:val="0"/>
                  <w:vAlign w:val="center"/>
                </w:tcPr>
                <w:p w14:paraId="643F490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最大储存量</w:t>
                  </w:r>
                  <w:r>
                    <w:rPr>
                      <w:rFonts w:hint="default" w:ascii="Times New Roman" w:hAnsi="Times New Roman" w:eastAsia="宋体" w:cs="Times New Roman"/>
                      <w:b w:val="0"/>
                      <w:bCs w:val="0"/>
                      <w:color w:val="auto"/>
                      <w:sz w:val="21"/>
                      <w:szCs w:val="21"/>
                      <w:highlight w:val="none"/>
                    </w:rPr>
                    <w:t>/t</w:t>
                  </w:r>
                </w:p>
              </w:tc>
              <w:tc>
                <w:tcPr>
                  <w:tcW w:w="683" w:type="pct"/>
                  <w:shd w:val="clear" w:color="auto" w:fill="D7D7D7" w:themeFill="background1" w:themeFillShade="D8"/>
                  <w:noWrap w:val="0"/>
                  <w:vAlign w:val="center"/>
                </w:tcPr>
                <w:p w14:paraId="743D470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危险特性</w:t>
                  </w:r>
                </w:p>
              </w:tc>
              <w:tc>
                <w:tcPr>
                  <w:tcW w:w="642" w:type="pct"/>
                  <w:shd w:val="clear" w:color="auto" w:fill="D7D7D7" w:themeFill="background1" w:themeFillShade="D8"/>
                  <w:noWrap w:val="0"/>
                  <w:vAlign w:val="center"/>
                </w:tcPr>
                <w:p w14:paraId="52EA46D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分布情况</w:t>
                  </w:r>
                </w:p>
              </w:tc>
              <w:tc>
                <w:tcPr>
                  <w:tcW w:w="600" w:type="pct"/>
                  <w:shd w:val="clear" w:color="auto" w:fill="D7D7D7" w:themeFill="background1" w:themeFillShade="D8"/>
                  <w:noWrap w:val="0"/>
                  <w:vAlign w:val="center"/>
                </w:tcPr>
                <w:p w14:paraId="3E3DB52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可能影响途径</w:t>
                  </w:r>
                </w:p>
              </w:tc>
              <w:tc>
                <w:tcPr>
                  <w:tcW w:w="1875" w:type="pct"/>
                  <w:shd w:val="clear" w:color="auto" w:fill="D7D7D7" w:themeFill="background1" w:themeFillShade="D8"/>
                  <w:noWrap w:val="0"/>
                  <w:vAlign w:val="center"/>
                </w:tcPr>
                <w:p w14:paraId="0C15F27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环境风险防范措施</w:t>
                  </w:r>
                </w:p>
              </w:tc>
            </w:tr>
            <w:tr w14:paraId="242D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noWrap w:val="0"/>
                  <w:vAlign w:val="center"/>
                </w:tcPr>
                <w:p w14:paraId="32673C0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废润滑油</w:t>
                  </w:r>
                </w:p>
              </w:tc>
              <w:tc>
                <w:tcPr>
                  <w:tcW w:w="580" w:type="pct"/>
                  <w:noWrap w:val="0"/>
                  <w:vAlign w:val="center"/>
                </w:tcPr>
                <w:p w14:paraId="112564C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2</w:t>
                  </w:r>
                </w:p>
              </w:tc>
              <w:tc>
                <w:tcPr>
                  <w:tcW w:w="683" w:type="pct"/>
                  <w:vMerge w:val="restart"/>
                  <w:noWrap w:val="0"/>
                  <w:vAlign w:val="center"/>
                </w:tcPr>
                <w:p w14:paraId="18D43A1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遇明火、高热或与氧化剂接触，有引起燃烧爆炸的危险；若遇高热，容器内压增大，有开裂和爆炸的危险</w:t>
                  </w:r>
                </w:p>
              </w:tc>
              <w:tc>
                <w:tcPr>
                  <w:tcW w:w="642" w:type="pct"/>
                  <w:noWrap w:val="0"/>
                  <w:vAlign w:val="center"/>
                </w:tcPr>
                <w:p w14:paraId="75AA779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危险废物暂存间</w:t>
                  </w:r>
                </w:p>
              </w:tc>
              <w:tc>
                <w:tcPr>
                  <w:tcW w:w="600" w:type="pct"/>
                  <w:noWrap w:val="0"/>
                  <w:vAlign w:val="center"/>
                </w:tcPr>
                <w:p w14:paraId="77863C9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泄漏、燃烧</w:t>
                  </w:r>
                </w:p>
              </w:tc>
              <w:tc>
                <w:tcPr>
                  <w:tcW w:w="1875" w:type="pct"/>
                  <w:noWrap w:val="0"/>
                  <w:vAlign w:val="center"/>
                </w:tcPr>
                <w:p w14:paraId="2A9CE3DD">
                  <w:pPr>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危废暂存间设置重点防渗措施（防渗层为至少1m厚粘土层（渗透系数≤10</w:t>
                  </w:r>
                  <w:r>
                    <w:rPr>
                      <w:rFonts w:hint="default" w:ascii="Times New Roman" w:hAnsi="Times New Roman" w:eastAsia="宋体" w:cs="Times New Roman"/>
                      <w:color w:val="auto"/>
                      <w:szCs w:val="21"/>
                      <w:highlight w:val="none"/>
                      <w:vertAlign w:val="superscript"/>
                    </w:rPr>
                    <w:t>-7</w:t>
                  </w:r>
                  <w:r>
                    <w:rPr>
                      <w:rFonts w:hint="default" w:ascii="Times New Roman" w:hAnsi="Times New Roman" w:eastAsia="宋体" w:cs="Times New Roman"/>
                      <w:color w:val="auto"/>
                      <w:szCs w:val="21"/>
                      <w:highlight w:val="none"/>
                    </w:rPr>
                    <w:t>cm/s），或2mm厚高密度聚乙烯，或至少2mm厚的</w:t>
                  </w:r>
                  <w:r>
                    <w:rPr>
                      <w:rFonts w:hint="eastAsia" w:ascii="Times New Roman" w:hAnsi="Times New Roman" w:cs="Times New Roman"/>
                      <w:color w:val="auto"/>
                      <w:szCs w:val="21"/>
                      <w:highlight w:val="none"/>
                      <w:lang w:eastAsia="zh-CN"/>
                    </w:rPr>
                    <w:t>其他人工</w:t>
                  </w:r>
                  <w:r>
                    <w:rPr>
                      <w:rFonts w:hint="default" w:ascii="Times New Roman" w:hAnsi="Times New Roman" w:eastAsia="宋体" w:cs="Times New Roman"/>
                      <w:color w:val="auto"/>
                      <w:szCs w:val="21"/>
                      <w:highlight w:val="none"/>
                    </w:rPr>
                    <w:t>材料，渗透系数≤10</w:t>
                  </w:r>
                  <w:r>
                    <w:rPr>
                      <w:rFonts w:hint="default" w:ascii="Times New Roman" w:hAnsi="Times New Roman" w:eastAsia="宋体" w:cs="Times New Roman"/>
                      <w:color w:val="auto"/>
                      <w:szCs w:val="21"/>
                      <w:highlight w:val="none"/>
                      <w:vertAlign w:val="superscript"/>
                    </w:rPr>
                    <w:t>-10</w:t>
                  </w:r>
                  <w:r>
                    <w:rPr>
                      <w:rFonts w:hint="default" w:ascii="Times New Roman" w:hAnsi="Times New Roman" w:eastAsia="宋体" w:cs="Times New Roman"/>
                      <w:color w:val="auto"/>
                      <w:szCs w:val="21"/>
                      <w:highlight w:val="none"/>
                    </w:rPr>
                    <w:t>cm/s），设置导流沟和集液池</w:t>
                  </w:r>
                </w:p>
              </w:tc>
            </w:tr>
            <w:tr w14:paraId="2E8C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noWrap w:val="0"/>
                  <w:vAlign w:val="center"/>
                </w:tcPr>
                <w:p w14:paraId="69382F70">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柴油</w:t>
                  </w:r>
                </w:p>
              </w:tc>
              <w:tc>
                <w:tcPr>
                  <w:tcW w:w="580" w:type="pct"/>
                  <w:noWrap w:val="0"/>
                  <w:vAlign w:val="center"/>
                </w:tcPr>
                <w:p w14:paraId="6ECDCBE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w:t>
                  </w:r>
                </w:p>
              </w:tc>
              <w:tc>
                <w:tcPr>
                  <w:tcW w:w="683" w:type="pct"/>
                  <w:vMerge w:val="continue"/>
                  <w:noWrap w:val="0"/>
                  <w:vAlign w:val="center"/>
                </w:tcPr>
                <w:p w14:paraId="4D9DB1D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p>
              </w:tc>
              <w:tc>
                <w:tcPr>
                  <w:tcW w:w="642" w:type="pct"/>
                  <w:noWrap w:val="0"/>
                  <w:vAlign w:val="center"/>
                </w:tcPr>
                <w:p w14:paraId="0C49187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柴油储罐</w:t>
                  </w:r>
                </w:p>
              </w:tc>
              <w:tc>
                <w:tcPr>
                  <w:tcW w:w="600" w:type="pct"/>
                  <w:noWrap w:val="0"/>
                  <w:vAlign w:val="center"/>
                </w:tcPr>
                <w:p w14:paraId="00C412F5">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泄漏、燃烧</w:t>
                  </w:r>
                </w:p>
              </w:tc>
              <w:tc>
                <w:tcPr>
                  <w:tcW w:w="1875" w:type="pct"/>
                  <w:noWrap w:val="0"/>
                  <w:vAlign w:val="center"/>
                </w:tcPr>
                <w:p w14:paraId="3D26FAB6">
                  <w:pPr>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kern w:val="0"/>
                      <w:szCs w:val="21"/>
                      <w:highlight w:val="none"/>
                    </w:rPr>
                    <w:t>柴油</w:t>
                  </w:r>
                  <w:r>
                    <w:rPr>
                      <w:rFonts w:hint="eastAsia" w:ascii="Times New Roman" w:hAnsi="Times New Roman" w:eastAsia="宋体" w:cs="Times New Roman"/>
                      <w:bCs/>
                      <w:color w:val="auto"/>
                      <w:kern w:val="0"/>
                      <w:szCs w:val="21"/>
                      <w:highlight w:val="none"/>
                      <w:lang w:val="en-US" w:eastAsia="zh-CN"/>
                    </w:rPr>
                    <w:t>储</w:t>
                  </w:r>
                  <w:r>
                    <w:rPr>
                      <w:rFonts w:hint="default" w:ascii="Times New Roman" w:hAnsi="Times New Roman" w:eastAsia="宋体" w:cs="Times New Roman"/>
                      <w:bCs/>
                      <w:color w:val="auto"/>
                      <w:kern w:val="0"/>
                      <w:szCs w:val="21"/>
                      <w:highlight w:val="none"/>
                    </w:rPr>
                    <w:t>罐放置</w:t>
                  </w:r>
                  <w:r>
                    <w:rPr>
                      <w:rFonts w:hint="default" w:ascii="Times New Roman" w:hAnsi="Times New Roman" w:eastAsia="宋体" w:cs="Times New Roman"/>
                      <w:bCs/>
                      <w:color w:val="auto"/>
                      <w:kern w:val="0"/>
                      <w:szCs w:val="21"/>
                      <w:highlight w:val="none"/>
                      <w:lang w:val="en-US" w:eastAsia="zh-CN"/>
                    </w:rPr>
                    <w:t>在</w:t>
                  </w:r>
                  <w:r>
                    <w:rPr>
                      <w:rFonts w:hint="default" w:ascii="Times New Roman" w:hAnsi="Times New Roman" w:eastAsia="宋体" w:cs="Times New Roman"/>
                      <w:bCs/>
                      <w:color w:val="auto"/>
                      <w:kern w:val="0"/>
                      <w:szCs w:val="21"/>
                      <w:highlight w:val="none"/>
                    </w:rPr>
                    <w:t>围堰</w:t>
                  </w:r>
                  <w:r>
                    <w:rPr>
                      <w:rFonts w:hint="default" w:ascii="Times New Roman" w:hAnsi="Times New Roman" w:eastAsia="宋体" w:cs="Times New Roman"/>
                      <w:bCs/>
                      <w:color w:val="auto"/>
                      <w:kern w:val="0"/>
                      <w:szCs w:val="21"/>
                      <w:highlight w:val="none"/>
                      <w:lang w:val="en-US" w:eastAsia="zh-CN"/>
                    </w:rPr>
                    <w:t>内</w:t>
                  </w:r>
                  <w:r>
                    <w:rPr>
                      <w:rFonts w:hint="default" w:ascii="Times New Roman" w:hAnsi="Times New Roman" w:eastAsia="宋体" w:cs="Times New Roman"/>
                      <w:bCs/>
                      <w:color w:val="auto"/>
                      <w:kern w:val="0"/>
                      <w:szCs w:val="21"/>
                      <w:highlight w:val="none"/>
                    </w:rPr>
                    <w:t>，</w:t>
                  </w:r>
                  <w:r>
                    <w:rPr>
                      <w:rFonts w:hint="default" w:ascii="Times New Roman" w:hAnsi="Times New Roman" w:eastAsia="宋体" w:cs="Times New Roman"/>
                      <w:bCs/>
                      <w:color w:val="auto"/>
                      <w:kern w:val="0"/>
                      <w:szCs w:val="21"/>
                      <w:highlight w:val="none"/>
                      <w:lang w:val="en-US" w:eastAsia="zh-CN"/>
                    </w:rPr>
                    <w:t>围堰池体采用钢筋混凝土浇筑，</w:t>
                  </w:r>
                  <w:r>
                    <w:rPr>
                      <w:rFonts w:hint="default" w:ascii="Times New Roman" w:hAnsi="Times New Roman" w:eastAsia="宋体" w:cs="Times New Roman"/>
                      <w:bCs/>
                      <w:color w:val="auto"/>
                      <w:kern w:val="0"/>
                      <w:szCs w:val="21"/>
                      <w:highlight w:val="none"/>
                      <w:lang w:eastAsia="zh-CN"/>
                    </w:rPr>
                    <w:t>池底和内壁采用环氧树脂或</w:t>
                  </w:r>
                  <w:r>
                    <w:rPr>
                      <w:rFonts w:hint="eastAsia" w:ascii="Times New Roman" w:hAnsi="Times New Roman" w:cs="Times New Roman"/>
                      <w:bCs/>
                      <w:color w:val="auto"/>
                      <w:kern w:val="0"/>
                      <w:szCs w:val="21"/>
                      <w:highlight w:val="none"/>
                      <w:lang w:eastAsia="zh-CN"/>
                    </w:rPr>
                    <w:t>其他</w:t>
                  </w:r>
                  <w:r>
                    <w:rPr>
                      <w:rFonts w:hint="default" w:ascii="Times New Roman" w:hAnsi="Times New Roman" w:eastAsia="宋体" w:cs="Times New Roman"/>
                      <w:bCs/>
                      <w:color w:val="auto"/>
                      <w:kern w:val="0"/>
                      <w:szCs w:val="21"/>
                      <w:highlight w:val="none"/>
                      <w:lang w:eastAsia="zh-CN"/>
                    </w:rPr>
                    <w:t>防渗材料进行防渗处理</w:t>
                  </w:r>
                  <w:r>
                    <w:rPr>
                      <w:rFonts w:hint="default" w:ascii="Times New Roman" w:hAnsi="Times New Roman" w:eastAsia="宋体" w:cs="Times New Roman"/>
                      <w:bCs/>
                      <w:color w:val="auto"/>
                      <w:kern w:val="0"/>
                      <w:szCs w:val="21"/>
                      <w:highlight w:val="none"/>
                    </w:rPr>
                    <w:t>（渗透系数≤10</w:t>
                  </w:r>
                  <w:r>
                    <w:rPr>
                      <w:rFonts w:hint="default" w:ascii="Times New Roman" w:hAnsi="Times New Roman" w:eastAsia="宋体" w:cs="Times New Roman"/>
                      <w:bCs/>
                      <w:color w:val="auto"/>
                      <w:kern w:val="0"/>
                      <w:szCs w:val="21"/>
                      <w:highlight w:val="none"/>
                      <w:vertAlign w:val="superscript"/>
                      <w:lang w:val="en-US" w:eastAsia="zh-CN"/>
                    </w:rPr>
                    <w:t>-10</w:t>
                  </w:r>
                  <w:r>
                    <w:rPr>
                      <w:rFonts w:hint="default" w:ascii="Times New Roman" w:hAnsi="Times New Roman" w:eastAsia="宋体" w:cs="Times New Roman"/>
                      <w:bCs/>
                      <w:color w:val="auto"/>
                      <w:kern w:val="0"/>
                      <w:szCs w:val="21"/>
                      <w:highlight w:val="none"/>
                    </w:rPr>
                    <w:t>cm/s），定期对围堰进行检查，发现破裂处立即维护</w:t>
                  </w:r>
                </w:p>
              </w:tc>
            </w:tr>
          </w:tbl>
          <w:p w14:paraId="5D7A04A8">
            <w:pPr>
              <w:pStyle w:val="44"/>
              <w:keepNext w:val="0"/>
              <w:keepLines w:val="0"/>
              <w:pageBreakBefore w:val="0"/>
              <w:widowControl w:val="0"/>
              <w:kinsoku/>
              <w:wordWrap/>
              <w:overflowPunct/>
              <w:topLinePunct w:val="0"/>
              <w:autoSpaceDE/>
              <w:autoSpaceDN/>
              <w:bidi w:val="0"/>
              <w:adjustRightInd w:val="0"/>
              <w:snapToGrid w:val="0"/>
              <w:spacing w:before="160" w:beforeLines="50"/>
              <w:ind w:firstLine="510"/>
              <w:textAlignment w:val="auto"/>
              <w:rPr>
                <w:rFonts w:hint="default" w:ascii="Times New Roman" w:hAnsi="Times New Roman" w:eastAsia="宋体" w:cs="Times New Roman"/>
                <w:color w:val="auto"/>
                <w:kern w:val="24"/>
                <w:sz w:val="24"/>
                <w:highlight w:val="none"/>
                <w:lang w:val="en-US" w:eastAsia="zh-CN"/>
              </w:rPr>
            </w:pPr>
            <w:r>
              <w:rPr>
                <w:rFonts w:hint="default" w:ascii="Times New Roman" w:hAnsi="Times New Roman" w:eastAsia="宋体" w:cs="Times New Roman"/>
                <w:color w:val="auto"/>
                <w:kern w:val="24"/>
                <w:sz w:val="24"/>
                <w:highlight w:val="none"/>
                <w:lang w:val="en-US" w:eastAsia="zh-CN"/>
              </w:rPr>
              <w:t>Q值计算：</w:t>
            </w:r>
          </w:p>
          <w:p w14:paraId="4D3539F5">
            <w:pPr>
              <w:pStyle w:val="44"/>
              <w:rPr>
                <w:rFonts w:hint="default" w:ascii="Times New Roman" w:hAnsi="Times New Roman" w:eastAsia="宋体" w:cs="Times New Roman"/>
                <w:color w:val="auto"/>
                <w:kern w:val="24"/>
                <w:sz w:val="24"/>
                <w:highlight w:val="none"/>
                <w:lang w:val="en-US" w:eastAsia="zh-CN"/>
              </w:rPr>
            </w:pPr>
            <w:r>
              <w:rPr>
                <w:rFonts w:hint="default" w:ascii="Times New Roman" w:hAnsi="Times New Roman" w:eastAsia="宋体" w:cs="Times New Roman"/>
                <w:color w:val="auto"/>
                <w:kern w:val="24"/>
                <w:sz w:val="24"/>
                <w:highlight w:val="none"/>
                <w:lang w:val="en-US" w:eastAsia="zh-CN"/>
              </w:rPr>
              <w:t>项目风险物质Q值见下表：</w:t>
            </w:r>
          </w:p>
          <w:p w14:paraId="4A11733F">
            <w:pPr>
              <w:adjustRightInd w:val="0"/>
              <w:snapToGrid w:val="0"/>
              <w:spacing w:after="158" w:afterLines="50"/>
              <w:jc w:val="center"/>
              <w:rPr>
                <w:rFonts w:hint="default" w:ascii="Times New Roman" w:hAnsi="Times New Roman" w:eastAsia="宋体" w:cs="宋体"/>
                <w:b/>
                <w:bCs/>
                <w:color w:val="auto"/>
                <w:spacing w:val="4"/>
                <w:kern w:val="0"/>
                <w:sz w:val="24"/>
                <w:highlight w:val="none"/>
                <w:lang w:val="en-US" w:eastAsia="zh-CN" w:bidi="ar"/>
              </w:rPr>
            </w:pPr>
            <w:r>
              <w:rPr>
                <w:rFonts w:hint="default" w:ascii="Times New Roman" w:hAnsi="Times New Roman" w:eastAsia="宋体" w:cs="宋体"/>
                <w:b/>
                <w:bCs/>
                <w:color w:val="auto"/>
                <w:spacing w:val="4"/>
                <w:kern w:val="0"/>
                <w:sz w:val="24"/>
                <w:highlight w:val="none"/>
                <w:lang w:val="en-US" w:eastAsia="zh-CN" w:bidi="ar"/>
              </w:rPr>
              <w:t>表4</w:t>
            </w:r>
            <w:r>
              <w:rPr>
                <w:rFonts w:hint="eastAsia" w:ascii="Times New Roman" w:hAnsi="Times New Roman" w:eastAsia="宋体" w:cs="宋体"/>
                <w:b/>
                <w:bCs/>
                <w:color w:val="auto"/>
                <w:spacing w:val="4"/>
                <w:kern w:val="0"/>
                <w:sz w:val="24"/>
                <w:highlight w:val="none"/>
                <w:lang w:val="en-US" w:eastAsia="zh-CN" w:bidi="ar"/>
              </w:rPr>
              <w:t>.2.7</w:t>
            </w:r>
            <w:r>
              <w:rPr>
                <w:rFonts w:hint="default" w:ascii="Times New Roman" w:hAnsi="Times New Roman" w:eastAsia="宋体" w:cs="宋体"/>
                <w:b/>
                <w:bCs/>
                <w:color w:val="auto"/>
                <w:spacing w:val="4"/>
                <w:kern w:val="0"/>
                <w:sz w:val="24"/>
                <w:highlight w:val="none"/>
                <w:lang w:val="en-US" w:eastAsia="zh-CN" w:bidi="ar"/>
              </w:rPr>
              <w:t>-</w:t>
            </w:r>
            <w:r>
              <w:rPr>
                <w:rFonts w:hint="eastAsia" w:ascii="Times New Roman" w:hAnsi="Times New Roman" w:eastAsia="宋体" w:cs="宋体"/>
                <w:b/>
                <w:bCs/>
                <w:color w:val="auto"/>
                <w:spacing w:val="4"/>
                <w:kern w:val="0"/>
                <w:sz w:val="24"/>
                <w:highlight w:val="none"/>
                <w:lang w:val="en-US" w:eastAsia="zh-CN" w:bidi="ar"/>
              </w:rPr>
              <w:t>2</w:t>
            </w:r>
            <w:r>
              <w:rPr>
                <w:rFonts w:hint="default" w:ascii="Times New Roman" w:hAnsi="Times New Roman" w:eastAsia="宋体" w:cs="宋体"/>
                <w:b/>
                <w:bCs/>
                <w:color w:val="auto"/>
                <w:spacing w:val="4"/>
                <w:kern w:val="0"/>
                <w:sz w:val="24"/>
                <w:highlight w:val="none"/>
                <w:lang w:val="en-US" w:eastAsia="zh-CN" w:bidi="ar"/>
              </w:rPr>
              <w:t xml:space="preserve">  项目危险物质Q值核算表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12"/>
              <w:gridCol w:w="1403"/>
              <w:gridCol w:w="2316"/>
              <w:gridCol w:w="1150"/>
              <w:gridCol w:w="1284"/>
            </w:tblGrid>
            <w:tr w14:paraId="6417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5"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2C6CF9AF">
                  <w:pPr>
                    <w:adjustRightInd w:val="0"/>
                    <w:snapToGrid w:val="0"/>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eastAsia="zh-CN"/>
                    </w:rPr>
                    <w:t>序号</w:t>
                  </w:r>
                </w:p>
              </w:tc>
              <w:tc>
                <w:tcPr>
                  <w:tcW w:w="802"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367277A0">
                  <w:pPr>
                    <w:adjustRightInd w:val="0"/>
                    <w:snapToGrid w:val="0"/>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rPr>
                    <w:t>危险物质</w:t>
                  </w:r>
                  <w:r>
                    <w:rPr>
                      <w:rFonts w:hint="default" w:ascii="Times New Roman" w:hAnsi="Times New Roman" w:eastAsia="宋体" w:cs="Times New Roman"/>
                      <w:b w:val="0"/>
                      <w:bCs w:val="0"/>
                      <w:color w:val="auto"/>
                      <w:szCs w:val="21"/>
                      <w:highlight w:val="none"/>
                      <w:lang w:eastAsia="zh-CN"/>
                    </w:rPr>
                    <w:t>名称</w:t>
                  </w:r>
                </w:p>
              </w:tc>
              <w:tc>
                <w:tcPr>
                  <w:tcW w:w="858"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6D6797F7">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CAS号</w:t>
                  </w:r>
                </w:p>
              </w:tc>
              <w:tc>
                <w:tcPr>
                  <w:tcW w:w="1416"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166DAF7A">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最大储存量（t）</w:t>
                  </w:r>
                </w:p>
              </w:tc>
              <w:tc>
                <w:tcPr>
                  <w:tcW w:w="702"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6F6B9E98">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临界量（t）</w:t>
                  </w:r>
                </w:p>
              </w:tc>
              <w:tc>
                <w:tcPr>
                  <w:tcW w:w="785"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7E1E5E1E">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Q值</w:t>
                  </w:r>
                </w:p>
              </w:tc>
            </w:tr>
            <w:tr w14:paraId="7EBF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14:paraId="4CE38AF1">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715F7CAF">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bCs/>
                      <w:color w:val="auto"/>
                      <w:sz w:val="21"/>
                      <w:szCs w:val="21"/>
                      <w:highlight w:val="none"/>
                    </w:rPr>
                    <w:t>废</w:t>
                  </w:r>
                  <w:r>
                    <w:rPr>
                      <w:rFonts w:hint="default" w:ascii="Times New Roman" w:hAnsi="Times New Roman" w:eastAsia="宋体" w:cs="Times New Roman"/>
                      <w:bCs/>
                      <w:color w:val="auto"/>
                      <w:sz w:val="21"/>
                      <w:szCs w:val="21"/>
                      <w:highlight w:val="none"/>
                      <w:lang w:eastAsia="zh-CN"/>
                    </w:rPr>
                    <w:t>润滑</w:t>
                  </w:r>
                  <w:r>
                    <w:rPr>
                      <w:rFonts w:hint="default" w:ascii="Times New Roman" w:hAnsi="Times New Roman" w:eastAsia="宋体" w:cs="Times New Roman"/>
                      <w:bCs/>
                      <w:color w:val="auto"/>
                      <w:sz w:val="21"/>
                      <w:szCs w:val="21"/>
                      <w:highlight w:val="none"/>
                    </w:rPr>
                    <w:t>油</w:t>
                  </w:r>
                </w:p>
              </w:tc>
              <w:tc>
                <w:tcPr>
                  <w:tcW w:w="858" w:type="pct"/>
                  <w:tcBorders>
                    <w:top w:val="single" w:color="auto" w:sz="4" w:space="0"/>
                    <w:left w:val="single" w:color="auto" w:sz="4" w:space="0"/>
                    <w:bottom w:val="single" w:color="auto" w:sz="4" w:space="0"/>
                    <w:right w:val="single" w:color="auto" w:sz="4" w:space="0"/>
                  </w:tcBorders>
                  <w:noWrap w:val="0"/>
                  <w:vAlign w:val="center"/>
                </w:tcPr>
                <w:p w14:paraId="2AACCEA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1416" w:type="pct"/>
                  <w:tcBorders>
                    <w:top w:val="single" w:color="auto" w:sz="4" w:space="0"/>
                    <w:left w:val="single" w:color="auto" w:sz="4" w:space="0"/>
                    <w:bottom w:val="single" w:color="auto" w:sz="4" w:space="0"/>
                    <w:right w:val="single" w:color="auto" w:sz="4" w:space="0"/>
                  </w:tcBorders>
                  <w:noWrap w:val="0"/>
                  <w:vAlign w:val="center"/>
                </w:tcPr>
                <w:p w14:paraId="0C26F401">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r>
                    <w:rPr>
                      <w:rFonts w:hint="eastAsia" w:ascii="Times New Roman" w:hAnsi="Times New Roman" w:eastAsia="宋体" w:cs="Times New Roman"/>
                      <w:color w:val="auto"/>
                      <w:szCs w:val="21"/>
                      <w:highlight w:val="none"/>
                      <w:lang w:val="en-US" w:eastAsia="zh-CN"/>
                    </w:rPr>
                    <w:t>2</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4F00827D">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2500</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68F3E095">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0.0000</w:t>
                  </w:r>
                  <w:r>
                    <w:rPr>
                      <w:rFonts w:hint="eastAsia" w:ascii="Times New Roman" w:hAnsi="Times New Roman" w:eastAsia="宋体" w:cs="Times New Roman"/>
                      <w:color w:val="auto"/>
                      <w:szCs w:val="21"/>
                      <w:highlight w:val="none"/>
                      <w:lang w:val="en-US" w:eastAsia="zh-CN"/>
                    </w:rPr>
                    <w:t>8</w:t>
                  </w:r>
                </w:p>
              </w:tc>
            </w:tr>
            <w:tr w14:paraId="490B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14:paraId="25B2190A">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4C184BD5">
                  <w:pPr>
                    <w:adjustRightInd w:val="0"/>
                    <w:snapToGrid w:val="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柴油</w:t>
                  </w:r>
                </w:p>
              </w:tc>
              <w:tc>
                <w:tcPr>
                  <w:tcW w:w="858" w:type="pct"/>
                  <w:tcBorders>
                    <w:top w:val="single" w:color="auto" w:sz="4" w:space="0"/>
                    <w:left w:val="single" w:color="auto" w:sz="4" w:space="0"/>
                    <w:bottom w:val="single" w:color="auto" w:sz="4" w:space="0"/>
                    <w:right w:val="single" w:color="auto" w:sz="4" w:space="0"/>
                  </w:tcBorders>
                  <w:noWrap w:val="0"/>
                  <w:vAlign w:val="center"/>
                </w:tcPr>
                <w:p w14:paraId="28ADD670">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416" w:type="pct"/>
                  <w:tcBorders>
                    <w:top w:val="single" w:color="auto" w:sz="4" w:space="0"/>
                    <w:left w:val="single" w:color="auto" w:sz="4" w:space="0"/>
                    <w:bottom w:val="single" w:color="auto" w:sz="4" w:space="0"/>
                    <w:right w:val="single" w:color="auto" w:sz="4" w:space="0"/>
                  </w:tcBorders>
                  <w:noWrap w:val="0"/>
                  <w:vAlign w:val="center"/>
                </w:tcPr>
                <w:p w14:paraId="06EE6630">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65CBDB82">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2500</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6B71DBB9">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0.016</w:t>
                  </w:r>
                </w:p>
              </w:tc>
            </w:tr>
            <w:tr w14:paraId="2C03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4" w:type="pct"/>
                  <w:gridSpan w:val="5"/>
                  <w:tcBorders>
                    <w:top w:val="single" w:color="auto" w:sz="4" w:space="0"/>
                    <w:left w:val="single" w:color="auto" w:sz="4" w:space="0"/>
                    <w:bottom w:val="single" w:color="auto" w:sz="4" w:space="0"/>
                    <w:right w:val="single" w:color="auto" w:sz="4" w:space="0"/>
                  </w:tcBorders>
                  <w:noWrap w:val="0"/>
                  <w:vAlign w:val="center"/>
                </w:tcPr>
                <w:p w14:paraId="3904810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合计</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306F1FE0">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w:t>
                  </w:r>
                  <w:r>
                    <w:rPr>
                      <w:rFonts w:hint="eastAsia" w:ascii="Times New Roman" w:hAnsi="Times New Roman" w:eastAsia="宋体" w:cs="Times New Roman"/>
                      <w:color w:val="auto"/>
                      <w:szCs w:val="21"/>
                      <w:highlight w:val="none"/>
                      <w:lang w:val="en-US" w:eastAsia="zh-CN"/>
                    </w:rPr>
                    <w:t>1608</w:t>
                  </w:r>
                </w:p>
              </w:tc>
            </w:tr>
          </w:tbl>
          <w:p w14:paraId="51CF11E5">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kern w:val="24"/>
                <w:sz w:val="24"/>
                <w:highlight w:val="none"/>
                <w:lang w:val="zh-CN"/>
              </w:rPr>
              <w:t>根据计算项目</w:t>
            </w:r>
            <w:r>
              <w:rPr>
                <w:rFonts w:hint="default" w:ascii="Times New Roman" w:hAnsi="Times New Roman" w:eastAsia="宋体" w:cs="Times New Roman"/>
                <w:color w:val="auto"/>
                <w:kern w:val="24"/>
                <w:sz w:val="24"/>
                <w:highlight w:val="none"/>
                <w:lang w:val="en-US" w:eastAsia="zh-CN"/>
              </w:rPr>
              <w:t>Q值为0.0</w:t>
            </w:r>
            <w:r>
              <w:rPr>
                <w:rFonts w:hint="eastAsia" w:ascii="Times New Roman" w:hAnsi="Times New Roman" w:eastAsia="宋体" w:cs="Times New Roman"/>
                <w:color w:val="auto"/>
                <w:kern w:val="24"/>
                <w:sz w:val="24"/>
                <w:highlight w:val="none"/>
                <w:lang w:val="en-US" w:eastAsia="zh-CN"/>
              </w:rPr>
              <w:t>1608</w:t>
            </w:r>
            <w:r>
              <w:rPr>
                <w:rFonts w:hint="default" w:ascii="Times New Roman" w:hAnsi="Times New Roman" w:eastAsia="宋体" w:cs="Times New Roman"/>
                <w:color w:val="auto"/>
                <w:kern w:val="24"/>
                <w:sz w:val="24"/>
                <w:highlight w:val="none"/>
                <w:lang w:val="en-US" w:eastAsia="zh-CN"/>
              </w:rPr>
              <w:t>＜1，</w:t>
            </w:r>
            <w:r>
              <w:rPr>
                <w:rFonts w:hint="default" w:ascii="Times New Roman" w:hAnsi="Times New Roman" w:eastAsia="宋体" w:cs="Times New Roman"/>
                <w:color w:val="auto"/>
                <w:sz w:val="24"/>
                <w:szCs w:val="24"/>
                <w:highlight w:val="none"/>
              </w:rPr>
              <w:t>根据《建设项目环境风险评价技术导则》（HJ/T169-2018）4.3小节，风险潜势为Ⅰ，开展简单分析。</w:t>
            </w:r>
          </w:p>
          <w:p w14:paraId="308DDA6F">
            <w:pPr>
              <w:keepNext w:val="0"/>
              <w:keepLines/>
              <w:pageBreakBefore w:val="0"/>
              <w:kinsoku/>
              <w:overflowPunct/>
              <w:bidi w:val="0"/>
              <w:adjustRightInd/>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（2）环境风险影响分析</w:t>
            </w:r>
          </w:p>
          <w:p w14:paraId="7DF96051">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①火灾事故</w:t>
            </w:r>
            <w:r>
              <w:rPr>
                <w:rFonts w:hint="eastAsia" w:cs="Times New Roman"/>
                <w:color w:val="auto"/>
                <w:sz w:val="24"/>
                <w:highlight w:val="none"/>
                <w:lang w:val="en-US" w:eastAsia="zh-CN"/>
              </w:rPr>
              <w:t>次生污染</w:t>
            </w:r>
            <w:r>
              <w:rPr>
                <w:rFonts w:hint="default" w:ascii="Times New Roman" w:hAnsi="Times New Roman" w:eastAsia="宋体" w:cs="Times New Roman"/>
                <w:color w:val="auto"/>
                <w:sz w:val="24"/>
                <w:highlight w:val="none"/>
              </w:rPr>
              <w:t>影响分析</w:t>
            </w:r>
          </w:p>
          <w:p w14:paraId="06D69CA4">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一旦发生火灾事故，有毒有害气体可通过热辐射、烟雾及冲击波等形式扩散至空气中，泄漏液体和消防水将进入排水系统以及渗透到土壤中，会造成财产损失和人员伤亡，以及水环境、土壤环境的污染。</w:t>
            </w:r>
          </w:p>
          <w:p w14:paraId="7CA981D9">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②泄漏事故影响分析</w:t>
            </w:r>
          </w:p>
          <w:p w14:paraId="403A3BAA">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危险废物暂存间废油液泄漏</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柴油储罐柴油</w:t>
            </w:r>
            <w:r>
              <w:rPr>
                <w:rFonts w:hint="eastAsia" w:ascii="Times New Roman" w:hAnsi="Times New Roman" w:cs="Times New Roman"/>
                <w:color w:val="auto"/>
                <w:sz w:val="24"/>
                <w:highlight w:val="none"/>
                <w:lang w:val="en-US" w:eastAsia="zh-CN"/>
              </w:rPr>
              <w:t>泄漏</w:t>
            </w:r>
            <w:r>
              <w:rPr>
                <w:rFonts w:hint="eastAsia" w:ascii="Times New Roman" w:hAnsi="Times New Roman" w:eastAsia="宋体" w:cs="Times New Roman"/>
                <w:color w:val="auto"/>
                <w:sz w:val="24"/>
                <w:highlight w:val="none"/>
                <w:lang w:val="en-US" w:eastAsia="zh-CN"/>
              </w:rPr>
              <w:t>，易</w:t>
            </w:r>
            <w:r>
              <w:rPr>
                <w:rFonts w:hint="eastAsia" w:ascii="Times New Roman" w:hAnsi="Times New Roman" w:cs="Times New Roman"/>
                <w:color w:val="auto"/>
                <w:sz w:val="24"/>
                <w:highlight w:val="none"/>
                <w:lang w:val="en-US" w:eastAsia="zh-CN"/>
              </w:rPr>
              <w:t>发生</w:t>
            </w:r>
            <w:r>
              <w:rPr>
                <w:rFonts w:hint="default" w:ascii="Times New Roman" w:hAnsi="Times New Roman" w:eastAsia="宋体" w:cs="Times New Roman"/>
                <w:color w:val="auto"/>
                <w:sz w:val="24"/>
                <w:highlight w:val="none"/>
              </w:rPr>
              <w:t>火灾和爆炸事故</w:t>
            </w:r>
            <w:r>
              <w:rPr>
                <w:rFonts w:hint="default" w:ascii="Times New Roman" w:hAnsi="Times New Roman" w:eastAsia="宋体" w:cs="Times New Roman"/>
                <w:color w:val="auto"/>
                <w:sz w:val="24"/>
                <w:highlight w:val="none"/>
                <w:lang w:val="en-US" w:eastAsia="zh-CN"/>
              </w:rPr>
              <w:t>会威胁人身安全，</w:t>
            </w:r>
            <w:r>
              <w:rPr>
                <w:rFonts w:hint="default" w:ascii="Times New Roman" w:hAnsi="Times New Roman" w:eastAsia="宋体" w:cs="Times New Roman"/>
                <w:color w:val="auto"/>
                <w:sz w:val="24"/>
                <w:highlight w:val="none"/>
              </w:rPr>
              <w:t>产生大量烟气</w:t>
            </w:r>
            <w:r>
              <w:rPr>
                <w:rFonts w:hint="default" w:ascii="Times New Roman" w:hAnsi="Times New Roman" w:eastAsia="宋体" w:cs="Times New Roman"/>
                <w:color w:val="auto"/>
                <w:sz w:val="24"/>
                <w:highlight w:val="none"/>
                <w:lang w:val="en-US" w:eastAsia="zh-CN"/>
              </w:rPr>
              <w:t>会危害人体健康和</w:t>
            </w:r>
            <w:r>
              <w:rPr>
                <w:rFonts w:hint="default" w:ascii="Times New Roman" w:hAnsi="Times New Roman" w:eastAsia="宋体" w:cs="Times New Roman"/>
                <w:color w:val="auto"/>
                <w:sz w:val="24"/>
                <w:highlight w:val="none"/>
              </w:rPr>
              <w:t>污染环境空气。</w:t>
            </w:r>
          </w:p>
          <w:p w14:paraId="51D5C686">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rPr>
              <w:t>（3）</w:t>
            </w:r>
            <w:r>
              <w:rPr>
                <w:rFonts w:hint="default" w:ascii="Times New Roman" w:hAnsi="Times New Roman" w:eastAsia="宋体" w:cs="Times New Roman"/>
                <w:b/>
                <w:bCs/>
                <w:color w:val="auto"/>
                <w:kern w:val="0"/>
                <w:sz w:val="24"/>
                <w:highlight w:val="none"/>
                <w:lang w:val="en-US" w:eastAsia="zh-CN"/>
              </w:rPr>
              <w:t>风险防范措施</w:t>
            </w:r>
          </w:p>
          <w:p w14:paraId="100B71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①危险废物暂存间严格按照</w:t>
            </w:r>
            <w:r>
              <w:rPr>
                <w:rFonts w:hint="default" w:ascii="Times New Roman" w:hAnsi="Times New Roman" w:eastAsia="宋体" w:cs="Times New Roman"/>
                <w:color w:val="auto"/>
                <w:sz w:val="24"/>
                <w:highlight w:val="none"/>
                <w:lang w:eastAsia="zh-CN"/>
              </w:rPr>
              <w:t>《危险废物贮存污染控制标准》（GB18597-2023）</w:t>
            </w:r>
            <w:r>
              <w:rPr>
                <w:rFonts w:hint="default" w:ascii="Times New Roman" w:hAnsi="Times New Roman" w:eastAsia="宋体" w:cs="Times New Roman"/>
                <w:color w:val="auto"/>
                <w:sz w:val="24"/>
                <w:highlight w:val="none"/>
              </w:rPr>
              <w:t>的相关要求建设，须设置防晒、防雨淋等装置，应设计堵截</w:t>
            </w:r>
            <w:r>
              <w:rPr>
                <w:rFonts w:hint="eastAsia" w:ascii="Times New Roman" w:hAnsi="Times New Roman" w:cs="Times New Roman"/>
                <w:color w:val="auto"/>
                <w:sz w:val="24"/>
                <w:highlight w:val="none"/>
                <w:lang w:eastAsia="zh-CN"/>
              </w:rPr>
              <w:t>泄漏</w:t>
            </w:r>
            <w:r>
              <w:rPr>
                <w:rFonts w:hint="default" w:ascii="Times New Roman" w:hAnsi="Times New Roman" w:eastAsia="宋体" w:cs="Times New Roman"/>
                <w:color w:val="auto"/>
                <w:sz w:val="24"/>
                <w:highlight w:val="none"/>
              </w:rPr>
              <w:t>的裙脚，地面与裙脚所围建的容积不低于堵截最大容器最大储量或总储量的1/5；须设置收集沟及收集井等。</w:t>
            </w:r>
          </w:p>
          <w:p w14:paraId="70D7CC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2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rPr>
              <w:fldChar w:fldCharType="end"/>
            </w:r>
            <w:r>
              <w:rPr>
                <w:rFonts w:hint="eastAsia" w:ascii="Times New Roman" w:hAnsi="Times New Roman" w:eastAsia="宋体" w:cs="Times New Roman"/>
                <w:color w:val="auto"/>
                <w:sz w:val="24"/>
                <w:highlight w:val="none"/>
                <w:lang w:val="en-US" w:eastAsia="zh-CN"/>
              </w:rPr>
              <w:t>柴油储罐放置在围堰内，围堰池体采用钢筋混凝土浇筑，池底和内壁采用环氧树脂或</w:t>
            </w:r>
            <w:r>
              <w:rPr>
                <w:rFonts w:hint="eastAsia" w:ascii="Times New Roman" w:hAnsi="Times New Roman" w:cs="Times New Roman"/>
                <w:color w:val="auto"/>
                <w:sz w:val="24"/>
                <w:highlight w:val="none"/>
                <w:lang w:val="en-US" w:eastAsia="zh-CN"/>
              </w:rPr>
              <w:t>其他</w:t>
            </w:r>
            <w:r>
              <w:rPr>
                <w:rFonts w:hint="eastAsia" w:ascii="Times New Roman" w:hAnsi="Times New Roman" w:eastAsia="宋体" w:cs="Times New Roman"/>
                <w:color w:val="auto"/>
                <w:sz w:val="24"/>
                <w:highlight w:val="none"/>
                <w:lang w:val="en-US" w:eastAsia="zh-CN"/>
              </w:rPr>
              <w:t>防渗材料进行防渗处理（渗透系数≤10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lang w:val="en-US" w:eastAsia="zh-CN"/>
              </w:rPr>
              <w:t>cm/s），定期对围堰进行检查，发现破裂处立即维护。</w:t>
            </w:r>
          </w:p>
          <w:p w14:paraId="16A287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3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③</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定期检查检修生产设备，防止生产过程中物料发生跑冒滴漏；由专人负责环境保护工作，每天对危废暂存间</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柴油储罐</w:t>
            </w:r>
            <w:r>
              <w:rPr>
                <w:rFonts w:hint="default" w:ascii="Times New Roman" w:hAnsi="Times New Roman" w:eastAsia="宋体" w:cs="Times New Roman"/>
                <w:color w:val="auto"/>
                <w:sz w:val="24"/>
                <w:highlight w:val="none"/>
              </w:rPr>
              <w:t>进行检查，定期维护，制定环保设施运行维护台账，定期委托有资质单位对项目外排废气进行检测，确保各项污染物达标排放。</w:t>
            </w:r>
          </w:p>
          <w:p w14:paraId="4B3C5A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4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④</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对装有危废的容器进行定期检查，容器泄漏损坏时必须立即处理，并将危废装入完好容器内。危险废物</w:t>
            </w:r>
            <w:r>
              <w:rPr>
                <w:rFonts w:hint="eastAsia" w:ascii="Times New Roman" w:hAnsi="Times New Roman" w:cs="Times New Roman"/>
                <w:color w:val="auto"/>
                <w:sz w:val="24"/>
                <w:highlight w:val="none"/>
                <w:lang w:val="en-US" w:eastAsia="zh-CN"/>
              </w:rPr>
              <w:t>贮存</w:t>
            </w:r>
            <w:r>
              <w:rPr>
                <w:rFonts w:hint="default" w:ascii="Times New Roman" w:hAnsi="Times New Roman" w:eastAsia="宋体" w:cs="Times New Roman"/>
                <w:color w:val="auto"/>
                <w:sz w:val="24"/>
                <w:highlight w:val="none"/>
              </w:rPr>
              <w:t>区</w:t>
            </w:r>
            <w:r>
              <w:rPr>
                <w:rFonts w:hint="eastAsia" w:ascii="Times New Roman" w:hAnsi="Times New Roman" w:eastAsia="宋体" w:cs="Times New Roman"/>
                <w:color w:val="auto"/>
                <w:sz w:val="24"/>
                <w:highlight w:val="none"/>
                <w:lang w:val="en-US" w:eastAsia="zh-CN"/>
              </w:rPr>
              <w:t>和柴油储罐区</w:t>
            </w:r>
            <w:r>
              <w:rPr>
                <w:rFonts w:hint="default" w:ascii="Times New Roman" w:hAnsi="Times New Roman" w:eastAsia="宋体" w:cs="Times New Roman"/>
                <w:color w:val="auto"/>
                <w:sz w:val="24"/>
                <w:highlight w:val="none"/>
              </w:rPr>
              <w:t>设置警示标牌。</w:t>
            </w:r>
          </w:p>
          <w:p w14:paraId="07E229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 = 5 \* GB3 \* MERGEFORMAT </w:instrText>
            </w:r>
            <w:r>
              <w:rPr>
                <w:rFonts w:hint="default" w:ascii="Times New Roman" w:hAnsi="Times New Roman" w:eastAsia="宋体" w:cs="Times New Roman"/>
                <w:color w:val="auto"/>
                <w:sz w:val="24"/>
                <w:highlight w:val="none"/>
                <w:lang w:val="en-US" w:eastAsia="zh-CN"/>
              </w:rPr>
              <w:fldChar w:fldCharType="separate"/>
            </w:r>
            <w:r>
              <w:rPr>
                <w:rFonts w:hint="default" w:ascii="Times New Roman" w:hAnsi="Times New Roman" w:eastAsia="宋体" w:cs="Times New Roman"/>
                <w:color w:val="auto"/>
                <w:sz w:val="24"/>
                <w:highlight w:val="none"/>
              </w:rPr>
              <w:t>⑤</w:t>
            </w:r>
            <w:r>
              <w:rPr>
                <w:rFonts w:hint="default" w:ascii="Times New Roman" w:hAnsi="Times New Roman" w:eastAsia="宋体" w:cs="Times New Roman"/>
                <w:color w:val="auto"/>
                <w:sz w:val="24"/>
                <w:highlight w:val="none"/>
                <w:lang w:val="en-US" w:eastAsia="zh-CN"/>
              </w:rPr>
              <w:fldChar w:fldCharType="end"/>
            </w:r>
            <w:r>
              <w:rPr>
                <w:rFonts w:hint="default" w:ascii="Times New Roman" w:hAnsi="Times New Roman" w:eastAsia="宋体" w:cs="Times New Roman"/>
                <w:color w:val="auto"/>
                <w:sz w:val="24"/>
                <w:highlight w:val="none"/>
              </w:rPr>
              <w:t>所有包装袋、桶必须贴上危险废物标签，危险废物标签上文字字体为黑体、底色为醒目的</w:t>
            </w:r>
            <w:r>
              <w:rPr>
                <w:rFonts w:hint="eastAsia" w:ascii="Times New Roman" w:hAnsi="Times New Roman" w:cs="Times New Roman"/>
                <w:color w:val="auto"/>
                <w:sz w:val="24"/>
                <w:highlight w:val="none"/>
                <w:lang w:eastAsia="zh-CN"/>
              </w:rPr>
              <w:t>橘黄色</w:t>
            </w:r>
            <w:r>
              <w:rPr>
                <w:rFonts w:hint="default" w:ascii="Times New Roman" w:hAnsi="Times New Roman" w:eastAsia="宋体" w:cs="Times New Roman"/>
                <w:color w:val="auto"/>
                <w:sz w:val="24"/>
                <w:highlight w:val="none"/>
              </w:rPr>
              <w:t>，稳妥贴附在包装袋、桶适当位置，使其清晰易读。危险废物标签要提供下列说明：“危险废物”字样、危险废物产生单位名称、联系人、联系电话、主要化学成分或商品名称、危险类别、安全措施等。</w:t>
            </w:r>
          </w:p>
          <w:p w14:paraId="158D2A9A">
            <w:pPr>
              <w:pStyle w:val="21"/>
              <w:keepNext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bCs/>
                <w:color w:val="auto"/>
                <w:sz w:val="24"/>
                <w:highlight w:val="none"/>
                <w:lang w:val="en-US" w:eastAsia="zh-CN"/>
              </w:rPr>
              <w:t>⑥</w:t>
            </w:r>
            <w:r>
              <w:rPr>
                <w:rFonts w:hint="default" w:ascii="Times New Roman" w:hAnsi="Times New Roman" w:eastAsia="宋体" w:cs="Times New Roman"/>
                <w:bCs/>
                <w:color w:val="auto"/>
                <w:sz w:val="24"/>
                <w:highlight w:val="none"/>
              </w:rPr>
              <w:t>加强安全管理，制定突发环境事件应急预案，设置应急领导小组，按照应急预案要求配备应急设施和资源，落实风险防范和应急处置措施。</w:t>
            </w:r>
          </w:p>
          <w:p w14:paraId="4DB14DBE">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在采取本评价提出的风险防范措施后，本项目环境风险水平在可接受范围内，从环境风险的角度分析，本项目建设可行</w:t>
            </w:r>
            <w:r>
              <w:rPr>
                <w:rFonts w:hint="eastAsia" w:ascii="Times New Roman" w:hAnsi="Times New Roman" w:eastAsia="宋体" w:cs="Times New Roman"/>
                <w:color w:val="auto"/>
                <w:sz w:val="24"/>
                <w:highlight w:val="none"/>
                <w:lang w:eastAsia="zh-CN"/>
              </w:rPr>
              <w:t>。</w:t>
            </w:r>
          </w:p>
          <w:p w14:paraId="6DF022B7">
            <w:pPr>
              <w:pStyle w:val="70"/>
              <w:keepNext w:val="0"/>
              <w:keepLines w:val="0"/>
              <w:pageBreakBefore w:val="0"/>
              <w:widowControl w:val="0"/>
              <w:kinsoku/>
              <w:wordWrap/>
              <w:overflowPunct/>
              <w:topLinePunct w:val="0"/>
              <w:autoSpaceDE/>
              <w:autoSpaceDN/>
              <w:bidi w:val="0"/>
              <w:adjustRightInd w:val="0"/>
              <w:snapToGrid w:val="0"/>
              <w:spacing w:before="160" w:beforeLines="50"/>
              <w:ind w:firstLine="482"/>
              <w:textAlignment w:val="auto"/>
              <w:rPr>
                <w:rFonts w:hint="eastAsia" w:ascii="Times New Roman" w:hAnsi="Times New Roman" w:eastAsia="宋体" w:cs="宋体"/>
                <w:b/>
                <w:bCs/>
                <w:color w:val="auto"/>
                <w:kern w:val="0"/>
                <w:highlight w:val="none"/>
                <w:lang w:val="zh-CN"/>
              </w:rPr>
            </w:pPr>
            <w:r>
              <w:rPr>
                <w:rFonts w:hint="eastAsia" w:ascii="Times New Roman" w:hAnsi="Times New Roman" w:eastAsia="宋体" w:cs="宋体"/>
                <w:b/>
                <w:bCs/>
                <w:color w:val="auto"/>
                <w:kern w:val="0"/>
                <w:highlight w:val="none"/>
                <w:lang w:val="en-US" w:eastAsia="zh-CN"/>
              </w:rPr>
              <w:t>4.2.8</w:t>
            </w:r>
            <w:r>
              <w:rPr>
                <w:rFonts w:hint="eastAsia" w:ascii="Times New Roman" w:hAnsi="Times New Roman" w:eastAsia="宋体" w:cs="宋体"/>
                <w:b/>
                <w:bCs/>
                <w:color w:val="auto"/>
                <w:kern w:val="0"/>
                <w:highlight w:val="none"/>
                <w:lang w:val="zh-CN"/>
              </w:rPr>
              <w:t>竣工环境保护验收</w:t>
            </w:r>
          </w:p>
          <w:p w14:paraId="4578AFFF">
            <w:pPr>
              <w:pStyle w:val="70"/>
              <w:ind w:firstLine="480"/>
              <w:rPr>
                <w:rFonts w:hint="eastAsia" w:ascii="Times New Roman" w:hAnsi="Times New Roman" w:eastAsia="宋体"/>
                <w:color w:val="auto"/>
                <w:highlight w:val="none"/>
                <w:lang w:val="en-US" w:eastAsia="zh-CN"/>
              </w:rPr>
            </w:pPr>
            <w:r>
              <w:rPr>
                <w:rFonts w:hint="eastAsia" w:ascii="Times New Roman" w:hAnsi="Times New Roman"/>
                <w:color w:val="auto"/>
                <w:highlight w:val="none"/>
              </w:rPr>
              <w:t>本项目环保措施应当与整合主体工程同时设计、同时施工和同时投产，环保设施按照建设项目竣工环境保护验收管理办法，工程完成后在规定时</w:t>
            </w:r>
            <w:r>
              <w:rPr>
                <w:rFonts w:hint="eastAsia" w:ascii="Times New Roman" w:hAnsi="Times New Roman"/>
                <w:color w:val="auto"/>
                <w:highlight w:val="none"/>
                <w:lang w:eastAsia="zh-CN"/>
              </w:rPr>
              <w:t>间内</w:t>
            </w:r>
            <w:r>
              <w:rPr>
                <w:rFonts w:hint="eastAsia" w:ascii="Times New Roman" w:hAnsi="Times New Roman"/>
                <w:color w:val="auto"/>
                <w:highlight w:val="none"/>
              </w:rPr>
              <w:t>建设单位应向当地环保部门提出申请环保设施竣工验收，同时提交竣工环境保护验收调查报告</w:t>
            </w:r>
            <w:r>
              <w:rPr>
                <w:rFonts w:hint="eastAsia" w:ascii="Times New Roman" w:hAnsi="Times New Roman"/>
                <w:color w:val="auto"/>
                <w:highlight w:val="none"/>
                <w:lang w:eastAsia="zh-CN"/>
              </w:rPr>
              <w:t>。</w:t>
            </w:r>
          </w:p>
          <w:p w14:paraId="14E25B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bCs/>
                <w:color w:val="auto"/>
                <w:spacing w:val="4"/>
                <w:kern w:val="0"/>
                <w:sz w:val="24"/>
                <w:highlight w:val="none"/>
                <w:lang w:eastAsia="zh-CN" w:bidi="ar"/>
              </w:rPr>
            </w:pPr>
            <w:r>
              <w:rPr>
                <w:rFonts w:hint="default" w:ascii="Times New Roman" w:hAnsi="Times New Roman" w:eastAsia="宋体" w:cs="宋体"/>
                <w:b/>
                <w:bCs/>
                <w:color w:val="auto"/>
                <w:spacing w:val="4"/>
                <w:kern w:val="0"/>
                <w:sz w:val="24"/>
                <w:highlight w:val="none"/>
                <w:lang w:eastAsia="zh-CN" w:bidi="ar"/>
              </w:rPr>
              <w:t>表</w:t>
            </w:r>
            <w:r>
              <w:rPr>
                <w:rFonts w:hint="eastAsia" w:ascii="Times New Roman" w:hAnsi="Times New Roman" w:eastAsia="宋体" w:cs="宋体"/>
                <w:b/>
                <w:bCs/>
                <w:color w:val="auto"/>
                <w:spacing w:val="4"/>
                <w:kern w:val="0"/>
                <w:sz w:val="24"/>
                <w:highlight w:val="none"/>
                <w:lang w:val="en-US" w:eastAsia="zh-CN" w:bidi="ar"/>
              </w:rPr>
              <w:t>4.2.8-1</w:t>
            </w:r>
            <w:r>
              <w:rPr>
                <w:rFonts w:hint="default" w:ascii="Times New Roman" w:hAnsi="Times New Roman" w:eastAsia="宋体" w:cs="宋体"/>
                <w:b/>
                <w:bCs/>
                <w:color w:val="auto"/>
                <w:spacing w:val="4"/>
                <w:kern w:val="0"/>
                <w:sz w:val="24"/>
                <w:highlight w:val="none"/>
                <w:lang w:eastAsia="zh-CN" w:bidi="ar"/>
              </w:rPr>
              <w:t>项目环保设施竣工验收一览表</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273"/>
              <w:gridCol w:w="4290"/>
              <w:gridCol w:w="1893"/>
            </w:tblGrid>
            <w:tr w14:paraId="2D7A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shd w:val="clear" w:color="auto" w:fill="D7D7D7" w:themeFill="background1" w:themeFillShade="D8"/>
                  <w:vAlign w:val="center"/>
                </w:tcPr>
                <w:p w14:paraId="04765A1B">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778" w:type="pct"/>
                  <w:shd w:val="clear" w:color="auto" w:fill="D7D7D7" w:themeFill="background1" w:themeFillShade="D8"/>
                  <w:vAlign w:val="center"/>
                </w:tcPr>
                <w:p w14:paraId="517D6F67">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验收对象</w:t>
                  </w:r>
                </w:p>
              </w:tc>
              <w:tc>
                <w:tcPr>
                  <w:tcW w:w="2623" w:type="pct"/>
                  <w:shd w:val="clear" w:color="auto" w:fill="D7D7D7" w:themeFill="background1" w:themeFillShade="D8"/>
                  <w:vAlign w:val="center"/>
                </w:tcPr>
                <w:p w14:paraId="3A7D86F9">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c>
                <w:tcPr>
                  <w:tcW w:w="1157" w:type="pct"/>
                  <w:shd w:val="clear" w:color="auto" w:fill="D7D7D7" w:themeFill="background1" w:themeFillShade="D8"/>
                  <w:vAlign w:val="center"/>
                </w:tcPr>
                <w:p w14:paraId="5AEC031E">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验收标准</w:t>
                  </w:r>
                </w:p>
              </w:tc>
            </w:tr>
            <w:tr w14:paraId="59BB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restart"/>
                  <w:vAlign w:val="center"/>
                </w:tcPr>
                <w:p w14:paraId="690F5D4D">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大气污染防治措施</w:t>
                  </w:r>
                </w:p>
              </w:tc>
              <w:tc>
                <w:tcPr>
                  <w:tcW w:w="778" w:type="pct"/>
                  <w:vAlign w:val="center"/>
                </w:tcPr>
                <w:p w14:paraId="122D9099">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有组织</w:t>
                  </w:r>
                  <w:r>
                    <w:rPr>
                      <w:rFonts w:hint="eastAsia" w:ascii="Times New Roman" w:hAnsi="Times New Roman" w:eastAsia="宋体" w:cs="Times New Roman"/>
                      <w:color w:val="auto"/>
                      <w:sz w:val="21"/>
                      <w:szCs w:val="21"/>
                      <w:highlight w:val="none"/>
                      <w:lang w:val="en-US" w:eastAsia="zh-CN"/>
                    </w:rPr>
                    <w:t>粉尘</w:t>
                  </w:r>
                </w:p>
              </w:tc>
              <w:tc>
                <w:tcPr>
                  <w:tcW w:w="2623" w:type="pct"/>
                  <w:vAlign w:val="center"/>
                </w:tcPr>
                <w:p w14:paraId="299EB82C">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第一生产线</w:t>
                  </w:r>
                </w:p>
                <w:p w14:paraId="6E475A86">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生产设备上方设置集气罩，共计8个；</w:t>
                  </w:r>
                </w:p>
                <w:p w14:paraId="56BF5FDC">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057BD864">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ascii="Times New Roman" w:hAnsi="Times New Roman" w:eastAsia="宋体"/>
                      <w:color w:val="auto"/>
                      <w:sz w:val="21"/>
                      <w:highlight w:val="none"/>
                      <w:lang w:val="en-US" w:eastAsia="zh-CN"/>
                    </w:rPr>
                    <w:t>770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32A0A1A4">
                  <w:pPr>
                    <w:keepNext w:val="0"/>
                    <w:keepLines/>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），H=1</w:t>
                  </w:r>
                  <w:r>
                    <w:rPr>
                      <w:rFonts w:hint="eastAsia"/>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p w14:paraId="65FC7BB2">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第二生产线</w:t>
                  </w:r>
                </w:p>
                <w:p w14:paraId="13BBE0B8">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生产设备上方设置集气罩，共计8个；</w:t>
                  </w:r>
                </w:p>
                <w:p w14:paraId="7B4EF007">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6826A835">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ascii="Times New Roman" w:hAnsi="Times New Roman" w:eastAsia="宋体"/>
                      <w:color w:val="auto"/>
                      <w:sz w:val="21"/>
                      <w:highlight w:val="none"/>
                      <w:lang w:val="en-US" w:eastAsia="zh-CN"/>
                    </w:rPr>
                    <w:t>770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6865266C">
                  <w:pPr>
                    <w:keepNext w:val="0"/>
                    <w:keepLines/>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），H=1</w:t>
                  </w:r>
                  <w:r>
                    <w:rPr>
                      <w:rFonts w:hint="eastAsia"/>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p w14:paraId="0D36F192">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第三生产线</w:t>
                  </w:r>
                </w:p>
                <w:p w14:paraId="52438DAF">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w:t>
                  </w:r>
                  <w:r>
                    <w:rPr>
                      <w:rFonts w:hint="eastAsia"/>
                      <w:color w:val="auto"/>
                      <w:sz w:val="21"/>
                      <w:szCs w:val="21"/>
                      <w:highlight w:val="none"/>
                      <w:lang w:val="en-US" w:eastAsia="zh-CN"/>
                    </w:rPr>
                    <w:t>10</w:t>
                  </w:r>
                  <w:r>
                    <w:rPr>
                      <w:rFonts w:hint="eastAsia" w:ascii="Times New Roman" w:hAnsi="Times New Roman" w:eastAsia="宋体"/>
                      <w:color w:val="auto"/>
                      <w:sz w:val="21"/>
                      <w:szCs w:val="21"/>
                      <w:highlight w:val="none"/>
                      <w:lang w:val="en-US" w:eastAsia="zh-CN"/>
                    </w:rPr>
                    <w:t>个；</w:t>
                  </w:r>
                </w:p>
                <w:p w14:paraId="1522BFA6">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3</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38783C02">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color w:val="auto"/>
                      <w:sz w:val="21"/>
                      <w:highlight w:val="none"/>
                      <w:lang w:val="en-US" w:eastAsia="zh-CN"/>
                    </w:rPr>
                    <w:t>96</w:t>
                  </w:r>
                  <w:r>
                    <w:rPr>
                      <w:rFonts w:hint="eastAsia" w:ascii="Times New Roman" w:hAnsi="Times New Roman" w:eastAsia="宋体"/>
                      <w:color w:val="auto"/>
                      <w:sz w:val="21"/>
                      <w:highlight w:val="none"/>
                      <w:lang w:val="en-US" w:eastAsia="zh-CN"/>
                    </w:rPr>
                    <w:t>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744B466E">
                  <w:pPr>
                    <w:keepNext w:val="0"/>
                    <w:keepLines/>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3</w:t>
                  </w:r>
                  <w:r>
                    <w:rPr>
                      <w:rFonts w:hint="eastAsia" w:ascii="Times New Roman" w:hAnsi="Times New Roman" w:eastAsia="宋体"/>
                      <w:color w:val="auto"/>
                      <w:sz w:val="21"/>
                      <w:szCs w:val="21"/>
                      <w:highlight w:val="none"/>
                    </w:rPr>
                    <w:t>），H=1</w:t>
                  </w:r>
                  <w:r>
                    <w:rPr>
                      <w:rFonts w:hint="eastAsia"/>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tc>
              <w:tc>
                <w:tcPr>
                  <w:tcW w:w="1157" w:type="pct"/>
                  <w:vAlign w:val="center"/>
                </w:tcPr>
                <w:p w14:paraId="6A8E8000">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highlight w:val="none"/>
                      <w:lang w:val="en-US" w:eastAsia="zh-CN"/>
                    </w:rPr>
                    <w:t>《铁矿采选工业污染物排放标准》（</w:t>
                  </w:r>
                  <w:r>
                    <w:rPr>
                      <w:rFonts w:hint="default" w:ascii="Times New Roman" w:hAnsi="Times New Roman" w:eastAsia="宋体" w:cs="Times New Roman"/>
                      <w:color w:val="auto"/>
                      <w:sz w:val="21"/>
                      <w:highlight w:val="none"/>
                      <w:lang w:val="en-US" w:eastAsia="zh-CN"/>
                    </w:rPr>
                    <w:t>GB</w:t>
                  </w:r>
                  <w:r>
                    <w:rPr>
                      <w:rFonts w:hint="eastAsia" w:ascii="Times New Roman" w:hAnsi="Times New Roman" w:eastAsia="宋体" w:cs="Times New Roman"/>
                      <w:color w:val="auto"/>
                      <w:sz w:val="21"/>
                      <w:highlight w:val="none"/>
                      <w:lang w:val="en-US" w:eastAsia="zh-CN"/>
                    </w:rPr>
                    <w:t>28661</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2021</w:t>
                  </w:r>
                  <w:r>
                    <w:rPr>
                      <w:rFonts w:hint="default" w:ascii="Times New Roman" w:hAnsi="Times New Roman" w:eastAsia="宋体" w:cs="Times New Roman"/>
                      <w:color w:val="auto"/>
                      <w:sz w:val="21"/>
                      <w:highlight w:val="none"/>
                      <w:lang w:val="en-US" w:eastAsia="zh-CN"/>
                    </w:rPr>
                    <w:t>）</w:t>
                  </w:r>
                  <w:r>
                    <w:rPr>
                      <w:rFonts w:ascii="Times New Roman" w:hAnsi="Times New Roman" w:eastAsia="宋体"/>
                      <w:color w:val="auto"/>
                      <w:sz w:val="21"/>
                      <w:highlight w:val="none"/>
                    </w:rPr>
                    <w:t>表</w:t>
                  </w:r>
                  <w:r>
                    <w:rPr>
                      <w:rFonts w:hint="eastAsia" w:ascii="Times New Roman" w:hAnsi="Times New Roman" w:eastAsia="宋体"/>
                      <w:color w:val="auto"/>
                      <w:sz w:val="21"/>
                      <w:highlight w:val="none"/>
                      <w:lang w:val="en-US" w:eastAsia="zh-CN"/>
                    </w:rPr>
                    <w:t>5</w:t>
                  </w:r>
                  <w:r>
                    <w:rPr>
                      <w:rFonts w:ascii="Times New Roman" w:hAnsi="Times New Roman" w:eastAsia="宋体"/>
                      <w:color w:val="auto"/>
                      <w:sz w:val="21"/>
                      <w:highlight w:val="none"/>
                    </w:rPr>
                    <w:t>标准</w:t>
                  </w:r>
                  <w:r>
                    <w:rPr>
                      <w:rFonts w:hint="eastAsia" w:ascii="Times New Roman" w:hAnsi="Times New Roman" w:eastAsia="宋体"/>
                      <w:color w:val="auto"/>
                      <w:sz w:val="21"/>
                      <w:highlight w:val="none"/>
                    </w:rPr>
                    <w:t>（颗粒物≤</w:t>
                  </w:r>
                  <w:r>
                    <w:rPr>
                      <w:rFonts w:hint="eastAsia" w:ascii="Times New Roman" w:hAnsi="Times New Roman" w:eastAsia="宋体"/>
                      <w:color w:val="auto"/>
                      <w:sz w:val="21"/>
                      <w:highlight w:val="none"/>
                      <w:lang w:val="en-US" w:eastAsia="zh-CN"/>
                    </w:rPr>
                    <w:t>20</w:t>
                  </w:r>
                  <w:r>
                    <w:rPr>
                      <w:rFonts w:ascii="Times New Roman" w:hAnsi="Times New Roman" w:eastAsia="宋体"/>
                      <w:color w:val="auto"/>
                      <w:sz w:val="21"/>
                      <w:highlight w:val="none"/>
                    </w:rPr>
                    <w:t>mg/m</w:t>
                  </w:r>
                  <w:r>
                    <w:rPr>
                      <w:rFonts w:ascii="Times New Roman" w:hAnsi="Times New Roman" w:eastAsia="宋体"/>
                      <w:color w:val="auto"/>
                      <w:sz w:val="21"/>
                      <w:highlight w:val="none"/>
                      <w:vertAlign w:val="superscript"/>
                    </w:rPr>
                    <w:t>3</w:t>
                  </w:r>
                  <w:r>
                    <w:rPr>
                      <w:rFonts w:hint="eastAsia" w:ascii="Times New Roman" w:hAnsi="Times New Roman" w:eastAsia="宋体"/>
                      <w:color w:val="auto"/>
                      <w:sz w:val="21"/>
                      <w:highlight w:val="none"/>
                    </w:rPr>
                    <w:t>）</w:t>
                  </w:r>
                </w:p>
              </w:tc>
            </w:tr>
            <w:tr w14:paraId="08D2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continue"/>
                  <w:vAlign w:val="center"/>
                </w:tcPr>
                <w:p w14:paraId="144328C3">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8" w:type="pct"/>
                  <w:vAlign w:val="center"/>
                </w:tcPr>
                <w:p w14:paraId="734B770D">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olor w:val="auto"/>
                      <w:sz w:val="21"/>
                      <w:szCs w:val="21"/>
                      <w:highlight w:val="none"/>
                      <w:lang w:val="en-US" w:eastAsia="zh-CN"/>
                    </w:rPr>
                    <w:t>无组织-</w:t>
                  </w:r>
                  <w:r>
                    <w:rPr>
                      <w:rFonts w:hint="default" w:ascii="Times New Roman" w:hAnsi="Times New Roman" w:eastAsia="宋体" w:cs="Times New Roman"/>
                      <w:color w:val="auto"/>
                      <w:kern w:val="0"/>
                      <w:sz w:val="21"/>
                      <w:szCs w:val="21"/>
                      <w:highlight w:val="none"/>
                      <w:lang w:val="en-US" w:eastAsia="zh-CN" w:bidi="ar"/>
                    </w:rPr>
                    <w:t>堆场扬尘、装卸扬尘</w:t>
                  </w:r>
                </w:p>
              </w:tc>
              <w:tc>
                <w:tcPr>
                  <w:tcW w:w="2623" w:type="pct"/>
                  <w:vAlign w:val="center"/>
                </w:tcPr>
                <w:p w14:paraId="6146F356">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①原料</w:t>
                  </w:r>
                  <w:r>
                    <w:rPr>
                      <w:rFonts w:hint="default" w:ascii="Times New Roman" w:hAnsi="Times New Roman" w:eastAsia="宋体" w:cs="Times New Roman"/>
                      <w:color w:val="auto"/>
                      <w:kern w:val="0"/>
                      <w:sz w:val="21"/>
                      <w:szCs w:val="21"/>
                      <w:highlight w:val="none"/>
                      <w:lang w:val="en-US" w:eastAsia="zh-CN" w:bidi="ar"/>
                    </w:rPr>
                    <w:t>堆场、装卸区设置</w:t>
                  </w:r>
                  <w:r>
                    <w:rPr>
                      <w:rFonts w:hint="eastAsia" w:ascii="Times New Roman" w:hAnsi="Times New Roman" w:eastAsia="宋体" w:cs="Times New Roman"/>
                      <w:color w:val="auto"/>
                      <w:kern w:val="0"/>
                      <w:sz w:val="21"/>
                      <w:szCs w:val="21"/>
                      <w:highlight w:val="none"/>
                      <w:lang w:val="en-US" w:eastAsia="zh-CN" w:bidi="ar"/>
                    </w:rPr>
                    <w:t>三面围挡</w:t>
                  </w:r>
                  <w:r>
                    <w:rPr>
                      <w:rFonts w:hint="eastAsia" w:ascii="Times New Roman" w:hAnsi="Times New Roman" w:eastAsia="宋体" w:cs="Times New Roman"/>
                      <w:color w:val="auto"/>
                      <w:sz w:val="21"/>
                      <w:szCs w:val="21"/>
                      <w:highlight w:val="none"/>
                      <w:vertAlign w:val="baseline"/>
                      <w:lang w:val="en-US" w:eastAsia="zh-CN"/>
                    </w:rPr>
                    <w:t>加顶棚</w:t>
                  </w:r>
                  <w:r>
                    <w:rPr>
                      <w:rFonts w:hint="eastAsia" w:ascii="Times New Roman" w:hAnsi="Times New Roman" w:eastAsia="宋体" w:cs="Times New Roman"/>
                      <w:color w:val="auto"/>
                      <w:kern w:val="0"/>
                      <w:sz w:val="21"/>
                      <w:szCs w:val="21"/>
                      <w:highlight w:val="none"/>
                      <w:lang w:val="en-US" w:eastAsia="zh-CN" w:bidi="ar"/>
                    </w:rPr>
                    <w:t>车间内</w:t>
                  </w:r>
                  <w:r>
                    <w:rPr>
                      <w:rFonts w:hint="default" w:ascii="Times New Roman" w:hAnsi="Times New Roman" w:eastAsia="宋体" w:cs="Times New Roman"/>
                      <w:color w:val="auto"/>
                      <w:kern w:val="0"/>
                      <w:sz w:val="21"/>
                      <w:szCs w:val="21"/>
                      <w:highlight w:val="none"/>
                      <w:lang w:val="en-US" w:eastAsia="zh-CN" w:bidi="ar"/>
                    </w:rPr>
                    <w:t>，车间地面硬化处理</w:t>
                  </w:r>
                  <w:r>
                    <w:rPr>
                      <w:rFonts w:hint="eastAsia" w:ascii="Times New Roman" w:hAnsi="Times New Roman" w:eastAsia="宋体" w:cs="Times New Roman"/>
                      <w:color w:val="auto"/>
                      <w:kern w:val="0"/>
                      <w:sz w:val="21"/>
                      <w:szCs w:val="21"/>
                      <w:highlight w:val="none"/>
                      <w:lang w:val="en-US" w:eastAsia="zh-CN" w:bidi="ar"/>
                    </w:rPr>
                    <w:t>；</w:t>
                  </w:r>
                </w:p>
                <w:p w14:paraId="2E156F0E">
                  <w:pPr>
                    <w:keepNext w:val="0"/>
                    <w:keepLines/>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kern w:val="0"/>
                      <w:sz w:val="21"/>
                      <w:highlight w:val="none"/>
                      <w:lang w:val="en-US" w:eastAsia="zh-CN"/>
                    </w:rPr>
                    <w:t>②</w:t>
                  </w:r>
                  <w:r>
                    <w:rPr>
                      <w:rFonts w:hint="eastAsia" w:ascii="Times New Roman" w:hAnsi="Times New Roman" w:eastAsia="宋体" w:cs="Times New Roman"/>
                      <w:color w:val="auto"/>
                      <w:kern w:val="0"/>
                      <w:sz w:val="21"/>
                      <w:highlight w:val="none"/>
                      <w:lang w:val="en-US" w:eastAsia="zh-CN"/>
                    </w:rPr>
                    <w:t>堆料大棚设置洒水喷头50个，配套输水管道，定期洒水降尘。</w:t>
                  </w:r>
                </w:p>
              </w:tc>
              <w:tc>
                <w:tcPr>
                  <w:tcW w:w="1157" w:type="pct"/>
                  <w:vMerge w:val="restart"/>
                  <w:vAlign w:val="center"/>
                </w:tcPr>
                <w:p w14:paraId="16EF07BE">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highlight w:val="none"/>
                      <w:lang w:val="en-US" w:eastAsia="zh-CN"/>
                    </w:rPr>
                    <w:t>《铁矿采选工业污染物排放标准》（</w:t>
                  </w:r>
                  <w:r>
                    <w:rPr>
                      <w:rFonts w:hint="default" w:ascii="Times New Roman" w:hAnsi="Times New Roman" w:eastAsia="宋体" w:cs="Times New Roman"/>
                      <w:color w:val="auto"/>
                      <w:sz w:val="21"/>
                      <w:highlight w:val="none"/>
                      <w:lang w:val="en-US" w:eastAsia="zh-CN"/>
                    </w:rPr>
                    <w:t>GB</w:t>
                  </w:r>
                  <w:r>
                    <w:rPr>
                      <w:rFonts w:hint="eastAsia" w:ascii="Times New Roman" w:hAnsi="Times New Roman" w:eastAsia="宋体" w:cs="Times New Roman"/>
                      <w:color w:val="auto"/>
                      <w:sz w:val="21"/>
                      <w:highlight w:val="none"/>
                      <w:lang w:val="en-US" w:eastAsia="zh-CN"/>
                    </w:rPr>
                    <w:t>28661</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2021</w:t>
                  </w:r>
                  <w:r>
                    <w:rPr>
                      <w:rFonts w:hint="default" w:ascii="Times New Roman" w:hAnsi="Times New Roman" w:eastAsia="宋体" w:cs="Times New Roman"/>
                      <w:color w:val="auto"/>
                      <w:sz w:val="21"/>
                      <w:highlight w:val="none"/>
                      <w:lang w:val="en-US" w:eastAsia="zh-CN"/>
                    </w:rPr>
                    <w:t>）</w:t>
                  </w:r>
                  <w:r>
                    <w:rPr>
                      <w:rFonts w:ascii="Times New Roman" w:hAnsi="Times New Roman" w:eastAsia="宋体"/>
                      <w:color w:val="auto"/>
                      <w:sz w:val="21"/>
                      <w:highlight w:val="none"/>
                    </w:rPr>
                    <w:t>表</w:t>
                  </w:r>
                  <w:r>
                    <w:rPr>
                      <w:rFonts w:hint="eastAsia" w:ascii="Times New Roman" w:hAnsi="Times New Roman" w:eastAsia="宋体"/>
                      <w:color w:val="auto"/>
                      <w:sz w:val="21"/>
                      <w:highlight w:val="none"/>
                      <w:lang w:val="en-US" w:eastAsia="zh-CN"/>
                    </w:rPr>
                    <w:t>7</w:t>
                  </w:r>
                  <w:r>
                    <w:rPr>
                      <w:rFonts w:ascii="Times New Roman" w:hAnsi="Times New Roman" w:eastAsia="宋体"/>
                      <w:color w:val="auto"/>
                      <w:sz w:val="21"/>
                      <w:highlight w:val="none"/>
                    </w:rPr>
                    <w:t>标准</w:t>
                  </w:r>
                  <w:r>
                    <w:rPr>
                      <w:rFonts w:hint="eastAsia" w:ascii="Times New Roman" w:hAnsi="Times New Roman" w:eastAsia="宋体"/>
                      <w:color w:val="auto"/>
                      <w:sz w:val="21"/>
                      <w:highlight w:val="none"/>
                    </w:rPr>
                    <w:t>中无组织排放监控浓度限值（≤</w:t>
                  </w:r>
                  <w:r>
                    <w:rPr>
                      <w:rFonts w:ascii="Times New Roman" w:hAnsi="Times New Roman" w:eastAsia="宋体"/>
                      <w:color w:val="auto"/>
                      <w:sz w:val="21"/>
                      <w:highlight w:val="none"/>
                    </w:rPr>
                    <w:t>1.0</w:t>
                  </w:r>
                  <w:r>
                    <w:rPr>
                      <w:rFonts w:hint="eastAsia" w:ascii="Times New Roman" w:hAnsi="Times New Roman" w:eastAsia="宋体"/>
                      <w:color w:val="auto"/>
                      <w:sz w:val="21"/>
                      <w:highlight w:val="none"/>
                    </w:rPr>
                    <w:t>mg</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hint="eastAsia" w:ascii="Times New Roman" w:hAnsi="Times New Roman" w:eastAsia="宋体"/>
                      <w:color w:val="auto"/>
                      <w:sz w:val="21"/>
                      <w:highlight w:val="none"/>
                    </w:rPr>
                    <w:t>）</w:t>
                  </w:r>
                </w:p>
              </w:tc>
            </w:tr>
            <w:tr w14:paraId="6CCD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continue"/>
                  <w:vAlign w:val="center"/>
                </w:tcPr>
                <w:p w14:paraId="7803AB3C">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8" w:type="pct"/>
                  <w:vAlign w:val="center"/>
                </w:tcPr>
                <w:p w14:paraId="403A7D8A">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olor w:val="auto"/>
                      <w:sz w:val="21"/>
                      <w:szCs w:val="21"/>
                      <w:highlight w:val="none"/>
                      <w:lang w:val="en-US" w:eastAsia="zh-CN"/>
                    </w:rPr>
                    <w:t>无组织-运输粉尘</w:t>
                  </w:r>
                </w:p>
              </w:tc>
              <w:tc>
                <w:tcPr>
                  <w:tcW w:w="2623" w:type="pct"/>
                  <w:vAlign w:val="center"/>
                </w:tcPr>
                <w:p w14:paraId="027386DA">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①</w:t>
                  </w:r>
                  <w:r>
                    <w:rPr>
                      <w:rFonts w:hint="default" w:ascii="Times New Roman" w:hAnsi="Times New Roman" w:eastAsia="宋体" w:cs="Times New Roman"/>
                      <w:color w:val="auto"/>
                      <w:kern w:val="0"/>
                      <w:sz w:val="21"/>
                      <w:szCs w:val="21"/>
                      <w:highlight w:val="none"/>
                      <w:lang w:val="en-US" w:eastAsia="zh-CN" w:bidi="ar"/>
                    </w:rPr>
                    <w:t>运输车辆加盖篷布及时清扫、</w:t>
                  </w:r>
                  <w:r>
                    <w:rPr>
                      <w:rFonts w:hint="eastAsia" w:ascii="Times New Roman" w:hAnsi="Times New Roman" w:eastAsia="宋体" w:cs="Times New Roman"/>
                      <w:color w:val="auto"/>
                      <w:kern w:val="0"/>
                      <w:sz w:val="21"/>
                      <w:szCs w:val="21"/>
                      <w:highlight w:val="none"/>
                      <w:lang w:val="en-US" w:eastAsia="zh-CN" w:bidi="ar"/>
                    </w:rPr>
                    <w:t>运输道路</w:t>
                  </w:r>
                  <w:r>
                    <w:rPr>
                      <w:rFonts w:hint="default" w:ascii="Times New Roman" w:hAnsi="Times New Roman" w:eastAsia="宋体" w:cs="Times New Roman"/>
                      <w:color w:val="auto"/>
                      <w:kern w:val="0"/>
                      <w:sz w:val="21"/>
                      <w:szCs w:val="21"/>
                      <w:highlight w:val="none"/>
                      <w:lang w:val="en-US" w:eastAsia="zh-CN" w:bidi="ar"/>
                    </w:rPr>
                    <w:t>定期洒水降尘</w:t>
                  </w:r>
                  <w:r>
                    <w:rPr>
                      <w:rFonts w:hint="eastAsia" w:ascii="Times New Roman" w:hAnsi="Times New Roman" w:eastAsia="宋体" w:cs="Times New Roman"/>
                      <w:color w:val="auto"/>
                      <w:kern w:val="0"/>
                      <w:sz w:val="21"/>
                      <w:szCs w:val="21"/>
                      <w:highlight w:val="none"/>
                      <w:lang w:val="en-US" w:eastAsia="zh-CN" w:bidi="ar"/>
                    </w:rPr>
                    <w:t>；</w:t>
                  </w:r>
                </w:p>
                <w:p w14:paraId="33E4FF14">
                  <w:pPr>
                    <w:keepNext w:val="0"/>
                    <w:keepLines w:val="0"/>
                    <w:pageBreakBefore w:val="0"/>
                    <w:kinsoku/>
                    <w:wordWrap/>
                    <w:overflowPunct/>
                    <w:topLinePunct w:val="0"/>
                    <w:bidi w:val="0"/>
                    <w:adjustRightInd w:val="0"/>
                    <w:snapToGrid w:val="0"/>
                    <w:jc w:val="both"/>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②运输车辆进入厂区进行轮胎清洗；</w:t>
                  </w:r>
                </w:p>
                <w:p w14:paraId="02FFD607">
                  <w:pPr>
                    <w:keepNext w:val="0"/>
                    <w:keepLines/>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kern w:val="0"/>
                      <w:sz w:val="21"/>
                      <w:szCs w:val="21"/>
                      <w:highlight w:val="none"/>
                      <w:lang w:val="en-US" w:eastAsia="zh-CN" w:bidi="ar"/>
                    </w:rPr>
                    <w:t>③</w:t>
                  </w:r>
                  <w:r>
                    <w:rPr>
                      <w:rFonts w:hint="eastAsia" w:ascii="Times New Roman" w:hAnsi="Times New Roman" w:eastAsia="宋体" w:cs="Times New Roman"/>
                      <w:color w:val="auto"/>
                      <w:kern w:val="0"/>
                      <w:sz w:val="21"/>
                      <w:szCs w:val="21"/>
                      <w:highlight w:val="none"/>
                      <w:lang w:val="en-US" w:eastAsia="zh-CN" w:bidi="ar"/>
                    </w:rPr>
                    <w:t>配置洒水车1辆。</w:t>
                  </w:r>
                </w:p>
              </w:tc>
              <w:tc>
                <w:tcPr>
                  <w:tcW w:w="1157" w:type="pct"/>
                  <w:vMerge w:val="continue"/>
                  <w:vAlign w:val="center"/>
                </w:tcPr>
                <w:p w14:paraId="35AE688C">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14:paraId="7FA7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continue"/>
                  <w:vAlign w:val="center"/>
                </w:tcPr>
                <w:p w14:paraId="4C6EA303">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8" w:type="pct"/>
                  <w:vAlign w:val="center"/>
                </w:tcPr>
                <w:p w14:paraId="1AC68E43">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饮食油烟</w:t>
                  </w:r>
                </w:p>
              </w:tc>
              <w:tc>
                <w:tcPr>
                  <w:tcW w:w="2623" w:type="pct"/>
                  <w:vAlign w:val="center"/>
                </w:tcPr>
                <w:p w14:paraId="1C36431A">
                  <w:pPr>
                    <w:keepNext w:val="0"/>
                    <w:keepLines/>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olor w:val="auto"/>
                      <w:sz w:val="21"/>
                      <w:szCs w:val="21"/>
                      <w:highlight w:val="none"/>
                    </w:rPr>
                    <w:t>抽油烟机一套，处理效率≥</w:t>
                  </w:r>
                  <w:r>
                    <w:rPr>
                      <w:rFonts w:hint="eastAsia" w:ascii="Times New Roman" w:hAnsi="Times New Roman" w:eastAsia="宋体"/>
                      <w:color w:val="auto"/>
                      <w:sz w:val="21"/>
                      <w:szCs w:val="21"/>
                      <w:highlight w:val="none"/>
                      <w:lang w:val="en-US" w:eastAsia="zh-CN"/>
                    </w:rPr>
                    <w:t>60</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eastAsia="zh-CN"/>
                    </w:rPr>
                    <w:t>，处理风量≥</w:t>
                  </w:r>
                  <w:r>
                    <w:rPr>
                      <w:rFonts w:hint="eastAsia" w:ascii="Times New Roman" w:hAnsi="Times New Roman" w:eastAsia="宋体"/>
                      <w:color w:val="auto"/>
                      <w:sz w:val="21"/>
                      <w:szCs w:val="21"/>
                      <w:highlight w:val="none"/>
                      <w:lang w:val="en-US" w:eastAsia="zh-CN"/>
                    </w:rPr>
                    <w:t>4000m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/h</w:t>
                  </w:r>
                </w:p>
              </w:tc>
              <w:tc>
                <w:tcPr>
                  <w:tcW w:w="1157" w:type="pct"/>
                  <w:vAlign w:val="center"/>
                </w:tcPr>
                <w:p w14:paraId="1C0F335F">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snapToGrid w:val="0"/>
                      <w:color w:val="auto"/>
                      <w:kern w:val="0"/>
                      <w:szCs w:val="21"/>
                      <w:highlight w:val="none"/>
                    </w:rPr>
                    <w:t>《饮食业油烟排放标准（试行）》（GB18483-2001）小型饮食业单位油烟排放标准</w:t>
                  </w:r>
                </w:p>
              </w:tc>
            </w:tr>
            <w:tr w14:paraId="52CE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Align w:val="center"/>
                </w:tcPr>
                <w:p w14:paraId="5F03CE14">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噪声防治措施</w:t>
                  </w:r>
                </w:p>
              </w:tc>
              <w:tc>
                <w:tcPr>
                  <w:tcW w:w="778" w:type="pct"/>
                  <w:vAlign w:val="center"/>
                </w:tcPr>
                <w:p w14:paraId="562F8B15">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生产车间</w:t>
                  </w:r>
                </w:p>
              </w:tc>
              <w:tc>
                <w:tcPr>
                  <w:tcW w:w="2623" w:type="pct"/>
                  <w:vAlign w:val="center"/>
                </w:tcPr>
                <w:p w14:paraId="67929B74">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选用低噪设备、安装减震垫、厂房隔音、风机加装消声器</w:t>
                  </w:r>
                </w:p>
              </w:tc>
              <w:tc>
                <w:tcPr>
                  <w:tcW w:w="1157" w:type="pct"/>
                  <w:vAlign w:val="center"/>
                </w:tcPr>
                <w:p w14:paraId="1C01621A">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GB12348-2008《工业企业厂界环境噪声排放标准》</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w:t>
                  </w:r>
                </w:p>
              </w:tc>
            </w:tr>
            <w:tr w14:paraId="2689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restart"/>
                  <w:vAlign w:val="center"/>
                </w:tcPr>
                <w:p w14:paraId="36D59279">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废水防治措施</w:t>
                  </w:r>
                </w:p>
              </w:tc>
              <w:tc>
                <w:tcPr>
                  <w:tcW w:w="778" w:type="pct"/>
                  <w:vAlign w:val="center"/>
                </w:tcPr>
                <w:p w14:paraId="12CF8B16">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w:t>
                  </w:r>
                  <w:r>
                    <w:rPr>
                      <w:rFonts w:hint="eastAsia" w:cs="Times New Roman"/>
                      <w:color w:val="auto"/>
                      <w:sz w:val="21"/>
                      <w:szCs w:val="21"/>
                      <w:highlight w:val="none"/>
                      <w:lang w:val="en-US" w:eastAsia="zh-CN"/>
                    </w:rPr>
                    <w:t>污水</w:t>
                  </w:r>
                </w:p>
              </w:tc>
              <w:tc>
                <w:tcPr>
                  <w:tcW w:w="2623" w:type="pct"/>
                  <w:vAlign w:val="center"/>
                </w:tcPr>
                <w:p w14:paraId="2DD4D65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①化粪池</w:t>
                  </w:r>
                  <w:r>
                    <w:rPr>
                      <w:rFonts w:hint="eastAsia" w:ascii="Times New Roman" w:hAnsi="Times New Roman"/>
                      <w:color w:val="auto"/>
                      <w:sz w:val="21"/>
                      <w:highlight w:val="none"/>
                      <w:lang w:val="en-US" w:eastAsia="zh-CN"/>
                    </w:rPr>
                    <w:t>2</w:t>
                  </w:r>
                  <w:r>
                    <w:rPr>
                      <w:rFonts w:hint="eastAsia" w:ascii="Times New Roman" w:hAnsi="Times New Roman" w:eastAsia="宋体"/>
                      <w:color w:val="auto"/>
                      <w:sz w:val="21"/>
                      <w:highlight w:val="none"/>
                      <w:lang w:val="en-US" w:eastAsia="zh-CN"/>
                    </w:rPr>
                    <w:t>座</w:t>
                  </w:r>
                  <w:r>
                    <w:rPr>
                      <w:rFonts w:hint="eastAsia" w:ascii="Times New Roman" w:hAnsi="Times New Roman"/>
                      <w:color w:val="auto"/>
                      <w:sz w:val="21"/>
                      <w:highlight w:val="none"/>
                      <w:lang w:val="en-US" w:eastAsia="zh-CN"/>
                    </w:rPr>
                    <w:t>，总容积62.13m</w:t>
                  </w:r>
                  <w:r>
                    <w:rPr>
                      <w:rFonts w:hint="eastAsia" w:ascii="Times New Roman" w:hAnsi="Times New Roman"/>
                      <w:color w:val="auto"/>
                      <w:sz w:val="21"/>
                      <w:highlight w:val="none"/>
                      <w:vertAlign w:val="superscript"/>
                      <w:lang w:val="en-US" w:eastAsia="zh-CN"/>
                    </w:rPr>
                    <w:t>3</w:t>
                  </w:r>
                  <w:r>
                    <w:rPr>
                      <w:rFonts w:hint="eastAsia" w:ascii="Times New Roman" w:hAnsi="Times New Roman" w:eastAsia="宋体"/>
                      <w:color w:val="auto"/>
                      <w:sz w:val="21"/>
                      <w:highlight w:val="none"/>
                      <w:lang w:val="en-US" w:eastAsia="zh-CN"/>
                    </w:rPr>
                    <w:t>，1#化粪池位于厂区南侧，值班室旁，容积</w:t>
                  </w:r>
                  <w:r>
                    <w:rPr>
                      <w:rFonts w:hint="eastAsia" w:ascii="Times New Roman" w:hAnsi="Times New Roman"/>
                      <w:color w:val="auto"/>
                      <w:sz w:val="21"/>
                      <w:highlight w:val="none"/>
                      <w:lang w:val="en-US" w:eastAsia="zh-CN"/>
                    </w:rPr>
                    <w:t>11.73</w:t>
                  </w:r>
                  <w:r>
                    <w:rPr>
                      <w:rFonts w:hint="eastAsia" w:ascii="Times New Roman" w:hAnsi="Times New Roman" w:eastAsia="宋体"/>
                      <w:color w:val="auto"/>
                      <w:sz w:val="21"/>
                      <w:highlight w:val="none"/>
                      <w:lang w:val="en-US" w:eastAsia="zh-CN"/>
                    </w:rPr>
                    <w:t>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eastAsia="宋体"/>
                      <w:color w:val="auto"/>
                      <w:sz w:val="21"/>
                      <w:highlight w:val="none"/>
                      <w:vertAlign w:val="baseline"/>
                      <w:lang w:val="en-US" w:eastAsia="zh-CN"/>
                    </w:rPr>
                    <w:t>；2#化粪池位于宿舍楼旁，收集处理食堂及宿舍楼废水，容积</w:t>
                  </w:r>
                  <w:r>
                    <w:rPr>
                      <w:rFonts w:hint="eastAsia" w:ascii="Times New Roman" w:hAnsi="Times New Roman"/>
                      <w:color w:val="auto"/>
                      <w:sz w:val="21"/>
                      <w:highlight w:val="none"/>
                      <w:vertAlign w:val="baseline"/>
                      <w:lang w:val="en-US" w:eastAsia="zh-CN"/>
                    </w:rPr>
                    <w:t>50.4</w:t>
                  </w:r>
                  <w:r>
                    <w:rPr>
                      <w:rFonts w:hint="eastAsia" w:ascii="Times New Roman" w:hAnsi="Times New Roman" w:eastAsia="宋体"/>
                      <w:color w:val="auto"/>
                      <w:sz w:val="21"/>
                      <w:highlight w:val="none"/>
                      <w:vertAlign w:val="baseline"/>
                      <w:lang w:val="en-US" w:eastAsia="zh-CN"/>
                    </w:rPr>
                    <w:t>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eastAsia="宋体"/>
                      <w:color w:val="auto"/>
                      <w:sz w:val="21"/>
                      <w:highlight w:val="none"/>
                      <w:vertAlign w:val="baseline"/>
                      <w:lang w:val="en-US" w:eastAsia="zh-CN"/>
                    </w:rPr>
                    <w:t>；</w:t>
                  </w:r>
                </w:p>
                <w:p w14:paraId="36883EE7">
                  <w:pPr>
                    <w:pStyle w:val="3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left"/>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②食堂油隔油池1个，容积0.5m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w:t>
                  </w:r>
                </w:p>
                <w:p w14:paraId="410AED7D">
                  <w:pPr>
                    <w:pStyle w:val="3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left"/>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③一体化污水处理站1座，处理规模</w:t>
                  </w:r>
                  <w:r>
                    <w:rPr>
                      <w:rFonts w:hint="eastAsia" w:ascii="Times New Roman" w:hAnsi="Times New Roman"/>
                      <w:color w:val="auto"/>
                      <w:sz w:val="21"/>
                      <w:szCs w:val="21"/>
                      <w:highlight w:val="none"/>
                      <w:vertAlign w:val="baseline"/>
                      <w:lang w:val="en-US" w:eastAsia="zh-CN"/>
                    </w:rPr>
                    <w:t>3.5</w:t>
                  </w:r>
                  <w:r>
                    <w:rPr>
                      <w:rFonts w:hint="eastAsia" w:ascii="Times New Roman" w:hAnsi="Times New Roman" w:eastAsia="宋体"/>
                      <w:color w:val="auto"/>
                      <w:sz w:val="21"/>
                      <w:szCs w:val="21"/>
                      <w:highlight w:val="none"/>
                      <w:vertAlign w:val="baseline"/>
                      <w:lang w:val="en-US" w:eastAsia="zh-CN"/>
                    </w:rPr>
                    <w:t>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/d；</w:t>
                  </w:r>
                </w:p>
                <w:p w14:paraId="44391BD8">
                  <w:pPr>
                    <w:keepNext w:val="0"/>
                    <w:keepLines/>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vertAlign w:val="baseline"/>
                      <w:lang w:val="en-US" w:eastAsia="zh-CN"/>
                    </w:rPr>
                    <w:t>④污水处理站配套事故水池1座，容积3m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；配套中水暂存池1座，容积20m</w:t>
                  </w:r>
                  <w:r>
                    <w:rPr>
                      <w:rFonts w:hint="eastAsia" w:ascii="Times New Roman" w:hAnsi="Times New Roman" w:eastAsia="宋体"/>
                      <w:color w:val="auto"/>
                      <w:sz w:val="21"/>
                      <w:szCs w:val="21"/>
                      <w:highlight w:val="none"/>
                      <w:vertAlign w:val="superscript"/>
                      <w:lang w:val="en-US" w:eastAsia="zh-CN"/>
                    </w:rPr>
                    <w:t>3</w:t>
                  </w:r>
                </w:p>
              </w:tc>
              <w:tc>
                <w:tcPr>
                  <w:tcW w:w="1157" w:type="pct"/>
                  <w:vAlign w:val="center"/>
                </w:tcPr>
                <w:p w14:paraId="6EA37DB7">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0"/>
                      <w:sz w:val="21"/>
                      <w:highlight w:val="none"/>
                      <w:lang w:val="en-US" w:eastAsia="zh-CN"/>
                    </w:rPr>
                    <w:t>回用于厂区绿化，出水水质满足《城市污水再生利用城市杂用水水质》（GB/T18920-2020）中的城市绿化标准</w:t>
                  </w:r>
                </w:p>
              </w:tc>
            </w:tr>
            <w:tr w14:paraId="6033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continue"/>
                  <w:vAlign w:val="center"/>
                </w:tcPr>
                <w:p w14:paraId="67F70972">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8" w:type="pct"/>
                  <w:vAlign w:val="center"/>
                </w:tcPr>
                <w:p w14:paraId="43054224">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初期雨水</w:t>
                  </w:r>
                </w:p>
              </w:tc>
              <w:tc>
                <w:tcPr>
                  <w:tcW w:w="2623" w:type="pct"/>
                  <w:vAlign w:val="center"/>
                </w:tcPr>
                <w:p w14:paraId="2749A53A">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雨水经雨水沟收集后排放项目区南侧初期雨水收集池（</w:t>
                  </w:r>
                  <w:r>
                    <w:rPr>
                      <w:rFonts w:hint="eastAsia" w:cs="Times New Roman"/>
                      <w:color w:val="auto"/>
                      <w:sz w:val="21"/>
                      <w:szCs w:val="21"/>
                      <w:highlight w:val="none"/>
                      <w:lang w:val="en-US" w:eastAsia="zh-CN"/>
                    </w:rPr>
                    <w:t>310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olor w:val="auto"/>
                      <w:sz w:val="21"/>
                      <w:szCs w:val="21"/>
                      <w:highlight w:val="none"/>
                      <w:lang w:val="en-US" w:eastAsia="zh-CN"/>
                    </w:rPr>
                    <w:t>共修建</w:t>
                  </w:r>
                  <w:r>
                    <w:rPr>
                      <w:rFonts w:hint="eastAsia" w:ascii="Times New Roman" w:hAnsi="Times New Roman"/>
                      <w:color w:val="auto"/>
                      <w:sz w:val="21"/>
                      <w:szCs w:val="21"/>
                      <w:highlight w:val="none"/>
                      <w:lang w:val="en-US" w:eastAsia="zh-CN"/>
                    </w:rPr>
                    <w:t>3</w:t>
                  </w:r>
                  <w:r>
                    <w:rPr>
                      <w:rFonts w:hint="eastAsia" w:ascii="Times New Roman" w:hAnsi="Times New Roman" w:eastAsia="宋体"/>
                      <w:color w:val="auto"/>
                      <w:sz w:val="21"/>
                      <w:szCs w:val="21"/>
                      <w:highlight w:val="none"/>
                      <w:lang w:val="en-US" w:eastAsia="zh-CN"/>
                    </w:rPr>
                    <w:t>个，</w:t>
                  </w:r>
                  <w:r>
                    <w:rPr>
                      <w:rFonts w:hint="eastAsia" w:ascii="Times New Roman" w:hAnsi="Times New Roman" w:eastAsia="宋体" w:cs="Times New Roman"/>
                      <w:color w:val="auto"/>
                      <w:sz w:val="21"/>
                      <w:szCs w:val="21"/>
                      <w:highlight w:val="none"/>
                      <w:vertAlign w:val="baseline"/>
                      <w:lang w:val="en-US" w:eastAsia="zh-CN"/>
                    </w:rPr>
                    <w:t>1#初期雨水池位于值班室附近，容积</w:t>
                  </w:r>
                  <w:r>
                    <w:rPr>
                      <w:rFonts w:hint="eastAsia" w:ascii="Times New Roman" w:hAnsi="Times New Roman" w:cs="Times New Roman"/>
                      <w:color w:val="auto"/>
                      <w:sz w:val="21"/>
                      <w:szCs w:val="21"/>
                      <w:highlight w:val="none"/>
                      <w:vertAlign w:val="baseline"/>
                      <w:lang w:val="en-US" w:eastAsia="zh-CN"/>
                    </w:rPr>
                    <w:t>45</w:t>
                  </w:r>
                  <w:r>
                    <w:rPr>
                      <w:rFonts w:hint="eastAsia" w:ascii="Times New Roman" w:hAnsi="Times New Roman" w:eastAsia="宋体"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，2#初期雨水沉淀池位于地磅房附近，容积</w:t>
                  </w:r>
                  <w:r>
                    <w:rPr>
                      <w:rFonts w:hint="eastAsia" w:ascii="Times New Roman" w:hAnsi="Times New Roman" w:cs="Times New Roman"/>
                      <w:color w:val="auto"/>
                      <w:sz w:val="21"/>
                      <w:szCs w:val="21"/>
                      <w:highlight w:val="none"/>
                      <w:vertAlign w:val="baseline"/>
                      <w:lang w:val="en-US" w:eastAsia="zh-CN"/>
                    </w:rPr>
                    <w:t>75</w:t>
                  </w:r>
                  <w:r>
                    <w:rPr>
                      <w:rFonts w:hint="eastAsia" w:ascii="Times New Roman" w:hAnsi="Times New Roman" w:eastAsia="宋体"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color w:val="auto"/>
                      <w:sz w:val="21"/>
                      <w:szCs w:val="21"/>
                      <w:lang w:val="en-US" w:eastAsia="zh-CN"/>
                    </w:rPr>
                    <w:t>,3#初期雨水池位于2#初期雨水池东侧，容积190m</w:t>
                  </w:r>
                  <w:r>
                    <w:rPr>
                      <w:rFonts w:hint="eastAsia"/>
                      <w:color w:val="auto"/>
                      <w:sz w:val="21"/>
                      <w:szCs w:val="21"/>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p>
              </w:tc>
              <w:tc>
                <w:tcPr>
                  <w:tcW w:w="1157" w:type="pct"/>
                  <w:vAlign w:val="center"/>
                </w:tcPr>
                <w:p w14:paraId="654E168A">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回用于洒水降尘，不外排</w:t>
                  </w:r>
                </w:p>
              </w:tc>
            </w:tr>
            <w:tr w14:paraId="13DD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restart"/>
                  <w:vAlign w:val="center"/>
                </w:tcPr>
                <w:p w14:paraId="549E20D6">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固废防治措施</w:t>
                  </w:r>
                </w:p>
              </w:tc>
              <w:tc>
                <w:tcPr>
                  <w:tcW w:w="778" w:type="pct"/>
                  <w:vAlign w:val="center"/>
                </w:tcPr>
                <w:p w14:paraId="1F5B471A">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食堂隔油池废油脂</w:t>
                  </w:r>
                </w:p>
              </w:tc>
              <w:tc>
                <w:tcPr>
                  <w:tcW w:w="2623" w:type="pct"/>
                  <w:vAlign w:val="center"/>
                </w:tcPr>
                <w:p w14:paraId="23898386">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highlight w:val="none"/>
                      <w:lang w:val="en-US" w:eastAsia="zh-CN"/>
                    </w:rPr>
                    <w:t>设置2</w:t>
                  </w:r>
                  <w:r>
                    <w:rPr>
                      <w:rFonts w:hint="eastAsia" w:ascii="Times New Roman" w:hAnsi="Times New Roman" w:cs="Times New Roman"/>
                      <w:color w:val="auto"/>
                      <w:sz w:val="21"/>
                      <w:highlight w:val="none"/>
                      <w:lang w:val="en-US" w:eastAsia="zh-CN"/>
                    </w:rPr>
                    <w:t>个</w:t>
                  </w:r>
                  <w:r>
                    <w:rPr>
                      <w:rFonts w:hint="eastAsia" w:ascii="Times New Roman" w:hAnsi="Times New Roman" w:eastAsia="宋体" w:cs="Times New Roman"/>
                      <w:color w:val="auto"/>
                      <w:sz w:val="21"/>
                      <w:highlight w:val="none"/>
                      <w:lang w:val="en-US" w:eastAsia="zh-CN"/>
                    </w:rPr>
                    <w:t>容积为20L的收集桶收集，定期委托有资质单位处置</w:t>
                  </w:r>
                </w:p>
              </w:tc>
              <w:tc>
                <w:tcPr>
                  <w:tcW w:w="1157" w:type="pct"/>
                  <w:vMerge w:val="restart"/>
                  <w:vAlign w:val="center"/>
                </w:tcPr>
                <w:p w14:paraId="1D4EF2CF">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处置率100%</w:t>
                  </w:r>
                </w:p>
              </w:tc>
            </w:tr>
            <w:tr w14:paraId="2FAA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continue"/>
                  <w:vAlign w:val="center"/>
                </w:tcPr>
                <w:p w14:paraId="1553EFDD">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8" w:type="pct"/>
                  <w:vAlign w:val="center"/>
                </w:tcPr>
                <w:p w14:paraId="3CD2E83F">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生活垃圾</w:t>
                  </w:r>
                </w:p>
              </w:tc>
              <w:tc>
                <w:tcPr>
                  <w:tcW w:w="2623" w:type="pct"/>
                  <w:vAlign w:val="center"/>
                </w:tcPr>
                <w:p w14:paraId="11997715">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highlight w:val="none"/>
                      <w:lang w:val="en-US" w:eastAsia="zh-CN"/>
                    </w:rPr>
                    <w:t>1个封闭式室外垃圾收集桶（120L）2个，用于收集生活垃圾，配套室内垃圾桶若干；定期</w:t>
                  </w:r>
                  <w:r>
                    <w:rPr>
                      <w:rFonts w:hint="eastAsia" w:ascii="Times New Roman" w:hAnsi="Times New Roman" w:eastAsia="宋体" w:cs="Times New Roman"/>
                      <w:b w:val="0"/>
                      <w:bCs w:val="0"/>
                      <w:color w:val="auto"/>
                      <w:sz w:val="21"/>
                      <w:szCs w:val="21"/>
                      <w:highlight w:val="none"/>
                      <w:lang w:val="en-US" w:eastAsia="zh-CN"/>
                    </w:rPr>
                    <w:t>由环卫部门清运处置</w:t>
                  </w:r>
                </w:p>
              </w:tc>
              <w:tc>
                <w:tcPr>
                  <w:tcW w:w="1157" w:type="pct"/>
                  <w:vMerge w:val="continue"/>
                  <w:vAlign w:val="center"/>
                </w:tcPr>
                <w:p w14:paraId="39C44CCF">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62CC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continue"/>
                  <w:vAlign w:val="center"/>
                </w:tcPr>
                <w:p w14:paraId="2E65B02B">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8" w:type="pct"/>
                  <w:vAlign w:val="center"/>
                </w:tcPr>
                <w:p w14:paraId="20DE9AFC">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废润滑油</w:t>
                  </w:r>
                </w:p>
              </w:tc>
              <w:tc>
                <w:tcPr>
                  <w:tcW w:w="2623" w:type="pct"/>
                  <w:vMerge w:val="restart"/>
                  <w:vAlign w:val="center"/>
                </w:tcPr>
                <w:p w14:paraId="7A267ECC">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设置</w:t>
                  </w:r>
                  <w:r>
                    <w:rPr>
                      <w:rFonts w:hint="default" w:ascii="Times New Roman" w:hAnsi="Times New Roman" w:eastAsia="宋体" w:cs="Times New Roman"/>
                      <w:color w:val="auto"/>
                      <w:sz w:val="21"/>
                      <w:szCs w:val="21"/>
                      <w:highlight w:val="none"/>
                    </w:rPr>
                    <w:t>1间</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危废暂存间，使用收集桶分区分类收集暂存于危废暂存间内，委托</w:t>
                  </w:r>
                  <w:r>
                    <w:rPr>
                      <w:rFonts w:hint="eastAsia" w:ascii="Times New Roman" w:hAnsi="Times New Roman" w:eastAsia="宋体" w:cs="Times New Roman"/>
                      <w:color w:val="auto"/>
                      <w:sz w:val="21"/>
                      <w:szCs w:val="21"/>
                      <w:highlight w:val="none"/>
                      <w:lang w:val="en-US" w:eastAsia="zh-CN"/>
                    </w:rPr>
                    <w:t>有资质单位</w:t>
                  </w:r>
                  <w:r>
                    <w:rPr>
                      <w:rFonts w:hint="default" w:ascii="Times New Roman" w:hAnsi="Times New Roman" w:eastAsia="宋体" w:cs="Times New Roman"/>
                      <w:color w:val="auto"/>
                      <w:sz w:val="21"/>
                      <w:szCs w:val="21"/>
                      <w:highlight w:val="none"/>
                    </w:rPr>
                    <w:t>清运处置</w:t>
                  </w:r>
                </w:p>
              </w:tc>
              <w:tc>
                <w:tcPr>
                  <w:tcW w:w="1157" w:type="pct"/>
                  <w:vMerge w:val="continue"/>
                  <w:vAlign w:val="center"/>
                </w:tcPr>
                <w:p w14:paraId="20264CFD">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66EC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continue"/>
                  <w:vAlign w:val="center"/>
                </w:tcPr>
                <w:p w14:paraId="2343434A">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8" w:type="pct"/>
                  <w:vAlign w:val="center"/>
                </w:tcPr>
                <w:p w14:paraId="6C2AB1DF">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w:t>
                  </w:r>
                  <w:r>
                    <w:rPr>
                      <w:rFonts w:hint="eastAsia" w:ascii="Times New Roman" w:hAnsi="Times New Roman" w:eastAsia="宋体" w:cs="Times New Roman"/>
                      <w:color w:val="auto"/>
                      <w:sz w:val="21"/>
                      <w:szCs w:val="21"/>
                      <w:highlight w:val="none"/>
                      <w:lang w:val="en-US" w:eastAsia="zh-CN"/>
                    </w:rPr>
                    <w:t>润滑油桶</w:t>
                  </w:r>
                </w:p>
              </w:tc>
              <w:tc>
                <w:tcPr>
                  <w:tcW w:w="2623" w:type="pct"/>
                  <w:vMerge w:val="continue"/>
                  <w:vAlign w:val="center"/>
                </w:tcPr>
                <w:p w14:paraId="52B831AE">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57" w:type="pct"/>
                  <w:vMerge w:val="continue"/>
                  <w:vAlign w:val="center"/>
                </w:tcPr>
                <w:p w14:paraId="7BF8C4AF">
                  <w:pPr>
                    <w:keepNext w:val="0"/>
                    <w:keepLines/>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1E07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restart"/>
                  <w:vAlign w:val="center"/>
                </w:tcPr>
                <w:p w14:paraId="5B25AAD8">
                  <w:pPr>
                    <w:keepNext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土壤</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地下水污染</w:t>
                  </w:r>
                  <w:r>
                    <w:rPr>
                      <w:rFonts w:hint="eastAsia" w:ascii="Times New Roman" w:hAnsi="Times New Roman" w:eastAsia="宋体" w:cs="Times New Roman"/>
                      <w:color w:val="auto"/>
                      <w:sz w:val="21"/>
                      <w:szCs w:val="21"/>
                      <w:highlight w:val="none"/>
                      <w:lang w:val="en-US" w:eastAsia="zh-CN"/>
                    </w:rPr>
                    <w:t>及风险</w:t>
                  </w:r>
                  <w:r>
                    <w:rPr>
                      <w:rFonts w:hint="default" w:ascii="Times New Roman" w:hAnsi="Times New Roman" w:eastAsia="宋体" w:cs="Times New Roman"/>
                      <w:color w:val="auto"/>
                      <w:sz w:val="21"/>
                      <w:szCs w:val="21"/>
                      <w:highlight w:val="none"/>
                    </w:rPr>
                    <w:t>防治措施</w:t>
                  </w:r>
                </w:p>
              </w:tc>
              <w:tc>
                <w:tcPr>
                  <w:tcW w:w="4559" w:type="pct"/>
                  <w:gridSpan w:val="3"/>
                  <w:vAlign w:val="center"/>
                </w:tcPr>
                <w:p w14:paraId="1FA8C511">
                  <w:pPr>
                    <w:keepNext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危废暂存间</w:t>
                  </w:r>
                  <w:r>
                    <w:rPr>
                      <w:rFonts w:hint="eastAsia" w:ascii="Times New Roman" w:hAnsi="Times New Roman" w:eastAsia="宋体" w:cs="Times New Roman"/>
                      <w:color w:val="auto"/>
                      <w:sz w:val="21"/>
                      <w:szCs w:val="21"/>
                      <w:highlight w:val="none"/>
                      <w:lang w:eastAsia="zh-CN"/>
                    </w:rPr>
                    <w:t>作为</w:t>
                  </w:r>
                  <w:r>
                    <w:rPr>
                      <w:rFonts w:hint="default" w:ascii="Times New Roman" w:hAnsi="Times New Roman" w:eastAsia="宋体" w:cs="Times New Roman"/>
                      <w:color w:val="auto"/>
                      <w:sz w:val="21"/>
                      <w:szCs w:val="21"/>
                      <w:highlight w:val="none"/>
                    </w:rPr>
                    <w:t>重点防渗</w:t>
                  </w:r>
                  <w:r>
                    <w:rPr>
                      <w:rFonts w:hint="eastAsia" w:ascii="Times New Roman" w:hAnsi="Times New Roman" w:eastAsia="宋体" w:cs="Times New Roman"/>
                      <w:color w:val="auto"/>
                      <w:sz w:val="21"/>
                      <w:szCs w:val="21"/>
                      <w:highlight w:val="none"/>
                      <w:lang w:eastAsia="zh-CN"/>
                    </w:rPr>
                    <w:t>区，</w:t>
                  </w:r>
                  <w:r>
                    <w:rPr>
                      <w:rFonts w:hint="default" w:ascii="Times New Roman" w:hAnsi="Times New Roman" w:eastAsia="宋体" w:cs="Times New Roman"/>
                      <w:b w:val="0"/>
                      <w:bCs w:val="0"/>
                      <w:color w:val="auto"/>
                      <w:sz w:val="21"/>
                      <w:szCs w:val="21"/>
                      <w:highlight w:val="none"/>
                      <w:lang w:val="en-US" w:eastAsia="zh-CN"/>
                    </w:rPr>
                    <w:t>防渗层为至少1m厚黏土层</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渗透系数不大于10</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en-US" w:eastAsia="zh-CN"/>
                    </w:rPr>
                    <w:t>cm/s</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，或至少2mm厚高密度聚乙烯膜等人工防渗材料</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渗透系数不大于10</w:t>
                  </w:r>
                  <w:r>
                    <w:rPr>
                      <w:rFonts w:hint="eastAsia" w:ascii="Times New Roman" w:hAnsi="Times New Roman" w:eastAsia="宋体" w:cs="Times New Roman"/>
                      <w:b w:val="0"/>
                      <w:bCs w:val="0"/>
                      <w:color w:val="auto"/>
                      <w:sz w:val="21"/>
                      <w:szCs w:val="21"/>
                      <w:highlight w:val="none"/>
                      <w:vertAlign w:val="superscript"/>
                      <w:lang w:val="en-US" w:eastAsia="zh-CN"/>
                    </w:rPr>
                    <w:t>-10</w:t>
                  </w:r>
                  <w:r>
                    <w:rPr>
                      <w:rFonts w:hint="default" w:ascii="Times New Roman" w:hAnsi="Times New Roman" w:eastAsia="宋体" w:cs="Times New Roman"/>
                      <w:b w:val="0"/>
                      <w:bCs w:val="0"/>
                      <w:color w:val="auto"/>
                      <w:sz w:val="21"/>
                      <w:szCs w:val="21"/>
                      <w:highlight w:val="none"/>
                      <w:lang w:val="en-US" w:eastAsia="zh-CN"/>
                    </w:rPr>
                    <w:t>cm/s</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参照执行《危险废物贮存污染控制标准》（</w:t>
                  </w:r>
                  <w:r>
                    <w:rPr>
                      <w:rFonts w:hint="default" w:ascii="Times New Roman" w:hAnsi="Times New Roman" w:eastAsia="宋体" w:cs="Times New Roman"/>
                      <w:b w:val="0"/>
                      <w:bCs w:val="0"/>
                      <w:color w:val="auto"/>
                      <w:sz w:val="21"/>
                      <w:szCs w:val="21"/>
                      <w:highlight w:val="none"/>
                      <w:lang w:val="en-US" w:eastAsia="zh-CN"/>
                    </w:rPr>
                    <w:t>GB18597-20</w:t>
                  </w:r>
                  <w:r>
                    <w:rPr>
                      <w:rFonts w:hint="eastAsia" w:ascii="Times New Roman" w:hAnsi="Times New Roman" w:eastAsia="宋体" w:cs="Times New Roman"/>
                      <w:b w:val="0"/>
                      <w:bCs w:val="0"/>
                      <w:color w:val="auto"/>
                      <w:sz w:val="21"/>
                      <w:szCs w:val="21"/>
                      <w:highlight w:val="none"/>
                      <w:lang w:val="en-US" w:eastAsia="zh-CN"/>
                    </w:rPr>
                    <w:t>23）相关要求；</w:t>
                  </w:r>
                </w:p>
              </w:tc>
            </w:tr>
            <w:tr w14:paraId="305D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0" w:type="pct"/>
                  <w:vMerge w:val="continue"/>
                  <w:vAlign w:val="center"/>
                </w:tcPr>
                <w:p w14:paraId="2D1D1800">
                  <w:pPr>
                    <w:keepNext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559" w:type="pct"/>
                  <w:gridSpan w:val="3"/>
                  <w:vAlign w:val="center"/>
                </w:tcPr>
                <w:p w14:paraId="1F91FADD">
                  <w:pPr>
                    <w:keepNext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rPr>
                    <w:t>柴油</w:t>
                  </w:r>
                  <w:r>
                    <w:rPr>
                      <w:rFonts w:hint="eastAsia" w:ascii="Times New Roman" w:hAnsi="Times New Roman" w:eastAsia="宋体" w:cs="Times New Roman"/>
                      <w:bCs/>
                      <w:color w:val="auto"/>
                      <w:kern w:val="0"/>
                      <w:sz w:val="21"/>
                      <w:szCs w:val="21"/>
                      <w:highlight w:val="none"/>
                      <w:lang w:val="en-US" w:eastAsia="zh-CN"/>
                    </w:rPr>
                    <w:t>储</w:t>
                  </w:r>
                  <w:r>
                    <w:rPr>
                      <w:rFonts w:hint="default" w:ascii="Times New Roman" w:hAnsi="Times New Roman" w:eastAsia="宋体" w:cs="Times New Roman"/>
                      <w:bCs/>
                      <w:color w:val="auto"/>
                      <w:kern w:val="0"/>
                      <w:sz w:val="21"/>
                      <w:szCs w:val="21"/>
                      <w:highlight w:val="none"/>
                    </w:rPr>
                    <w:t>罐放置</w:t>
                  </w:r>
                  <w:r>
                    <w:rPr>
                      <w:rFonts w:hint="default" w:ascii="Times New Roman" w:hAnsi="Times New Roman" w:eastAsia="宋体" w:cs="Times New Roman"/>
                      <w:bCs/>
                      <w:color w:val="auto"/>
                      <w:kern w:val="0"/>
                      <w:sz w:val="21"/>
                      <w:szCs w:val="21"/>
                      <w:highlight w:val="none"/>
                      <w:lang w:val="en-US" w:eastAsia="zh-CN"/>
                    </w:rPr>
                    <w:t>在</w:t>
                  </w:r>
                  <w:r>
                    <w:rPr>
                      <w:rFonts w:hint="default" w:ascii="Times New Roman" w:hAnsi="Times New Roman" w:eastAsia="宋体" w:cs="Times New Roman"/>
                      <w:bCs/>
                      <w:color w:val="auto"/>
                      <w:kern w:val="0"/>
                      <w:sz w:val="21"/>
                      <w:szCs w:val="21"/>
                      <w:highlight w:val="none"/>
                    </w:rPr>
                    <w:t>围堰</w:t>
                  </w:r>
                  <w:r>
                    <w:rPr>
                      <w:rFonts w:hint="default" w:ascii="Times New Roman" w:hAnsi="Times New Roman" w:eastAsia="宋体" w:cs="Times New Roman"/>
                      <w:bCs/>
                      <w:color w:val="auto"/>
                      <w:kern w:val="0"/>
                      <w:sz w:val="21"/>
                      <w:szCs w:val="21"/>
                      <w:highlight w:val="none"/>
                      <w:lang w:val="en-US" w:eastAsia="zh-CN"/>
                    </w:rPr>
                    <w:t>内</w:t>
                  </w:r>
                  <w:r>
                    <w:rPr>
                      <w:rFonts w:hint="default" w:ascii="Times New Roman" w:hAnsi="Times New Roman" w:eastAsia="宋体" w:cs="Times New Roman"/>
                      <w:bCs/>
                      <w:color w:val="auto"/>
                      <w:kern w:val="0"/>
                      <w:sz w:val="21"/>
                      <w:szCs w:val="21"/>
                      <w:highlight w:val="none"/>
                    </w:rPr>
                    <w:t>，储罐区</w:t>
                  </w:r>
                  <w:r>
                    <w:rPr>
                      <w:rFonts w:hint="eastAsia" w:ascii="Times New Roman" w:hAnsi="Times New Roman" w:cs="Times New Roman"/>
                      <w:bCs/>
                      <w:color w:val="auto"/>
                      <w:kern w:val="0"/>
                      <w:sz w:val="21"/>
                      <w:szCs w:val="21"/>
                      <w:highlight w:val="none"/>
                      <w:lang w:eastAsia="zh-CN"/>
                    </w:rPr>
                    <w:t>周边</w:t>
                  </w:r>
                  <w:r>
                    <w:rPr>
                      <w:rFonts w:hint="default" w:ascii="Times New Roman" w:hAnsi="Times New Roman" w:eastAsia="宋体" w:cs="Times New Roman"/>
                      <w:bCs/>
                      <w:color w:val="auto"/>
                      <w:kern w:val="0"/>
                      <w:sz w:val="21"/>
                      <w:szCs w:val="21"/>
                      <w:highlight w:val="none"/>
                    </w:rPr>
                    <w:t>设置堵截泄漏的围堰，围堰高</w:t>
                  </w:r>
                  <w:r>
                    <w:rPr>
                      <w:rFonts w:hint="eastAsia" w:ascii="Times New Roman" w:hAnsi="Times New Roman" w:eastAsia="宋体" w:cs="Times New Roman"/>
                      <w:bCs/>
                      <w:color w:val="auto"/>
                      <w:kern w:val="0"/>
                      <w:sz w:val="21"/>
                      <w:szCs w:val="21"/>
                      <w:highlight w:val="none"/>
                      <w:lang w:val="en-US" w:eastAsia="zh-CN"/>
                    </w:rPr>
                    <w:t>0.5</w:t>
                  </w:r>
                  <w:r>
                    <w:rPr>
                      <w:rFonts w:hint="default" w:ascii="Times New Roman" w:hAnsi="Times New Roman" w:eastAsia="宋体" w:cs="Times New Roman"/>
                      <w:bCs/>
                      <w:color w:val="auto"/>
                      <w:kern w:val="0"/>
                      <w:sz w:val="21"/>
                      <w:szCs w:val="21"/>
                      <w:highlight w:val="none"/>
                    </w:rPr>
                    <w:t>m，围堰总容积满足总储量的1/5要求</w:t>
                  </w:r>
                  <w:r>
                    <w:rPr>
                      <w:rFonts w:hint="eastAsia" w:ascii="Times New Roman" w:hAnsi="Times New Roman" w:eastAsia="宋体" w:cs="Times New Roman"/>
                      <w:bCs/>
                      <w:color w:val="auto"/>
                      <w:kern w:val="0"/>
                      <w:sz w:val="21"/>
                      <w:szCs w:val="21"/>
                      <w:highlight w:val="none"/>
                      <w:lang w:eastAsia="zh-CN"/>
                    </w:rPr>
                    <w:t>，</w:t>
                  </w:r>
                  <w:r>
                    <w:rPr>
                      <w:rFonts w:hint="default" w:ascii="Times New Roman" w:hAnsi="Times New Roman" w:eastAsia="宋体" w:cs="Times New Roman"/>
                      <w:bCs/>
                      <w:color w:val="auto"/>
                      <w:kern w:val="0"/>
                      <w:sz w:val="21"/>
                      <w:szCs w:val="21"/>
                      <w:highlight w:val="none"/>
                      <w:lang w:val="en-US" w:eastAsia="zh-CN"/>
                    </w:rPr>
                    <w:t>围堰池体采用钢筋混凝土浇筑，</w:t>
                  </w:r>
                  <w:r>
                    <w:rPr>
                      <w:rFonts w:hint="default" w:ascii="Times New Roman" w:hAnsi="Times New Roman" w:eastAsia="宋体" w:cs="Times New Roman"/>
                      <w:bCs/>
                      <w:color w:val="auto"/>
                      <w:kern w:val="0"/>
                      <w:sz w:val="21"/>
                      <w:szCs w:val="21"/>
                      <w:highlight w:val="none"/>
                      <w:lang w:eastAsia="zh-CN"/>
                    </w:rPr>
                    <w:t>池底和内壁采用环氧树脂或</w:t>
                  </w:r>
                  <w:r>
                    <w:rPr>
                      <w:rFonts w:hint="eastAsia" w:ascii="Times New Roman" w:hAnsi="Times New Roman" w:cs="Times New Roman"/>
                      <w:bCs/>
                      <w:color w:val="auto"/>
                      <w:kern w:val="0"/>
                      <w:sz w:val="21"/>
                      <w:szCs w:val="21"/>
                      <w:highlight w:val="none"/>
                      <w:lang w:eastAsia="zh-CN"/>
                    </w:rPr>
                    <w:t>其他</w:t>
                  </w:r>
                  <w:r>
                    <w:rPr>
                      <w:rFonts w:hint="default" w:ascii="Times New Roman" w:hAnsi="Times New Roman" w:eastAsia="宋体" w:cs="Times New Roman"/>
                      <w:bCs/>
                      <w:color w:val="auto"/>
                      <w:kern w:val="0"/>
                      <w:sz w:val="21"/>
                      <w:szCs w:val="21"/>
                      <w:highlight w:val="none"/>
                      <w:lang w:eastAsia="zh-CN"/>
                    </w:rPr>
                    <w:t>防渗材料进行防渗处理</w:t>
                  </w:r>
                  <w:r>
                    <w:rPr>
                      <w:rFonts w:hint="default" w:ascii="Times New Roman" w:hAnsi="Times New Roman" w:eastAsia="宋体" w:cs="Times New Roman"/>
                      <w:bCs/>
                      <w:color w:val="auto"/>
                      <w:kern w:val="0"/>
                      <w:sz w:val="21"/>
                      <w:szCs w:val="21"/>
                      <w:highlight w:val="none"/>
                    </w:rPr>
                    <w:t>（渗透系数≤10</w:t>
                  </w:r>
                  <w:r>
                    <w:rPr>
                      <w:rFonts w:hint="default" w:ascii="Times New Roman" w:hAnsi="Times New Roman" w:eastAsia="宋体" w:cs="Times New Roman"/>
                      <w:bCs/>
                      <w:color w:val="auto"/>
                      <w:kern w:val="0"/>
                      <w:sz w:val="21"/>
                      <w:szCs w:val="21"/>
                      <w:highlight w:val="none"/>
                      <w:vertAlign w:val="superscript"/>
                      <w:lang w:val="en-US" w:eastAsia="zh-CN"/>
                    </w:rPr>
                    <w:t>-10</w:t>
                  </w:r>
                  <w:r>
                    <w:rPr>
                      <w:rFonts w:hint="default" w:ascii="Times New Roman" w:hAnsi="Times New Roman" w:eastAsia="宋体" w:cs="Times New Roman"/>
                      <w:bCs/>
                      <w:color w:val="auto"/>
                      <w:kern w:val="0"/>
                      <w:sz w:val="21"/>
                      <w:szCs w:val="21"/>
                      <w:highlight w:val="none"/>
                    </w:rPr>
                    <w:t>cm/s），定期对围堰进行检查，发现破裂处立即维护</w:t>
                  </w:r>
                  <w:r>
                    <w:rPr>
                      <w:rFonts w:hint="eastAsia" w:ascii="Times New Roman" w:hAnsi="Times New Roman" w:eastAsia="宋体" w:cs="Times New Roman"/>
                      <w:bCs/>
                      <w:color w:val="auto"/>
                      <w:kern w:val="0"/>
                      <w:sz w:val="21"/>
                      <w:szCs w:val="21"/>
                      <w:highlight w:val="none"/>
                      <w:lang w:eastAsia="zh-CN"/>
                    </w:rPr>
                    <w:t>。</w:t>
                  </w:r>
                </w:p>
              </w:tc>
            </w:tr>
          </w:tbl>
          <w:p w14:paraId="7B736B78">
            <w:pPr>
              <w:keepNext w:val="0"/>
              <w:keepLines w:val="0"/>
              <w:pageBreakBefore w:val="0"/>
              <w:widowControl w:val="0"/>
              <w:kinsoku/>
              <w:wordWrap/>
              <w:overflowPunct/>
              <w:topLinePunct w:val="0"/>
              <w:autoSpaceDE/>
              <w:autoSpaceDN/>
              <w:bidi w:val="0"/>
              <w:adjustRightInd w:val="0"/>
              <w:snapToGrid w:val="0"/>
              <w:spacing w:before="160" w:beforeLines="50"/>
              <w:jc w:val="center"/>
              <w:textAlignment w:val="auto"/>
              <w:rPr>
                <w:rFonts w:hint="default" w:ascii="Times New Roman" w:hAnsi="Times New Roman" w:eastAsia="宋体" w:cs="宋体"/>
                <w:b/>
                <w:bCs/>
                <w:color w:val="auto"/>
                <w:spacing w:val="4"/>
                <w:kern w:val="0"/>
                <w:sz w:val="24"/>
                <w:highlight w:val="none"/>
                <w:lang w:eastAsia="zh-CN" w:bidi="ar"/>
              </w:rPr>
            </w:pPr>
            <w:r>
              <w:rPr>
                <w:rFonts w:hint="default" w:ascii="Times New Roman" w:hAnsi="Times New Roman" w:eastAsia="宋体" w:cs="宋体"/>
                <w:b/>
                <w:bCs/>
                <w:color w:val="auto"/>
                <w:spacing w:val="4"/>
                <w:kern w:val="0"/>
                <w:sz w:val="24"/>
                <w:highlight w:val="none"/>
                <w:lang w:eastAsia="zh-CN" w:bidi="ar"/>
              </w:rPr>
              <w:t>表4</w:t>
            </w:r>
            <w:r>
              <w:rPr>
                <w:rFonts w:hint="eastAsia" w:ascii="Times New Roman" w:hAnsi="Times New Roman" w:eastAsia="宋体" w:cs="宋体"/>
                <w:b/>
                <w:bCs/>
                <w:color w:val="auto"/>
                <w:spacing w:val="4"/>
                <w:kern w:val="0"/>
                <w:sz w:val="24"/>
                <w:highlight w:val="none"/>
                <w:lang w:val="en-US" w:eastAsia="zh-CN" w:bidi="ar"/>
              </w:rPr>
              <w:t>.2.8</w:t>
            </w:r>
            <w:r>
              <w:rPr>
                <w:rFonts w:hint="default" w:ascii="Times New Roman" w:hAnsi="Times New Roman" w:eastAsia="宋体" w:cs="宋体"/>
                <w:b/>
                <w:bCs/>
                <w:color w:val="auto"/>
                <w:spacing w:val="4"/>
                <w:kern w:val="0"/>
                <w:sz w:val="24"/>
                <w:highlight w:val="none"/>
                <w:lang w:eastAsia="zh-CN" w:bidi="ar"/>
              </w:rPr>
              <w:t>-</w:t>
            </w:r>
            <w:r>
              <w:rPr>
                <w:rFonts w:hint="eastAsia" w:ascii="Times New Roman" w:hAnsi="Times New Roman" w:eastAsia="宋体" w:cs="宋体"/>
                <w:b/>
                <w:bCs/>
                <w:color w:val="auto"/>
                <w:spacing w:val="4"/>
                <w:kern w:val="0"/>
                <w:sz w:val="24"/>
                <w:highlight w:val="none"/>
                <w:lang w:val="en-US" w:eastAsia="zh-CN" w:bidi="ar"/>
              </w:rPr>
              <w:t>2</w:t>
            </w:r>
            <w:r>
              <w:rPr>
                <w:rFonts w:hint="default" w:ascii="Times New Roman" w:hAnsi="Times New Roman" w:eastAsia="宋体" w:cs="宋体"/>
                <w:b/>
                <w:bCs/>
                <w:color w:val="auto"/>
                <w:spacing w:val="4"/>
                <w:kern w:val="0"/>
                <w:sz w:val="24"/>
                <w:highlight w:val="none"/>
                <w:lang w:eastAsia="zh-CN" w:bidi="ar"/>
              </w:rPr>
              <w:t>竣工验收监测一览表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519"/>
              <w:gridCol w:w="1738"/>
              <w:gridCol w:w="1067"/>
              <w:gridCol w:w="1244"/>
              <w:gridCol w:w="2927"/>
            </w:tblGrid>
            <w:tr w14:paraId="7657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shd w:val="clear" w:color="auto" w:fill="D7D7D7" w:themeFill="background1" w:themeFillShade="D8"/>
                  <w:vAlign w:val="center"/>
                </w:tcPr>
                <w:p w14:paraId="7940F7EA">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监测项目</w:t>
                  </w:r>
                </w:p>
              </w:tc>
              <w:tc>
                <w:tcPr>
                  <w:tcW w:w="1380" w:type="pct"/>
                  <w:gridSpan w:val="2"/>
                  <w:shd w:val="clear" w:color="auto" w:fill="D7D7D7" w:themeFill="background1" w:themeFillShade="D8"/>
                  <w:vAlign w:val="center"/>
                </w:tcPr>
                <w:p w14:paraId="13961A0C">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监测点位</w:t>
                  </w:r>
                </w:p>
              </w:tc>
              <w:tc>
                <w:tcPr>
                  <w:tcW w:w="652" w:type="pct"/>
                  <w:shd w:val="clear" w:color="auto" w:fill="D7D7D7" w:themeFill="background1" w:themeFillShade="D8"/>
                  <w:vAlign w:val="center"/>
                </w:tcPr>
                <w:p w14:paraId="667919F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监测指标</w:t>
                  </w:r>
                </w:p>
              </w:tc>
              <w:tc>
                <w:tcPr>
                  <w:tcW w:w="761" w:type="pct"/>
                  <w:shd w:val="clear" w:color="auto" w:fill="D7D7D7" w:themeFill="background1" w:themeFillShade="D8"/>
                  <w:vAlign w:val="center"/>
                </w:tcPr>
                <w:p w14:paraId="12662A9C">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监测频率</w:t>
                  </w:r>
                </w:p>
              </w:tc>
              <w:tc>
                <w:tcPr>
                  <w:tcW w:w="1789" w:type="pct"/>
                  <w:shd w:val="clear" w:color="auto" w:fill="D7D7D7" w:themeFill="background1" w:themeFillShade="D8"/>
                  <w:vAlign w:val="center"/>
                </w:tcPr>
                <w:p w14:paraId="7AC74102">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执行标准</w:t>
                  </w:r>
                </w:p>
              </w:tc>
            </w:tr>
            <w:tr w14:paraId="437F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vMerge w:val="restart"/>
                  <w:vAlign w:val="center"/>
                </w:tcPr>
                <w:p w14:paraId="4C495EE9">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废气</w:t>
                  </w:r>
                </w:p>
              </w:tc>
              <w:tc>
                <w:tcPr>
                  <w:tcW w:w="317" w:type="pct"/>
                  <w:vAlign w:val="center"/>
                </w:tcPr>
                <w:p w14:paraId="37B0790B">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有组织</w:t>
                  </w:r>
                </w:p>
              </w:tc>
              <w:tc>
                <w:tcPr>
                  <w:tcW w:w="1063" w:type="pct"/>
                  <w:vAlign w:val="center"/>
                </w:tcPr>
                <w:p w14:paraId="7A1998C7">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val="0"/>
                      <w:bCs/>
                      <w:color w:val="auto"/>
                      <w:sz w:val="21"/>
                      <w:highlight w:val="none"/>
                      <w:lang w:val="en-US" w:eastAsia="zh-CN"/>
                    </w:rPr>
                  </w:pPr>
                  <w:r>
                    <w:rPr>
                      <w:rFonts w:hint="eastAsia" w:ascii="Times New Roman" w:hAnsi="Times New Roman" w:eastAsia="宋体"/>
                      <w:bCs/>
                      <w:color w:val="auto"/>
                      <w:sz w:val="21"/>
                      <w:szCs w:val="21"/>
                      <w:highlight w:val="none"/>
                      <w:lang w:val="en-US" w:eastAsia="zh-CN"/>
                    </w:rPr>
                    <w:t>DA001、DA002、DA003</w:t>
                  </w:r>
                </w:p>
              </w:tc>
              <w:tc>
                <w:tcPr>
                  <w:tcW w:w="652" w:type="pct"/>
                  <w:vAlign w:val="center"/>
                </w:tcPr>
                <w:p w14:paraId="3B4413D2">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颗粒物</w:t>
                  </w:r>
                </w:p>
              </w:tc>
              <w:tc>
                <w:tcPr>
                  <w:tcW w:w="761" w:type="pct"/>
                  <w:vMerge w:val="restart"/>
                  <w:vAlign w:val="center"/>
                </w:tcPr>
                <w:p w14:paraId="534186C1">
                  <w:pPr>
                    <w:pStyle w:val="96"/>
                    <w:keepNext w:val="0"/>
                    <w:keepLines/>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highlight w:val="none"/>
                    </w:rPr>
                    <w:t>竣工验收时，连续监测2天，每天采样3次</w:t>
                  </w:r>
                </w:p>
              </w:tc>
              <w:tc>
                <w:tcPr>
                  <w:tcW w:w="1789" w:type="pct"/>
                  <w:vAlign w:val="center"/>
                </w:tcPr>
                <w:p w14:paraId="1C9C05DC">
                  <w:pPr>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olor w:val="auto"/>
                      <w:sz w:val="21"/>
                      <w:highlight w:val="none"/>
                    </w:rPr>
                  </w:pPr>
                  <w:r>
                    <w:rPr>
                      <w:rFonts w:hint="eastAsia" w:ascii="Times New Roman" w:hAnsi="Times New Roman" w:eastAsia="宋体" w:cs="Times New Roman"/>
                      <w:color w:val="auto"/>
                      <w:sz w:val="21"/>
                      <w:highlight w:val="none"/>
                      <w:lang w:val="en-US" w:eastAsia="zh-CN"/>
                    </w:rPr>
                    <w:t>《铁矿采选工业污染物排放标准》（</w:t>
                  </w:r>
                  <w:r>
                    <w:rPr>
                      <w:rFonts w:hint="default" w:ascii="Times New Roman" w:hAnsi="Times New Roman" w:eastAsia="宋体" w:cs="Times New Roman"/>
                      <w:color w:val="auto"/>
                      <w:sz w:val="21"/>
                      <w:highlight w:val="none"/>
                      <w:lang w:val="en-US" w:eastAsia="zh-CN"/>
                    </w:rPr>
                    <w:t>GB</w:t>
                  </w:r>
                  <w:r>
                    <w:rPr>
                      <w:rFonts w:hint="eastAsia" w:ascii="Times New Roman" w:hAnsi="Times New Roman" w:eastAsia="宋体" w:cs="Times New Roman"/>
                      <w:color w:val="auto"/>
                      <w:sz w:val="21"/>
                      <w:highlight w:val="none"/>
                      <w:lang w:val="en-US" w:eastAsia="zh-CN"/>
                    </w:rPr>
                    <w:t>28661</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2021</w:t>
                  </w:r>
                  <w:r>
                    <w:rPr>
                      <w:rFonts w:hint="default" w:ascii="Times New Roman" w:hAnsi="Times New Roman" w:eastAsia="宋体" w:cs="Times New Roman"/>
                      <w:color w:val="auto"/>
                      <w:sz w:val="21"/>
                      <w:highlight w:val="none"/>
                      <w:lang w:val="en-US" w:eastAsia="zh-CN"/>
                    </w:rPr>
                    <w:t>）</w:t>
                  </w:r>
                  <w:r>
                    <w:rPr>
                      <w:rFonts w:ascii="Times New Roman" w:hAnsi="Times New Roman" w:eastAsia="宋体"/>
                      <w:color w:val="auto"/>
                      <w:sz w:val="21"/>
                      <w:highlight w:val="none"/>
                    </w:rPr>
                    <w:t>表</w:t>
                  </w:r>
                  <w:r>
                    <w:rPr>
                      <w:rFonts w:hint="eastAsia" w:ascii="Times New Roman" w:hAnsi="Times New Roman" w:eastAsia="宋体"/>
                      <w:color w:val="auto"/>
                      <w:sz w:val="21"/>
                      <w:highlight w:val="none"/>
                      <w:lang w:val="en-US" w:eastAsia="zh-CN"/>
                    </w:rPr>
                    <w:t>5</w:t>
                  </w:r>
                  <w:r>
                    <w:rPr>
                      <w:rFonts w:ascii="Times New Roman" w:hAnsi="Times New Roman" w:eastAsia="宋体"/>
                      <w:color w:val="auto"/>
                      <w:sz w:val="21"/>
                      <w:highlight w:val="none"/>
                    </w:rPr>
                    <w:t>标准</w:t>
                  </w:r>
                  <w:r>
                    <w:rPr>
                      <w:rFonts w:hint="eastAsia" w:ascii="Times New Roman" w:hAnsi="Times New Roman" w:eastAsia="宋体"/>
                      <w:color w:val="auto"/>
                      <w:sz w:val="21"/>
                      <w:highlight w:val="none"/>
                    </w:rPr>
                    <w:t>（颗粒物≤</w:t>
                  </w:r>
                  <w:r>
                    <w:rPr>
                      <w:rFonts w:hint="eastAsia" w:ascii="Times New Roman" w:hAnsi="Times New Roman" w:eastAsia="宋体"/>
                      <w:color w:val="auto"/>
                      <w:sz w:val="21"/>
                      <w:highlight w:val="none"/>
                      <w:lang w:val="en-US" w:eastAsia="zh-CN"/>
                    </w:rPr>
                    <w:t>20</w:t>
                  </w:r>
                  <w:r>
                    <w:rPr>
                      <w:rFonts w:ascii="Times New Roman" w:hAnsi="Times New Roman" w:eastAsia="宋体"/>
                      <w:color w:val="auto"/>
                      <w:sz w:val="21"/>
                      <w:highlight w:val="none"/>
                    </w:rPr>
                    <w:t>mg/m</w:t>
                  </w:r>
                  <w:r>
                    <w:rPr>
                      <w:rFonts w:ascii="Times New Roman" w:hAnsi="Times New Roman" w:eastAsia="宋体"/>
                      <w:color w:val="auto"/>
                      <w:sz w:val="21"/>
                      <w:highlight w:val="none"/>
                      <w:vertAlign w:val="superscript"/>
                    </w:rPr>
                    <w:t>3</w:t>
                  </w:r>
                  <w:r>
                    <w:rPr>
                      <w:rFonts w:hint="eastAsia" w:ascii="Times New Roman" w:hAnsi="Times New Roman" w:eastAsia="宋体"/>
                      <w:color w:val="auto"/>
                      <w:sz w:val="21"/>
                      <w:highlight w:val="none"/>
                    </w:rPr>
                    <w:t>）</w:t>
                  </w:r>
                </w:p>
              </w:tc>
            </w:tr>
            <w:tr w14:paraId="22BE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vMerge w:val="continue"/>
                  <w:vAlign w:val="center"/>
                </w:tcPr>
                <w:p w14:paraId="486C9E38">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p>
              </w:tc>
              <w:tc>
                <w:tcPr>
                  <w:tcW w:w="317" w:type="pct"/>
                  <w:vAlign w:val="center"/>
                </w:tcPr>
                <w:p w14:paraId="14FB2F25">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无组织</w:t>
                  </w:r>
                </w:p>
              </w:tc>
              <w:tc>
                <w:tcPr>
                  <w:tcW w:w="1063" w:type="pct"/>
                  <w:vAlign w:val="center"/>
                </w:tcPr>
                <w:p w14:paraId="1D8B4B53">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ascii="Times New Roman" w:hAnsi="Times New Roman" w:eastAsia="宋体"/>
                      <w:b w:val="0"/>
                      <w:bCs/>
                      <w:color w:val="auto"/>
                      <w:sz w:val="21"/>
                      <w:highlight w:val="none"/>
                    </w:rPr>
                    <w:t>4个，厂界上风向1个，下风向3个</w:t>
                  </w:r>
                </w:p>
              </w:tc>
              <w:tc>
                <w:tcPr>
                  <w:tcW w:w="652" w:type="pct"/>
                  <w:vAlign w:val="center"/>
                </w:tcPr>
                <w:p w14:paraId="49E20D2B">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颗粒物</w:t>
                  </w:r>
                </w:p>
              </w:tc>
              <w:tc>
                <w:tcPr>
                  <w:tcW w:w="761" w:type="pct"/>
                  <w:vMerge w:val="continue"/>
                  <w:vAlign w:val="center"/>
                </w:tcPr>
                <w:p w14:paraId="781BFE39">
                  <w:pPr>
                    <w:pStyle w:val="96"/>
                    <w:keepNext w:val="0"/>
                    <w:keepLines/>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color w:val="auto"/>
                      <w:sz w:val="21"/>
                      <w:szCs w:val="21"/>
                      <w:highlight w:val="none"/>
                    </w:rPr>
                  </w:pPr>
                </w:p>
              </w:tc>
              <w:tc>
                <w:tcPr>
                  <w:tcW w:w="1789" w:type="pct"/>
                  <w:vAlign w:val="center"/>
                </w:tcPr>
                <w:p w14:paraId="191CDED7">
                  <w:pPr>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highlight w:val="none"/>
                      <w:lang w:val="en-US" w:eastAsia="zh-CN"/>
                    </w:rPr>
                    <w:t>《铁矿采选工业污染物排放标准》（</w:t>
                  </w:r>
                  <w:r>
                    <w:rPr>
                      <w:rFonts w:hint="default" w:ascii="Times New Roman" w:hAnsi="Times New Roman" w:eastAsia="宋体" w:cs="Times New Roman"/>
                      <w:color w:val="auto"/>
                      <w:sz w:val="21"/>
                      <w:highlight w:val="none"/>
                      <w:lang w:val="en-US" w:eastAsia="zh-CN"/>
                    </w:rPr>
                    <w:t>GB</w:t>
                  </w:r>
                  <w:r>
                    <w:rPr>
                      <w:rFonts w:hint="eastAsia" w:ascii="Times New Roman" w:hAnsi="Times New Roman" w:eastAsia="宋体" w:cs="Times New Roman"/>
                      <w:color w:val="auto"/>
                      <w:sz w:val="21"/>
                      <w:highlight w:val="none"/>
                      <w:lang w:val="en-US" w:eastAsia="zh-CN"/>
                    </w:rPr>
                    <w:t>28661</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2021</w:t>
                  </w:r>
                  <w:r>
                    <w:rPr>
                      <w:rFonts w:hint="default" w:ascii="Times New Roman" w:hAnsi="Times New Roman" w:eastAsia="宋体" w:cs="Times New Roman"/>
                      <w:color w:val="auto"/>
                      <w:sz w:val="21"/>
                      <w:highlight w:val="none"/>
                      <w:lang w:val="en-US" w:eastAsia="zh-CN"/>
                    </w:rPr>
                    <w:t>）</w:t>
                  </w:r>
                  <w:r>
                    <w:rPr>
                      <w:rFonts w:ascii="Times New Roman" w:hAnsi="Times New Roman" w:eastAsia="宋体"/>
                      <w:color w:val="auto"/>
                      <w:sz w:val="21"/>
                      <w:highlight w:val="none"/>
                    </w:rPr>
                    <w:t>表</w:t>
                  </w:r>
                  <w:r>
                    <w:rPr>
                      <w:rFonts w:hint="eastAsia" w:ascii="Times New Roman" w:hAnsi="Times New Roman" w:eastAsia="宋体"/>
                      <w:color w:val="auto"/>
                      <w:sz w:val="21"/>
                      <w:highlight w:val="none"/>
                      <w:lang w:val="en-US" w:eastAsia="zh-CN"/>
                    </w:rPr>
                    <w:t>7</w:t>
                  </w:r>
                  <w:r>
                    <w:rPr>
                      <w:rFonts w:ascii="Times New Roman" w:hAnsi="Times New Roman" w:eastAsia="宋体"/>
                      <w:color w:val="auto"/>
                      <w:sz w:val="21"/>
                      <w:highlight w:val="none"/>
                    </w:rPr>
                    <w:t>标准</w:t>
                  </w:r>
                  <w:r>
                    <w:rPr>
                      <w:rFonts w:hint="eastAsia" w:ascii="Times New Roman" w:hAnsi="Times New Roman" w:eastAsia="宋体"/>
                      <w:color w:val="auto"/>
                      <w:sz w:val="21"/>
                      <w:highlight w:val="none"/>
                    </w:rPr>
                    <w:t>中无组织排放监控浓度限值（≤</w:t>
                  </w:r>
                  <w:r>
                    <w:rPr>
                      <w:rFonts w:ascii="Times New Roman" w:hAnsi="Times New Roman" w:eastAsia="宋体"/>
                      <w:color w:val="auto"/>
                      <w:sz w:val="21"/>
                      <w:highlight w:val="none"/>
                    </w:rPr>
                    <w:t>1.0</w:t>
                  </w:r>
                  <w:r>
                    <w:rPr>
                      <w:rFonts w:hint="eastAsia" w:ascii="Times New Roman" w:hAnsi="Times New Roman" w:eastAsia="宋体"/>
                      <w:color w:val="auto"/>
                      <w:sz w:val="21"/>
                      <w:highlight w:val="none"/>
                    </w:rPr>
                    <w:t>mg</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hint="eastAsia" w:ascii="Times New Roman" w:hAnsi="Times New Roman" w:eastAsia="宋体"/>
                      <w:color w:val="auto"/>
                      <w:sz w:val="21"/>
                      <w:highlight w:val="none"/>
                    </w:rPr>
                    <w:t>）</w:t>
                  </w:r>
                </w:p>
              </w:tc>
            </w:tr>
            <w:tr w14:paraId="165A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vAlign w:val="center"/>
                </w:tcPr>
                <w:p w14:paraId="3706CDCA">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噪声</w:t>
                  </w:r>
                </w:p>
              </w:tc>
              <w:tc>
                <w:tcPr>
                  <w:tcW w:w="1380" w:type="pct"/>
                  <w:gridSpan w:val="2"/>
                  <w:vAlign w:val="center"/>
                </w:tcPr>
                <w:p w14:paraId="5469A566">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项目厂界项目东、南、西、北外1m处</w:t>
                  </w:r>
                </w:p>
              </w:tc>
              <w:tc>
                <w:tcPr>
                  <w:tcW w:w="652" w:type="pct"/>
                  <w:vAlign w:val="center"/>
                </w:tcPr>
                <w:p w14:paraId="35DF4778">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等效连续A声级</w:t>
                  </w:r>
                </w:p>
              </w:tc>
              <w:tc>
                <w:tcPr>
                  <w:tcW w:w="761" w:type="pct"/>
                  <w:vAlign w:val="center"/>
                </w:tcPr>
                <w:p w14:paraId="108B01E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竣工验收时，监测2天，昼间1次</w:t>
                  </w:r>
                </w:p>
              </w:tc>
              <w:tc>
                <w:tcPr>
                  <w:tcW w:w="1789" w:type="pct"/>
                  <w:vAlign w:val="center"/>
                </w:tcPr>
                <w:p w14:paraId="18B28AB6">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《工业企业厂界环境噪声排放标准》（GB12348—2008）</w:t>
                  </w:r>
                  <w:r>
                    <w:rPr>
                      <w:rFonts w:hint="eastAsia" w:ascii="Times New Roman" w:hAnsi="Times New Roman"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rPr>
                    <w:t>类标准</w:t>
                  </w:r>
                </w:p>
              </w:tc>
            </w:tr>
            <w:tr w14:paraId="72E4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vAlign w:val="center"/>
                </w:tcPr>
                <w:p w14:paraId="6AD7D845">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废水</w:t>
                  </w:r>
                </w:p>
              </w:tc>
              <w:tc>
                <w:tcPr>
                  <w:tcW w:w="1380" w:type="pct"/>
                  <w:gridSpan w:val="2"/>
                  <w:vAlign w:val="center"/>
                </w:tcPr>
                <w:p w14:paraId="72394FAC">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污水处理站出水口</w:t>
                  </w:r>
                </w:p>
              </w:tc>
              <w:tc>
                <w:tcPr>
                  <w:tcW w:w="652" w:type="pct"/>
                  <w:vAlign w:val="center"/>
                </w:tcPr>
                <w:p w14:paraId="40A7508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ascii="Times New Roman" w:hAnsi="Times New Roman" w:eastAsia="宋体"/>
                      <w:snapToGrid w:val="0"/>
                      <w:color w:val="auto"/>
                      <w:kern w:val="0"/>
                      <w:sz w:val="21"/>
                      <w:szCs w:val="21"/>
                      <w:highlight w:val="none"/>
                    </w:rPr>
                    <w:t>COD、BOD</w:t>
                  </w:r>
                  <w:r>
                    <w:rPr>
                      <w:rFonts w:ascii="Times New Roman" w:hAnsi="Times New Roman" w:eastAsia="宋体"/>
                      <w:snapToGrid w:val="0"/>
                      <w:color w:val="auto"/>
                      <w:kern w:val="0"/>
                      <w:sz w:val="21"/>
                      <w:szCs w:val="21"/>
                      <w:highlight w:val="none"/>
                      <w:vertAlign w:val="subscript"/>
                    </w:rPr>
                    <w:t>5</w:t>
                  </w:r>
                  <w:r>
                    <w:rPr>
                      <w:rFonts w:ascii="Times New Roman" w:hAnsi="Times New Roman" w:eastAsia="宋体"/>
                      <w:snapToGrid w:val="0"/>
                      <w:color w:val="auto"/>
                      <w:kern w:val="0"/>
                      <w:sz w:val="21"/>
                      <w:szCs w:val="21"/>
                      <w:highlight w:val="none"/>
                    </w:rPr>
                    <w:t>、氨氮、SS、TP、粪大肠菌群</w:t>
                  </w:r>
                </w:p>
              </w:tc>
              <w:tc>
                <w:tcPr>
                  <w:tcW w:w="761" w:type="pct"/>
                  <w:vAlign w:val="center"/>
                </w:tcPr>
                <w:p w14:paraId="36A0BC77">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bCs/>
                      <w:color w:val="auto"/>
                      <w:sz w:val="21"/>
                      <w:szCs w:val="21"/>
                      <w:highlight w:val="none"/>
                    </w:rPr>
                    <w:t>验收监测1次，每4h采样一次，监测2天</w:t>
                  </w:r>
                </w:p>
              </w:tc>
              <w:tc>
                <w:tcPr>
                  <w:tcW w:w="1789" w:type="pct"/>
                  <w:vAlign w:val="center"/>
                </w:tcPr>
                <w:p w14:paraId="7B642FDA">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color w:val="auto"/>
                      <w:spacing w:val="0"/>
                      <w:sz w:val="21"/>
                      <w:highlight w:val="none"/>
                      <w:lang w:val="en-US" w:eastAsia="zh-CN"/>
                    </w:rPr>
                    <w:t>《城市污水再生利用城市杂用水水质》（GB/T18920-2020）中的城市绿化标准</w:t>
                  </w:r>
                </w:p>
              </w:tc>
            </w:tr>
          </w:tbl>
          <w:p w14:paraId="055B464A">
            <w:pPr>
              <w:pStyle w:val="7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olor w:val="auto"/>
                <w:sz w:val="10"/>
                <w:szCs w:val="10"/>
                <w:highlight w:val="none"/>
              </w:rPr>
            </w:pPr>
          </w:p>
        </w:tc>
      </w:tr>
    </w:tbl>
    <w:p w14:paraId="6B311C33">
      <w:pPr>
        <w:pStyle w:val="30"/>
        <w:spacing w:before="0" w:beforeAutospacing="0" w:after="0" w:afterAutospacing="0" w:line="360" w:lineRule="auto"/>
        <w:jc w:val="center"/>
        <w:outlineLvl w:val="0"/>
        <w:rPr>
          <w:rFonts w:ascii="Times New Roman" w:hAnsi="Times New Roman" w:eastAsia="黑体"/>
          <w:b/>
          <w:bCs/>
          <w:snapToGrid w:val="0"/>
          <w:color w:val="auto"/>
          <w:sz w:val="30"/>
          <w:szCs w:val="30"/>
          <w:highlight w:val="none"/>
        </w:rPr>
      </w:pPr>
      <w:bookmarkStart w:id="20" w:name="_Toc137737906"/>
      <w:r>
        <w:rPr>
          <w:rFonts w:hint="eastAsia" w:ascii="Times New Roman" w:hAnsi="Times New Roman" w:eastAsia="黑体"/>
          <w:b/>
          <w:bCs/>
          <w:snapToGrid w:val="0"/>
          <w:color w:val="auto"/>
          <w:sz w:val="30"/>
          <w:szCs w:val="30"/>
          <w:highlight w:val="none"/>
        </w:rPr>
        <w:t>五、</w:t>
      </w:r>
      <w:bookmarkStart w:id="21" w:name="_Hlk54167917"/>
      <w:r>
        <w:rPr>
          <w:rFonts w:hint="eastAsia" w:ascii="Times New Roman" w:hAnsi="Times New Roman" w:eastAsia="黑体"/>
          <w:b/>
          <w:bCs/>
          <w:snapToGrid w:val="0"/>
          <w:color w:val="auto"/>
          <w:sz w:val="30"/>
          <w:szCs w:val="30"/>
          <w:highlight w:val="none"/>
        </w:rPr>
        <w:t>环境保护措施监督检查清单</w:t>
      </w:r>
      <w:bookmarkEnd w:id="20"/>
      <w:bookmarkEnd w:id="21"/>
    </w:p>
    <w:tbl>
      <w:tblPr>
        <w:tblStyle w:val="3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750"/>
        <w:gridCol w:w="1125"/>
        <w:gridCol w:w="2335"/>
        <w:gridCol w:w="2272"/>
      </w:tblGrid>
      <w:tr w14:paraId="2F8E9B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18" w:type="dxa"/>
            <w:tcBorders>
              <w:tl2br w:val="single" w:color="auto" w:sz="4" w:space="0"/>
            </w:tcBorders>
            <w:noWrap w:val="0"/>
            <w:vAlign w:val="top"/>
          </w:tcPr>
          <w:p w14:paraId="51A93B4E">
            <w:pPr>
              <w:ind w:firstLine="632" w:firstLineChars="300"/>
              <w:rPr>
                <w:rFonts w:ascii="Times New Roman" w:hAnsi="Times New Roman"/>
                <w:b/>
                <w:bCs/>
                <w:color w:val="auto"/>
                <w:szCs w:val="21"/>
                <w:highlight w:val="none"/>
              </w:rPr>
            </w:pPr>
            <w:r>
              <w:rPr>
                <w:rFonts w:ascii="Times New Roman" w:hAnsi="Times New Roman"/>
                <w:b/>
                <w:bCs/>
                <w:color w:val="auto"/>
                <w:szCs w:val="21"/>
                <w:highlight w:val="none"/>
              </w:rPr>
              <w:t>内容</w:t>
            </w:r>
          </w:p>
          <w:p w14:paraId="6FF24ABA">
            <w:pPr>
              <w:rPr>
                <w:rFonts w:ascii="Times New Roman" w:hAnsi="Times New Roman"/>
                <w:b/>
                <w:bCs/>
                <w:color w:val="auto"/>
                <w:szCs w:val="21"/>
                <w:highlight w:val="none"/>
              </w:rPr>
            </w:pPr>
            <w:r>
              <w:rPr>
                <w:rFonts w:ascii="Times New Roman" w:hAnsi="Times New Roman"/>
                <w:b/>
                <w:bCs/>
                <w:color w:val="auto"/>
                <w:szCs w:val="21"/>
                <w:highlight w:val="none"/>
              </w:rPr>
              <w:t>要素</w:t>
            </w:r>
          </w:p>
        </w:tc>
        <w:tc>
          <w:tcPr>
            <w:tcW w:w="1750" w:type="dxa"/>
            <w:noWrap w:val="0"/>
            <w:vAlign w:val="center"/>
          </w:tcPr>
          <w:p w14:paraId="0BFDE861">
            <w:pPr>
              <w:jc w:val="center"/>
              <w:rPr>
                <w:rFonts w:ascii="Times New Roman" w:hAnsi="Times New Roman"/>
                <w:b/>
                <w:bCs/>
                <w:color w:val="auto"/>
                <w:szCs w:val="21"/>
                <w:highlight w:val="none"/>
              </w:rPr>
            </w:pPr>
            <w:r>
              <w:rPr>
                <w:rFonts w:ascii="Times New Roman" w:hAnsi="Times New Roman"/>
                <w:b/>
                <w:bCs/>
                <w:color w:val="auto"/>
                <w:szCs w:val="21"/>
                <w:highlight w:val="none"/>
              </w:rPr>
              <w:t>排放口（编号、名称）/污染源</w:t>
            </w:r>
          </w:p>
        </w:tc>
        <w:tc>
          <w:tcPr>
            <w:tcW w:w="1125" w:type="dxa"/>
            <w:noWrap w:val="0"/>
            <w:vAlign w:val="center"/>
          </w:tcPr>
          <w:p w14:paraId="44CD79A1">
            <w:pPr>
              <w:jc w:val="center"/>
              <w:rPr>
                <w:rFonts w:ascii="Times New Roman" w:hAnsi="Times New Roman"/>
                <w:b/>
                <w:bCs/>
                <w:color w:val="auto"/>
                <w:szCs w:val="21"/>
                <w:highlight w:val="none"/>
              </w:rPr>
            </w:pPr>
            <w:r>
              <w:rPr>
                <w:rFonts w:ascii="Times New Roman" w:hAnsi="Times New Roman"/>
                <w:b/>
                <w:bCs/>
                <w:color w:val="auto"/>
                <w:szCs w:val="21"/>
                <w:highlight w:val="none"/>
              </w:rPr>
              <w:t>污染物项目</w:t>
            </w:r>
          </w:p>
        </w:tc>
        <w:tc>
          <w:tcPr>
            <w:tcW w:w="2335" w:type="dxa"/>
            <w:noWrap w:val="0"/>
            <w:vAlign w:val="center"/>
          </w:tcPr>
          <w:p w14:paraId="66E9222B">
            <w:pPr>
              <w:jc w:val="center"/>
              <w:rPr>
                <w:rFonts w:ascii="Times New Roman" w:hAnsi="Times New Roman"/>
                <w:b/>
                <w:bCs/>
                <w:color w:val="auto"/>
                <w:szCs w:val="21"/>
                <w:highlight w:val="none"/>
              </w:rPr>
            </w:pPr>
            <w:r>
              <w:rPr>
                <w:rFonts w:ascii="Times New Roman" w:hAnsi="Times New Roman"/>
                <w:b/>
                <w:bCs/>
                <w:color w:val="auto"/>
                <w:szCs w:val="21"/>
                <w:highlight w:val="none"/>
              </w:rPr>
              <w:t>环境保护措施</w:t>
            </w:r>
          </w:p>
        </w:tc>
        <w:tc>
          <w:tcPr>
            <w:tcW w:w="2272" w:type="dxa"/>
            <w:noWrap w:val="0"/>
            <w:vAlign w:val="center"/>
          </w:tcPr>
          <w:p w14:paraId="041ADDF5">
            <w:pPr>
              <w:jc w:val="center"/>
              <w:rPr>
                <w:rFonts w:ascii="Times New Roman" w:hAnsi="Times New Roman"/>
                <w:b/>
                <w:bCs/>
                <w:color w:val="auto"/>
                <w:szCs w:val="21"/>
                <w:highlight w:val="none"/>
              </w:rPr>
            </w:pPr>
            <w:r>
              <w:rPr>
                <w:rFonts w:ascii="Times New Roman" w:hAnsi="Times New Roman"/>
                <w:b/>
                <w:bCs/>
                <w:color w:val="auto"/>
                <w:szCs w:val="21"/>
                <w:highlight w:val="none"/>
              </w:rPr>
              <w:t>执行标准</w:t>
            </w:r>
          </w:p>
        </w:tc>
      </w:tr>
      <w:tr w14:paraId="2E9F2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318" w:type="dxa"/>
            <w:vMerge w:val="restart"/>
            <w:tcBorders>
              <w:top w:val="single" w:color="auto" w:sz="4" w:space="0"/>
            </w:tcBorders>
            <w:noWrap w:val="0"/>
            <w:vAlign w:val="center"/>
          </w:tcPr>
          <w:p w14:paraId="42C2ABDD">
            <w:pPr>
              <w:jc w:val="center"/>
              <w:rPr>
                <w:rFonts w:ascii="Times New Roman" w:hAnsi="Times New Roman"/>
                <w:b/>
                <w:bCs/>
                <w:color w:val="auto"/>
                <w:szCs w:val="21"/>
                <w:highlight w:val="none"/>
              </w:rPr>
            </w:pPr>
            <w:r>
              <w:rPr>
                <w:rFonts w:ascii="Times New Roman" w:hAnsi="Times New Roman"/>
                <w:b/>
                <w:bCs/>
                <w:color w:val="auto"/>
                <w:szCs w:val="21"/>
                <w:highlight w:val="none"/>
              </w:rPr>
              <w:t>大气环境</w:t>
            </w:r>
          </w:p>
        </w:tc>
        <w:tc>
          <w:tcPr>
            <w:tcW w:w="1750" w:type="dxa"/>
            <w:tcBorders>
              <w:top w:val="single" w:color="auto" w:sz="4" w:space="0"/>
            </w:tcBorders>
            <w:noWrap w:val="0"/>
            <w:vAlign w:val="center"/>
          </w:tcPr>
          <w:p w14:paraId="59F5F2FA">
            <w:pPr>
              <w:jc w:val="center"/>
              <w:rPr>
                <w:rFonts w:hint="eastAsia" w:ascii="Times New Roman" w:hAnsi="Times New Roman" w:eastAsia="宋体"/>
                <w:color w:val="auto"/>
                <w:highlight w:val="none"/>
                <w:lang w:eastAsia="zh-CN"/>
              </w:rPr>
            </w:pPr>
            <w:r>
              <w:rPr>
                <w:rFonts w:hint="eastAsia" w:ascii="Times New Roman" w:hAnsi="Times New Roman" w:eastAsia="宋体"/>
                <w:color w:val="auto"/>
                <w:sz w:val="21"/>
                <w:szCs w:val="21"/>
                <w:highlight w:val="none"/>
                <w:lang w:val="en-US" w:eastAsia="zh-CN"/>
              </w:rPr>
              <w:t>有组织-</w:t>
            </w:r>
            <w:r>
              <w:rPr>
                <w:rFonts w:hint="eastAsia" w:ascii="Times New Roman" w:hAnsi="Times New Roman" w:eastAsia="宋体" w:cs="Times New Roman"/>
                <w:color w:val="auto"/>
                <w:sz w:val="21"/>
                <w:highlight w:val="none"/>
                <w:lang w:val="en-US" w:eastAsia="zh-CN"/>
              </w:rPr>
              <w:t>铁矿石破碎</w:t>
            </w:r>
            <w:r>
              <w:rPr>
                <w:rFonts w:hint="eastAsia" w:ascii="Times New Roman" w:hAnsi="Times New Roman" w:eastAsia="宋体" w:cs="Times New Roman"/>
                <w:color w:val="auto"/>
                <w:sz w:val="21"/>
                <w:szCs w:val="21"/>
                <w:highlight w:val="none"/>
                <w:vertAlign w:val="baseline"/>
                <w:lang w:val="en-US" w:eastAsia="zh-CN"/>
              </w:rPr>
              <w:t>、筛分</w:t>
            </w:r>
          </w:p>
        </w:tc>
        <w:tc>
          <w:tcPr>
            <w:tcW w:w="1125" w:type="dxa"/>
            <w:vMerge w:val="restart"/>
            <w:tcBorders>
              <w:top w:val="single" w:color="auto" w:sz="4" w:space="0"/>
            </w:tcBorders>
            <w:noWrap w:val="0"/>
            <w:vAlign w:val="center"/>
          </w:tcPr>
          <w:p w14:paraId="78C99C33">
            <w:pP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val="en-US" w:eastAsia="zh-CN"/>
              </w:rPr>
              <w:t>颗粒物</w:t>
            </w:r>
          </w:p>
        </w:tc>
        <w:tc>
          <w:tcPr>
            <w:tcW w:w="2335" w:type="dxa"/>
            <w:tcBorders>
              <w:top w:val="single" w:color="auto" w:sz="4" w:space="0"/>
            </w:tcBorders>
            <w:noWrap w:val="0"/>
            <w:vAlign w:val="center"/>
          </w:tcPr>
          <w:p w14:paraId="506C9719">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第一生产线</w:t>
            </w:r>
          </w:p>
          <w:p w14:paraId="56D36345">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生产设备上方设置集气罩，共计8个；</w:t>
            </w:r>
          </w:p>
          <w:p w14:paraId="1398EAA1">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252A1D65">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ascii="Times New Roman" w:hAnsi="Times New Roman" w:eastAsia="宋体"/>
                <w:color w:val="auto"/>
                <w:sz w:val="21"/>
                <w:highlight w:val="none"/>
                <w:lang w:val="en-US" w:eastAsia="zh-CN"/>
              </w:rPr>
              <w:t>770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57FB3DB7">
            <w:pPr>
              <w:keepNext w:val="0"/>
              <w:keepLines/>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），H=1</w:t>
            </w:r>
            <w:r>
              <w:rPr>
                <w:rFonts w:hint="eastAsia"/>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p w14:paraId="7451EBC4">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第二生产线</w:t>
            </w:r>
          </w:p>
          <w:p w14:paraId="6677544E">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生产设备上方设置集气罩，共计8个；</w:t>
            </w:r>
          </w:p>
          <w:p w14:paraId="0E32C150">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5255EB17">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ascii="Times New Roman" w:hAnsi="Times New Roman" w:eastAsia="宋体"/>
                <w:color w:val="auto"/>
                <w:sz w:val="21"/>
                <w:highlight w:val="none"/>
                <w:lang w:val="en-US" w:eastAsia="zh-CN"/>
              </w:rPr>
              <w:t>770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7F762303">
            <w:pPr>
              <w:keepNext w:val="0"/>
              <w:keepLines/>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），H=1</w:t>
            </w:r>
            <w:r>
              <w:rPr>
                <w:rFonts w:hint="eastAsia"/>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p w14:paraId="76E84050">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第三生产线</w:t>
            </w:r>
          </w:p>
          <w:p w14:paraId="2F23051F">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①</w:t>
            </w:r>
            <w:r>
              <w:rPr>
                <w:rFonts w:hint="eastAsia" w:ascii="Times New Roman" w:hAnsi="Times New Roman" w:eastAsia="宋体"/>
                <w:color w:val="auto"/>
                <w:sz w:val="21"/>
                <w:szCs w:val="21"/>
                <w:highlight w:val="none"/>
                <w:lang w:val="en-US" w:eastAsia="zh-CN"/>
              </w:rPr>
              <w:t>生产设备上方设置集气罩，共计</w:t>
            </w:r>
            <w:r>
              <w:rPr>
                <w:rFonts w:hint="eastAsia"/>
                <w:color w:val="auto"/>
                <w:sz w:val="21"/>
                <w:szCs w:val="21"/>
                <w:highlight w:val="none"/>
                <w:lang w:val="en-US" w:eastAsia="zh-CN"/>
              </w:rPr>
              <w:t>10</w:t>
            </w:r>
            <w:r>
              <w:rPr>
                <w:rFonts w:hint="eastAsia" w:ascii="Times New Roman" w:hAnsi="Times New Roman" w:eastAsia="宋体"/>
                <w:color w:val="auto"/>
                <w:sz w:val="21"/>
                <w:szCs w:val="21"/>
                <w:highlight w:val="none"/>
                <w:lang w:val="en-US" w:eastAsia="zh-CN"/>
              </w:rPr>
              <w:t>个；</w:t>
            </w:r>
          </w:p>
          <w:p w14:paraId="01695E0C">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②袋式除尘器</w:t>
            </w:r>
            <w:r>
              <w:rPr>
                <w:rFonts w:hint="eastAsia" w:ascii="Times New Roman" w:hAnsi="Times New Roman" w:eastAsia="宋体"/>
                <w:color w:val="auto"/>
                <w:sz w:val="21"/>
                <w:szCs w:val="21"/>
                <w:highlight w:val="none"/>
              </w:rPr>
              <w:t>（T</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3</w:t>
            </w:r>
            <w:r>
              <w:rPr>
                <w:rFonts w:hint="eastAsia" w:ascii="Times New Roman" w:hAnsi="Times New Roman" w:eastAsia="宋体"/>
                <w:color w:val="auto"/>
                <w:sz w:val="21"/>
                <w:szCs w:val="21"/>
                <w:highlight w:val="none"/>
              </w:rPr>
              <w:t>），效率≥</w:t>
            </w:r>
            <w:r>
              <w:rPr>
                <w:rFonts w:hint="eastAsia" w:ascii="Times New Roman" w:hAnsi="Times New Roman" w:eastAsia="宋体"/>
                <w:color w:val="auto"/>
                <w:sz w:val="21"/>
                <w:szCs w:val="21"/>
                <w:highlight w:val="none"/>
                <w:lang w:val="en-US" w:eastAsia="zh-CN"/>
              </w:rPr>
              <w:t>99</w:t>
            </w:r>
            <w:r>
              <w:rPr>
                <w:rFonts w:ascii="Times New Roman" w:hAnsi="Times New Roman" w:eastAsia="宋体"/>
                <w:color w:val="auto"/>
                <w:sz w:val="21"/>
                <w:szCs w:val="21"/>
                <w:highlight w:val="none"/>
              </w:rPr>
              <w:t>%</w:t>
            </w:r>
          </w:p>
          <w:p w14:paraId="7E9FB2B6">
            <w:pPr>
              <w:keepNext w:val="0"/>
              <w:keepLines w:val="0"/>
              <w:pageBreakBefore w:val="0"/>
              <w:widowControl w:val="0"/>
              <w:kinsoku/>
              <w:wordWrap/>
              <w:overflowPunct/>
              <w:topLinePunct w:val="0"/>
              <w:bidi w:val="0"/>
              <w:adjustRightInd w:val="0"/>
              <w:snapToGrid w:val="0"/>
              <w:jc w:val="left"/>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③处理</w:t>
            </w:r>
            <w:r>
              <w:rPr>
                <w:rFonts w:hint="eastAsia" w:ascii="Times New Roman" w:hAnsi="Times New Roman" w:eastAsia="宋体"/>
                <w:color w:val="auto"/>
                <w:sz w:val="21"/>
                <w:highlight w:val="none"/>
              </w:rPr>
              <w:t>风机总风量</w:t>
            </w:r>
            <w:r>
              <w:rPr>
                <w:rFonts w:hint="eastAsia"/>
                <w:color w:val="auto"/>
                <w:sz w:val="21"/>
                <w:highlight w:val="none"/>
                <w:lang w:val="en-US" w:eastAsia="zh-CN"/>
              </w:rPr>
              <w:t>96</w:t>
            </w:r>
            <w:r>
              <w:rPr>
                <w:rFonts w:hint="eastAsia" w:ascii="Times New Roman" w:hAnsi="Times New Roman" w:eastAsia="宋体"/>
                <w:color w:val="auto"/>
                <w:sz w:val="21"/>
                <w:highlight w:val="none"/>
                <w:lang w:val="en-US" w:eastAsia="zh-CN"/>
              </w:rPr>
              <w:t>0</w:t>
            </w:r>
            <w:r>
              <w:rPr>
                <w:rFonts w:ascii="Times New Roman" w:hAnsi="Times New Roman" w:eastAsia="宋体"/>
                <w:color w:val="auto"/>
                <w:sz w:val="21"/>
                <w:highlight w:val="none"/>
              </w:rPr>
              <w:t>00</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h；</w:t>
            </w:r>
          </w:p>
          <w:p w14:paraId="34E38693">
            <w:pPr>
              <w:keepNext w:val="0"/>
              <w:keepLines/>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Times New Roman" w:hAnsi="Times New Roman" w:eastAsia="宋体"/>
                <w:color w:val="auto"/>
                <w:szCs w:val="21"/>
                <w:highlight w:val="none"/>
                <w:lang w:eastAsia="zh-CN"/>
              </w:rPr>
            </w:pPr>
            <w:r>
              <w:rPr>
                <w:rFonts w:hint="eastAsia" w:ascii="Times New Roman" w:hAnsi="Times New Roman" w:eastAsia="宋体"/>
                <w:color w:val="auto"/>
                <w:sz w:val="21"/>
                <w:szCs w:val="21"/>
                <w:highlight w:val="none"/>
                <w:lang w:val="en-US" w:eastAsia="zh-CN"/>
              </w:rPr>
              <w:t>④</w:t>
            </w:r>
            <w:r>
              <w:rPr>
                <w:rFonts w:hint="eastAsia" w:ascii="Times New Roman" w:hAnsi="Times New Roman" w:eastAsia="宋体"/>
                <w:color w:val="auto"/>
                <w:sz w:val="21"/>
                <w:szCs w:val="21"/>
                <w:highlight w:val="none"/>
              </w:rPr>
              <w:t>排气筒（D</w:t>
            </w:r>
            <w:r>
              <w:rPr>
                <w:rFonts w:ascii="Times New Roman" w:hAnsi="Times New Roman" w:eastAsia="宋体"/>
                <w:color w:val="auto"/>
                <w:sz w:val="21"/>
                <w:szCs w:val="21"/>
                <w:highlight w:val="none"/>
              </w:rPr>
              <w:t>A00</w:t>
            </w:r>
            <w:r>
              <w:rPr>
                <w:rFonts w:hint="eastAsia" w:ascii="Times New Roman" w:hAnsi="Times New Roman" w:eastAsia="宋体"/>
                <w:color w:val="auto"/>
                <w:sz w:val="21"/>
                <w:szCs w:val="21"/>
                <w:highlight w:val="none"/>
                <w:lang w:val="en-US" w:eastAsia="zh-CN"/>
              </w:rPr>
              <w:t>3</w:t>
            </w:r>
            <w:r>
              <w:rPr>
                <w:rFonts w:hint="eastAsia" w:ascii="Times New Roman" w:hAnsi="Times New Roman" w:eastAsia="宋体"/>
                <w:color w:val="auto"/>
                <w:sz w:val="21"/>
                <w:szCs w:val="21"/>
                <w:highlight w:val="none"/>
              </w:rPr>
              <w:t>），H=1</w:t>
            </w:r>
            <w:r>
              <w:rPr>
                <w:rFonts w:hint="eastAsia"/>
                <w:color w:val="auto"/>
                <w:sz w:val="21"/>
                <w:szCs w:val="21"/>
                <w:highlight w:val="none"/>
                <w:lang w:val="en-US" w:eastAsia="zh-CN"/>
              </w:rPr>
              <w:t>6</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highlight w:val="none"/>
              </w:rPr>
              <w:t>；</w:t>
            </w:r>
          </w:p>
        </w:tc>
        <w:tc>
          <w:tcPr>
            <w:tcW w:w="2272" w:type="dxa"/>
            <w:tcBorders>
              <w:bottom w:val="single" w:color="auto" w:sz="4" w:space="0"/>
            </w:tcBorders>
            <w:noWrap w:val="0"/>
            <w:vAlign w:val="center"/>
          </w:tcPr>
          <w:p w14:paraId="12303AA4">
            <w:pPr>
              <w:rPr>
                <w:rFonts w:hint="eastAsia" w:ascii="Times New Roman" w:hAnsi="Times New Roman" w:eastAsia="宋体"/>
                <w:snapToGrid w:val="0"/>
                <w:color w:val="auto"/>
                <w:kern w:val="0"/>
                <w:szCs w:val="21"/>
                <w:highlight w:val="none"/>
                <w:lang w:eastAsia="zh-CN"/>
              </w:rPr>
            </w:pPr>
            <w:r>
              <w:rPr>
                <w:rFonts w:hint="eastAsia" w:ascii="Times New Roman" w:hAnsi="Times New Roman" w:eastAsia="宋体" w:cs="Times New Roman"/>
                <w:color w:val="auto"/>
                <w:sz w:val="21"/>
                <w:highlight w:val="none"/>
                <w:lang w:val="en-US" w:eastAsia="zh-CN"/>
              </w:rPr>
              <w:t>《铁矿采选工业污染物排放标准》（</w:t>
            </w:r>
            <w:r>
              <w:rPr>
                <w:rFonts w:hint="default" w:ascii="Times New Roman" w:hAnsi="Times New Roman" w:eastAsia="宋体" w:cs="Times New Roman"/>
                <w:color w:val="auto"/>
                <w:sz w:val="21"/>
                <w:highlight w:val="none"/>
                <w:lang w:val="en-US" w:eastAsia="zh-CN"/>
              </w:rPr>
              <w:t>GB</w:t>
            </w:r>
            <w:r>
              <w:rPr>
                <w:rFonts w:hint="eastAsia" w:ascii="Times New Roman" w:hAnsi="Times New Roman" w:eastAsia="宋体" w:cs="Times New Roman"/>
                <w:color w:val="auto"/>
                <w:sz w:val="21"/>
                <w:highlight w:val="none"/>
                <w:lang w:val="en-US" w:eastAsia="zh-CN"/>
              </w:rPr>
              <w:t>28661</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2021</w:t>
            </w:r>
            <w:r>
              <w:rPr>
                <w:rFonts w:hint="default" w:ascii="Times New Roman" w:hAnsi="Times New Roman" w:eastAsia="宋体" w:cs="Times New Roman"/>
                <w:color w:val="auto"/>
                <w:sz w:val="21"/>
                <w:highlight w:val="none"/>
                <w:lang w:val="en-US" w:eastAsia="zh-CN"/>
              </w:rPr>
              <w:t>）</w:t>
            </w:r>
            <w:r>
              <w:rPr>
                <w:rFonts w:ascii="Times New Roman" w:hAnsi="Times New Roman" w:eastAsia="宋体"/>
                <w:color w:val="auto"/>
                <w:sz w:val="21"/>
                <w:highlight w:val="none"/>
              </w:rPr>
              <w:t>表</w:t>
            </w:r>
            <w:r>
              <w:rPr>
                <w:rFonts w:hint="eastAsia" w:ascii="Times New Roman" w:hAnsi="Times New Roman" w:eastAsia="宋体"/>
                <w:color w:val="auto"/>
                <w:sz w:val="21"/>
                <w:highlight w:val="none"/>
                <w:lang w:val="en-US" w:eastAsia="zh-CN"/>
              </w:rPr>
              <w:t>5</w:t>
            </w:r>
            <w:r>
              <w:rPr>
                <w:rFonts w:ascii="Times New Roman" w:hAnsi="Times New Roman" w:eastAsia="宋体"/>
                <w:color w:val="auto"/>
                <w:sz w:val="21"/>
                <w:highlight w:val="none"/>
              </w:rPr>
              <w:t>标准</w:t>
            </w:r>
            <w:r>
              <w:rPr>
                <w:rFonts w:hint="eastAsia" w:ascii="Times New Roman" w:hAnsi="Times New Roman" w:eastAsia="宋体"/>
                <w:color w:val="auto"/>
                <w:sz w:val="21"/>
                <w:highlight w:val="none"/>
              </w:rPr>
              <w:t>（颗粒物≤</w:t>
            </w:r>
            <w:r>
              <w:rPr>
                <w:rFonts w:hint="eastAsia" w:ascii="Times New Roman" w:hAnsi="Times New Roman" w:eastAsia="宋体"/>
                <w:color w:val="auto"/>
                <w:sz w:val="21"/>
                <w:highlight w:val="none"/>
                <w:lang w:val="en-US" w:eastAsia="zh-CN"/>
              </w:rPr>
              <w:t>20</w:t>
            </w:r>
            <w:r>
              <w:rPr>
                <w:rFonts w:ascii="Times New Roman" w:hAnsi="Times New Roman" w:eastAsia="宋体"/>
                <w:color w:val="auto"/>
                <w:sz w:val="21"/>
                <w:highlight w:val="none"/>
              </w:rPr>
              <w:t>mg/m</w:t>
            </w:r>
            <w:r>
              <w:rPr>
                <w:rFonts w:ascii="Times New Roman" w:hAnsi="Times New Roman" w:eastAsia="宋体"/>
                <w:color w:val="auto"/>
                <w:sz w:val="21"/>
                <w:highlight w:val="none"/>
                <w:vertAlign w:val="superscript"/>
              </w:rPr>
              <w:t>3</w:t>
            </w:r>
            <w:r>
              <w:rPr>
                <w:rFonts w:hint="eastAsia" w:ascii="Times New Roman" w:hAnsi="Times New Roman" w:eastAsia="宋体"/>
                <w:color w:val="auto"/>
                <w:sz w:val="21"/>
                <w:highlight w:val="none"/>
              </w:rPr>
              <w:t>）</w:t>
            </w:r>
          </w:p>
        </w:tc>
      </w:tr>
      <w:tr w14:paraId="17668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18" w:type="dxa"/>
            <w:vMerge w:val="continue"/>
            <w:noWrap w:val="0"/>
            <w:vAlign w:val="center"/>
          </w:tcPr>
          <w:p w14:paraId="5ED62671">
            <w:pPr>
              <w:jc w:val="center"/>
              <w:rPr>
                <w:rFonts w:ascii="Times New Roman" w:hAnsi="Times New Roman"/>
                <w:b/>
                <w:bCs/>
                <w:color w:val="auto"/>
                <w:szCs w:val="21"/>
                <w:highlight w:val="none"/>
              </w:rPr>
            </w:pPr>
          </w:p>
        </w:tc>
        <w:tc>
          <w:tcPr>
            <w:tcW w:w="1750" w:type="dxa"/>
            <w:noWrap w:val="0"/>
            <w:vAlign w:val="center"/>
          </w:tcPr>
          <w:p w14:paraId="36B025C1">
            <w:pPr>
              <w:jc w:val="center"/>
              <w:rPr>
                <w:rFonts w:hint="default" w:ascii="Times New Roman" w:hAnsi="Times New Roman" w:cs="Times New Roman"/>
                <w:color w:val="auto"/>
                <w:sz w:val="21"/>
                <w:szCs w:val="21"/>
                <w:highlight w:val="none"/>
              </w:rPr>
            </w:pPr>
            <w:r>
              <w:rPr>
                <w:rFonts w:hint="eastAsia" w:ascii="Times New Roman" w:hAnsi="Times New Roman" w:eastAsia="宋体"/>
                <w:color w:val="auto"/>
                <w:sz w:val="21"/>
                <w:szCs w:val="21"/>
                <w:highlight w:val="none"/>
                <w:lang w:val="en-US" w:eastAsia="zh-CN"/>
              </w:rPr>
              <w:t>无组织-</w:t>
            </w:r>
            <w:r>
              <w:rPr>
                <w:rFonts w:hint="eastAsia"/>
                <w:color w:val="auto"/>
                <w:sz w:val="21"/>
                <w:szCs w:val="21"/>
                <w:highlight w:val="none"/>
                <w:lang w:val="en-US" w:eastAsia="zh-CN"/>
              </w:rPr>
              <w:t>生产线、</w:t>
            </w:r>
            <w:r>
              <w:rPr>
                <w:rFonts w:hint="eastAsia" w:cs="Times New Roman"/>
                <w:color w:val="auto"/>
                <w:kern w:val="0"/>
                <w:sz w:val="21"/>
                <w:szCs w:val="21"/>
                <w:highlight w:val="none"/>
                <w:lang w:val="en-US" w:eastAsia="zh-CN" w:bidi="ar"/>
              </w:rPr>
              <w:t>堆料</w:t>
            </w:r>
            <w:r>
              <w:rPr>
                <w:rFonts w:hint="default" w:ascii="Times New Roman" w:hAnsi="Times New Roman" w:eastAsia="宋体" w:cs="Times New Roman"/>
                <w:color w:val="auto"/>
                <w:kern w:val="0"/>
                <w:sz w:val="21"/>
                <w:szCs w:val="21"/>
                <w:highlight w:val="none"/>
                <w:lang w:val="en-US" w:eastAsia="zh-CN" w:bidi="ar"/>
              </w:rPr>
              <w:t>扬尘、装卸扬尘</w:t>
            </w:r>
          </w:p>
        </w:tc>
        <w:tc>
          <w:tcPr>
            <w:tcW w:w="1125" w:type="dxa"/>
            <w:vMerge w:val="continue"/>
            <w:noWrap w:val="0"/>
            <w:vAlign w:val="center"/>
          </w:tcPr>
          <w:p w14:paraId="2C4BE4F9">
            <w:pPr>
              <w:rPr>
                <w:rFonts w:hint="default" w:ascii="Times New Roman" w:hAnsi="Times New Roman"/>
                <w:color w:val="auto"/>
                <w:szCs w:val="21"/>
                <w:highlight w:val="none"/>
                <w:lang w:val="en-US" w:eastAsia="zh-CN"/>
              </w:rPr>
            </w:pPr>
          </w:p>
        </w:tc>
        <w:tc>
          <w:tcPr>
            <w:tcW w:w="2335" w:type="dxa"/>
            <w:tcBorders>
              <w:bottom w:val="single" w:color="auto" w:sz="4" w:space="0"/>
            </w:tcBorders>
            <w:noWrap w:val="0"/>
            <w:vAlign w:val="center"/>
          </w:tcPr>
          <w:p w14:paraId="4A5CE84A">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①原料</w:t>
            </w:r>
            <w:r>
              <w:rPr>
                <w:rFonts w:hint="default" w:ascii="Times New Roman" w:hAnsi="Times New Roman" w:eastAsia="宋体" w:cs="Times New Roman"/>
                <w:color w:val="auto"/>
                <w:kern w:val="0"/>
                <w:sz w:val="21"/>
                <w:szCs w:val="21"/>
                <w:highlight w:val="none"/>
                <w:lang w:val="en-US" w:eastAsia="zh-CN" w:bidi="ar"/>
              </w:rPr>
              <w:t>堆场、装卸区设置</w:t>
            </w:r>
            <w:r>
              <w:rPr>
                <w:rFonts w:hint="eastAsia" w:ascii="Times New Roman" w:hAnsi="Times New Roman" w:eastAsia="宋体" w:cs="Times New Roman"/>
                <w:color w:val="auto"/>
                <w:kern w:val="0"/>
                <w:sz w:val="21"/>
                <w:szCs w:val="21"/>
                <w:highlight w:val="none"/>
                <w:lang w:val="en-US" w:eastAsia="zh-CN" w:bidi="ar"/>
              </w:rPr>
              <w:t>三面围挡</w:t>
            </w:r>
            <w:r>
              <w:rPr>
                <w:rFonts w:hint="eastAsia" w:ascii="Times New Roman" w:hAnsi="Times New Roman" w:eastAsia="宋体" w:cs="Times New Roman"/>
                <w:color w:val="auto"/>
                <w:sz w:val="21"/>
                <w:szCs w:val="21"/>
                <w:highlight w:val="none"/>
                <w:vertAlign w:val="baseline"/>
                <w:lang w:val="en-US" w:eastAsia="zh-CN"/>
              </w:rPr>
              <w:t>加顶棚</w:t>
            </w:r>
            <w:r>
              <w:rPr>
                <w:rFonts w:hint="eastAsia" w:ascii="Times New Roman" w:hAnsi="Times New Roman" w:eastAsia="宋体" w:cs="Times New Roman"/>
                <w:color w:val="auto"/>
                <w:kern w:val="0"/>
                <w:sz w:val="21"/>
                <w:szCs w:val="21"/>
                <w:highlight w:val="none"/>
                <w:lang w:val="en-US" w:eastAsia="zh-CN" w:bidi="ar"/>
              </w:rPr>
              <w:t>车间内</w:t>
            </w:r>
            <w:r>
              <w:rPr>
                <w:rFonts w:hint="default" w:ascii="Times New Roman" w:hAnsi="Times New Roman" w:eastAsia="宋体" w:cs="Times New Roman"/>
                <w:color w:val="auto"/>
                <w:kern w:val="0"/>
                <w:sz w:val="21"/>
                <w:szCs w:val="21"/>
                <w:highlight w:val="none"/>
                <w:lang w:val="en-US" w:eastAsia="zh-CN" w:bidi="ar"/>
              </w:rPr>
              <w:t>，车间地面硬化处理</w:t>
            </w:r>
            <w:r>
              <w:rPr>
                <w:rFonts w:hint="eastAsia" w:ascii="Times New Roman" w:hAnsi="Times New Roman" w:eastAsia="宋体" w:cs="Times New Roman"/>
                <w:color w:val="auto"/>
                <w:kern w:val="0"/>
                <w:sz w:val="21"/>
                <w:szCs w:val="21"/>
                <w:highlight w:val="none"/>
                <w:lang w:val="en-US" w:eastAsia="zh-CN" w:bidi="ar"/>
              </w:rPr>
              <w:t>；</w:t>
            </w:r>
          </w:p>
          <w:p w14:paraId="6F2BCCA1">
            <w:pPr>
              <w:rPr>
                <w:rFonts w:hint="eastAsia" w:ascii="Times New Roman" w:hAnsi="Times New Roman" w:eastAsia="宋体" w:cs="Times New Roman"/>
                <w:color w:val="auto"/>
                <w:kern w:val="0"/>
                <w:sz w:val="21"/>
                <w:highlight w:val="none"/>
                <w:lang w:val="en-US" w:eastAsia="zh-CN"/>
              </w:rPr>
            </w:pPr>
            <w:r>
              <w:rPr>
                <w:rFonts w:hint="eastAsia" w:cs="Times New Roman"/>
                <w:color w:val="auto"/>
                <w:kern w:val="0"/>
                <w:sz w:val="21"/>
                <w:highlight w:val="none"/>
                <w:lang w:val="en-US" w:eastAsia="zh-CN"/>
              </w:rPr>
              <w:t>②</w:t>
            </w:r>
            <w:r>
              <w:rPr>
                <w:rFonts w:hint="eastAsia" w:ascii="Times New Roman" w:hAnsi="Times New Roman" w:eastAsia="宋体" w:cs="Times New Roman"/>
                <w:color w:val="auto"/>
                <w:kern w:val="0"/>
                <w:sz w:val="21"/>
                <w:highlight w:val="none"/>
                <w:lang w:val="en-US" w:eastAsia="zh-CN"/>
              </w:rPr>
              <w:t>堆料大棚设置洒水喷头50个，配套输水管道，定期洒水降尘。</w:t>
            </w:r>
          </w:p>
          <w:p w14:paraId="4D38CA7C">
            <w:pPr>
              <w:rPr>
                <w:rFonts w:hint="default" w:ascii="Times New Roman" w:hAnsi="Times New Roman" w:eastAsia="宋体" w:cs="Times New Roman"/>
                <w:color w:val="auto"/>
                <w:kern w:val="0"/>
                <w:sz w:val="21"/>
                <w:highlight w:val="none"/>
                <w:lang w:val="en-US" w:eastAsia="zh-CN"/>
              </w:rPr>
            </w:pPr>
            <w:r>
              <w:rPr>
                <w:rFonts w:hint="eastAsia"/>
                <w:color w:val="auto"/>
                <w:lang w:val="en-US" w:eastAsia="zh-CN"/>
              </w:rPr>
              <w:t>③生产线破碎机、振动筛设置集气罩，滚筒筛封闭设置。</w:t>
            </w:r>
          </w:p>
        </w:tc>
        <w:tc>
          <w:tcPr>
            <w:tcW w:w="2272" w:type="dxa"/>
            <w:vMerge w:val="restart"/>
            <w:noWrap w:val="0"/>
            <w:vAlign w:val="center"/>
          </w:tcPr>
          <w:p w14:paraId="0586EBA8">
            <w:pPr>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sz w:val="21"/>
                <w:highlight w:val="none"/>
                <w:lang w:val="en-US" w:eastAsia="zh-CN"/>
              </w:rPr>
              <w:t>《铁矿采选工业污染物排放标准》（</w:t>
            </w:r>
            <w:r>
              <w:rPr>
                <w:rFonts w:hint="default" w:ascii="Times New Roman" w:hAnsi="Times New Roman" w:eastAsia="宋体" w:cs="Times New Roman"/>
                <w:color w:val="auto"/>
                <w:sz w:val="21"/>
                <w:highlight w:val="none"/>
                <w:lang w:val="en-US" w:eastAsia="zh-CN"/>
              </w:rPr>
              <w:t>GB</w:t>
            </w:r>
            <w:r>
              <w:rPr>
                <w:rFonts w:hint="eastAsia" w:ascii="Times New Roman" w:hAnsi="Times New Roman" w:eastAsia="宋体" w:cs="Times New Roman"/>
                <w:color w:val="auto"/>
                <w:sz w:val="21"/>
                <w:highlight w:val="none"/>
                <w:lang w:val="en-US" w:eastAsia="zh-CN"/>
              </w:rPr>
              <w:t>28661</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2021</w:t>
            </w:r>
            <w:r>
              <w:rPr>
                <w:rFonts w:hint="default" w:ascii="Times New Roman" w:hAnsi="Times New Roman" w:eastAsia="宋体" w:cs="Times New Roman"/>
                <w:color w:val="auto"/>
                <w:sz w:val="21"/>
                <w:highlight w:val="none"/>
                <w:lang w:val="en-US" w:eastAsia="zh-CN"/>
              </w:rPr>
              <w:t>）</w:t>
            </w:r>
            <w:r>
              <w:rPr>
                <w:rFonts w:ascii="Times New Roman" w:hAnsi="Times New Roman" w:eastAsia="宋体"/>
                <w:color w:val="auto"/>
                <w:sz w:val="21"/>
                <w:highlight w:val="none"/>
              </w:rPr>
              <w:t>表</w:t>
            </w:r>
            <w:r>
              <w:rPr>
                <w:rFonts w:hint="eastAsia" w:ascii="Times New Roman" w:hAnsi="Times New Roman" w:eastAsia="宋体"/>
                <w:color w:val="auto"/>
                <w:sz w:val="21"/>
                <w:highlight w:val="none"/>
                <w:lang w:val="en-US" w:eastAsia="zh-CN"/>
              </w:rPr>
              <w:t>7</w:t>
            </w:r>
            <w:r>
              <w:rPr>
                <w:rFonts w:ascii="Times New Roman" w:hAnsi="Times New Roman" w:eastAsia="宋体"/>
                <w:color w:val="auto"/>
                <w:sz w:val="21"/>
                <w:highlight w:val="none"/>
              </w:rPr>
              <w:t>标准</w:t>
            </w:r>
            <w:r>
              <w:rPr>
                <w:rFonts w:hint="eastAsia" w:ascii="Times New Roman" w:hAnsi="Times New Roman" w:eastAsia="宋体"/>
                <w:color w:val="auto"/>
                <w:sz w:val="21"/>
                <w:highlight w:val="none"/>
              </w:rPr>
              <w:t>中无组织排放监控浓度限值（≤</w:t>
            </w:r>
            <w:r>
              <w:rPr>
                <w:rFonts w:ascii="Times New Roman" w:hAnsi="Times New Roman" w:eastAsia="宋体"/>
                <w:color w:val="auto"/>
                <w:sz w:val="21"/>
                <w:highlight w:val="none"/>
              </w:rPr>
              <w:t>1.0</w:t>
            </w:r>
            <w:r>
              <w:rPr>
                <w:rFonts w:hint="eastAsia" w:ascii="Times New Roman" w:hAnsi="Times New Roman" w:eastAsia="宋体"/>
                <w:color w:val="auto"/>
                <w:sz w:val="21"/>
                <w:highlight w:val="none"/>
              </w:rPr>
              <w:t>mg</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hint="eastAsia" w:ascii="Times New Roman" w:hAnsi="Times New Roman" w:eastAsia="宋体"/>
                <w:color w:val="auto"/>
                <w:sz w:val="21"/>
                <w:highlight w:val="none"/>
              </w:rPr>
              <w:t>）</w:t>
            </w:r>
          </w:p>
        </w:tc>
      </w:tr>
      <w:tr w14:paraId="30266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18" w:type="dxa"/>
            <w:vMerge w:val="continue"/>
            <w:noWrap w:val="0"/>
            <w:vAlign w:val="center"/>
          </w:tcPr>
          <w:p w14:paraId="064F0C15">
            <w:pPr>
              <w:jc w:val="center"/>
              <w:rPr>
                <w:rFonts w:ascii="Times New Roman" w:hAnsi="Times New Roman"/>
                <w:b/>
                <w:bCs/>
                <w:color w:val="auto"/>
                <w:szCs w:val="21"/>
                <w:highlight w:val="none"/>
              </w:rPr>
            </w:pPr>
          </w:p>
        </w:tc>
        <w:tc>
          <w:tcPr>
            <w:tcW w:w="1750" w:type="dxa"/>
            <w:noWrap w:val="0"/>
            <w:vAlign w:val="center"/>
          </w:tcPr>
          <w:p w14:paraId="2581E61B">
            <w:pPr>
              <w:jc w:val="center"/>
              <w:rPr>
                <w:rFonts w:hint="default" w:ascii="Times New Roman" w:hAnsi="Times New Roman" w:cs="Times New Roman"/>
                <w:color w:val="auto"/>
                <w:sz w:val="21"/>
                <w:szCs w:val="21"/>
                <w:highlight w:val="none"/>
              </w:rPr>
            </w:pPr>
            <w:r>
              <w:rPr>
                <w:rFonts w:hint="eastAsia" w:ascii="Times New Roman" w:hAnsi="Times New Roman" w:eastAsia="宋体"/>
                <w:color w:val="auto"/>
                <w:sz w:val="21"/>
                <w:szCs w:val="21"/>
                <w:highlight w:val="none"/>
                <w:lang w:val="en-US" w:eastAsia="zh-CN"/>
              </w:rPr>
              <w:t>无组织-运输粉尘</w:t>
            </w:r>
          </w:p>
        </w:tc>
        <w:tc>
          <w:tcPr>
            <w:tcW w:w="1125" w:type="dxa"/>
            <w:vMerge w:val="continue"/>
            <w:noWrap w:val="0"/>
            <w:vAlign w:val="center"/>
          </w:tcPr>
          <w:p w14:paraId="2C247706">
            <w:pPr>
              <w:rPr>
                <w:rFonts w:hint="default" w:ascii="Times New Roman" w:hAnsi="Times New Roman"/>
                <w:color w:val="auto"/>
                <w:szCs w:val="21"/>
                <w:highlight w:val="none"/>
                <w:lang w:val="en-US" w:eastAsia="zh-CN"/>
              </w:rPr>
            </w:pPr>
          </w:p>
        </w:tc>
        <w:tc>
          <w:tcPr>
            <w:tcW w:w="2335" w:type="dxa"/>
            <w:tcBorders>
              <w:bottom w:val="single" w:color="auto" w:sz="4" w:space="0"/>
            </w:tcBorders>
            <w:noWrap w:val="0"/>
            <w:vAlign w:val="center"/>
          </w:tcPr>
          <w:p w14:paraId="34353786">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①</w:t>
            </w:r>
            <w:r>
              <w:rPr>
                <w:rFonts w:hint="default" w:ascii="Times New Roman" w:hAnsi="Times New Roman" w:eastAsia="宋体" w:cs="Times New Roman"/>
                <w:color w:val="auto"/>
                <w:kern w:val="0"/>
                <w:sz w:val="21"/>
                <w:szCs w:val="21"/>
                <w:highlight w:val="none"/>
                <w:lang w:val="en-US" w:eastAsia="zh-CN" w:bidi="ar"/>
              </w:rPr>
              <w:t>运输车辆加盖篷布及时清扫、</w:t>
            </w:r>
            <w:r>
              <w:rPr>
                <w:rFonts w:hint="eastAsia" w:ascii="Times New Roman" w:hAnsi="Times New Roman" w:eastAsia="宋体" w:cs="Times New Roman"/>
                <w:color w:val="auto"/>
                <w:kern w:val="0"/>
                <w:sz w:val="21"/>
                <w:szCs w:val="21"/>
                <w:highlight w:val="none"/>
                <w:lang w:val="en-US" w:eastAsia="zh-CN" w:bidi="ar"/>
              </w:rPr>
              <w:t>运输道路</w:t>
            </w:r>
            <w:r>
              <w:rPr>
                <w:rFonts w:hint="default" w:ascii="Times New Roman" w:hAnsi="Times New Roman" w:eastAsia="宋体" w:cs="Times New Roman"/>
                <w:color w:val="auto"/>
                <w:kern w:val="0"/>
                <w:sz w:val="21"/>
                <w:szCs w:val="21"/>
                <w:highlight w:val="none"/>
                <w:lang w:val="en-US" w:eastAsia="zh-CN" w:bidi="ar"/>
              </w:rPr>
              <w:t>定期洒水降尘</w:t>
            </w:r>
            <w:r>
              <w:rPr>
                <w:rFonts w:hint="eastAsia" w:ascii="Times New Roman" w:hAnsi="Times New Roman" w:eastAsia="宋体" w:cs="Times New Roman"/>
                <w:color w:val="auto"/>
                <w:kern w:val="0"/>
                <w:sz w:val="21"/>
                <w:szCs w:val="21"/>
                <w:highlight w:val="none"/>
                <w:lang w:val="en-US" w:eastAsia="zh-CN" w:bidi="ar"/>
              </w:rPr>
              <w:t>；</w:t>
            </w:r>
          </w:p>
          <w:p w14:paraId="254907D8">
            <w:pPr>
              <w:keepNext w:val="0"/>
              <w:keepLines w:val="0"/>
              <w:pageBreakBefore w:val="0"/>
              <w:kinsoku/>
              <w:wordWrap/>
              <w:overflowPunct/>
              <w:topLinePunct w:val="0"/>
              <w:bidi w:val="0"/>
              <w:adjustRightInd w:val="0"/>
              <w:snapToGrid w:val="0"/>
              <w:jc w:val="both"/>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②运输车辆进入厂区进行轮胎清洗；</w:t>
            </w:r>
          </w:p>
          <w:p w14:paraId="14084BA8">
            <w:pPr>
              <w:rPr>
                <w:rFonts w:hint="default" w:ascii="Times New Roman" w:hAnsi="Times New Roman" w:cs="Times New Roman"/>
                <w:color w:val="auto"/>
                <w:sz w:val="21"/>
                <w:szCs w:val="21"/>
                <w:highlight w:val="none"/>
                <w:lang w:eastAsia="zh-CN"/>
              </w:rPr>
            </w:pPr>
            <w:r>
              <w:rPr>
                <w:rFonts w:hint="eastAsia" w:cs="Times New Roman"/>
                <w:color w:val="auto"/>
                <w:kern w:val="0"/>
                <w:sz w:val="21"/>
                <w:szCs w:val="21"/>
                <w:highlight w:val="none"/>
                <w:lang w:val="en-US" w:eastAsia="zh-CN" w:bidi="ar"/>
              </w:rPr>
              <w:t>③</w:t>
            </w:r>
            <w:r>
              <w:rPr>
                <w:rFonts w:hint="eastAsia" w:ascii="Times New Roman" w:hAnsi="Times New Roman" w:eastAsia="宋体" w:cs="Times New Roman"/>
                <w:color w:val="auto"/>
                <w:kern w:val="0"/>
                <w:sz w:val="21"/>
                <w:szCs w:val="21"/>
                <w:highlight w:val="none"/>
                <w:lang w:val="en-US" w:eastAsia="zh-CN" w:bidi="ar"/>
              </w:rPr>
              <w:t>配置洒水车1辆。</w:t>
            </w:r>
          </w:p>
        </w:tc>
        <w:tc>
          <w:tcPr>
            <w:tcW w:w="2272" w:type="dxa"/>
            <w:vMerge w:val="continue"/>
            <w:tcBorders>
              <w:bottom w:val="single" w:color="auto" w:sz="4" w:space="0"/>
            </w:tcBorders>
            <w:noWrap w:val="0"/>
            <w:vAlign w:val="center"/>
          </w:tcPr>
          <w:p w14:paraId="4C197D6A">
            <w:pPr>
              <w:rPr>
                <w:rFonts w:hint="default" w:ascii="Times New Roman" w:hAnsi="Times New Roman" w:eastAsia="宋体" w:cs="Times New Roman"/>
                <w:b w:val="0"/>
                <w:bCs w:val="0"/>
                <w:color w:val="auto"/>
                <w:sz w:val="21"/>
                <w:szCs w:val="21"/>
                <w:highlight w:val="none"/>
                <w:lang w:val="en-US" w:eastAsia="zh-CN"/>
              </w:rPr>
            </w:pPr>
          </w:p>
        </w:tc>
      </w:tr>
      <w:tr w14:paraId="42656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8" w:type="dxa"/>
            <w:vMerge w:val="continue"/>
            <w:noWrap w:val="0"/>
            <w:vAlign w:val="center"/>
          </w:tcPr>
          <w:p w14:paraId="7F05FC71">
            <w:pPr>
              <w:jc w:val="center"/>
              <w:rPr>
                <w:rFonts w:ascii="Times New Roman" w:hAnsi="Times New Roman"/>
                <w:b/>
                <w:bCs/>
                <w:color w:val="auto"/>
                <w:szCs w:val="21"/>
                <w:highlight w:val="none"/>
              </w:rPr>
            </w:pPr>
          </w:p>
        </w:tc>
        <w:tc>
          <w:tcPr>
            <w:tcW w:w="1750" w:type="dxa"/>
            <w:tcBorders>
              <w:top w:val="single" w:color="auto" w:sz="4" w:space="0"/>
            </w:tcBorders>
            <w:noWrap w:val="0"/>
            <w:vAlign w:val="center"/>
          </w:tcPr>
          <w:p w14:paraId="739E0135">
            <w:pPr>
              <w:kinsoku/>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cs="Times New Roman"/>
                <w:color w:val="auto"/>
                <w:sz w:val="21"/>
                <w:szCs w:val="21"/>
                <w:highlight w:val="none"/>
                <w:lang w:val="en-US" w:eastAsia="zh-CN"/>
              </w:rPr>
              <w:t>食堂</w:t>
            </w:r>
          </w:p>
        </w:tc>
        <w:tc>
          <w:tcPr>
            <w:tcW w:w="1125" w:type="dxa"/>
            <w:tcBorders>
              <w:top w:val="single" w:color="auto" w:sz="4" w:space="0"/>
            </w:tcBorders>
            <w:noWrap w:val="0"/>
            <w:vAlign w:val="center"/>
          </w:tcPr>
          <w:p w14:paraId="6DFEE7B7">
            <w:pPr>
              <w:kinsoku/>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Cs w:val="21"/>
                <w:highlight w:val="none"/>
                <w:lang w:val="en-US" w:eastAsia="zh-CN"/>
              </w:rPr>
            </w:pPr>
            <w:r>
              <w:rPr>
                <w:rFonts w:hint="eastAsia" w:ascii="Times New Roman" w:hAnsi="Times New Roman" w:cs="Times New Roman"/>
                <w:color w:val="auto"/>
                <w:sz w:val="21"/>
                <w:szCs w:val="21"/>
                <w:highlight w:val="none"/>
                <w:lang w:val="en-US" w:eastAsia="zh-CN"/>
              </w:rPr>
              <w:t>饮食油烟</w:t>
            </w:r>
          </w:p>
        </w:tc>
        <w:tc>
          <w:tcPr>
            <w:tcW w:w="2335" w:type="dxa"/>
            <w:tcBorders>
              <w:top w:val="single" w:color="auto" w:sz="4" w:space="0"/>
            </w:tcBorders>
            <w:noWrap w:val="0"/>
            <w:vAlign w:val="center"/>
          </w:tcPr>
          <w:p w14:paraId="250423A4">
            <w:pPr>
              <w:pStyle w:val="96"/>
              <w:ind w:firstLine="0" w:firstLineChars="0"/>
              <w:rPr>
                <w:rFonts w:hint="eastAsia" w:ascii="Times New Roman" w:hAnsi="Times New Roman"/>
                <w:bCs/>
                <w:color w:val="auto"/>
                <w:szCs w:val="21"/>
                <w:highlight w:val="none"/>
                <w:lang w:val="en-US" w:eastAsia="zh-CN"/>
              </w:rPr>
            </w:pPr>
            <w:r>
              <w:rPr>
                <w:rFonts w:hint="eastAsia" w:ascii="Times New Roman" w:hAnsi="Times New Roman" w:eastAsia="宋体"/>
                <w:color w:val="auto"/>
                <w:sz w:val="21"/>
                <w:szCs w:val="21"/>
                <w:highlight w:val="none"/>
              </w:rPr>
              <w:t>抽油烟机一套，处理效率≥</w:t>
            </w:r>
            <w:r>
              <w:rPr>
                <w:rFonts w:hint="eastAsia" w:ascii="Times New Roman" w:hAnsi="Times New Roman" w:eastAsia="宋体"/>
                <w:color w:val="auto"/>
                <w:sz w:val="21"/>
                <w:szCs w:val="21"/>
                <w:highlight w:val="none"/>
                <w:lang w:val="en-US" w:eastAsia="zh-CN"/>
              </w:rPr>
              <w:t>60</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eastAsia="zh-CN"/>
              </w:rPr>
              <w:t>，处理风量≥</w:t>
            </w:r>
            <w:r>
              <w:rPr>
                <w:rFonts w:hint="eastAsia" w:ascii="Times New Roman" w:hAnsi="Times New Roman" w:eastAsia="宋体"/>
                <w:color w:val="auto"/>
                <w:sz w:val="21"/>
                <w:szCs w:val="21"/>
                <w:highlight w:val="none"/>
                <w:lang w:val="en-US" w:eastAsia="zh-CN"/>
              </w:rPr>
              <w:t>4000m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/h，</w:t>
            </w:r>
            <w:r>
              <w:rPr>
                <w:rFonts w:hint="eastAsia" w:ascii="Times New Roman" w:hAnsi="Times New Roman" w:eastAsia="宋体"/>
                <w:color w:val="auto"/>
                <w:szCs w:val="21"/>
                <w:highlight w:val="none"/>
              </w:rPr>
              <w:t>油烟净化器处理后引至楼顶排放</w:t>
            </w:r>
          </w:p>
        </w:tc>
        <w:tc>
          <w:tcPr>
            <w:tcW w:w="2272" w:type="dxa"/>
            <w:tcBorders>
              <w:bottom w:val="single" w:color="auto" w:sz="4" w:space="0"/>
            </w:tcBorders>
            <w:noWrap w:val="0"/>
            <w:vAlign w:val="center"/>
          </w:tcPr>
          <w:p w14:paraId="032C6A70">
            <w:pPr>
              <w:pStyle w:val="96"/>
              <w:ind w:firstLine="0" w:firstLineChars="0"/>
              <w:rPr>
                <w:rFonts w:hint="eastAsia" w:ascii="Times New Roman" w:hAnsi="Times New Roman"/>
                <w:snapToGrid w:val="0"/>
                <w:color w:val="auto"/>
                <w:kern w:val="0"/>
                <w:szCs w:val="21"/>
                <w:highlight w:val="none"/>
                <w:lang w:val="en-US" w:eastAsia="zh-CN"/>
              </w:rPr>
            </w:pPr>
            <w:r>
              <w:rPr>
                <w:rFonts w:hint="eastAsia" w:ascii="Times New Roman" w:hAnsi="Times New Roman" w:eastAsia="宋体"/>
                <w:snapToGrid w:val="0"/>
                <w:color w:val="auto"/>
                <w:kern w:val="0"/>
                <w:szCs w:val="21"/>
                <w:highlight w:val="none"/>
              </w:rPr>
              <w:t>《饮食业油烟排放标准（试行）》（GB18483-2001）小型饮食业单位油烟排放标准</w:t>
            </w:r>
          </w:p>
        </w:tc>
      </w:tr>
      <w:tr w14:paraId="70748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318" w:type="dxa"/>
            <w:vMerge w:val="restart"/>
            <w:tcBorders>
              <w:top w:val="single" w:color="auto" w:sz="4" w:space="0"/>
            </w:tcBorders>
            <w:noWrap w:val="0"/>
            <w:vAlign w:val="center"/>
          </w:tcPr>
          <w:p w14:paraId="59E1DF27">
            <w:pPr>
              <w:jc w:val="center"/>
              <w:rPr>
                <w:rFonts w:ascii="Times New Roman" w:hAnsi="Times New Roman"/>
                <w:b/>
                <w:bCs/>
                <w:color w:val="auto"/>
                <w:szCs w:val="21"/>
                <w:highlight w:val="none"/>
              </w:rPr>
            </w:pPr>
            <w:r>
              <w:rPr>
                <w:rFonts w:ascii="Times New Roman" w:hAnsi="Times New Roman"/>
                <w:b/>
                <w:bCs/>
                <w:color w:val="auto"/>
                <w:szCs w:val="21"/>
                <w:highlight w:val="none"/>
              </w:rPr>
              <w:t>地表水环境</w:t>
            </w:r>
          </w:p>
        </w:tc>
        <w:tc>
          <w:tcPr>
            <w:tcW w:w="1750" w:type="dxa"/>
            <w:tcBorders>
              <w:top w:val="single" w:color="auto" w:sz="4" w:space="0"/>
            </w:tcBorders>
            <w:noWrap w:val="0"/>
            <w:vAlign w:val="center"/>
          </w:tcPr>
          <w:p w14:paraId="7A941B41">
            <w:pPr>
              <w:jc w:val="center"/>
              <w:rPr>
                <w:rFonts w:hint="eastAsia" w:ascii="Times New Roman" w:hAnsi="Times New Roman" w:eastAsia="宋体"/>
                <w:snapToGrid w:val="0"/>
                <w:color w:val="auto"/>
                <w:kern w:val="0"/>
                <w:szCs w:val="21"/>
                <w:highlight w:val="none"/>
                <w:lang w:val="en-US" w:eastAsia="zh-CN"/>
              </w:rPr>
            </w:pPr>
            <w:r>
              <w:rPr>
                <w:rFonts w:hint="eastAsia" w:ascii="Times New Roman" w:hAnsi="Times New Roman"/>
                <w:snapToGrid w:val="0"/>
                <w:color w:val="auto"/>
                <w:kern w:val="0"/>
                <w:szCs w:val="21"/>
                <w:highlight w:val="none"/>
                <w:lang w:val="en-US" w:eastAsia="zh-CN"/>
              </w:rPr>
              <w:t>初期雨水</w:t>
            </w:r>
          </w:p>
        </w:tc>
        <w:tc>
          <w:tcPr>
            <w:tcW w:w="1125" w:type="dxa"/>
            <w:tcBorders>
              <w:top w:val="single" w:color="auto" w:sz="4" w:space="0"/>
            </w:tcBorders>
            <w:noWrap w:val="0"/>
            <w:vAlign w:val="center"/>
          </w:tcPr>
          <w:p w14:paraId="688BFD18">
            <w:pPr>
              <w:jc w:val="center"/>
              <w:rPr>
                <w:rFonts w:hint="default" w:ascii="Times New Roman" w:hAnsi="Times New Roman" w:eastAsia="宋体"/>
                <w:snapToGrid w:val="0"/>
                <w:color w:val="auto"/>
                <w:kern w:val="0"/>
                <w:szCs w:val="21"/>
                <w:highlight w:val="none"/>
                <w:lang w:val="en-US" w:eastAsia="zh-CN"/>
              </w:rPr>
            </w:pPr>
            <w:r>
              <w:rPr>
                <w:rFonts w:hint="eastAsia" w:ascii="Times New Roman" w:hAnsi="Times New Roman"/>
                <w:snapToGrid w:val="0"/>
                <w:color w:val="auto"/>
                <w:kern w:val="0"/>
                <w:szCs w:val="21"/>
                <w:highlight w:val="none"/>
                <w:lang w:val="en-US" w:eastAsia="zh-CN"/>
              </w:rPr>
              <w:t>SS</w:t>
            </w:r>
          </w:p>
        </w:tc>
        <w:tc>
          <w:tcPr>
            <w:tcW w:w="2335" w:type="dxa"/>
            <w:noWrap w:val="0"/>
            <w:vAlign w:val="center"/>
          </w:tcPr>
          <w:p w14:paraId="40387FD0">
            <w:pPr>
              <w:jc w:val="center"/>
              <w:rPr>
                <w:rFonts w:hint="eastAsia" w:ascii="Times New Roman" w:hAnsi="Times New Roman"/>
                <w:color w:val="auto"/>
                <w:szCs w:val="21"/>
                <w:highlight w:val="none"/>
              </w:rPr>
            </w:pPr>
            <w:r>
              <w:rPr>
                <w:rFonts w:hint="eastAsia" w:ascii="Times New Roman" w:hAnsi="Times New Roman" w:eastAsia="宋体" w:cs="Times New Roman"/>
                <w:color w:val="auto"/>
                <w:sz w:val="21"/>
                <w:szCs w:val="21"/>
                <w:highlight w:val="none"/>
                <w:lang w:val="en-US" w:eastAsia="zh-CN"/>
              </w:rPr>
              <w:t>雨水经雨水沟收集后排放项目区南侧初期雨水收集池（</w:t>
            </w:r>
            <w:r>
              <w:rPr>
                <w:rFonts w:hint="eastAsia" w:cs="Times New Roman"/>
                <w:color w:val="auto"/>
                <w:sz w:val="21"/>
                <w:szCs w:val="21"/>
                <w:highlight w:val="none"/>
                <w:lang w:val="en-US" w:eastAsia="zh-CN"/>
              </w:rPr>
              <w:t>310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olor w:val="auto"/>
                <w:sz w:val="21"/>
                <w:szCs w:val="21"/>
                <w:highlight w:val="none"/>
                <w:lang w:val="en-US" w:eastAsia="zh-CN"/>
              </w:rPr>
              <w:t>共修建</w:t>
            </w:r>
            <w:r>
              <w:rPr>
                <w:rFonts w:hint="eastAsia" w:ascii="Times New Roman" w:hAnsi="Times New Roman"/>
                <w:color w:val="auto"/>
                <w:sz w:val="21"/>
                <w:szCs w:val="21"/>
                <w:highlight w:val="none"/>
                <w:lang w:val="en-US" w:eastAsia="zh-CN"/>
              </w:rPr>
              <w:t>3</w:t>
            </w:r>
            <w:r>
              <w:rPr>
                <w:rFonts w:hint="eastAsia" w:ascii="Times New Roman" w:hAnsi="Times New Roman" w:eastAsia="宋体"/>
                <w:color w:val="auto"/>
                <w:sz w:val="21"/>
                <w:szCs w:val="21"/>
                <w:highlight w:val="none"/>
                <w:lang w:val="en-US" w:eastAsia="zh-CN"/>
              </w:rPr>
              <w:t>个，</w:t>
            </w:r>
            <w:r>
              <w:rPr>
                <w:rFonts w:hint="eastAsia" w:ascii="Times New Roman" w:hAnsi="Times New Roman" w:eastAsia="宋体" w:cs="Times New Roman"/>
                <w:color w:val="auto"/>
                <w:sz w:val="21"/>
                <w:szCs w:val="21"/>
                <w:highlight w:val="none"/>
                <w:vertAlign w:val="baseline"/>
                <w:lang w:val="en-US" w:eastAsia="zh-CN"/>
              </w:rPr>
              <w:t>1#初期雨水池位于值班室附近，容积</w:t>
            </w:r>
            <w:r>
              <w:rPr>
                <w:rFonts w:hint="eastAsia" w:ascii="Times New Roman" w:hAnsi="Times New Roman" w:cs="Times New Roman"/>
                <w:color w:val="auto"/>
                <w:sz w:val="21"/>
                <w:szCs w:val="21"/>
                <w:highlight w:val="none"/>
                <w:vertAlign w:val="baseline"/>
                <w:lang w:val="en-US" w:eastAsia="zh-CN"/>
              </w:rPr>
              <w:t>45</w:t>
            </w:r>
            <w:r>
              <w:rPr>
                <w:rFonts w:hint="eastAsia" w:ascii="Times New Roman" w:hAnsi="Times New Roman" w:eastAsia="宋体"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，2#初期雨水沉淀池位于地磅房附近，容积</w:t>
            </w:r>
            <w:r>
              <w:rPr>
                <w:rFonts w:hint="eastAsia" w:ascii="Times New Roman" w:hAnsi="Times New Roman" w:cs="Times New Roman"/>
                <w:color w:val="auto"/>
                <w:sz w:val="21"/>
                <w:szCs w:val="21"/>
                <w:highlight w:val="none"/>
                <w:vertAlign w:val="baseline"/>
                <w:lang w:val="en-US" w:eastAsia="zh-CN"/>
              </w:rPr>
              <w:t>75</w:t>
            </w:r>
            <w:r>
              <w:rPr>
                <w:rFonts w:hint="eastAsia" w:ascii="Times New Roman" w:hAnsi="Times New Roman" w:eastAsia="宋体"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color w:val="auto"/>
                <w:sz w:val="21"/>
                <w:szCs w:val="21"/>
                <w:lang w:val="en-US" w:eastAsia="zh-CN"/>
              </w:rPr>
              <w:t>,3#初期雨水池位于2#初期雨水池东侧，容积190m</w:t>
            </w:r>
            <w:r>
              <w:rPr>
                <w:rFonts w:hint="eastAsia"/>
                <w:color w:val="auto"/>
                <w:sz w:val="21"/>
                <w:szCs w:val="21"/>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p>
        </w:tc>
        <w:tc>
          <w:tcPr>
            <w:tcW w:w="2272" w:type="dxa"/>
            <w:noWrap w:val="0"/>
            <w:vAlign w:val="center"/>
          </w:tcPr>
          <w:p w14:paraId="52D00114">
            <w:pPr>
              <w:jc w:val="center"/>
              <w:rPr>
                <w:rFonts w:hint="eastAsia" w:ascii="Times New Roman" w:hAnsi="Times New Roman"/>
                <w:color w:val="auto"/>
                <w:szCs w:val="21"/>
                <w:highlight w:val="none"/>
              </w:rPr>
            </w:pPr>
            <w:r>
              <w:rPr>
                <w:rFonts w:hint="eastAsia" w:ascii="Times New Roman" w:hAnsi="Times New Roman" w:eastAsia="宋体" w:cs="Times New Roman"/>
                <w:color w:val="auto"/>
                <w:sz w:val="21"/>
                <w:szCs w:val="21"/>
                <w:highlight w:val="none"/>
                <w:lang w:val="en-US" w:eastAsia="zh-CN"/>
              </w:rPr>
              <w:t>回用于洒水降尘，不外排</w:t>
            </w:r>
          </w:p>
        </w:tc>
      </w:tr>
      <w:tr w14:paraId="18551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318" w:type="dxa"/>
            <w:vMerge w:val="continue"/>
            <w:noWrap w:val="0"/>
            <w:vAlign w:val="center"/>
          </w:tcPr>
          <w:p w14:paraId="3E5250D4">
            <w:pPr>
              <w:jc w:val="center"/>
              <w:rPr>
                <w:rFonts w:ascii="Times New Roman" w:hAnsi="Times New Roman"/>
                <w:b/>
                <w:bCs/>
                <w:color w:val="auto"/>
                <w:szCs w:val="21"/>
                <w:highlight w:val="none"/>
              </w:rPr>
            </w:pPr>
          </w:p>
        </w:tc>
        <w:tc>
          <w:tcPr>
            <w:tcW w:w="1750" w:type="dxa"/>
            <w:tcBorders>
              <w:top w:val="single" w:color="auto" w:sz="4" w:space="0"/>
            </w:tcBorders>
            <w:noWrap w:val="0"/>
            <w:vAlign w:val="center"/>
          </w:tcPr>
          <w:p w14:paraId="35F9F151">
            <w:pPr>
              <w:jc w:val="center"/>
              <w:rPr>
                <w:rFonts w:hint="eastAsia" w:ascii="Times New Roman" w:hAnsi="Times New Roman" w:eastAsia="宋体"/>
                <w:snapToGrid w:val="0"/>
                <w:color w:val="auto"/>
                <w:kern w:val="0"/>
                <w:szCs w:val="21"/>
                <w:highlight w:val="none"/>
                <w:lang w:val="en-US" w:eastAsia="zh-CN"/>
              </w:rPr>
            </w:pPr>
            <w:r>
              <w:rPr>
                <w:rFonts w:ascii="Times New Roman" w:hAnsi="Times New Roman"/>
                <w:snapToGrid w:val="0"/>
                <w:color w:val="auto"/>
                <w:kern w:val="0"/>
                <w:szCs w:val="21"/>
                <w:highlight w:val="none"/>
              </w:rPr>
              <w:t>生活</w:t>
            </w:r>
            <w:r>
              <w:rPr>
                <w:rFonts w:hint="eastAsia"/>
                <w:snapToGrid w:val="0"/>
                <w:color w:val="auto"/>
                <w:kern w:val="0"/>
                <w:szCs w:val="21"/>
                <w:highlight w:val="none"/>
                <w:lang w:val="en-US" w:eastAsia="zh-CN"/>
              </w:rPr>
              <w:t>污水</w:t>
            </w:r>
          </w:p>
        </w:tc>
        <w:tc>
          <w:tcPr>
            <w:tcW w:w="1125" w:type="dxa"/>
            <w:tcBorders>
              <w:top w:val="single" w:color="auto" w:sz="4" w:space="0"/>
            </w:tcBorders>
            <w:noWrap w:val="0"/>
            <w:vAlign w:val="center"/>
          </w:tcPr>
          <w:p w14:paraId="6ADD7D5F">
            <w:pPr>
              <w:jc w:val="center"/>
              <w:rPr>
                <w:rFonts w:ascii="Times New Roman" w:hAnsi="Times New Roman"/>
                <w:snapToGrid w:val="0"/>
                <w:color w:val="auto"/>
                <w:kern w:val="0"/>
                <w:szCs w:val="21"/>
                <w:highlight w:val="none"/>
              </w:rPr>
            </w:pPr>
            <w:r>
              <w:rPr>
                <w:rFonts w:ascii="Times New Roman" w:hAnsi="Times New Roman"/>
                <w:snapToGrid w:val="0"/>
                <w:color w:val="auto"/>
                <w:kern w:val="0"/>
                <w:szCs w:val="21"/>
                <w:highlight w:val="none"/>
              </w:rPr>
              <w:t>COD、BOD</w:t>
            </w:r>
            <w:r>
              <w:rPr>
                <w:rFonts w:ascii="Times New Roman" w:hAnsi="Times New Roman"/>
                <w:snapToGrid w:val="0"/>
                <w:color w:val="auto"/>
                <w:kern w:val="0"/>
                <w:szCs w:val="21"/>
                <w:highlight w:val="none"/>
                <w:vertAlign w:val="subscript"/>
              </w:rPr>
              <w:t>5</w:t>
            </w:r>
            <w:r>
              <w:rPr>
                <w:rFonts w:ascii="Times New Roman" w:hAnsi="Times New Roman"/>
                <w:snapToGrid w:val="0"/>
                <w:color w:val="auto"/>
                <w:kern w:val="0"/>
                <w:szCs w:val="21"/>
                <w:highlight w:val="none"/>
              </w:rPr>
              <w:t>、氨氮、SS、TP、粪大肠菌群</w:t>
            </w:r>
          </w:p>
        </w:tc>
        <w:tc>
          <w:tcPr>
            <w:tcW w:w="2335" w:type="dxa"/>
            <w:noWrap w:val="0"/>
            <w:vAlign w:val="center"/>
          </w:tcPr>
          <w:p w14:paraId="508CB0E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lang w:val="en-US" w:eastAsia="zh-CN"/>
              </w:rPr>
              <w:t>①化粪池</w:t>
            </w:r>
            <w:r>
              <w:rPr>
                <w:rFonts w:hint="eastAsia" w:ascii="Times New Roman" w:hAnsi="Times New Roman"/>
                <w:color w:val="auto"/>
                <w:sz w:val="21"/>
                <w:highlight w:val="none"/>
                <w:lang w:val="en-US" w:eastAsia="zh-CN"/>
              </w:rPr>
              <w:t>2</w:t>
            </w:r>
            <w:r>
              <w:rPr>
                <w:rFonts w:hint="eastAsia" w:ascii="Times New Roman" w:hAnsi="Times New Roman" w:eastAsia="宋体"/>
                <w:color w:val="auto"/>
                <w:sz w:val="21"/>
                <w:highlight w:val="none"/>
                <w:lang w:val="en-US" w:eastAsia="zh-CN"/>
              </w:rPr>
              <w:t>座</w:t>
            </w:r>
            <w:r>
              <w:rPr>
                <w:rFonts w:hint="eastAsia" w:ascii="Times New Roman" w:hAnsi="Times New Roman"/>
                <w:color w:val="auto"/>
                <w:sz w:val="21"/>
                <w:highlight w:val="none"/>
                <w:lang w:val="en-US" w:eastAsia="zh-CN"/>
              </w:rPr>
              <w:t>，总容积62.13m</w:t>
            </w:r>
            <w:r>
              <w:rPr>
                <w:rFonts w:hint="eastAsia" w:ascii="Times New Roman" w:hAnsi="Times New Roman"/>
                <w:color w:val="auto"/>
                <w:sz w:val="21"/>
                <w:highlight w:val="none"/>
                <w:vertAlign w:val="superscript"/>
                <w:lang w:val="en-US" w:eastAsia="zh-CN"/>
              </w:rPr>
              <w:t>3</w:t>
            </w:r>
            <w:r>
              <w:rPr>
                <w:rFonts w:hint="eastAsia" w:ascii="Times New Roman" w:hAnsi="Times New Roman" w:eastAsia="宋体"/>
                <w:color w:val="auto"/>
                <w:sz w:val="21"/>
                <w:highlight w:val="none"/>
                <w:lang w:val="en-US" w:eastAsia="zh-CN"/>
              </w:rPr>
              <w:t>，1#化粪池位于厂区南侧，值班室旁，容积</w:t>
            </w:r>
            <w:r>
              <w:rPr>
                <w:rFonts w:hint="eastAsia" w:ascii="Times New Roman" w:hAnsi="Times New Roman"/>
                <w:color w:val="auto"/>
                <w:sz w:val="21"/>
                <w:highlight w:val="none"/>
                <w:lang w:val="en-US" w:eastAsia="zh-CN"/>
              </w:rPr>
              <w:t>11.73</w:t>
            </w:r>
            <w:r>
              <w:rPr>
                <w:rFonts w:hint="eastAsia" w:ascii="Times New Roman" w:hAnsi="Times New Roman" w:eastAsia="宋体"/>
                <w:color w:val="auto"/>
                <w:sz w:val="21"/>
                <w:highlight w:val="none"/>
                <w:lang w:val="en-US" w:eastAsia="zh-CN"/>
              </w:rPr>
              <w:t>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eastAsia="宋体"/>
                <w:color w:val="auto"/>
                <w:sz w:val="21"/>
                <w:highlight w:val="none"/>
                <w:vertAlign w:val="baseline"/>
                <w:lang w:val="en-US" w:eastAsia="zh-CN"/>
              </w:rPr>
              <w:t>；2#化粪池位于宿舍楼旁，收集处理食堂及宿舍楼废水，容积</w:t>
            </w:r>
            <w:r>
              <w:rPr>
                <w:rFonts w:hint="eastAsia" w:ascii="Times New Roman" w:hAnsi="Times New Roman"/>
                <w:color w:val="auto"/>
                <w:sz w:val="21"/>
                <w:highlight w:val="none"/>
                <w:vertAlign w:val="baseline"/>
                <w:lang w:val="en-US" w:eastAsia="zh-CN"/>
              </w:rPr>
              <w:t>50.4</w:t>
            </w:r>
            <w:r>
              <w:rPr>
                <w:rFonts w:hint="eastAsia" w:ascii="Times New Roman" w:hAnsi="Times New Roman" w:eastAsia="宋体"/>
                <w:color w:val="auto"/>
                <w:sz w:val="21"/>
                <w:highlight w:val="none"/>
                <w:vertAlign w:val="baseline"/>
                <w:lang w:val="en-US" w:eastAsia="zh-CN"/>
              </w:rPr>
              <w:t>m</w:t>
            </w:r>
            <w:r>
              <w:rPr>
                <w:rFonts w:hint="eastAsia" w:ascii="Times New Roman" w:hAnsi="Times New Roman" w:eastAsia="宋体"/>
                <w:color w:val="auto"/>
                <w:sz w:val="21"/>
                <w:highlight w:val="none"/>
                <w:vertAlign w:val="superscript"/>
                <w:lang w:val="en-US" w:eastAsia="zh-CN"/>
              </w:rPr>
              <w:t>3</w:t>
            </w:r>
            <w:r>
              <w:rPr>
                <w:rFonts w:hint="eastAsia" w:ascii="Times New Roman" w:hAnsi="Times New Roman" w:eastAsia="宋体"/>
                <w:color w:val="auto"/>
                <w:sz w:val="21"/>
                <w:highlight w:val="none"/>
                <w:vertAlign w:val="baseline"/>
                <w:lang w:val="en-US" w:eastAsia="zh-CN"/>
              </w:rPr>
              <w:t>；</w:t>
            </w:r>
          </w:p>
          <w:p w14:paraId="0A4C81FC">
            <w:pPr>
              <w:pStyle w:val="3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left"/>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②食堂油隔油池1个，容积0.5m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w:t>
            </w:r>
          </w:p>
          <w:p w14:paraId="6A4BF59A">
            <w:pPr>
              <w:pStyle w:val="3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left"/>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③一体化污水处理站1座，处理规模</w:t>
            </w:r>
            <w:r>
              <w:rPr>
                <w:rFonts w:hint="eastAsia" w:ascii="Times New Roman" w:hAnsi="Times New Roman"/>
                <w:color w:val="auto"/>
                <w:sz w:val="21"/>
                <w:szCs w:val="21"/>
                <w:highlight w:val="none"/>
                <w:vertAlign w:val="baseline"/>
                <w:lang w:val="en-US" w:eastAsia="zh-CN"/>
              </w:rPr>
              <w:t>3.5</w:t>
            </w:r>
            <w:r>
              <w:rPr>
                <w:rFonts w:hint="eastAsia" w:ascii="Times New Roman" w:hAnsi="Times New Roman" w:eastAsia="宋体"/>
                <w:color w:val="auto"/>
                <w:sz w:val="21"/>
                <w:szCs w:val="21"/>
                <w:highlight w:val="none"/>
                <w:vertAlign w:val="baseline"/>
                <w:lang w:val="en-US" w:eastAsia="zh-CN"/>
              </w:rPr>
              <w:t>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/d；</w:t>
            </w:r>
          </w:p>
          <w:p w14:paraId="3D2AF180">
            <w:pPr>
              <w:jc w:val="center"/>
              <w:rPr>
                <w:rFonts w:hint="eastAsia" w:ascii="Times New Roman" w:hAnsi="Times New Roman"/>
                <w:color w:val="auto"/>
                <w:sz w:val="21"/>
                <w:szCs w:val="21"/>
                <w:highlight w:val="none"/>
              </w:rPr>
            </w:pPr>
            <w:r>
              <w:rPr>
                <w:rFonts w:hint="eastAsia" w:ascii="Times New Roman" w:hAnsi="Times New Roman" w:eastAsia="宋体"/>
                <w:color w:val="auto"/>
                <w:sz w:val="21"/>
                <w:szCs w:val="21"/>
                <w:highlight w:val="none"/>
                <w:vertAlign w:val="baseline"/>
                <w:lang w:val="en-US" w:eastAsia="zh-CN"/>
              </w:rPr>
              <w:t>④污水处理站配套事故水池1座，容积3m</w:t>
            </w:r>
            <w:r>
              <w:rPr>
                <w:rFonts w:hint="eastAsia" w:ascii="Times New Roman" w:hAnsi="Times New Roman" w:eastAsia="宋体"/>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vertAlign w:val="baseline"/>
                <w:lang w:val="en-US" w:eastAsia="zh-CN"/>
              </w:rPr>
              <w:t>；配套中水暂存池1座，容积20m</w:t>
            </w:r>
            <w:r>
              <w:rPr>
                <w:rFonts w:hint="eastAsia" w:ascii="Times New Roman" w:hAnsi="Times New Roman" w:eastAsia="宋体"/>
                <w:color w:val="auto"/>
                <w:sz w:val="21"/>
                <w:szCs w:val="21"/>
                <w:highlight w:val="none"/>
                <w:vertAlign w:val="superscript"/>
                <w:lang w:val="en-US" w:eastAsia="zh-CN"/>
              </w:rPr>
              <w:t>3</w:t>
            </w:r>
          </w:p>
        </w:tc>
        <w:tc>
          <w:tcPr>
            <w:tcW w:w="2272" w:type="dxa"/>
            <w:noWrap w:val="0"/>
            <w:vAlign w:val="center"/>
          </w:tcPr>
          <w:p w14:paraId="0D475208">
            <w:pPr>
              <w:jc w:val="center"/>
              <w:rPr>
                <w:rFonts w:hint="eastAsia" w:ascii="Times New Roman" w:hAnsi="Times New Roman"/>
                <w:color w:val="auto"/>
                <w:szCs w:val="21"/>
                <w:highlight w:val="none"/>
              </w:rPr>
            </w:pPr>
            <w:r>
              <w:rPr>
                <w:rFonts w:hint="eastAsia" w:ascii="Times New Roman" w:hAnsi="Times New Roman" w:eastAsia="宋体" w:cs="Times New Roman"/>
                <w:color w:val="auto"/>
                <w:spacing w:val="0"/>
                <w:sz w:val="21"/>
                <w:highlight w:val="none"/>
                <w:lang w:val="en-US" w:eastAsia="zh-CN"/>
              </w:rPr>
              <w:t>回用于厂区绿化，出水水质满足《城市污水再生利用城市杂用水水质》（GB/T18920-2020）中的城市绿化标准</w:t>
            </w:r>
          </w:p>
        </w:tc>
      </w:tr>
      <w:tr w14:paraId="723B7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8" w:type="dxa"/>
            <w:noWrap w:val="0"/>
            <w:vAlign w:val="center"/>
          </w:tcPr>
          <w:p w14:paraId="4C38B148">
            <w:pPr>
              <w:jc w:val="center"/>
              <w:rPr>
                <w:rFonts w:ascii="Times New Roman" w:hAnsi="Times New Roman"/>
                <w:b/>
                <w:bCs/>
                <w:color w:val="auto"/>
                <w:szCs w:val="21"/>
                <w:highlight w:val="none"/>
              </w:rPr>
            </w:pPr>
            <w:r>
              <w:rPr>
                <w:rFonts w:ascii="Times New Roman" w:hAnsi="Times New Roman"/>
                <w:b/>
                <w:bCs/>
                <w:color w:val="auto"/>
                <w:szCs w:val="21"/>
                <w:highlight w:val="none"/>
              </w:rPr>
              <w:t>声环境</w:t>
            </w:r>
          </w:p>
        </w:tc>
        <w:tc>
          <w:tcPr>
            <w:tcW w:w="1750" w:type="dxa"/>
            <w:noWrap w:val="0"/>
            <w:vAlign w:val="center"/>
          </w:tcPr>
          <w:p w14:paraId="3E693ED6">
            <w:pPr>
              <w:jc w:val="center"/>
              <w:rPr>
                <w:rFonts w:hint="eastAsia" w:ascii="Times New Roman" w:hAnsi="Times New Roman"/>
                <w:color w:val="auto"/>
                <w:szCs w:val="21"/>
                <w:highlight w:val="none"/>
              </w:rPr>
            </w:pPr>
            <w:r>
              <w:rPr>
                <w:rFonts w:hint="eastAsia" w:ascii="Times New Roman" w:hAnsi="Times New Roman"/>
                <w:color w:val="auto"/>
                <w:szCs w:val="21"/>
                <w:highlight w:val="none"/>
              </w:rPr>
              <w:t>厂界四周</w:t>
            </w:r>
          </w:p>
        </w:tc>
        <w:tc>
          <w:tcPr>
            <w:tcW w:w="1125" w:type="dxa"/>
            <w:noWrap w:val="0"/>
            <w:vAlign w:val="center"/>
          </w:tcPr>
          <w:p w14:paraId="76DA9BF1">
            <w:pPr>
              <w:jc w:val="center"/>
              <w:rPr>
                <w:rFonts w:ascii="Times New Roman" w:hAnsi="Times New Roman"/>
                <w:color w:val="auto"/>
                <w:szCs w:val="21"/>
                <w:highlight w:val="none"/>
              </w:rPr>
            </w:pPr>
            <w:r>
              <w:rPr>
                <w:rFonts w:ascii="Times New Roman" w:hAnsi="Times New Roman"/>
                <w:color w:val="auto"/>
                <w:szCs w:val="21"/>
                <w:highlight w:val="none"/>
              </w:rPr>
              <w:t>等效A声级</w:t>
            </w:r>
          </w:p>
        </w:tc>
        <w:tc>
          <w:tcPr>
            <w:tcW w:w="2335" w:type="dxa"/>
            <w:noWrap w:val="0"/>
            <w:vAlign w:val="center"/>
          </w:tcPr>
          <w:p w14:paraId="2389140A">
            <w:pPr>
              <w:jc w:val="center"/>
              <w:rPr>
                <w:rFonts w:ascii="Times New Roman" w:hAnsi="Times New Roman"/>
                <w:color w:val="auto"/>
                <w:szCs w:val="21"/>
                <w:highlight w:val="none"/>
              </w:rPr>
            </w:pPr>
            <w:r>
              <w:rPr>
                <w:rFonts w:hint="eastAsia" w:ascii="Times New Roman" w:hAnsi="Times New Roman" w:eastAsia="宋体"/>
                <w:color w:val="auto"/>
                <w:highlight w:val="none"/>
              </w:rPr>
              <w:t>合理布置、基础减振、墙体阻隔</w:t>
            </w:r>
          </w:p>
        </w:tc>
        <w:tc>
          <w:tcPr>
            <w:tcW w:w="2272" w:type="dxa"/>
            <w:noWrap w:val="0"/>
            <w:vAlign w:val="center"/>
          </w:tcPr>
          <w:p w14:paraId="20E72615">
            <w:pPr>
              <w:jc w:val="center"/>
              <w:rPr>
                <w:rFonts w:ascii="Times New Roman" w:hAnsi="Times New Roman"/>
                <w:color w:val="auto"/>
                <w:szCs w:val="21"/>
                <w:highlight w:val="none"/>
              </w:rPr>
            </w:pPr>
            <w:r>
              <w:rPr>
                <w:rFonts w:hint="eastAsia" w:ascii="Times New Roman" w:hAnsi="Times New Roman"/>
                <w:color w:val="auto"/>
                <w:highlight w:val="none"/>
              </w:rPr>
              <w:t>达到《工业企业厂界环境噪声排放标准》（GB12348-2008）</w:t>
            </w:r>
            <w:r>
              <w:rPr>
                <w:rFonts w:hint="eastAsia" w:ascii="Times New Roman" w:hAnsi="Times New Roman"/>
                <w:color w:val="auto"/>
                <w:highlight w:val="none"/>
                <w:lang w:val="en-US" w:eastAsia="zh-CN"/>
              </w:rPr>
              <w:t>3</w:t>
            </w:r>
            <w:r>
              <w:rPr>
                <w:rFonts w:hint="eastAsia" w:ascii="Times New Roman" w:hAnsi="Times New Roman"/>
                <w:color w:val="auto"/>
                <w:highlight w:val="none"/>
              </w:rPr>
              <w:t>类标准</w:t>
            </w:r>
          </w:p>
        </w:tc>
      </w:tr>
      <w:tr w14:paraId="1C66B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8" w:type="dxa"/>
            <w:vMerge w:val="restart"/>
            <w:noWrap w:val="0"/>
            <w:vAlign w:val="center"/>
          </w:tcPr>
          <w:p w14:paraId="1E87E5C0">
            <w:pPr>
              <w:jc w:val="center"/>
              <w:rPr>
                <w:rFonts w:ascii="Times New Roman" w:hAnsi="Times New Roman"/>
                <w:b/>
                <w:bCs/>
                <w:color w:val="auto"/>
                <w:szCs w:val="21"/>
                <w:highlight w:val="none"/>
              </w:rPr>
            </w:pPr>
            <w:r>
              <w:rPr>
                <w:rFonts w:ascii="Times New Roman" w:hAnsi="Times New Roman"/>
                <w:b/>
                <w:bCs/>
                <w:color w:val="auto"/>
                <w:szCs w:val="21"/>
                <w:highlight w:val="none"/>
              </w:rPr>
              <w:t>电磁辐射</w:t>
            </w:r>
          </w:p>
        </w:tc>
        <w:tc>
          <w:tcPr>
            <w:tcW w:w="1750" w:type="dxa"/>
            <w:noWrap w:val="0"/>
            <w:vAlign w:val="center"/>
          </w:tcPr>
          <w:p w14:paraId="2A74C18A">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1125" w:type="dxa"/>
            <w:noWrap w:val="0"/>
            <w:vAlign w:val="center"/>
          </w:tcPr>
          <w:p w14:paraId="3CE693C8">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2335" w:type="dxa"/>
            <w:noWrap w:val="0"/>
            <w:vAlign w:val="center"/>
          </w:tcPr>
          <w:p w14:paraId="48487F88">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2272" w:type="dxa"/>
            <w:noWrap w:val="0"/>
            <w:vAlign w:val="center"/>
          </w:tcPr>
          <w:p w14:paraId="51B33A61">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4F4A2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8" w:type="dxa"/>
            <w:vMerge w:val="continue"/>
            <w:noWrap w:val="0"/>
            <w:vAlign w:val="center"/>
          </w:tcPr>
          <w:p w14:paraId="48C5DDEF">
            <w:pPr>
              <w:jc w:val="center"/>
              <w:rPr>
                <w:rFonts w:ascii="Times New Roman" w:hAnsi="Times New Roman"/>
                <w:b/>
                <w:bCs/>
                <w:color w:val="auto"/>
                <w:szCs w:val="21"/>
                <w:highlight w:val="none"/>
              </w:rPr>
            </w:pPr>
          </w:p>
        </w:tc>
        <w:tc>
          <w:tcPr>
            <w:tcW w:w="1750" w:type="dxa"/>
            <w:noWrap w:val="0"/>
            <w:vAlign w:val="center"/>
          </w:tcPr>
          <w:p w14:paraId="19D56FD1">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1125" w:type="dxa"/>
            <w:noWrap w:val="0"/>
            <w:vAlign w:val="center"/>
          </w:tcPr>
          <w:p w14:paraId="51585AEA">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2335" w:type="dxa"/>
            <w:noWrap w:val="0"/>
            <w:vAlign w:val="center"/>
          </w:tcPr>
          <w:p w14:paraId="5B7F2EDE">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2272" w:type="dxa"/>
            <w:noWrap w:val="0"/>
            <w:vAlign w:val="center"/>
          </w:tcPr>
          <w:p w14:paraId="2A468632">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2C275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318" w:type="dxa"/>
            <w:vMerge w:val="continue"/>
            <w:noWrap w:val="0"/>
            <w:vAlign w:val="center"/>
          </w:tcPr>
          <w:p w14:paraId="4C337016">
            <w:pPr>
              <w:jc w:val="center"/>
              <w:rPr>
                <w:rFonts w:ascii="Times New Roman" w:hAnsi="Times New Roman"/>
                <w:b/>
                <w:bCs/>
                <w:color w:val="auto"/>
                <w:szCs w:val="21"/>
                <w:highlight w:val="none"/>
              </w:rPr>
            </w:pPr>
          </w:p>
        </w:tc>
        <w:tc>
          <w:tcPr>
            <w:tcW w:w="1750" w:type="dxa"/>
            <w:noWrap w:val="0"/>
            <w:vAlign w:val="center"/>
          </w:tcPr>
          <w:p w14:paraId="55359533">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1125" w:type="dxa"/>
            <w:noWrap w:val="0"/>
            <w:vAlign w:val="center"/>
          </w:tcPr>
          <w:p w14:paraId="020AF941">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2335" w:type="dxa"/>
            <w:noWrap w:val="0"/>
            <w:vAlign w:val="center"/>
          </w:tcPr>
          <w:p w14:paraId="142B8FC6">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2272" w:type="dxa"/>
            <w:noWrap w:val="0"/>
            <w:vAlign w:val="center"/>
          </w:tcPr>
          <w:p w14:paraId="3A657B5A">
            <w:pPr>
              <w:jc w:val="center"/>
              <w:rPr>
                <w:rFonts w:ascii="Times New Roman" w:hAnsi="Times New Roman"/>
                <w:color w:val="auto"/>
                <w:szCs w:val="21"/>
                <w:highlight w:val="none"/>
              </w:rPr>
            </w:pPr>
            <w:r>
              <w:rPr>
                <w:rFonts w:ascii="Times New Roman" w:hAnsi="Times New Roman"/>
                <w:color w:val="auto"/>
                <w:szCs w:val="21"/>
                <w:highlight w:val="none"/>
              </w:rPr>
              <w:t>/</w:t>
            </w:r>
          </w:p>
        </w:tc>
      </w:tr>
      <w:tr w14:paraId="3051B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318" w:type="dxa"/>
            <w:noWrap w:val="0"/>
            <w:vAlign w:val="center"/>
          </w:tcPr>
          <w:p w14:paraId="6C0BECB3">
            <w:pPr>
              <w:pStyle w:val="33"/>
              <w:adjustRightInd w:val="0"/>
              <w:spacing w:before="0" w:after="0" w:line="240" w:lineRule="auto"/>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b/>
                <w:bCs/>
                <w:color w:val="auto"/>
                <w:highlight w:val="none"/>
                <w:lang w:val="en-US" w:eastAsia="zh-CN"/>
              </w:rPr>
              <w:t>固体废物</w:t>
            </w:r>
          </w:p>
        </w:tc>
        <w:tc>
          <w:tcPr>
            <w:tcW w:w="7482" w:type="dxa"/>
            <w:gridSpan w:val="4"/>
            <w:noWrap w:val="0"/>
            <w:vAlign w:val="center"/>
          </w:tcPr>
          <w:p w14:paraId="1FA7C92C">
            <w:pPr>
              <w:pStyle w:val="33"/>
              <w:adjustRightInd w:val="0"/>
              <w:spacing w:before="0" w:after="0" w:line="240" w:lineRule="auto"/>
              <w:ind w:left="0" w:leftChars="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w:t>
            </w:r>
            <w:r>
              <w:rPr>
                <w:rFonts w:hint="eastAsia" w:ascii="Times New Roman" w:hAnsi="Times New Roman"/>
                <w:color w:val="auto"/>
                <w:szCs w:val="21"/>
                <w:highlight w:val="none"/>
                <w:lang w:val="en-US" w:eastAsia="zh-CN"/>
              </w:rPr>
              <w:t>隔油池废油脂</w:t>
            </w:r>
            <w:r>
              <w:rPr>
                <w:rFonts w:hint="eastAsia" w:ascii="Times New Roman" w:hAnsi="Times New Roman" w:eastAsia="宋体" w:cs="Times New Roman"/>
                <w:color w:val="auto"/>
                <w:highlight w:val="none"/>
                <w:lang w:val="en-US" w:eastAsia="zh-CN"/>
              </w:rPr>
              <w:t>设置2</w:t>
            </w:r>
            <w:r>
              <w:rPr>
                <w:rFonts w:hint="eastAsia" w:ascii="Times New Roman" w:hAnsi="Times New Roman" w:cs="Times New Roman"/>
                <w:color w:val="auto"/>
                <w:highlight w:val="none"/>
                <w:lang w:val="en-US" w:eastAsia="zh-CN"/>
              </w:rPr>
              <w:t>个</w:t>
            </w:r>
            <w:r>
              <w:rPr>
                <w:rFonts w:hint="eastAsia" w:ascii="Times New Roman" w:hAnsi="Times New Roman" w:eastAsia="宋体" w:cs="Times New Roman"/>
                <w:color w:val="auto"/>
                <w:highlight w:val="none"/>
                <w:lang w:val="en-US" w:eastAsia="zh-CN"/>
              </w:rPr>
              <w:t>容积为20L的收集桶；</w:t>
            </w:r>
          </w:p>
          <w:p w14:paraId="197E702F">
            <w:pPr>
              <w:pStyle w:val="33"/>
              <w:adjustRightInd w:val="0"/>
              <w:spacing w:before="0" w:after="0" w:line="240" w:lineRule="auto"/>
              <w:ind w:left="0" w:leftChars="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②1个封闭式室外垃圾收集桶（120L）2个，用于收集生活垃圾，配套室内垃圾桶若干；</w:t>
            </w:r>
          </w:p>
          <w:p w14:paraId="5C3AEF61">
            <w:pPr>
              <w:pStyle w:val="33"/>
              <w:adjustRightInd w:val="0"/>
              <w:spacing w:before="0" w:after="0" w:line="240" w:lineRule="auto"/>
              <w:ind w:left="0" w:leftChars="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③危险废物暂存间1间，占地面积</w:t>
            </w:r>
            <w:r>
              <w:rPr>
                <w:rFonts w:hint="eastAsia" w:ascii="Times New Roman" w:hAnsi="Times New Roman"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w:t>
            </w:r>
          </w:p>
        </w:tc>
      </w:tr>
      <w:tr w14:paraId="57FE5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318" w:type="dxa"/>
            <w:noWrap w:val="0"/>
            <w:vAlign w:val="center"/>
          </w:tcPr>
          <w:p w14:paraId="5748A034">
            <w:pPr>
              <w:jc w:val="center"/>
              <w:rPr>
                <w:rFonts w:ascii="Times New Roman" w:hAnsi="Times New Roman"/>
                <w:b/>
                <w:bCs/>
                <w:color w:val="auto"/>
                <w:szCs w:val="21"/>
                <w:highlight w:val="none"/>
              </w:rPr>
            </w:pPr>
            <w:r>
              <w:rPr>
                <w:rFonts w:ascii="Times New Roman" w:hAnsi="Times New Roman"/>
                <w:b/>
                <w:bCs/>
                <w:color w:val="auto"/>
                <w:szCs w:val="21"/>
                <w:highlight w:val="none"/>
              </w:rPr>
              <w:t>土壤及地下水污染防治措施</w:t>
            </w:r>
          </w:p>
        </w:tc>
        <w:tc>
          <w:tcPr>
            <w:tcW w:w="7482" w:type="dxa"/>
            <w:gridSpan w:val="4"/>
            <w:noWrap w:val="0"/>
            <w:vAlign w:val="center"/>
          </w:tcPr>
          <w:p w14:paraId="1F67F385">
            <w:pPr>
              <w:jc w:val="left"/>
              <w:rPr>
                <w:rFonts w:ascii="Times New Roman" w:hAnsi="Times New Roman"/>
                <w:color w:val="auto"/>
                <w:szCs w:val="21"/>
                <w:highlight w:val="none"/>
              </w:rPr>
            </w:pPr>
            <w:r>
              <w:rPr>
                <w:rFonts w:ascii="Times New Roman" w:hAnsi="Times New Roman"/>
                <w:color w:val="auto"/>
                <w:szCs w:val="21"/>
                <w:highlight w:val="none"/>
              </w:rPr>
              <w:t>重点防渗区：</w:t>
            </w:r>
            <w:r>
              <w:rPr>
                <w:rFonts w:hint="eastAsia" w:ascii="Times New Roman" w:hAnsi="Times New Roman" w:eastAsia="宋体" w:cs="Times New Roman"/>
                <w:color w:val="auto"/>
                <w:kern w:val="24"/>
                <w:szCs w:val="21"/>
                <w:highlight w:val="none"/>
                <w:lang w:val="en-US" w:eastAsia="zh-CN"/>
              </w:rPr>
              <w:t>柴油储罐区、</w:t>
            </w:r>
            <w:r>
              <w:rPr>
                <w:rFonts w:hint="eastAsia" w:ascii="Times New Roman" w:hAnsi="Times New Roman"/>
                <w:color w:val="auto"/>
                <w:szCs w:val="21"/>
                <w:highlight w:val="none"/>
              </w:rPr>
              <w:t>危废暂存间</w:t>
            </w:r>
            <w:r>
              <w:rPr>
                <w:rFonts w:ascii="Times New Roman" w:hAnsi="Times New Roman"/>
                <w:bCs/>
                <w:color w:val="auto"/>
                <w:szCs w:val="21"/>
                <w:highlight w:val="none"/>
              </w:rPr>
              <w:t>，渗透系数≤10</w:t>
            </w:r>
            <w:r>
              <w:rPr>
                <w:rFonts w:ascii="Times New Roman" w:hAnsi="Times New Roman"/>
                <w:bCs/>
                <w:color w:val="auto"/>
                <w:szCs w:val="21"/>
                <w:highlight w:val="none"/>
                <w:vertAlign w:val="superscript"/>
              </w:rPr>
              <w:t>-10</w:t>
            </w:r>
            <w:r>
              <w:rPr>
                <w:rFonts w:ascii="Times New Roman" w:hAnsi="Times New Roman"/>
                <w:bCs/>
                <w:color w:val="auto"/>
                <w:szCs w:val="21"/>
                <w:highlight w:val="none"/>
              </w:rPr>
              <w:t>cm/s（保存影像资料）</w:t>
            </w:r>
            <w:r>
              <w:rPr>
                <w:rFonts w:ascii="Times New Roman" w:hAnsi="Times New Roman"/>
                <w:color w:val="auto"/>
                <w:szCs w:val="21"/>
                <w:highlight w:val="none"/>
              </w:rPr>
              <w:t>；</w:t>
            </w:r>
          </w:p>
          <w:p w14:paraId="6AA2A95C">
            <w:pPr>
              <w:jc w:val="left"/>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一般防渗区：</w:t>
            </w:r>
            <w:r>
              <w:rPr>
                <w:rFonts w:hint="eastAsia" w:ascii="Times New Roman" w:hAnsi="Times New Roman"/>
                <w:color w:val="auto"/>
                <w:highlight w:val="none"/>
                <w:lang w:val="en-US" w:eastAsia="zh-CN"/>
              </w:rPr>
              <w:t>隔油池、化粪池、初期雨水收集池、污水处理站，</w:t>
            </w:r>
            <w:r>
              <w:rPr>
                <w:rFonts w:ascii="Times New Roman" w:hAnsi="Times New Roman"/>
                <w:color w:val="auto"/>
                <w:highlight w:val="none"/>
              </w:rPr>
              <w:t>渗透系数K≤1.0×10</w:t>
            </w:r>
            <w:r>
              <w:rPr>
                <w:rFonts w:ascii="Times New Roman" w:hAnsi="Times New Roman"/>
                <w:color w:val="auto"/>
                <w:highlight w:val="none"/>
                <w:vertAlign w:val="superscript"/>
              </w:rPr>
              <w:t>-7</w:t>
            </w:r>
            <w:r>
              <w:rPr>
                <w:rFonts w:ascii="Times New Roman" w:hAnsi="Times New Roman"/>
                <w:color w:val="auto"/>
                <w:highlight w:val="none"/>
              </w:rPr>
              <w:t>cm/s</w:t>
            </w:r>
            <w:r>
              <w:rPr>
                <w:rFonts w:hint="eastAsia" w:ascii="Times New Roman" w:hAnsi="Times New Roman"/>
                <w:color w:val="auto"/>
                <w:highlight w:val="none"/>
                <w:lang w:eastAsia="zh-CN"/>
              </w:rPr>
              <w:t>；</w:t>
            </w:r>
          </w:p>
          <w:p w14:paraId="4793B3BE">
            <w:pPr>
              <w:jc w:val="left"/>
              <w:rPr>
                <w:rFonts w:hint="eastAsia" w:ascii="Times New Roman" w:hAnsi="Times New Roman" w:eastAsia="宋体"/>
                <w:color w:val="auto"/>
                <w:szCs w:val="21"/>
                <w:highlight w:val="none"/>
                <w:lang w:eastAsia="zh-CN"/>
              </w:rPr>
            </w:pPr>
            <w:r>
              <w:rPr>
                <w:rFonts w:ascii="Times New Roman" w:hAnsi="Times New Roman"/>
                <w:bCs/>
                <w:color w:val="auto"/>
                <w:szCs w:val="21"/>
                <w:highlight w:val="none"/>
              </w:rPr>
              <w:t>简单防渗区：</w:t>
            </w:r>
            <w:r>
              <w:rPr>
                <w:rFonts w:hint="eastAsia" w:ascii="Times New Roman" w:hAnsi="Times New Roman"/>
                <w:color w:val="auto"/>
                <w:highlight w:val="none"/>
                <w:lang w:val="en-US" w:eastAsia="zh-CN"/>
              </w:rPr>
              <w:t>办公区、厂区道路、倒班宿舍区。</w:t>
            </w:r>
          </w:p>
        </w:tc>
      </w:tr>
      <w:tr w14:paraId="2A2CF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8" w:type="dxa"/>
            <w:noWrap w:val="0"/>
            <w:vAlign w:val="center"/>
          </w:tcPr>
          <w:p w14:paraId="1C75334D">
            <w:pPr>
              <w:jc w:val="center"/>
              <w:rPr>
                <w:rFonts w:ascii="Times New Roman" w:hAnsi="Times New Roman"/>
                <w:b/>
                <w:bCs/>
                <w:color w:val="auto"/>
                <w:szCs w:val="21"/>
                <w:highlight w:val="none"/>
              </w:rPr>
            </w:pPr>
            <w:r>
              <w:rPr>
                <w:rFonts w:ascii="Times New Roman" w:hAnsi="Times New Roman"/>
                <w:b/>
                <w:bCs/>
                <w:color w:val="auto"/>
                <w:szCs w:val="21"/>
                <w:highlight w:val="none"/>
              </w:rPr>
              <w:t>生态保护措施</w:t>
            </w:r>
          </w:p>
        </w:tc>
        <w:tc>
          <w:tcPr>
            <w:tcW w:w="7482" w:type="dxa"/>
            <w:gridSpan w:val="4"/>
            <w:noWrap w:val="0"/>
            <w:vAlign w:val="center"/>
          </w:tcPr>
          <w:p w14:paraId="1C2D2E9F">
            <w:pPr>
              <w:jc w:val="center"/>
              <w:rPr>
                <w:rFonts w:hint="default" w:ascii="Times New Roman" w:hAnsi="Times New Roman" w:eastAsia="宋体"/>
                <w:color w:val="auto"/>
                <w:szCs w:val="21"/>
                <w:highlight w:val="none"/>
                <w:vertAlign w:val="baseline"/>
                <w:lang w:val="en-US" w:eastAsia="zh-CN"/>
              </w:rPr>
            </w:pPr>
            <w:r>
              <w:rPr>
                <w:rFonts w:hint="eastAsia" w:ascii="Times New Roman" w:hAnsi="Times New Roman"/>
                <w:color w:val="auto"/>
                <w:szCs w:val="21"/>
                <w:highlight w:val="none"/>
                <w:lang w:val="en-US" w:eastAsia="zh-CN"/>
              </w:rPr>
              <w:t>——</w:t>
            </w:r>
          </w:p>
        </w:tc>
      </w:tr>
      <w:tr w14:paraId="3DFA7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6" w:hRule="atLeast"/>
          <w:jc w:val="center"/>
        </w:trPr>
        <w:tc>
          <w:tcPr>
            <w:tcW w:w="1318" w:type="dxa"/>
            <w:noWrap w:val="0"/>
            <w:vAlign w:val="center"/>
          </w:tcPr>
          <w:p w14:paraId="6DFC7F62">
            <w:pPr>
              <w:jc w:val="center"/>
              <w:rPr>
                <w:rFonts w:ascii="Times New Roman" w:hAnsi="Times New Roman"/>
                <w:b/>
                <w:bCs/>
                <w:color w:val="auto"/>
                <w:spacing w:val="-8"/>
                <w:szCs w:val="21"/>
                <w:highlight w:val="none"/>
              </w:rPr>
            </w:pPr>
            <w:r>
              <w:rPr>
                <w:rFonts w:ascii="Times New Roman" w:hAnsi="Times New Roman"/>
                <w:b/>
                <w:bCs/>
                <w:color w:val="auto"/>
                <w:spacing w:val="-8"/>
                <w:szCs w:val="21"/>
                <w:highlight w:val="none"/>
              </w:rPr>
              <w:t>环境风险</w:t>
            </w:r>
          </w:p>
          <w:p w14:paraId="5F6223E4">
            <w:pPr>
              <w:jc w:val="center"/>
              <w:rPr>
                <w:rFonts w:ascii="Times New Roman" w:hAnsi="Times New Roman"/>
                <w:b/>
                <w:bCs/>
                <w:color w:val="auto"/>
                <w:spacing w:val="-8"/>
                <w:szCs w:val="21"/>
                <w:highlight w:val="none"/>
              </w:rPr>
            </w:pPr>
            <w:r>
              <w:rPr>
                <w:rFonts w:ascii="Times New Roman" w:hAnsi="Times New Roman"/>
                <w:b/>
                <w:bCs/>
                <w:color w:val="auto"/>
                <w:spacing w:val="-8"/>
                <w:szCs w:val="21"/>
                <w:highlight w:val="none"/>
              </w:rPr>
              <w:t>防范措施</w:t>
            </w:r>
          </w:p>
        </w:tc>
        <w:tc>
          <w:tcPr>
            <w:tcW w:w="7482" w:type="dxa"/>
            <w:gridSpan w:val="4"/>
            <w:noWrap w:val="0"/>
            <w:vAlign w:val="center"/>
          </w:tcPr>
          <w:p w14:paraId="5286709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①危险废物暂存间严格按照《危险废物贮存污染控制标准》（GB18597-2023）的相关要求建设，须设置防晒、防雨淋等装置，应设计堵截</w:t>
            </w:r>
            <w:r>
              <w:rPr>
                <w:rFonts w:hint="eastAsia" w:ascii="Times New Roman" w:hAnsi="Times New Roman" w:cs="Times New Roman"/>
                <w:color w:val="auto"/>
                <w:highlight w:val="none"/>
                <w:lang w:eastAsia="zh-CN"/>
              </w:rPr>
              <w:t>泄漏</w:t>
            </w:r>
            <w:r>
              <w:rPr>
                <w:rFonts w:hint="eastAsia" w:ascii="Times New Roman" w:hAnsi="Times New Roman" w:eastAsia="宋体" w:cs="Times New Roman"/>
                <w:color w:val="auto"/>
                <w:highlight w:val="none"/>
                <w:lang w:eastAsia="zh-CN"/>
              </w:rPr>
              <w:t>的裙脚，地面与裙脚所围建的容积不低于堵截最大容器最大储量或总储量的1/5；须设置收集沟及收集井等。</w:t>
            </w:r>
          </w:p>
          <w:p w14:paraId="1685E9E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②柴油储罐放置在围堰内，围堰池体采用钢筋混凝土浇筑，池底和内壁采用环氧树脂或</w:t>
            </w:r>
            <w:r>
              <w:rPr>
                <w:rFonts w:hint="eastAsia" w:ascii="Times New Roman" w:hAnsi="Times New Roman" w:cs="Times New Roman"/>
                <w:color w:val="auto"/>
                <w:highlight w:val="none"/>
                <w:lang w:eastAsia="zh-CN"/>
              </w:rPr>
              <w:t>其他</w:t>
            </w:r>
            <w:r>
              <w:rPr>
                <w:rFonts w:hint="eastAsia" w:ascii="Times New Roman" w:hAnsi="Times New Roman" w:eastAsia="宋体" w:cs="Times New Roman"/>
                <w:color w:val="auto"/>
                <w:highlight w:val="none"/>
                <w:lang w:eastAsia="zh-CN"/>
              </w:rPr>
              <w:t>防渗材料进行防渗处理（渗透系数≤10-10cm/s），定期对围堰进行检查，发现破裂处立即维护。</w:t>
            </w:r>
          </w:p>
          <w:p w14:paraId="36F94C7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③定期检查检修生产设备，防止生产过程中物料发生跑冒滴漏；由专人负责环境保护工作，每天对危废暂存间、柴油储罐进行检查，定期维护，制定环保设施运行维护台账，定期委托有资质单位对项目外排废气进行检测，确保各项污染物达标排放。</w:t>
            </w:r>
          </w:p>
          <w:p w14:paraId="606EF20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④对装有危废的容器进行定期检查，容器泄漏损坏时必须立即处理，并将危废装入完好容器内。危险废物</w:t>
            </w:r>
            <w:r>
              <w:rPr>
                <w:rFonts w:hint="eastAsia" w:ascii="Times New Roman" w:hAnsi="Times New Roman" w:cs="Times New Roman"/>
                <w:color w:val="auto"/>
                <w:highlight w:val="none"/>
                <w:lang w:val="en-US" w:eastAsia="zh-CN"/>
              </w:rPr>
              <w:t>贮存</w:t>
            </w:r>
            <w:r>
              <w:rPr>
                <w:rFonts w:hint="eastAsia" w:ascii="Times New Roman" w:hAnsi="Times New Roman" w:eastAsia="宋体" w:cs="Times New Roman"/>
                <w:color w:val="auto"/>
                <w:highlight w:val="none"/>
                <w:lang w:eastAsia="zh-CN"/>
              </w:rPr>
              <w:t>区和柴油储罐区设置警示标牌。</w:t>
            </w:r>
          </w:p>
          <w:p w14:paraId="155277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⑤所有包装袋、桶必须贴上危险废物标签，危险废物标签上文字字体为黑体、底色为醒目的</w:t>
            </w:r>
            <w:r>
              <w:rPr>
                <w:rFonts w:hint="eastAsia" w:ascii="Times New Roman" w:hAnsi="Times New Roman" w:cs="Times New Roman"/>
                <w:color w:val="auto"/>
                <w:highlight w:val="none"/>
                <w:lang w:eastAsia="zh-CN"/>
              </w:rPr>
              <w:t>橘黄色</w:t>
            </w:r>
            <w:r>
              <w:rPr>
                <w:rFonts w:hint="eastAsia" w:ascii="Times New Roman" w:hAnsi="Times New Roman" w:eastAsia="宋体" w:cs="Times New Roman"/>
                <w:color w:val="auto"/>
                <w:highlight w:val="none"/>
                <w:lang w:eastAsia="zh-CN"/>
              </w:rPr>
              <w:t>，稳妥贴附在包装袋、桶适当位置，使其清晰易读。危险废物标签要提供下列说明：“危险废物”字样、危险废物产生单位名称、联系人、联系电话、主要化学成分或商品名称、危险类别、安全措施等。</w:t>
            </w:r>
          </w:p>
          <w:p w14:paraId="61DC44A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olor w:val="auto"/>
                <w:szCs w:val="21"/>
                <w:highlight w:val="none"/>
              </w:rPr>
            </w:pPr>
            <w:r>
              <w:rPr>
                <w:rFonts w:hint="eastAsia" w:ascii="Times New Roman" w:hAnsi="Times New Roman" w:eastAsia="宋体" w:cs="Times New Roman"/>
                <w:color w:val="auto"/>
                <w:highlight w:val="none"/>
                <w:lang w:eastAsia="zh-CN"/>
              </w:rPr>
              <w:t>⑥加强安全管理，制定突发环境事件应急预案，设置应急领导小组，按照应急预案要求配备应急设施和资源，落实风险防范和应急处置措施。</w:t>
            </w:r>
          </w:p>
        </w:tc>
      </w:tr>
      <w:tr w14:paraId="16F56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1318" w:type="dxa"/>
            <w:noWrap w:val="0"/>
            <w:vAlign w:val="center"/>
          </w:tcPr>
          <w:p w14:paraId="75A5F958">
            <w:pPr>
              <w:jc w:val="center"/>
              <w:rPr>
                <w:rFonts w:ascii="Times New Roman" w:hAnsi="Times New Roman"/>
                <w:b/>
                <w:bCs/>
                <w:color w:val="auto"/>
                <w:spacing w:val="-8"/>
                <w:szCs w:val="21"/>
                <w:highlight w:val="none"/>
              </w:rPr>
            </w:pPr>
            <w:r>
              <w:rPr>
                <w:rFonts w:ascii="Times New Roman" w:hAnsi="Times New Roman"/>
                <w:b/>
                <w:bCs/>
                <w:color w:val="auto"/>
                <w:spacing w:val="-8"/>
                <w:szCs w:val="21"/>
                <w:highlight w:val="none"/>
              </w:rPr>
              <w:t>其他环境管理要求</w:t>
            </w:r>
          </w:p>
        </w:tc>
        <w:tc>
          <w:tcPr>
            <w:tcW w:w="7482" w:type="dxa"/>
            <w:gridSpan w:val="4"/>
            <w:noWrap w:val="0"/>
            <w:vAlign w:val="center"/>
          </w:tcPr>
          <w:p w14:paraId="55797966">
            <w:pPr>
              <w:adjustRightInd w:val="0"/>
              <w:snapToGrid w:val="0"/>
              <w:spacing w:line="360" w:lineRule="auto"/>
              <w:ind w:firstLine="422" w:firstLineChars="200"/>
              <w:jc w:val="left"/>
              <w:rPr>
                <w:rFonts w:ascii="Times New Roman" w:hAnsi="Times New Roman"/>
                <w:b/>
                <w:bCs/>
                <w:color w:val="auto"/>
                <w:highlight w:val="none"/>
              </w:rPr>
            </w:pPr>
            <w:r>
              <w:rPr>
                <w:rFonts w:hint="eastAsia" w:ascii="Times New Roman" w:hAnsi="Times New Roman"/>
                <w:b/>
                <w:bCs/>
                <w:color w:val="auto"/>
                <w:highlight w:val="none"/>
                <w:lang w:val="en-US" w:eastAsia="zh-CN"/>
              </w:rPr>
              <w:t>1</w:t>
            </w:r>
            <w:r>
              <w:rPr>
                <w:rFonts w:ascii="Times New Roman" w:hAnsi="Times New Roman"/>
                <w:b/>
                <w:bCs/>
                <w:color w:val="auto"/>
                <w:highlight w:val="none"/>
              </w:rPr>
              <w:t>、营运期环境管理</w:t>
            </w:r>
          </w:p>
          <w:p w14:paraId="18176FD3">
            <w:pPr>
              <w:adjustRightInd w:val="0"/>
              <w:snapToGri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项目投入生产营运后，环境管理主要职责为：</w:t>
            </w:r>
          </w:p>
          <w:p w14:paraId="3567CB73">
            <w:pPr>
              <w:adjustRightInd w:val="0"/>
              <w:snapToGri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（1）遵守国家、地方的有关法律法规以及其他相关规定，结合本项目的生产工艺及污染特征，制定切实可行的环保管理制度，并落实到各部门、各岗位，使环保工作有章可循。</w:t>
            </w:r>
          </w:p>
          <w:p w14:paraId="55479231">
            <w:pPr>
              <w:adjustRightInd w:val="0"/>
              <w:snapToGri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（2）建立健全项目运行期的污染源档案，环保设施运行情况档案，按月（季）统计污染物产生、处理及排放情况并编制好有关数据报表并存档。</w:t>
            </w:r>
          </w:p>
          <w:p w14:paraId="12B80DC4">
            <w:pPr>
              <w:adjustRightInd w:val="0"/>
              <w:snapToGri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（3）对环保设施、设备进行日常的监控和维护工作，并做好记录存档。</w:t>
            </w:r>
          </w:p>
          <w:p w14:paraId="09088DBB">
            <w:pPr>
              <w:adjustRightInd w:val="0"/>
              <w:snapToGri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（4）做好环境保护、安全生产宣传及相关技术培训工作，</w:t>
            </w:r>
            <w:r>
              <w:rPr>
                <w:rFonts w:hint="eastAsia" w:ascii="Times New Roman" w:hAnsi="Times New Roman"/>
                <w:color w:val="auto"/>
                <w:highlight w:val="none"/>
              </w:rPr>
              <w:t>增强</w:t>
            </w:r>
            <w:r>
              <w:rPr>
                <w:rFonts w:ascii="Times New Roman" w:hAnsi="Times New Roman"/>
                <w:color w:val="auto"/>
                <w:highlight w:val="none"/>
              </w:rPr>
              <w:t>全员的环境保护意识，加强环境法治观念。</w:t>
            </w:r>
          </w:p>
          <w:p w14:paraId="54298223">
            <w:pPr>
              <w:adjustRightInd w:val="0"/>
              <w:snapToGri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lang w:val="en-US" w:eastAsia="zh-CN"/>
              </w:rPr>
              <w:t>5</w:t>
            </w:r>
            <w:r>
              <w:rPr>
                <w:rFonts w:ascii="Times New Roman" w:hAnsi="Times New Roman"/>
                <w:color w:val="auto"/>
                <w:highlight w:val="none"/>
              </w:rPr>
              <w:t>）接受并配合地方环境保护主管部门对厂内废气、噪声等污染源排放情况及固废处置情况进行监督，并将检查结果及时反馈给上级主管部门及相关生产操作系统，制定环境保护规划和目标，协调各部门的关系，调查处理企业内外污染事故与纠纷。</w:t>
            </w:r>
          </w:p>
          <w:p w14:paraId="6924EE13">
            <w:pPr>
              <w:adjustRightInd w:val="0"/>
              <w:snapToGrid w:val="0"/>
              <w:spacing w:line="360" w:lineRule="auto"/>
              <w:ind w:firstLine="422" w:firstLineChars="200"/>
              <w:jc w:val="left"/>
              <w:rPr>
                <w:rFonts w:ascii="Times New Roman" w:hAnsi="Times New Roman"/>
                <w:b/>
                <w:bCs/>
                <w:color w:val="auto"/>
                <w:highlight w:val="none"/>
              </w:rPr>
            </w:pPr>
            <w:r>
              <w:rPr>
                <w:rFonts w:hint="eastAsia" w:ascii="Times New Roman" w:hAnsi="Times New Roman"/>
                <w:b/>
                <w:bCs/>
                <w:color w:val="auto"/>
                <w:highlight w:val="none"/>
                <w:lang w:val="en-US" w:eastAsia="zh-CN"/>
              </w:rPr>
              <w:t>2</w:t>
            </w:r>
            <w:r>
              <w:rPr>
                <w:rFonts w:ascii="Times New Roman" w:hAnsi="Times New Roman"/>
                <w:b/>
                <w:bCs/>
                <w:color w:val="auto"/>
                <w:highlight w:val="none"/>
              </w:rPr>
              <w:t>、环境监测计划</w:t>
            </w:r>
          </w:p>
          <w:p w14:paraId="36541BAB">
            <w:pPr>
              <w:adjustRightInd w:val="0"/>
              <w:snapToGri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环境监测是环境管理最重要的手段之一，通过环境监测，</w:t>
            </w:r>
            <w:r>
              <w:rPr>
                <w:rFonts w:hint="eastAsia" w:ascii="Times New Roman" w:hAnsi="Times New Roman"/>
                <w:color w:val="auto"/>
                <w:highlight w:val="none"/>
                <w:lang w:eastAsia="zh-CN"/>
              </w:rPr>
              <w:t>可以</w:t>
            </w:r>
            <w:r>
              <w:rPr>
                <w:rFonts w:ascii="Times New Roman" w:hAnsi="Times New Roman"/>
                <w:color w:val="auto"/>
                <w:highlight w:val="none"/>
              </w:rPr>
              <w:t>正确、迅速完整地为建设项目日常环境管理提供必要依据。本项目的监测计划应包括两方面：即竣工验收监测和运营期的常规监测计划。</w:t>
            </w:r>
          </w:p>
          <w:p w14:paraId="11D68948">
            <w:pPr>
              <w:adjustRightInd w:val="0"/>
              <w:snapToGri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（1）竣工验收监测</w:t>
            </w:r>
          </w:p>
          <w:p w14:paraId="442E4680">
            <w:pPr>
              <w:adjustRightInd w:val="0"/>
              <w:snapToGri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项目获得环评批复并在项目试运营期内，按环保部现行要求实施竣工验收。建设项目竣工环境保护验收范围包括：①与建设项目有关的各项环境保护设施；②环境影响报告表和有关项目设计文件规定应采取的其他各项环境保护措施。</w:t>
            </w:r>
          </w:p>
          <w:p w14:paraId="76587D04">
            <w:pPr>
              <w:adjustRightInd w:val="0"/>
              <w:snapToGri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（2）运营期的常规监测</w:t>
            </w:r>
          </w:p>
          <w:p w14:paraId="799487DC">
            <w:pPr>
              <w:adjustRightInd w:val="0"/>
              <w:snapToGrid w:val="0"/>
              <w:spacing w:line="360" w:lineRule="auto"/>
              <w:ind w:firstLine="420" w:firstLineChars="200"/>
              <w:jc w:val="left"/>
              <w:rPr>
                <w:rFonts w:hint="eastAsia" w:ascii="Times New Roman" w:hAnsi="Times New Roman"/>
                <w:color w:val="auto"/>
                <w:highlight w:val="none"/>
              </w:rPr>
            </w:pPr>
            <w:r>
              <w:rPr>
                <w:rFonts w:ascii="Times New Roman" w:hAnsi="Times New Roman" w:eastAsia="宋体" w:cs="Times New Roman"/>
                <w:color w:val="auto"/>
                <w:highlight w:val="none"/>
              </w:rPr>
              <w:t>企业在生产期间应定期委托有资格的环境监测单位进行污染源监督性监测，为环境管理提供依据。</w:t>
            </w:r>
            <w:r>
              <w:rPr>
                <w:rFonts w:hint="eastAsia" w:ascii="Times New Roman" w:hAnsi="Times New Roman" w:eastAsia="宋体" w:cs="Times New Roman"/>
                <w:color w:val="auto"/>
                <w:highlight w:val="none"/>
              </w:rPr>
              <w:t>参照《排污许可证申请与核发技术规范总则》（H</w:t>
            </w:r>
            <w:r>
              <w:rPr>
                <w:rFonts w:ascii="Times New Roman" w:hAnsi="Times New Roman" w:eastAsia="宋体" w:cs="Times New Roman"/>
                <w:color w:val="auto"/>
                <w:highlight w:val="none"/>
              </w:rPr>
              <w:t>J942-2018</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要求及</w:t>
            </w:r>
            <w:r>
              <w:rPr>
                <w:rFonts w:hint="eastAsia" w:ascii="Times New Roman" w:hAnsi="Times New Roman" w:cs="Times New Roman"/>
                <w:color w:val="auto"/>
                <w:highlight w:val="none"/>
                <w:lang w:eastAsia="zh-CN"/>
              </w:rPr>
              <w:t>相关</w:t>
            </w:r>
            <w:r>
              <w:rPr>
                <w:rFonts w:ascii="Times New Roman" w:hAnsi="Times New Roman" w:eastAsia="宋体" w:cs="Times New Roman"/>
                <w:color w:val="auto"/>
                <w:highlight w:val="none"/>
              </w:rPr>
              <w:t>规定，监测要求见下表</w:t>
            </w:r>
            <w:r>
              <w:rPr>
                <w:rFonts w:hint="eastAsia" w:ascii="Times New Roman" w:hAnsi="Times New Roman"/>
                <w:color w:val="auto"/>
                <w:highlight w:val="none"/>
              </w:rPr>
              <w:t>。</w:t>
            </w:r>
          </w:p>
          <w:p w14:paraId="0B79F5EE">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表5.1-1项目监测方案</w:t>
            </w:r>
          </w:p>
          <w:tbl>
            <w:tblPr>
              <w:tblStyle w:val="35"/>
              <w:tblW w:w="498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56"/>
              <w:gridCol w:w="1386"/>
              <w:gridCol w:w="1180"/>
              <w:gridCol w:w="2922"/>
            </w:tblGrid>
            <w:tr w14:paraId="53901A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11" w:type="pct"/>
                  <w:shd w:val="clear" w:color="auto" w:fill="D9D9D9"/>
                  <w:noWrap w:val="0"/>
                  <w:vAlign w:val="center"/>
                </w:tcPr>
                <w:p w14:paraId="4F261FC1">
                  <w:pPr>
                    <w:snapToGrid w:val="0"/>
                    <w:jc w:val="center"/>
                    <w:rPr>
                      <w:rFonts w:ascii="Times New Roman" w:hAnsi="Times New Roman" w:eastAsia="宋体"/>
                      <w:color w:val="auto"/>
                      <w:highlight w:val="none"/>
                    </w:rPr>
                  </w:pPr>
                  <w:r>
                    <w:rPr>
                      <w:rFonts w:ascii="Times New Roman" w:hAnsi="Times New Roman" w:eastAsia="宋体"/>
                      <w:color w:val="auto"/>
                      <w:highlight w:val="none"/>
                    </w:rPr>
                    <w:t>监测点位</w:t>
                  </w:r>
                </w:p>
              </w:tc>
              <w:tc>
                <w:tcPr>
                  <w:tcW w:w="956" w:type="pct"/>
                  <w:shd w:val="clear" w:color="auto" w:fill="D9D9D9"/>
                  <w:noWrap w:val="0"/>
                  <w:vAlign w:val="center"/>
                </w:tcPr>
                <w:p w14:paraId="52F2AD30">
                  <w:pPr>
                    <w:snapToGrid w:val="0"/>
                    <w:jc w:val="center"/>
                    <w:rPr>
                      <w:rFonts w:ascii="Times New Roman" w:hAnsi="Times New Roman" w:eastAsia="宋体"/>
                      <w:color w:val="auto"/>
                      <w:highlight w:val="none"/>
                    </w:rPr>
                  </w:pPr>
                  <w:r>
                    <w:rPr>
                      <w:rFonts w:ascii="Times New Roman" w:hAnsi="Times New Roman" w:eastAsia="宋体"/>
                      <w:color w:val="auto"/>
                      <w:highlight w:val="none"/>
                    </w:rPr>
                    <w:t>监测指标</w:t>
                  </w:r>
                </w:p>
              </w:tc>
              <w:tc>
                <w:tcPr>
                  <w:tcW w:w="814" w:type="pct"/>
                  <w:shd w:val="clear" w:color="auto" w:fill="D9D9D9"/>
                  <w:noWrap w:val="0"/>
                  <w:vAlign w:val="center"/>
                </w:tcPr>
                <w:p w14:paraId="00DF6D00">
                  <w:pPr>
                    <w:snapToGrid w:val="0"/>
                    <w:jc w:val="center"/>
                    <w:rPr>
                      <w:rFonts w:ascii="Times New Roman" w:hAnsi="Times New Roman" w:eastAsia="宋体"/>
                      <w:color w:val="auto"/>
                      <w:highlight w:val="none"/>
                    </w:rPr>
                  </w:pPr>
                  <w:r>
                    <w:rPr>
                      <w:rFonts w:ascii="Times New Roman" w:hAnsi="Times New Roman" w:eastAsia="宋体"/>
                      <w:color w:val="auto"/>
                      <w:highlight w:val="none"/>
                    </w:rPr>
                    <w:t>监测频次</w:t>
                  </w:r>
                </w:p>
              </w:tc>
              <w:tc>
                <w:tcPr>
                  <w:tcW w:w="2017" w:type="pct"/>
                  <w:shd w:val="clear" w:color="auto" w:fill="D9D9D9"/>
                  <w:noWrap w:val="0"/>
                  <w:vAlign w:val="center"/>
                </w:tcPr>
                <w:p w14:paraId="5068E8DD">
                  <w:pPr>
                    <w:snapToGrid w:val="0"/>
                    <w:jc w:val="center"/>
                    <w:rPr>
                      <w:rFonts w:ascii="Times New Roman" w:hAnsi="Times New Roman" w:eastAsia="宋体"/>
                      <w:color w:val="auto"/>
                      <w:highlight w:val="none"/>
                    </w:rPr>
                  </w:pPr>
                  <w:r>
                    <w:rPr>
                      <w:rFonts w:ascii="Times New Roman" w:hAnsi="Times New Roman" w:eastAsia="宋体"/>
                      <w:color w:val="auto"/>
                      <w:highlight w:val="none"/>
                    </w:rPr>
                    <w:t>执行排放标准</w:t>
                  </w:r>
                </w:p>
              </w:tc>
            </w:tr>
            <w:tr w14:paraId="16EB6E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8" w:hRule="atLeast"/>
                <w:jc w:val="center"/>
              </w:trPr>
              <w:tc>
                <w:tcPr>
                  <w:tcW w:w="1211" w:type="pct"/>
                  <w:noWrap w:val="0"/>
                  <w:vAlign w:val="center"/>
                </w:tcPr>
                <w:p w14:paraId="495615DF">
                  <w:pPr>
                    <w:snapToGrid w:val="0"/>
                    <w:jc w:val="center"/>
                    <w:rPr>
                      <w:rFonts w:hint="eastAsia" w:ascii="Times New Roman" w:hAnsi="Times New Roman" w:eastAsia="宋体"/>
                      <w:color w:val="auto"/>
                      <w:highlight w:val="none"/>
                      <w:lang w:val="en-US" w:eastAsia="zh-CN"/>
                    </w:rPr>
                  </w:pPr>
                  <w:r>
                    <w:rPr>
                      <w:rFonts w:hint="eastAsia" w:ascii="Times New Roman" w:hAnsi="Times New Roman" w:eastAsia="宋体"/>
                      <w:bCs/>
                      <w:color w:val="auto"/>
                      <w:sz w:val="21"/>
                      <w:szCs w:val="21"/>
                      <w:highlight w:val="none"/>
                      <w:lang w:val="en-US" w:eastAsia="zh-CN"/>
                    </w:rPr>
                    <w:t>DA001、DA002</w:t>
                  </w:r>
                  <w:r>
                    <w:rPr>
                      <w:rFonts w:hint="eastAsia" w:ascii="Times New Roman" w:hAnsi="Times New Roman"/>
                      <w:bCs/>
                      <w:color w:val="auto"/>
                      <w:sz w:val="21"/>
                      <w:szCs w:val="21"/>
                      <w:highlight w:val="none"/>
                      <w:lang w:val="en-US" w:eastAsia="zh-CN"/>
                    </w:rPr>
                    <w:t>、DA003</w:t>
                  </w:r>
                </w:p>
              </w:tc>
              <w:tc>
                <w:tcPr>
                  <w:tcW w:w="956" w:type="pct"/>
                  <w:noWrap w:val="0"/>
                  <w:vAlign w:val="center"/>
                </w:tcPr>
                <w:p w14:paraId="27E07C6E">
                  <w:pPr>
                    <w:snapToGrid w:val="0"/>
                    <w:jc w:val="center"/>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颗粒物</w:t>
                  </w:r>
                </w:p>
              </w:tc>
              <w:tc>
                <w:tcPr>
                  <w:tcW w:w="814" w:type="pct"/>
                  <w:tcBorders>
                    <w:bottom w:val="single" w:color="auto" w:sz="4" w:space="0"/>
                  </w:tcBorders>
                  <w:noWrap w:val="0"/>
                  <w:vAlign w:val="center"/>
                </w:tcPr>
                <w:p w14:paraId="1C14F0AF">
                  <w:pPr>
                    <w:snapToGrid w:val="0"/>
                    <w:jc w:val="center"/>
                    <w:rPr>
                      <w:rFonts w:hint="eastAsia" w:ascii="Times New Roman" w:hAnsi="Times New Roman" w:eastAsia="宋体"/>
                      <w:color w:val="auto"/>
                      <w:highlight w:val="none"/>
                    </w:rPr>
                  </w:pPr>
                  <w:r>
                    <w:rPr>
                      <w:rFonts w:ascii="Times New Roman" w:hAnsi="Times New Roman" w:eastAsia="宋体"/>
                      <w:bCs/>
                      <w:color w:val="auto"/>
                      <w:sz w:val="21"/>
                      <w:szCs w:val="21"/>
                      <w:highlight w:val="none"/>
                    </w:rPr>
                    <w:t>1次/</w:t>
                  </w:r>
                  <w:r>
                    <w:rPr>
                      <w:rFonts w:hint="eastAsia" w:ascii="Times New Roman" w:hAnsi="Times New Roman" w:eastAsia="宋体"/>
                      <w:bCs/>
                      <w:color w:val="auto"/>
                      <w:sz w:val="21"/>
                      <w:szCs w:val="21"/>
                      <w:highlight w:val="none"/>
                      <w:lang w:val="en-US" w:eastAsia="zh-CN"/>
                    </w:rPr>
                    <w:t>2年</w:t>
                  </w:r>
                </w:p>
              </w:tc>
              <w:tc>
                <w:tcPr>
                  <w:tcW w:w="2017" w:type="pct"/>
                  <w:tcBorders>
                    <w:bottom w:val="single" w:color="auto" w:sz="4" w:space="0"/>
                  </w:tcBorders>
                  <w:noWrap w:val="0"/>
                  <w:vAlign w:val="center"/>
                </w:tcPr>
                <w:p w14:paraId="1B6F4BD6">
                  <w:pPr>
                    <w:snapToGrid w:val="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lang w:val="en-US" w:eastAsia="zh-CN"/>
                    </w:rPr>
                    <w:t>《铁矿采选工业污染物排放标准》（</w:t>
                  </w:r>
                  <w:r>
                    <w:rPr>
                      <w:rFonts w:hint="default" w:ascii="Times New Roman" w:hAnsi="Times New Roman" w:eastAsia="宋体" w:cs="Times New Roman"/>
                      <w:color w:val="auto"/>
                      <w:sz w:val="21"/>
                      <w:highlight w:val="none"/>
                      <w:lang w:val="en-US" w:eastAsia="zh-CN"/>
                    </w:rPr>
                    <w:t>GB</w:t>
                  </w:r>
                  <w:r>
                    <w:rPr>
                      <w:rFonts w:hint="eastAsia" w:ascii="Times New Roman" w:hAnsi="Times New Roman" w:eastAsia="宋体" w:cs="Times New Roman"/>
                      <w:color w:val="auto"/>
                      <w:sz w:val="21"/>
                      <w:highlight w:val="none"/>
                      <w:lang w:val="en-US" w:eastAsia="zh-CN"/>
                    </w:rPr>
                    <w:t>28661</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2021</w:t>
                  </w:r>
                  <w:r>
                    <w:rPr>
                      <w:rFonts w:hint="default" w:ascii="Times New Roman" w:hAnsi="Times New Roman" w:eastAsia="宋体" w:cs="Times New Roman"/>
                      <w:color w:val="auto"/>
                      <w:sz w:val="21"/>
                      <w:highlight w:val="none"/>
                      <w:lang w:val="en-US" w:eastAsia="zh-CN"/>
                    </w:rPr>
                    <w:t>）</w:t>
                  </w:r>
                  <w:r>
                    <w:rPr>
                      <w:rFonts w:ascii="Times New Roman" w:hAnsi="Times New Roman" w:eastAsia="宋体"/>
                      <w:color w:val="auto"/>
                      <w:sz w:val="21"/>
                      <w:highlight w:val="none"/>
                    </w:rPr>
                    <w:t>表</w:t>
                  </w:r>
                  <w:r>
                    <w:rPr>
                      <w:rFonts w:hint="eastAsia" w:ascii="Times New Roman" w:hAnsi="Times New Roman" w:eastAsia="宋体"/>
                      <w:color w:val="auto"/>
                      <w:sz w:val="21"/>
                      <w:highlight w:val="none"/>
                      <w:lang w:val="en-US" w:eastAsia="zh-CN"/>
                    </w:rPr>
                    <w:t>5</w:t>
                  </w:r>
                  <w:r>
                    <w:rPr>
                      <w:rFonts w:ascii="Times New Roman" w:hAnsi="Times New Roman" w:eastAsia="宋体"/>
                      <w:color w:val="auto"/>
                      <w:sz w:val="21"/>
                      <w:highlight w:val="none"/>
                    </w:rPr>
                    <w:t>标准</w:t>
                  </w:r>
                  <w:r>
                    <w:rPr>
                      <w:rFonts w:hint="eastAsia" w:ascii="Times New Roman" w:hAnsi="Times New Roman" w:eastAsia="宋体"/>
                      <w:color w:val="auto"/>
                      <w:sz w:val="21"/>
                      <w:highlight w:val="none"/>
                    </w:rPr>
                    <w:t>（颗粒物≤</w:t>
                  </w:r>
                  <w:r>
                    <w:rPr>
                      <w:rFonts w:hint="eastAsia" w:ascii="Times New Roman" w:hAnsi="Times New Roman" w:eastAsia="宋体"/>
                      <w:color w:val="auto"/>
                      <w:sz w:val="21"/>
                      <w:highlight w:val="none"/>
                      <w:lang w:val="en-US" w:eastAsia="zh-CN"/>
                    </w:rPr>
                    <w:t>20</w:t>
                  </w:r>
                  <w:r>
                    <w:rPr>
                      <w:rFonts w:ascii="Times New Roman" w:hAnsi="Times New Roman" w:eastAsia="宋体"/>
                      <w:color w:val="auto"/>
                      <w:sz w:val="21"/>
                      <w:highlight w:val="none"/>
                    </w:rPr>
                    <w:t>mg/m</w:t>
                  </w:r>
                  <w:r>
                    <w:rPr>
                      <w:rFonts w:ascii="Times New Roman" w:hAnsi="Times New Roman" w:eastAsia="宋体"/>
                      <w:color w:val="auto"/>
                      <w:sz w:val="21"/>
                      <w:highlight w:val="none"/>
                      <w:vertAlign w:val="superscript"/>
                    </w:rPr>
                    <w:t>3</w:t>
                  </w:r>
                  <w:r>
                    <w:rPr>
                      <w:rFonts w:hint="eastAsia" w:ascii="Times New Roman" w:hAnsi="Times New Roman" w:eastAsia="宋体"/>
                      <w:color w:val="auto"/>
                      <w:sz w:val="21"/>
                      <w:highlight w:val="none"/>
                    </w:rPr>
                    <w:t>）</w:t>
                  </w:r>
                </w:p>
              </w:tc>
            </w:tr>
            <w:tr w14:paraId="0419F5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8" w:hRule="atLeast"/>
                <w:jc w:val="center"/>
              </w:trPr>
              <w:tc>
                <w:tcPr>
                  <w:tcW w:w="1211" w:type="pct"/>
                  <w:noWrap w:val="0"/>
                  <w:vAlign w:val="center"/>
                </w:tcPr>
                <w:p w14:paraId="6AAB8E83">
                  <w:pPr>
                    <w:snapToGrid w:val="0"/>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厂界四周</w:t>
                  </w:r>
                </w:p>
              </w:tc>
              <w:tc>
                <w:tcPr>
                  <w:tcW w:w="956" w:type="pct"/>
                  <w:noWrap w:val="0"/>
                  <w:vAlign w:val="center"/>
                </w:tcPr>
                <w:p w14:paraId="13745270">
                  <w:pPr>
                    <w:snapToGrid w:val="0"/>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颗粒物</w:t>
                  </w:r>
                </w:p>
              </w:tc>
              <w:tc>
                <w:tcPr>
                  <w:tcW w:w="814" w:type="pct"/>
                  <w:tcBorders>
                    <w:top w:val="single" w:color="auto" w:sz="4" w:space="0"/>
                  </w:tcBorders>
                  <w:noWrap w:val="0"/>
                  <w:vAlign w:val="center"/>
                </w:tcPr>
                <w:p w14:paraId="2386AB83">
                  <w:pPr>
                    <w:snapToGrid w:val="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1次/</w:t>
                  </w:r>
                  <w:r>
                    <w:rPr>
                      <w:rFonts w:hint="eastAsia" w:ascii="Times New Roman" w:hAnsi="Times New Roman" w:eastAsia="宋体"/>
                      <w:color w:val="auto"/>
                      <w:highlight w:val="none"/>
                      <w:lang w:val="en-US" w:eastAsia="zh-CN"/>
                    </w:rPr>
                    <w:t>季度</w:t>
                  </w:r>
                </w:p>
              </w:tc>
              <w:tc>
                <w:tcPr>
                  <w:tcW w:w="2017" w:type="pct"/>
                  <w:tcBorders>
                    <w:top w:val="single" w:color="auto" w:sz="4" w:space="0"/>
                  </w:tcBorders>
                  <w:noWrap w:val="0"/>
                  <w:vAlign w:val="center"/>
                </w:tcPr>
                <w:p w14:paraId="2A819F3C">
                  <w:pPr>
                    <w:snapToGrid w:val="0"/>
                    <w:jc w:val="center"/>
                    <w:rPr>
                      <w:rFonts w:ascii="Times New Roman" w:hAnsi="Times New Roman" w:eastAsia="宋体"/>
                      <w:color w:val="auto"/>
                      <w:highlight w:val="none"/>
                    </w:rPr>
                  </w:pPr>
                  <w:r>
                    <w:rPr>
                      <w:rFonts w:hint="eastAsia" w:ascii="Times New Roman" w:hAnsi="Times New Roman" w:eastAsia="宋体" w:cs="Times New Roman"/>
                      <w:color w:val="auto"/>
                      <w:sz w:val="21"/>
                      <w:highlight w:val="none"/>
                      <w:lang w:val="en-US" w:eastAsia="zh-CN"/>
                    </w:rPr>
                    <w:t>《铁矿采选工业污染物排放标准》（</w:t>
                  </w:r>
                  <w:r>
                    <w:rPr>
                      <w:rFonts w:hint="default" w:ascii="Times New Roman" w:hAnsi="Times New Roman" w:eastAsia="宋体" w:cs="Times New Roman"/>
                      <w:color w:val="auto"/>
                      <w:sz w:val="21"/>
                      <w:highlight w:val="none"/>
                      <w:lang w:val="en-US" w:eastAsia="zh-CN"/>
                    </w:rPr>
                    <w:t>GB</w:t>
                  </w:r>
                  <w:r>
                    <w:rPr>
                      <w:rFonts w:hint="eastAsia" w:ascii="Times New Roman" w:hAnsi="Times New Roman" w:eastAsia="宋体" w:cs="Times New Roman"/>
                      <w:color w:val="auto"/>
                      <w:sz w:val="21"/>
                      <w:highlight w:val="none"/>
                      <w:lang w:val="en-US" w:eastAsia="zh-CN"/>
                    </w:rPr>
                    <w:t>28661</w:t>
                  </w:r>
                  <w:r>
                    <w:rPr>
                      <w:rFonts w:hint="default" w:ascii="Times New Roman" w:hAnsi="Times New Roman" w:eastAsia="宋体" w:cs="Times New Roman"/>
                      <w:color w:val="auto"/>
                      <w:sz w:val="21"/>
                      <w:highlight w:val="none"/>
                      <w:lang w:val="en-US" w:eastAsia="zh-CN"/>
                    </w:rPr>
                    <w:t>-</w:t>
                  </w:r>
                  <w:r>
                    <w:rPr>
                      <w:rFonts w:hint="eastAsia" w:ascii="Times New Roman" w:hAnsi="Times New Roman" w:eastAsia="宋体" w:cs="Times New Roman"/>
                      <w:color w:val="auto"/>
                      <w:sz w:val="21"/>
                      <w:highlight w:val="none"/>
                      <w:lang w:val="en-US" w:eastAsia="zh-CN"/>
                    </w:rPr>
                    <w:t>2021</w:t>
                  </w:r>
                  <w:r>
                    <w:rPr>
                      <w:rFonts w:hint="default" w:ascii="Times New Roman" w:hAnsi="Times New Roman" w:eastAsia="宋体" w:cs="Times New Roman"/>
                      <w:color w:val="auto"/>
                      <w:sz w:val="21"/>
                      <w:highlight w:val="none"/>
                      <w:lang w:val="en-US" w:eastAsia="zh-CN"/>
                    </w:rPr>
                    <w:t>）</w:t>
                  </w:r>
                  <w:r>
                    <w:rPr>
                      <w:rFonts w:ascii="Times New Roman" w:hAnsi="Times New Roman" w:eastAsia="宋体"/>
                      <w:color w:val="auto"/>
                      <w:sz w:val="21"/>
                      <w:highlight w:val="none"/>
                    </w:rPr>
                    <w:t>表</w:t>
                  </w:r>
                  <w:r>
                    <w:rPr>
                      <w:rFonts w:hint="eastAsia" w:ascii="Times New Roman" w:hAnsi="Times New Roman" w:eastAsia="宋体"/>
                      <w:color w:val="auto"/>
                      <w:sz w:val="21"/>
                      <w:highlight w:val="none"/>
                      <w:lang w:val="en-US" w:eastAsia="zh-CN"/>
                    </w:rPr>
                    <w:t>7</w:t>
                  </w:r>
                  <w:r>
                    <w:rPr>
                      <w:rFonts w:ascii="Times New Roman" w:hAnsi="Times New Roman" w:eastAsia="宋体"/>
                      <w:color w:val="auto"/>
                      <w:sz w:val="21"/>
                      <w:highlight w:val="none"/>
                    </w:rPr>
                    <w:t>标准</w:t>
                  </w:r>
                  <w:r>
                    <w:rPr>
                      <w:rFonts w:hint="eastAsia" w:ascii="Times New Roman" w:hAnsi="Times New Roman" w:eastAsia="宋体"/>
                      <w:color w:val="auto"/>
                      <w:sz w:val="21"/>
                      <w:highlight w:val="none"/>
                    </w:rPr>
                    <w:t>中无组织排放监控浓度限值（≤</w:t>
                  </w:r>
                  <w:r>
                    <w:rPr>
                      <w:rFonts w:ascii="Times New Roman" w:hAnsi="Times New Roman" w:eastAsia="宋体"/>
                      <w:color w:val="auto"/>
                      <w:sz w:val="21"/>
                      <w:highlight w:val="none"/>
                    </w:rPr>
                    <w:t>1.0</w:t>
                  </w:r>
                  <w:r>
                    <w:rPr>
                      <w:rFonts w:hint="eastAsia" w:ascii="Times New Roman" w:hAnsi="Times New Roman" w:eastAsia="宋体"/>
                      <w:color w:val="auto"/>
                      <w:sz w:val="21"/>
                      <w:highlight w:val="none"/>
                    </w:rPr>
                    <w:t>mg</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hint="eastAsia" w:ascii="Times New Roman" w:hAnsi="Times New Roman" w:eastAsia="宋体"/>
                      <w:color w:val="auto"/>
                      <w:sz w:val="21"/>
                      <w:highlight w:val="none"/>
                    </w:rPr>
                    <w:t>）</w:t>
                  </w:r>
                </w:p>
              </w:tc>
            </w:tr>
            <w:tr w14:paraId="277B64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8" w:hRule="atLeast"/>
                <w:jc w:val="center"/>
              </w:trPr>
              <w:tc>
                <w:tcPr>
                  <w:tcW w:w="1211" w:type="pct"/>
                  <w:noWrap w:val="0"/>
                  <w:vAlign w:val="center"/>
                </w:tcPr>
                <w:p w14:paraId="685845E1">
                  <w:pPr>
                    <w:snapToGrid w:val="0"/>
                    <w:jc w:val="center"/>
                    <w:rPr>
                      <w:rFonts w:ascii="Times New Roman" w:hAnsi="Times New Roman" w:eastAsia="宋体"/>
                      <w:color w:val="auto"/>
                      <w:highlight w:val="none"/>
                    </w:rPr>
                  </w:pPr>
                  <w:r>
                    <w:rPr>
                      <w:rFonts w:ascii="Times New Roman" w:hAnsi="Times New Roman" w:eastAsia="宋体"/>
                      <w:color w:val="auto"/>
                      <w:highlight w:val="none"/>
                    </w:rPr>
                    <w:t>厂界四周外1m</w:t>
                  </w:r>
                </w:p>
              </w:tc>
              <w:tc>
                <w:tcPr>
                  <w:tcW w:w="956" w:type="pct"/>
                  <w:noWrap w:val="0"/>
                  <w:vAlign w:val="center"/>
                </w:tcPr>
                <w:p w14:paraId="51CE59B4">
                  <w:pPr>
                    <w:snapToGrid w:val="0"/>
                    <w:jc w:val="center"/>
                    <w:rPr>
                      <w:rFonts w:ascii="Times New Roman" w:hAnsi="Times New Roman" w:eastAsia="宋体"/>
                      <w:color w:val="auto"/>
                      <w:highlight w:val="none"/>
                    </w:rPr>
                  </w:pPr>
                  <w:r>
                    <w:rPr>
                      <w:rFonts w:ascii="Times New Roman" w:hAnsi="Times New Roman" w:eastAsia="宋体"/>
                      <w:color w:val="auto"/>
                      <w:highlight w:val="none"/>
                    </w:rPr>
                    <w:t>噪声</w:t>
                  </w:r>
                </w:p>
              </w:tc>
              <w:tc>
                <w:tcPr>
                  <w:tcW w:w="814" w:type="pct"/>
                  <w:noWrap w:val="0"/>
                  <w:vAlign w:val="center"/>
                </w:tcPr>
                <w:p w14:paraId="56C19847">
                  <w:pPr>
                    <w:snapToGrid w:val="0"/>
                    <w:jc w:val="center"/>
                    <w:rPr>
                      <w:rFonts w:ascii="Times New Roman" w:hAnsi="Times New Roman" w:eastAsia="宋体"/>
                      <w:color w:val="auto"/>
                      <w:highlight w:val="none"/>
                    </w:rPr>
                  </w:pPr>
                  <w:r>
                    <w:rPr>
                      <w:rFonts w:ascii="Times New Roman" w:hAnsi="Times New Roman" w:eastAsia="宋体"/>
                      <w:color w:val="auto"/>
                      <w:highlight w:val="none"/>
                    </w:rPr>
                    <w:t>1次/季度</w:t>
                  </w:r>
                </w:p>
              </w:tc>
              <w:tc>
                <w:tcPr>
                  <w:tcW w:w="2017" w:type="pct"/>
                  <w:noWrap w:val="0"/>
                  <w:vAlign w:val="center"/>
                </w:tcPr>
                <w:p w14:paraId="29F62366">
                  <w:pPr>
                    <w:snapToGrid w:val="0"/>
                    <w:jc w:val="center"/>
                    <w:rPr>
                      <w:rFonts w:ascii="Times New Roman" w:hAnsi="Times New Roman" w:eastAsia="宋体"/>
                      <w:color w:val="auto"/>
                      <w:highlight w:val="none"/>
                    </w:rPr>
                  </w:pPr>
                  <w:r>
                    <w:rPr>
                      <w:rFonts w:ascii="Times New Roman" w:hAnsi="Times New Roman" w:eastAsia="宋体"/>
                      <w:color w:val="auto"/>
                      <w:highlight w:val="none"/>
                    </w:rPr>
                    <w:t>《工业企业厂界环境噪声排放标准》（GB12348-2008）中的</w:t>
                  </w:r>
                  <w:r>
                    <w:rPr>
                      <w:rFonts w:hint="eastAsia" w:ascii="Times New Roman" w:hAnsi="Times New Roman"/>
                      <w:color w:val="auto"/>
                      <w:highlight w:val="none"/>
                      <w:lang w:val="en-US" w:eastAsia="zh-CN"/>
                    </w:rPr>
                    <w:t>3</w:t>
                  </w:r>
                  <w:r>
                    <w:rPr>
                      <w:rFonts w:ascii="Times New Roman" w:hAnsi="Times New Roman" w:eastAsia="宋体"/>
                      <w:color w:val="auto"/>
                      <w:highlight w:val="none"/>
                    </w:rPr>
                    <w:t>类标准限值</w:t>
                  </w:r>
                </w:p>
              </w:tc>
            </w:tr>
          </w:tbl>
          <w:p w14:paraId="2D7D522A">
            <w:pPr>
              <w:adjustRightInd w:val="0"/>
              <w:snapToGrid w:val="0"/>
              <w:spacing w:before="158" w:beforeLines="50" w:line="360" w:lineRule="auto"/>
              <w:ind w:firstLine="422" w:firstLineChars="200"/>
              <w:jc w:val="left"/>
              <w:rPr>
                <w:rFonts w:hint="eastAsia" w:ascii="Times New Roman" w:hAnsi="Times New Roman"/>
                <w:b/>
                <w:bCs/>
                <w:color w:val="auto"/>
                <w:highlight w:val="none"/>
              </w:rPr>
            </w:pPr>
            <w:r>
              <w:rPr>
                <w:rFonts w:hint="eastAsia" w:ascii="Times New Roman" w:hAnsi="Times New Roman"/>
                <w:b/>
                <w:bCs/>
                <w:color w:val="auto"/>
                <w:highlight w:val="none"/>
                <w:lang w:val="en-US" w:eastAsia="zh-CN"/>
              </w:rPr>
              <w:t>3</w:t>
            </w:r>
            <w:r>
              <w:rPr>
                <w:rFonts w:hint="eastAsia" w:ascii="Times New Roman" w:hAnsi="Times New Roman"/>
                <w:b/>
                <w:bCs/>
                <w:color w:val="auto"/>
                <w:highlight w:val="none"/>
              </w:rPr>
              <w:t>、排污管理</w:t>
            </w:r>
          </w:p>
          <w:p w14:paraId="3C1AE497">
            <w:pPr>
              <w:adjustRightInd w:val="0"/>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t>根据《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w:t>
            </w:r>
          </w:p>
          <w:p w14:paraId="6E6A884E">
            <w:pPr>
              <w:adjustRightInd w:val="0"/>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t>根据《固定污染源排污许可分类管理名录（2019年版）》，本项目</w:t>
            </w:r>
            <w:r>
              <w:rPr>
                <w:rFonts w:hint="eastAsia" w:ascii="Times New Roman" w:hAnsi="Times New Roman"/>
                <w:color w:val="auto"/>
                <w:highlight w:val="none"/>
              </w:rPr>
              <w:t>为</w:t>
            </w:r>
            <w:r>
              <w:rPr>
                <w:rFonts w:hint="eastAsia" w:ascii="Times New Roman" w:hAnsi="Times New Roman"/>
                <w:color w:val="auto"/>
                <w:highlight w:val="none"/>
                <w:lang w:val="en-US" w:eastAsia="zh-CN"/>
              </w:rPr>
              <w:t>单独的铁矿石破碎、集运</w:t>
            </w:r>
            <w:r>
              <w:rPr>
                <w:rFonts w:hint="eastAsia" w:ascii="Times New Roman" w:hAnsi="Times New Roman"/>
                <w:color w:val="auto"/>
                <w:highlight w:val="none"/>
              </w:rPr>
              <w:t>项目</w:t>
            </w:r>
            <w:r>
              <w:rPr>
                <w:rFonts w:hint="eastAsia" w:ascii="Times New Roman" w:hAnsi="Times New Roman"/>
                <w:color w:val="auto"/>
                <w:highlight w:val="none"/>
                <w:lang w:eastAsia="zh-CN"/>
              </w:rPr>
              <w:t>，</w:t>
            </w:r>
            <w:r>
              <w:rPr>
                <w:rFonts w:ascii="Times New Roman" w:hAnsi="Times New Roman"/>
                <w:b/>
                <w:bCs/>
                <w:color w:val="auto"/>
                <w:highlight w:val="none"/>
              </w:rPr>
              <w:t>属于“</w:t>
            </w:r>
            <w:r>
              <w:rPr>
                <w:rFonts w:hint="eastAsia" w:ascii="Times New Roman" w:hAnsi="Times New Roman"/>
                <w:b/>
                <w:bCs/>
                <w:color w:val="auto"/>
                <w:highlight w:val="none"/>
                <w:lang w:val="en-US" w:eastAsia="zh-CN"/>
              </w:rPr>
              <w:t>四、黑色金属矿采矿业08-其他</w:t>
            </w:r>
            <w:r>
              <w:rPr>
                <w:rFonts w:ascii="Times New Roman" w:hAnsi="Times New Roman"/>
                <w:b/>
                <w:bCs/>
                <w:color w:val="auto"/>
                <w:highlight w:val="none"/>
              </w:rPr>
              <w:t>”，项目属于</w:t>
            </w:r>
            <w:r>
              <w:rPr>
                <w:rFonts w:hint="eastAsia" w:ascii="Times New Roman" w:hAnsi="Times New Roman"/>
                <w:b/>
                <w:bCs/>
                <w:color w:val="auto"/>
                <w:highlight w:val="none"/>
                <w:lang w:val="en-US" w:eastAsia="zh-CN"/>
              </w:rPr>
              <w:t>登记</w:t>
            </w:r>
            <w:r>
              <w:rPr>
                <w:rFonts w:ascii="Times New Roman" w:hAnsi="Times New Roman"/>
                <w:b/>
                <w:bCs/>
                <w:color w:val="auto"/>
                <w:highlight w:val="none"/>
              </w:rPr>
              <w:t>管理的项目</w:t>
            </w:r>
            <w:r>
              <w:rPr>
                <w:rFonts w:ascii="Times New Roman" w:hAnsi="Times New Roman"/>
                <w:color w:val="auto"/>
                <w:highlight w:val="none"/>
              </w:rPr>
              <w:t>。</w:t>
            </w:r>
            <w:r>
              <w:rPr>
                <w:rFonts w:ascii="Times New Roman" w:hAnsi="Times New Roman"/>
                <w:color w:val="auto"/>
                <w:szCs w:val="21"/>
                <w:highlight w:val="none"/>
              </w:rPr>
              <w:t>综合分析，项目应当在（http://permit.mee.gov.cn/）全国排污许可证管理信息平台填报排污登记表，登记基本信息、污染物排放去向、执行的污染物排放标准以及采取的污染防治措施等信息</w:t>
            </w:r>
            <w:r>
              <w:rPr>
                <w:rFonts w:hint="eastAsia" w:ascii="Times New Roman" w:hAnsi="Times New Roman"/>
                <w:color w:val="auto"/>
                <w:highlight w:val="none"/>
              </w:rPr>
              <w:t>。</w:t>
            </w:r>
          </w:p>
          <w:p w14:paraId="7A560B77">
            <w:pPr>
              <w:adjustRightInd w:val="0"/>
              <w:snapToGrid w:val="0"/>
              <w:spacing w:line="360" w:lineRule="auto"/>
              <w:ind w:firstLine="422" w:firstLineChars="200"/>
              <w:jc w:val="left"/>
              <w:rPr>
                <w:rFonts w:ascii="Times New Roman" w:hAnsi="Times New Roman"/>
                <w:b/>
                <w:bCs/>
                <w:color w:val="auto"/>
                <w:highlight w:val="none"/>
              </w:rPr>
            </w:pPr>
            <w:r>
              <w:rPr>
                <w:rFonts w:hint="eastAsia" w:ascii="Times New Roman" w:hAnsi="Times New Roman"/>
                <w:b/>
                <w:bCs/>
                <w:color w:val="auto"/>
                <w:highlight w:val="none"/>
                <w:lang w:val="en-US" w:eastAsia="zh-CN"/>
              </w:rPr>
              <w:t>4</w:t>
            </w:r>
            <w:r>
              <w:rPr>
                <w:rFonts w:ascii="Times New Roman" w:hAnsi="Times New Roman"/>
                <w:b/>
                <w:bCs/>
                <w:color w:val="auto"/>
                <w:highlight w:val="none"/>
              </w:rPr>
              <w:t>、“三同时”验收</w:t>
            </w:r>
          </w:p>
          <w:p w14:paraId="77B27EEB">
            <w:pPr>
              <w:adjustRightInd w:val="0"/>
              <w:snapToGrid w:val="0"/>
              <w:spacing w:line="360" w:lineRule="auto"/>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严格执行环境保护设施与主体工程同时设计、同时施工、同时投产使用的环境保护“三同时”制度；项目建成投入运行后，及时报告并按规定自行组织开展竣工环保验收，经验收合格后方可正式投入运营。</w:t>
            </w:r>
          </w:p>
          <w:p w14:paraId="49189506">
            <w:pPr>
              <w:adjustRightInd w:val="0"/>
              <w:snapToGrid w:val="0"/>
              <w:spacing w:line="360" w:lineRule="auto"/>
              <w:ind w:firstLine="422" w:firstLineChars="200"/>
              <w:jc w:val="left"/>
              <w:rPr>
                <w:rFonts w:hint="default" w:eastAsia="宋体"/>
                <w:b/>
                <w:bCs/>
                <w:color w:val="auto"/>
                <w:lang w:val="en-US" w:eastAsia="zh-CN"/>
              </w:rPr>
            </w:pPr>
            <w:r>
              <w:rPr>
                <w:rFonts w:hint="eastAsia"/>
                <w:b/>
                <w:bCs/>
                <w:color w:val="auto"/>
                <w:lang w:val="en-US" w:eastAsia="zh-CN"/>
              </w:rPr>
              <w:t>5、排污口规范化</w:t>
            </w:r>
          </w:p>
          <w:p w14:paraId="73501457">
            <w:pPr>
              <w:adjustRightInd w:val="0"/>
              <w:snapToGrid w:val="0"/>
              <w:spacing w:line="360" w:lineRule="auto"/>
              <w:ind w:firstLine="420" w:firstLineChars="200"/>
              <w:jc w:val="left"/>
              <w:rPr>
                <w:rFonts w:hint="eastAsia"/>
                <w:color w:val="auto"/>
              </w:rPr>
            </w:pPr>
            <w:r>
              <w:rPr>
                <w:rFonts w:hint="eastAsia"/>
                <w:color w:val="auto"/>
              </w:rPr>
              <w:t>①排污口规范化必要性</w:t>
            </w:r>
          </w:p>
          <w:p w14:paraId="2CF659BD">
            <w:pPr>
              <w:adjustRightInd w:val="0"/>
              <w:snapToGrid w:val="0"/>
              <w:spacing w:line="360" w:lineRule="auto"/>
              <w:ind w:firstLine="420" w:firstLineChars="200"/>
              <w:jc w:val="left"/>
              <w:rPr>
                <w:rFonts w:hint="eastAsia"/>
                <w:color w:val="auto"/>
              </w:rPr>
            </w:pPr>
            <w:r>
              <w:rPr>
                <w:rFonts w:hint="eastAsia"/>
                <w:color w:val="auto"/>
              </w:rPr>
              <w:t>排污口规范化管理是实施污染物总量控制的基础性工作之一，也是总量控制不可缺少的一部分内容，此项工作可强化污染物的现场监督检查，促进企业加强管理和污染治理，实施污染物排放科学化、定量化管理。</w:t>
            </w:r>
          </w:p>
          <w:p w14:paraId="238842B4">
            <w:pPr>
              <w:adjustRightInd w:val="0"/>
              <w:snapToGrid w:val="0"/>
              <w:spacing w:line="360" w:lineRule="auto"/>
              <w:ind w:firstLine="420" w:firstLineChars="200"/>
              <w:jc w:val="left"/>
              <w:rPr>
                <w:rFonts w:hint="eastAsia"/>
                <w:color w:val="auto"/>
              </w:rPr>
            </w:pPr>
            <w:r>
              <w:rPr>
                <w:rFonts w:hint="eastAsia"/>
                <w:color w:val="auto"/>
              </w:rPr>
              <w:t>②排污口规范化的范围和时间</w:t>
            </w:r>
          </w:p>
          <w:p w14:paraId="7F8A1C66">
            <w:pPr>
              <w:adjustRightInd w:val="0"/>
              <w:snapToGrid w:val="0"/>
              <w:spacing w:line="360" w:lineRule="auto"/>
              <w:ind w:firstLine="420" w:firstLineChars="200"/>
              <w:jc w:val="left"/>
              <w:rPr>
                <w:rFonts w:hint="eastAsia"/>
                <w:color w:val="auto"/>
              </w:rPr>
            </w:pPr>
            <w:r>
              <w:rPr>
                <w:rFonts w:hint="eastAsia"/>
                <w:color w:val="auto"/>
              </w:rPr>
              <w:t>一切新建、扩建、技改、改建的排污单位以及限期治理的排污单位，必须在建设污染治理设施的同时，建设规范化排污口。因此，排污口必须规范化设置和管理。规范化工作应</w:t>
            </w:r>
            <w:r>
              <w:rPr>
                <w:rFonts w:hint="eastAsia"/>
                <w:color w:val="auto"/>
                <w:lang w:eastAsia="zh-CN"/>
              </w:rPr>
              <w:t>与</w:t>
            </w:r>
            <w:r>
              <w:rPr>
                <w:rFonts w:hint="eastAsia"/>
                <w:color w:val="auto"/>
              </w:rPr>
              <w:t>污染治理同步实施，即治理设施完工时，规范化工作必须同时完成，并列入污染治理设施的验收内容。</w:t>
            </w:r>
          </w:p>
          <w:p w14:paraId="57BE895A">
            <w:pPr>
              <w:adjustRightInd w:val="0"/>
              <w:snapToGrid w:val="0"/>
              <w:spacing w:line="360" w:lineRule="auto"/>
              <w:ind w:firstLine="420" w:firstLineChars="200"/>
              <w:jc w:val="left"/>
              <w:rPr>
                <w:rFonts w:hint="default" w:eastAsia="宋体"/>
                <w:color w:val="auto"/>
                <w:lang w:val="en-US" w:eastAsia="zh-CN"/>
              </w:rPr>
            </w:pPr>
            <w:r>
              <w:rPr>
                <w:rFonts w:hint="eastAsia"/>
                <w:color w:val="auto"/>
              </w:rPr>
              <w:t>排污口规范化内容：</w:t>
            </w:r>
            <w:r>
              <w:rPr>
                <w:rFonts w:hint="eastAsia"/>
                <w:color w:val="auto"/>
                <w:lang w:val="en-US" w:eastAsia="zh-CN"/>
              </w:rPr>
              <w:t>本项目设置3个废气排放口。本项目废气排放口属于一般排放口。排放口应设置便于采样、监测的采样口，采样口的设置应符合《污染源监测技术规范》要求。排放口排污标识牌设置应符合“一明显、二合理、三便于”的要求，即环保标志明显，排污口（接管口）设置合理，便于采集样品、便于监测计量、便于公众参与和监督管理</w:t>
            </w:r>
          </w:p>
          <w:p w14:paraId="247AF671">
            <w:pPr>
              <w:adjustRightInd w:val="0"/>
              <w:snapToGrid w:val="0"/>
              <w:spacing w:line="360" w:lineRule="auto"/>
              <w:ind w:firstLine="420" w:firstLineChars="200"/>
              <w:jc w:val="left"/>
              <w:rPr>
                <w:rFonts w:hint="eastAsia"/>
                <w:color w:val="auto"/>
              </w:rPr>
            </w:pPr>
            <w:r>
              <w:rPr>
                <w:rFonts w:hint="eastAsia"/>
                <w:color w:val="auto"/>
              </w:rPr>
              <w:t>排污口的管理：建设单位应在各排污口处设置较明显的排污口标志牌，其上应注明主要排污污染物的名称。建设单位应如实填写《中华人民共和国规范化排污口标志登记证》的有关内容，由环保主管部门签发等级证。建设单位应将有关排污口的情况如：排污口的性质、编号、排污口的位置；主要排放的污染物种类、数量、浓度、排放规律、排放去向；污染治理措施的运行情况等进行建档管理，并报送环保主管部门备案。排污口规范化图标详见下图。</w:t>
            </w:r>
          </w:p>
          <w:p w14:paraId="4C13EB88">
            <w:pPr>
              <w:adjustRightInd w:val="0"/>
              <w:snapToGrid w:val="0"/>
              <w:spacing w:line="360" w:lineRule="auto"/>
              <w:jc w:val="center"/>
              <w:rPr>
                <w:rFonts w:hint="eastAsia"/>
                <w:color w:val="auto"/>
              </w:rPr>
            </w:pPr>
            <w:r>
              <w:rPr>
                <w:color w:val="auto"/>
              </w:rPr>
              <w:drawing>
                <wp:inline distT="0" distB="0" distL="114300" distR="114300">
                  <wp:extent cx="4509135" cy="2881630"/>
                  <wp:effectExtent l="0" t="0" r="5715" b="1397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26"/>
                          <a:srcRect t="11249" b="12123"/>
                          <a:stretch>
                            <a:fillRect/>
                          </a:stretch>
                        </pic:blipFill>
                        <pic:spPr>
                          <a:xfrm>
                            <a:off x="0" y="0"/>
                            <a:ext cx="4509135" cy="2881630"/>
                          </a:xfrm>
                          <a:prstGeom prst="rect">
                            <a:avLst/>
                          </a:prstGeom>
                          <a:noFill/>
                          <a:ln>
                            <a:noFill/>
                          </a:ln>
                        </pic:spPr>
                      </pic:pic>
                    </a:graphicData>
                  </a:graphic>
                </wp:inline>
              </w:drawing>
            </w:r>
          </w:p>
          <w:p w14:paraId="73266513">
            <w:pPr>
              <w:adjustRightInd w:val="0"/>
              <w:snapToGrid w:val="0"/>
              <w:spacing w:line="360" w:lineRule="auto"/>
              <w:ind w:firstLine="422" w:firstLineChars="200"/>
              <w:jc w:val="left"/>
              <w:rPr>
                <w:rFonts w:hint="eastAsia"/>
                <w:b/>
                <w:bCs/>
                <w:color w:val="auto"/>
              </w:rPr>
            </w:pPr>
            <w:r>
              <w:rPr>
                <w:rFonts w:hint="eastAsia"/>
                <w:b/>
                <w:bCs/>
                <w:color w:val="auto"/>
                <w:lang w:val="en-US" w:eastAsia="zh-CN"/>
              </w:rPr>
              <w:t>6</w:t>
            </w:r>
            <w:r>
              <w:rPr>
                <w:rFonts w:hint="eastAsia"/>
                <w:b/>
                <w:bCs/>
                <w:color w:val="auto"/>
              </w:rPr>
              <w:t>、台账管理</w:t>
            </w:r>
          </w:p>
          <w:p w14:paraId="19CFE5CA">
            <w:pPr>
              <w:adjustRightInd w:val="0"/>
              <w:snapToGrid w:val="0"/>
              <w:spacing w:line="360" w:lineRule="auto"/>
              <w:ind w:firstLine="420" w:firstLineChars="200"/>
              <w:jc w:val="left"/>
              <w:rPr>
                <w:rFonts w:hint="eastAsia"/>
                <w:color w:val="auto"/>
              </w:rPr>
            </w:pPr>
            <w:r>
              <w:rPr>
                <w:rFonts w:hint="eastAsia"/>
                <w:color w:val="auto"/>
              </w:rPr>
              <w:t>根据《环境管理台账及排污许可证执行报告技术规范总则（试行）》(HJ944-2018)及相关法律法规和规范要求，本项目在运行过程中应落实环境管理台账记录制度，明确责任人和人员工作职责，包括台账的记录、整理、维护和管理等，并对台账的真实性、完整性和规范性负责。</w:t>
            </w:r>
          </w:p>
          <w:p w14:paraId="6CBA43D4">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2A9A585F">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18ED3A1C">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22278674">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54494B8C">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36967D67">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4A28A709">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0E9450DE">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3E124F86">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63AB944B">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1E45EE0D">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5CF4F4A0">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4718ACBF">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52D38BAB">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53FFAB4C">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0A3E1FD4">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3E343238">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71DF703A">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5453BDE2">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00FA0595">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143DD318">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6357CADA">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64E68593">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276103F6">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30FCFEB0">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5EAA8378">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22E6D733">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3EEA1061">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5F3186AC">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12240A9B">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6FCCEEC1">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2C80E6B0">
            <w:pPr>
              <w:adjustRightInd w:val="0"/>
              <w:snapToGrid w:val="0"/>
              <w:spacing w:line="360" w:lineRule="auto"/>
              <w:ind w:firstLine="420" w:firstLineChars="200"/>
              <w:rPr>
                <w:rFonts w:hint="eastAsia" w:ascii="Times New Roman" w:hAnsi="Times New Roman" w:eastAsia="宋体" w:cs="Times New Roman"/>
                <w:color w:val="auto"/>
                <w:highlight w:val="none"/>
              </w:rPr>
            </w:pPr>
          </w:p>
          <w:p w14:paraId="235A3B8C">
            <w:pPr>
              <w:adjustRightInd w:val="0"/>
              <w:snapToGrid w:val="0"/>
              <w:spacing w:line="360" w:lineRule="auto"/>
              <w:ind w:firstLine="420" w:firstLineChars="200"/>
              <w:rPr>
                <w:rFonts w:hint="eastAsia" w:ascii="Times New Roman" w:hAnsi="Times New Roman" w:eastAsia="宋体" w:cs="Times New Roman"/>
                <w:color w:val="auto"/>
                <w:highlight w:val="none"/>
              </w:rPr>
            </w:pPr>
          </w:p>
        </w:tc>
      </w:tr>
    </w:tbl>
    <w:p w14:paraId="6128E8FE">
      <w:pPr>
        <w:pStyle w:val="30"/>
        <w:spacing w:before="0" w:beforeAutospacing="0" w:after="0" w:afterAutospacing="0" w:line="360" w:lineRule="auto"/>
        <w:jc w:val="center"/>
        <w:outlineLvl w:val="0"/>
        <w:rPr>
          <w:rFonts w:ascii="Times New Roman" w:hAnsi="Times New Roman" w:eastAsia="黑体"/>
          <w:b/>
          <w:bCs/>
          <w:snapToGrid w:val="0"/>
          <w:color w:val="auto"/>
          <w:sz w:val="30"/>
          <w:szCs w:val="30"/>
          <w:highlight w:val="none"/>
        </w:rPr>
      </w:pPr>
      <w:r>
        <w:rPr>
          <w:rFonts w:ascii="Times New Roman" w:hAnsi="Times New Roman"/>
          <w:snapToGrid w:val="0"/>
          <w:color w:val="auto"/>
          <w:highlight w:val="none"/>
        </w:rPr>
        <w:br w:type="page"/>
      </w:r>
      <w:bookmarkStart w:id="22" w:name="_Toc137737907"/>
      <w:r>
        <w:rPr>
          <w:rFonts w:hint="eastAsia" w:ascii="Times New Roman" w:hAnsi="Times New Roman" w:eastAsia="黑体"/>
          <w:b/>
          <w:bCs/>
          <w:snapToGrid w:val="0"/>
          <w:color w:val="auto"/>
          <w:sz w:val="30"/>
          <w:szCs w:val="30"/>
          <w:highlight w:val="none"/>
        </w:rPr>
        <w:t>六、结论</w:t>
      </w:r>
      <w:bookmarkEnd w:id="22"/>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6F53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7" w:hRule="atLeast"/>
          <w:jc w:val="center"/>
        </w:trPr>
        <w:tc>
          <w:tcPr>
            <w:tcW w:w="8865" w:type="dxa"/>
            <w:noWrap w:val="0"/>
            <w:vAlign w:val="top"/>
          </w:tcPr>
          <w:p w14:paraId="6F05D843">
            <w:pPr>
              <w:spacing w:line="360" w:lineRule="auto"/>
              <w:ind w:firstLine="480"/>
              <w:rPr>
                <w:rFonts w:ascii="Times New Roman" w:hAnsi="Times New Roman"/>
                <w:color w:val="auto"/>
                <w:sz w:val="24"/>
                <w:highlight w:val="none"/>
              </w:rPr>
            </w:pPr>
            <w:r>
              <w:rPr>
                <w:rFonts w:hint="eastAsia" w:ascii="Times New Roman" w:hAnsi="Times New Roman"/>
                <w:color w:val="auto"/>
                <w:sz w:val="24"/>
                <w:highlight w:val="none"/>
              </w:rPr>
              <w:t>项目为“</w:t>
            </w:r>
            <w:r>
              <w:rPr>
                <w:rFonts w:hint="eastAsia" w:ascii="Times New Roman" w:hAnsi="Times New Roman"/>
                <w:color w:val="auto"/>
                <w:sz w:val="24"/>
                <w:highlight w:val="none"/>
                <w:lang w:eastAsia="zh-CN"/>
              </w:rPr>
              <w:t>矿石智能化集散贸易加工中心建设项目</w:t>
            </w:r>
            <w:r>
              <w:rPr>
                <w:rFonts w:hint="eastAsia" w:ascii="Times New Roman" w:hAnsi="Times New Roman"/>
                <w:color w:val="auto"/>
                <w:sz w:val="24"/>
                <w:highlight w:val="none"/>
              </w:rPr>
              <w:t>”，</w:t>
            </w:r>
            <w:r>
              <w:rPr>
                <w:rFonts w:hint="eastAsia" w:ascii="Times New Roman" w:hAnsi="Times New Roman" w:cs="黑体"/>
                <w:color w:val="auto"/>
                <w:sz w:val="24"/>
                <w:highlight w:val="none"/>
                <w:lang w:val="en-US" w:eastAsia="zh-CN"/>
              </w:rPr>
              <w:t>拟选址于云南红塔产业园区研和片区大坡头原武警教导队地块，总投资12000万元，建成3条铁矿石加工生产线</w:t>
            </w:r>
            <w:r>
              <w:rPr>
                <w:rFonts w:hint="eastAsia" w:ascii="Times New Roman" w:hAnsi="Times New Roman"/>
                <w:color w:val="auto"/>
                <w:sz w:val="24"/>
                <w:highlight w:val="none"/>
                <w:lang w:val="en-US" w:eastAsia="zh-CN"/>
              </w:rPr>
              <w:t>，形成年处理120万吨铁矿石的综合加工规模</w:t>
            </w:r>
            <w:r>
              <w:rPr>
                <w:rFonts w:hint="eastAsia" w:ascii="Times New Roman" w:hAnsi="Times New Roman"/>
                <w:bCs/>
                <w:color w:val="auto"/>
                <w:sz w:val="24"/>
                <w:highlight w:val="none"/>
              </w:rPr>
              <w:t>。</w:t>
            </w:r>
            <w:r>
              <w:rPr>
                <w:rFonts w:ascii="Times New Roman" w:hAnsi="Times New Roman"/>
                <w:color w:val="auto"/>
                <w:sz w:val="24"/>
                <w:highlight w:val="none"/>
              </w:rPr>
              <w:t>通过对该项目的工程分析和环境影响分析可得如下结论：</w:t>
            </w:r>
          </w:p>
          <w:p w14:paraId="47625E32">
            <w:pPr>
              <w:spacing w:line="360" w:lineRule="auto"/>
              <w:ind w:firstLine="480" w:firstLineChars="200"/>
              <w:rPr>
                <w:rFonts w:ascii="Times New Roman" w:hAnsi="Times New Roman" w:cs="宋体"/>
                <w:bCs/>
                <w:color w:val="auto"/>
                <w:sz w:val="24"/>
                <w:highlight w:val="none"/>
              </w:rPr>
            </w:pPr>
            <w:r>
              <w:rPr>
                <w:rFonts w:ascii="Times New Roman" w:hAnsi="Times New Roman" w:cs="宋体"/>
                <w:bCs/>
                <w:color w:val="auto"/>
                <w:sz w:val="24"/>
                <w:highlight w:val="none"/>
              </w:rPr>
              <w:t>该项目符合国家和地方相关产业政策的要求，选址合理，场内平面布置合理。该项目的建设，能够带动地方经济的发展。对产生的废气、污水、噪声、固废采取措施治理后，能够实现污染物的达标排放，不会对环境造成大的影响，不会降低当地的环境功能。</w:t>
            </w:r>
            <w:r>
              <w:rPr>
                <w:rFonts w:hint="eastAsia" w:ascii="Times New Roman" w:hAnsi="Times New Roman" w:cs="宋体"/>
                <w:bCs/>
                <w:color w:val="auto"/>
                <w:sz w:val="24"/>
                <w:highlight w:val="none"/>
              </w:rPr>
              <w:t>项目拟采取的各项污染源防治措施合理有效，技术可行</w:t>
            </w:r>
            <w:r>
              <w:rPr>
                <w:rFonts w:hint="eastAsia" w:ascii="Times New Roman" w:hAnsi="Times New Roman" w:cs="宋体"/>
                <w:bCs/>
                <w:color w:val="auto"/>
                <w:sz w:val="24"/>
                <w:highlight w:val="none"/>
                <w:lang w:eastAsia="zh-CN"/>
              </w:rPr>
              <w:t>，</w:t>
            </w:r>
            <w:r>
              <w:rPr>
                <w:rFonts w:ascii="Times New Roman" w:hAnsi="Times New Roman" w:cs="宋体"/>
                <w:bCs/>
                <w:color w:val="auto"/>
                <w:sz w:val="24"/>
                <w:highlight w:val="none"/>
              </w:rPr>
              <w:t>在严格执行有关环保法规和“三同时”制度，认真落实本报告提出的各项污染防治措施的基础上，</w:t>
            </w:r>
            <w:r>
              <w:rPr>
                <w:rFonts w:hint="eastAsia" w:ascii="Times New Roman" w:hAnsi="Times New Roman" w:cs="宋体"/>
                <w:bCs/>
                <w:color w:val="auto"/>
                <w:sz w:val="24"/>
                <w:highlight w:val="none"/>
              </w:rPr>
              <w:t>不会对环境产生明显不利影响</w:t>
            </w:r>
            <w:r>
              <w:rPr>
                <w:rFonts w:ascii="Times New Roman" w:hAnsi="Times New Roman" w:cs="宋体"/>
                <w:bCs/>
                <w:color w:val="auto"/>
                <w:sz w:val="24"/>
                <w:highlight w:val="none"/>
              </w:rPr>
              <w:t>。</w:t>
            </w:r>
          </w:p>
          <w:p w14:paraId="090FC7C5">
            <w:pPr>
              <w:spacing w:line="360" w:lineRule="auto"/>
              <w:ind w:firstLine="480" w:firstLineChars="200"/>
              <w:rPr>
                <w:rFonts w:ascii="Times New Roman" w:hAnsi="Times New Roman" w:cs="宋体"/>
                <w:bCs/>
                <w:color w:val="auto"/>
                <w:sz w:val="24"/>
                <w:highlight w:val="none"/>
              </w:rPr>
            </w:pPr>
            <w:r>
              <w:rPr>
                <w:rFonts w:hint="eastAsia" w:ascii="Times New Roman" w:hAnsi="Times New Roman" w:cs="宋体"/>
                <w:bCs/>
                <w:color w:val="auto"/>
                <w:sz w:val="24"/>
                <w:highlight w:val="none"/>
              </w:rPr>
              <w:t>综上所述，从环境保护角度，在落实本报告提出的各项环保措施的情况下，本项目的建设是可行的。</w:t>
            </w:r>
          </w:p>
        </w:tc>
      </w:tr>
    </w:tbl>
    <w:p w14:paraId="112D47AA">
      <w:pPr>
        <w:rPr>
          <w:rFonts w:ascii="Times New Roman" w:hAnsi="Times New Roman"/>
          <w:color w:val="auto"/>
          <w:highlight w:val="none"/>
        </w:rPr>
        <w:sectPr>
          <w:pgSz w:w="11905" w:h="16838"/>
          <w:pgMar w:top="1440" w:right="1701" w:bottom="1440" w:left="1701" w:header="851" w:footer="1077" w:gutter="0"/>
          <w:cols w:space="720" w:num="1"/>
          <w:docGrid w:type="lines" w:linePitch="317" w:charSpace="0"/>
        </w:sectPr>
      </w:pPr>
    </w:p>
    <w:p w14:paraId="6A1068DE">
      <w:pPr>
        <w:pStyle w:val="30"/>
        <w:adjustRightInd w:val="0"/>
        <w:snapToGrid w:val="0"/>
        <w:spacing w:before="0" w:beforeAutospacing="0" w:after="0" w:afterAutospacing="0" w:line="648" w:lineRule="auto"/>
        <w:outlineLvl w:val="0"/>
        <w:rPr>
          <w:rFonts w:ascii="Times New Roman" w:hAnsi="Times New Roman" w:eastAsia="黑体"/>
          <w:snapToGrid w:val="0"/>
          <w:color w:val="auto"/>
          <w:sz w:val="32"/>
          <w:szCs w:val="32"/>
          <w:highlight w:val="none"/>
        </w:rPr>
      </w:pPr>
      <w:bookmarkStart w:id="23" w:name="_Toc137737908"/>
      <w:r>
        <w:rPr>
          <w:rFonts w:hint="eastAsia" w:ascii="Times New Roman" w:hAnsi="Times New Roman" w:eastAsia="黑体"/>
          <w:snapToGrid w:val="0"/>
          <w:color w:val="auto"/>
          <w:sz w:val="32"/>
          <w:szCs w:val="32"/>
          <w:highlight w:val="none"/>
        </w:rPr>
        <w:t>附表</w:t>
      </w:r>
      <w:bookmarkEnd w:id="23"/>
    </w:p>
    <w:p w14:paraId="486B18B5">
      <w:pPr>
        <w:spacing w:line="360" w:lineRule="auto"/>
        <w:ind w:firstLine="640" w:firstLineChars="200"/>
        <w:jc w:val="center"/>
        <w:rPr>
          <w:rFonts w:hint="eastAsia" w:ascii="Times New Roman" w:hAnsi="Times New Roman" w:eastAsia="华文中宋" w:cs="华文中宋"/>
          <w:bCs/>
          <w:color w:val="auto"/>
          <w:sz w:val="32"/>
          <w:szCs w:val="32"/>
          <w:highlight w:val="none"/>
        </w:rPr>
      </w:pPr>
      <w:bookmarkStart w:id="24" w:name="_Toc137737909"/>
      <w:r>
        <w:rPr>
          <w:rFonts w:hint="eastAsia" w:ascii="Times New Roman" w:hAnsi="Times New Roman" w:eastAsia="华文中宋" w:cs="华文中宋"/>
          <w:bCs/>
          <w:color w:val="auto"/>
          <w:sz w:val="32"/>
          <w:szCs w:val="32"/>
          <w:highlight w:val="none"/>
        </w:rPr>
        <w:t>建设项目污染物排放量汇总表</w:t>
      </w:r>
      <w:bookmarkEnd w:id="24"/>
    </w:p>
    <w:tbl>
      <w:tblPr>
        <w:tblStyle w:val="35"/>
        <w:tblW w:w="1434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781"/>
        <w:gridCol w:w="928"/>
        <w:gridCol w:w="1701"/>
        <w:gridCol w:w="1276"/>
        <w:gridCol w:w="1701"/>
        <w:gridCol w:w="1559"/>
        <w:gridCol w:w="1761"/>
        <w:gridCol w:w="1959"/>
        <w:gridCol w:w="1383"/>
      </w:tblGrid>
      <w:tr w14:paraId="4AA75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96" w:type="dxa"/>
            <w:tcBorders>
              <w:tl2br w:val="single" w:color="auto" w:sz="4" w:space="0"/>
            </w:tcBorders>
            <w:noWrap w:val="0"/>
            <w:tcMar>
              <w:left w:w="28" w:type="dxa"/>
              <w:right w:w="28" w:type="dxa"/>
            </w:tcMar>
            <w:vAlign w:val="center"/>
          </w:tcPr>
          <w:p w14:paraId="281163CE">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right"/>
              <w:textAlignment w:val="auto"/>
              <w:rPr>
                <w:rFonts w:hint="eastAsia" w:ascii="Times New Roman" w:hAnsi="Times New Roman" w:eastAsia="宋体" w:cs="宋体"/>
                <w:snapToGrid w:val="0"/>
                <w:color w:val="auto"/>
                <w:spacing w:val="-6"/>
                <w:kern w:val="0"/>
                <w:szCs w:val="21"/>
                <w:highlight w:val="none"/>
              </w:rPr>
            </w:pPr>
            <w:r>
              <w:rPr>
                <w:rFonts w:hint="eastAsia" w:ascii="Times New Roman" w:hAnsi="Times New Roman" w:eastAsia="宋体" w:cs="宋体"/>
                <w:snapToGrid w:val="0"/>
                <w:color w:val="auto"/>
                <w:spacing w:val="-6"/>
                <w:kern w:val="0"/>
                <w:szCs w:val="21"/>
                <w:highlight w:val="none"/>
              </w:rPr>
              <w:t>项目</w:t>
            </w:r>
          </w:p>
          <w:p w14:paraId="13F021EC">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left"/>
              <w:textAlignment w:val="auto"/>
              <w:rPr>
                <w:rFonts w:hint="eastAsia" w:ascii="Times New Roman" w:hAnsi="Times New Roman" w:eastAsia="宋体" w:cs="宋体"/>
                <w:snapToGrid w:val="0"/>
                <w:color w:val="auto"/>
                <w:spacing w:val="-6"/>
                <w:kern w:val="0"/>
                <w:szCs w:val="21"/>
                <w:highlight w:val="none"/>
              </w:rPr>
            </w:pPr>
            <w:r>
              <w:rPr>
                <w:rFonts w:hint="eastAsia" w:ascii="Times New Roman" w:hAnsi="Times New Roman" w:eastAsia="宋体" w:cs="宋体"/>
                <w:snapToGrid w:val="0"/>
                <w:color w:val="auto"/>
                <w:spacing w:val="-6"/>
                <w:kern w:val="0"/>
                <w:szCs w:val="21"/>
                <w:highlight w:val="none"/>
              </w:rPr>
              <w:t>分类</w:t>
            </w:r>
          </w:p>
        </w:tc>
        <w:tc>
          <w:tcPr>
            <w:tcW w:w="1709" w:type="dxa"/>
            <w:gridSpan w:val="2"/>
            <w:noWrap w:val="0"/>
            <w:tcMar>
              <w:left w:w="28" w:type="dxa"/>
              <w:right w:w="28" w:type="dxa"/>
            </w:tcMar>
            <w:vAlign w:val="center"/>
          </w:tcPr>
          <w:p w14:paraId="1D46B66D">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spacing w:val="-6"/>
                <w:kern w:val="0"/>
                <w:szCs w:val="21"/>
                <w:highlight w:val="none"/>
              </w:rPr>
            </w:pPr>
            <w:r>
              <w:rPr>
                <w:rFonts w:hint="eastAsia" w:ascii="Times New Roman" w:hAnsi="Times New Roman" w:eastAsia="宋体" w:cs="宋体"/>
                <w:snapToGrid w:val="0"/>
                <w:color w:val="auto"/>
                <w:spacing w:val="-6"/>
                <w:kern w:val="0"/>
                <w:szCs w:val="21"/>
                <w:highlight w:val="none"/>
              </w:rPr>
              <w:t>污染物名称</w:t>
            </w:r>
          </w:p>
        </w:tc>
        <w:tc>
          <w:tcPr>
            <w:tcW w:w="1701" w:type="dxa"/>
            <w:noWrap w:val="0"/>
            <w:tcMar>
              <w:left w:w="28" w:type="dxa"/>
              <w:right w:w="28" w:type="dxa"/>
            </w:tcMar>
            <w:vAlign w:val="center"/>
          </w:tcPr>
          <w:p w14:paraId="65FBC982">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t>现有工程</w:t>
            </w:r>
          </w:p>
          <w:p w14:paraId="06524E65">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t>排放量（固</w:t>
            </w:r>
            <w:r>
              <w:rPr>
                <w:rFonts w:hint="eastAsia" w:ascii="Times New Roman" w:hAnsi="Times New Roman" w:eastAsia="宋体"/>
                <w:snapToGrid w:val="0"/>
                <w:color w:val="auto"/>
                <w:spacing w:val="-6"/>
                <w:kern w:val="0"/>
                <w:szCs w:val="21"/>
                <w:highlight w:val="none"/>
              </w:rPr>
              <w:t>体</w:t>
            </w:r>
            <w:r>
              <w:rPr>
                <w:rFonts w:ascii="Times New Roman" w:hAnsi="Times New Roman" w:eastAsia="宋体"/>
                <w:snapToGrid w:val="0"/>
                <w:color w:val="auto"/>
                <w:spacing w:val="-6"/>
                <w:kern w:val="0"/>
                <w:szCs w:val="21"/>
                <w:highlight w:val="none"/>
              </w:rPr>
              <w:t>废</w:t>
            </w:r>
            <w:r>
              <w:rPr>
                <w:rFonts w:hint="eastAsia" w:ascii="Times New Roman" w:hAnsi="Times New Roman" w:eastAsia="宋体"/>
                <w:snapToGrid w:val="0"/>
                <w:color w:val="auto"/>
                <w:spacing w:val="-6"/>
                <w:kern w:val="0"/>
                <w:szCs w:val="21"/>
                <w:highlight w:val="none"/>
              </w:rPr>
              <w:t>物</w:t>
            </w:r>
            <w:r>
              <w:rPr>
                <w:rFonts w:ascii="Times New Roman" w:hAnsi="Times New Roman" w:eastAsia="宋体"/>
                <w:snapToGrid w:val="0"/>
                <w:color w:val="auto"/>
                <w:spacing w:val="-6"/>
                <w:kern w:val="0"/>
                <w:szCs w:val="21"/>
                <w:highlight w:val="none"/>
              </w:rPr>
              <w:t>产生量）</w:t>
            </w:r>
            <w:r>
              <w:rPr>
                <w:rFonts w:ascii="Times New Roman" w:hAnsi="Times New Roman" w:eastAsia="宋体"/>
                <w:snapToGrid w:val="0"/>
                <w:color w:val="auto"/>
                <w:spacing w:val="-6"/>
                <w:kern w:val="0"/>
                <w:szCs w:val="21"/>
                <w:highlight w:val="none"/>
              </w:rPr>
              <w:fldChar w:fldCharType="begin"/>
            </w:r>
            <w:r>
              <w:rPr>
                <w:rFonts w:ascii="Times New Roman" w:hAnsi="Times New Roman" w:eastAsia="宋体"/>
                <w:snapToGrid w:val="0"/>
                <w:color w:val="auto"/>
                <w:spacing w:val="-6"/>
                <w:kern w:val="0"/>
                <w:szCs w:val="21"/>
                <w:highlight w:val="none"/>
              </w:rPr>
              <w:instrText xml:space="preserve"> = 1 \* GB3 \* MERGEFORMAT </w:instrText>
            </w:r>
            <w:r>
              <w:rPr>
                <w:rFonts w:ascii="Times New Roman" w:hAnsi="Times New Roman" w:eastAsia="宋体"/>
                <w:snapToGrid w:val="0"/>
                <w:color w:val="auto"/>
                <w:spacing w:val="-6"/>
                <w:kern w:val="0"/>
                <w:szCs w:val="21"/>
                <w:highlight w:val="none"/>
              </w:rPr>
              <w:fldChar w:fldCharType="separate"/>
            </w:r>
            <w:r>
              <w:rPr>
                <w:rFonts w:hint="eastAsia" w:ascii="Times New Roman" w:hAnsi="Times New Roman" w:eastAsia="宋体" w:cs="宋体"/>
                <w:color w:val="auto"/>
                <w:kern w:val="0"/>
                <w:szCs w:val="21"/>
                <w:highlight w:val="none"/>
              </w:rPr>
              <w:t>①</w:t>
            </w:r>
            <w:r>
              <w:rPr>
                <w:rFonts w:ascii="Times New Roman" w:hAnsi="Times New Roman" w:eastAsia="宋体"/>
                <w:snapToGrid w:val="0"/>
                <w:color w:val="auto"/>
                <w:spacing w:val="-6"/>
                <w:kern w:val="0"/>
                <w:szCs w:val="21"/>
                <w:highlight w:val="none"/>
              </w:rPr>
              <w:fldChar w:fldCharType="end"/>
            </w:r>
          </w:p>
        </w:tc>
        <w:tc>
          <w:tcPr>
            <w:tcW w:w="1276" w:type="dxa"/>
            <w:noWrap w:val="0"/>
            <w:tcMar>
              <w:left w:w="28" w:type="dxa"/>
              <w:right w:w="28" w:type="dxa"/>
            </w:tcMar>
            <w:vAlign w:val="center"/>
          </w:tcPr>
          <w:p w14:paraId="18F4033C">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t>现有工程</w:t>
            </w:r>
          </w:p>
          <w:p w14:paraId="67CADE94">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t>许可排放量</w:t>
            </w:r>
          </w:p>
          <w:p w14:paraId="19E94540">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fldChar w:fldCharType="begin"/>
            </w:r>
            <w:r>
              <w:rPr>
                <w:rFonts w:ascii="Times New Roman" w:hAnsi="Times New Roman" w:eastAsia="宋体"/>
                <w:snapToGrid w:val="0"/>
                <w:color w:val="auto"/>
                <w:spacing w:val="-6"/>
                <w:kern w:val="0"/>
                <w:szCs w:val="21"/>
                <w:highlight w:val="none"/>
              </w:rPr>
              <w:instrText xml:space="preserve"> = 2 \* GB3 \* MERGEFORMAT </w:instrText>
            </w:r>
            <w:r>
              <w:rPr>
                <w:rFonts w:ascii="Times New Roman" w:hAnsi="Times New Roman" w:eastAsia="宋体"/>
                <w:snapToGrid w:val="0"/>
                <w:color w:val="auto"/>
                <w:spacing w:val="-6"/>
                <w:kern w:val="0"/>
                <w:szCs w:val="21"/>
                <w:highlight w:val="none"/>
              </w:rPr>
              <w:fldChar w:fldCharType="separate"/>
            </w:r>
            <w:r>
              <w:rPr>
                <w:rFonts w:hint="eastAsia" w:ascii="Times New Roman" w:hAnsi="Times New Roman" w:eastAsia="宋体" w:cs="宋体"/>
                <w:snapToGrid w:val="0"/>
                <w:color w:val="auto"/>
                <w:spacing w:val="-6"/>
                <w:kern w:val="0"/>
                <w:szCs w:val="21"/>
                <w:highlight w:val="none"/>
              </w:rPr>
              <w:t>②</w:t>
            </w:r>
            <w:r>
              <w:rPr>
                <w:rFonts w:ascii="Times New Roman" w:hAnsi="Times New Roman" w:eastAsia="宋体"/>
                <w:snapToGrid w:val="0"/>
                <w:color w:val="auto"/>
                <w:spacing w:val="-6"/>
                <w:kern w:val="0"/>
                <w:szCs w:val="21"/>
                <w:highlight w:val="none"/>
              </w:rPr>
              <w:fldChar w:fldCharType="end"/>
            </w:r>
          </w:p>
        </w:tc>
        <w:tc>
          <w:tcPr>
            <w:tcW w:w="1701" w:type="dxa"/>
            <w:noWrap w:val="0"/>
            <w:tcMar>
              <w:left w:w="28" w:type="dxa"/>
              <w:right w:w="28" w:type="dxa"/>
            </w:tcMar>
            <w:vAlign w:val="center"/>
          </w:tcPr>
          <w:p w14:paraId="3BA33BD0">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t>在建工程</w:t>
            </w:r>
          </w:p>
          <w:p w14:paraId="576D57A6">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t>排放量（固</w:t>
            </w:r>
            <w:r>
              <w:rPr>
                <w:rFonts w:hint="eastAsia" w:ascii="Times New Roman" w:hAnsi="Times New Roman" w:eastAsia="宋体"/>
                <w:snapToGrid w:val="0"/>
                <w:color w:val="auto"/>
                <w:spacing w:val="-6"/>
                <w:kern w:val="0"/>
                <w:szCs w:val="21"/>
                <w:highlight w:val="none"/>
              </w:rPr>
              <w:t>体</w:t>
            </w:r>
            <w:r>
              <w:rPr>
                <w:rFonts w:ascii="Times New Roman" w:hAnsi="Times New Roman" w:eastAsia="宋体"/>
                <w:snapToGrid w:val="0"/>
                <w:color w:val="auto"/>
                <w:spacing w:val="-6"/>
                <w:kern w:val="0"/>
                <w:szCs w:val="21"/>
                <w:highlight w:val="none"/>
              </w:rPr>
              <w:t>废</w:t>
            </w:r>
            <w:r>
              <w:rPr>
                <w:rFonts w:hint="eastAsia" w:ascii="Times New Roman" w:hAnsi="Times New Roman" w:eastAsia="宋体"/>
                <w:snapToGrid w:val="0"/>
                <w:color w:val="auto"/>
                <w:spacing w:val="-6"/>
                <w:kern w:val="0"/>
                <w:szCs w:val="21"/>
                <w:highlight w:val="none"/>
              </w:rPr>
              <w:t>物</w:t>
            </w:r>
            <w:r>
              <w:rPr>
                <w:rFonts w:ascii="Times New Roman" w:hAnsi="Times New Roman" w:eastAsia="宋体"/>
                <w:snapToGrid w:val="0"/>
                <w:color w:val="auto"/>
                <w:spacing w:val="-6"/>
                <w:kern w:val="0"/>
                <w:szCs w:val="21"/>
                <w:highlight w:val="none"/>
              </w:rPr>
              <w:t>产生量）</w:t>
            </w:r>
            <w:r>
              <w:rPr>
                <w:rFonts w:ascii="Times New Roman" w:hAnsi="Times New Roman" w:eastAsia="宋体"/>
                <w:snapToGrid w:val="0"/>
                <w:color w:val="auto"/>
                <w:spacing w:val="-6"/>
                <w:kern w:val="0"/>
                <w:szCs w:val="21"/>
                <w:highlight w:val="none"/>
              </w:rPr>
              <w:fldChar w:fldCharType="begin"/>
            </w:r>
            <w:r>
              <w:rPr>
                <w:rFonts w:ascii="Times New Roman" w:hAnsi="Times New Roman" w:eastAsia="宋体"/>
                <w:snapToGrid w:val="0"/>
                <w:color w:val="auto"/>
                <w:spacing w:val="-6"/>
                <w:kern w:val="0"/>
                <w:szCs w:val="21"/>
                <w:highlight w:val="none"/>
              </w:rPr>
              <w:instrText xml:space="preserve"> = 3 \* GB3 \* MERGEFORMAT </w:instrText>
            </w:r>
            <w:r>
              <w:rPr>
                <w:rFonts w:ascii="Times New Roman" w:hAnsi="Times New Roman" w:eastAsia="宋体"/>
                <w:snapToGrid w:val="0"/>
                <w:color w:val="auto"/>
                <w:spacing w:val="-6"/>
                <w:kern w:val="0"/>
                <w:szCs w:val="21"/>
                <w:highlight w:val="none"/>
              </w:rPr>
              <w:fldChar w:fldCharType="separate"/>
            </w:r>
            <w:r>
              <w:rPr>
                <w:rFonts w:hint="eastAsia" w:ascii="Times New Roman" w:hAnsi="Times New Roman" w:eastAsia="宋体" w:cs="宋体"/>
                <w:color w:val="auto"/>
                <w:kern w:val="0"/>
                <w:szCs w:val="21"/>
                <w:highlight w:val="none"/>
              </w:rPr>
              <w:t>③</w:t>
            </w:r>
            <w:r>
              <w:rPr>
                <w:rFonts w:ascii="Times New Roman" w:hAnsi="Times New Roman" w:eastAsia="宋体"/>
                <w:snapToGrid w:val="0"/>
                <w:color w:val="auto"/>
                <w:spacing w:val="-6"/>
                <w:kern w:val="0"/>
                <w:szCs w:val="21"/>
                <w:highlight w:val="none"/>
              </w:rPr>
              <w:fldChar w:fldCharType="end"/>
            </w:r>
          </w:p>
        </w:tc>
        <w:tc>
          <w:tcPr>
            <w:tcW w:w="1559" w:type="dxa"/>
            <w:noWrap w:val="0"/>
            <w:tcMar>
              <w:left w:w="28" w:type="dxa"/>
              <w:right w:w="28" w:type="dxa"/>
            </w:tcMar>
            <w:vAlign w:val="center"/>
          </w:tcPr>
          <w:p w14:paraId="4682C421">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t>本项目</w:t>
            </w:r>
          </w:p>
          <w:p w14:paraId="61ECF625">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t>排放量（固</w:t>
            </w:r>
            <w:r>
              <w:rPr>
                <w:rFonts w:hint="eastAsia" w:ascii="Times New Roman" w:hAnsi="Times New Roman" w:eastAsia="宋体"/>
                <w:snapToGrid w:val="0"/>
                <w:color w:val="auto"/>
                <w:spacing w:val="-6"/>
                <w:kern w:val="0"/>
                <w:szCs w:val="21"/>
                <w:highlight w:val="none"/>
              </w:rPr>
              <w:t>体</w:t>
            </w:r>
            <w:r>
              <w:rPr>
                <w:rFonts w:ascii="Times New Roman" w:hAnsi="Times New Roman" w:eastAsia="宋体"/>
                <w:snapToGrid w:val="0"/>
                <w:color w:val="auto"/>
                <w:spacing w:val="-6"/>
                <w:kern w:val="0"/>
                <w:szCs w:val="21"/>
                <w:highlight w:val="none"/>
              </w:rPr>
              <w:t>废</w:t>
            </w:r>
            <w:r>
              <w:rPr>
                <w:rFonts w:hint="eastAsia" w:ascii="Times New Roman" w:hAnsi="Times New Roman" w:eastAsia="宋体"/>
                <w:snapToGrid w:val="0"/>
                <w:color w:val="auto"/>
                <w:spacing w:val="-6"/>
                <w:kern w:val="0"/>
                <w:szCs w:val="21"/>
                <w:highlight w:val="none"/>
              </w:rPr>
              <w:t>物</w:t>
            </w:r>
            <w:r>
              <w:rPr>
                <w:rFonts w:ascii="Times New Roman" w:hAnsi="Times New Roman" w:eastAsia="宋体"/>
                <w:snapToGrid w:val="0"/>
                <w:color w:val="auto"/>
                <w:spacing w:val="-6"/>
                <w:kern w:val="0"/>
                <w:szCs w:val="21"/>
                <w:highlight w:val="none"/>
              </w:rPr>
              <w:t>产生量）</w:t>
            </w:r>
            <w:r>
              <w:rPr>
                <w:rFonts w:ascii="Times New Roman" w:hAnsi="Times New Roman" w:eastAsia="宋体"/>
                <w:snapToGrid w:val="0"/>
                <w:color w:val="auto"/>
                <w:spacing w:val="-6"/>
                <w:kern w:val="0"/>
                <w:szCs w:val="21"/>
                <w:highlight w:val="none"/>
              </w:rPr>
              <w:fldChar w:fldCharType="begin"/>
            </w:r>
            <w:r>
              <w:rPr>
                <w:rFonts w:ascii="Times New Roman" w:hAnsi="Times New Roman" w:eastAsia="宋体"/>
                <w:snapToGrid w:val="0"/>
                <w:color w:val="auto"/>
                <w:spacing w:val="-6"/>
                <w:kern w:val="0"/>
                <w:szCs w:val="21"/>
                <w:highlight w:val="none"/>
              </w:rPr>
              <w:instrText xml:space="preserve"> = 4 \* GB3 \* MERGEFORMAT </w:instrText>
            </w:r>
            <w:r>
              <w:rPr>
                <w:rFonts w:ascii="Times New Roman" w:hAnsi="Times New Roman" w:eastAsia="宋体"/>
                <w:snapToGrid w:val="0"/>
                <w:color w:val="auto"/>
                <w:spacing w:val="-6"/>
                <w:kern w:val="0"/>
                <w:szCs w:val="21"/>
                <w:highlight w:val="none"/>
              </w:rPr>
              <w:fldChar w:fldCharType="separate"/>
            </w:r>
            <w:r>
              <w:rPr>
                <w:rFonts w:hint="eastAsia" w:ascii="Times New Roman" w:hAnsi="Times New Roman" w:eastAsia="宋体" w:cs="宋体"/>
                <w:color w:val="auto"/>
                <w:kern w:val="0"/>
                <w:szCs w:val="21"/>
                <w:highlight w:val="none"/>
              </w:rPr>
              <w:t>④</w:t>
            </w:r>
            <w:r>
              <w:rPr>
                <w:rFonts w:ascii="Times New Roman" w:hAnsi="Times New Roman" w:eastAsia="宋体"/>
                <w:snapToGrid w:val="0"/>
                <w:color w:val="auto"/>
                <w:spacing w:val="-6"/>
                <w:kern w:val="0"/>
                <w:szCs w:val="21"/>
                <w:highlight w:val="none"/>
              </w:rPr>
              <w:fldChar w:fldCharType="end"/>
            </w:r>
          </w:p>
        </w:tc>
        <w:tc>
          <w:tcPr>
            <w:tcW w:w="1761" w:type="dxa"/>
            <w:noWrap w:val="0"/>
            <w:tcMar>
              <w:left w:w="28" w:type="dxa"/>
              <w:right w:w="28" w:type="dxa"/>
            </w:tcMar>
            <w:vAlign w:val="center"/>
          </w:tcPr>
          <w:p w14:paraId="007A5AA6">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snapToGrid w:val="0"/>
                <w:color w:val="auto"/>
                <w:spacing w:val="-16"/>
                <w:kern w:val="0"/>
                <w:szCs w:val="21"/>
                <w:highlight w:val="none"/>
              </w:rPr>
            </w:pPr>
            <w:r>
              <w:rPr>
                <w:rFonts w:ascii="Times New Roman" w:hAnsi="Times New Roman" w:eastAsia="宋体"/>
                <w:snapToGrid w:val="0"/>
                <w:color w:val="auto"/>
                <w:spacing w:val="-16"/>
                <w:kern w:val="0"/>
                <w:szCs w:val="21"/>
                <w:highlight w:val="none"/>
              </w:rPr>
              <w:t>以新带老削减量</w:t>
            </w:r>
          </w:p>
          <w:p w14:paraId="63B24930">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16"/>
                <w:kern w:val="0"/>
                <w:szCs w:val="21"/>
                <w:highlight w:val="none"/>
              </w:rPr>
            </w:pPr>
            <w:r>
              <w:rPr>
                <w:rFonts w:ascii="Times New Roman" w:hAnsi="Times New Roman" w:eastAsia="宋体"/>
                <w:snapToGrid w:val="0"/>
                <w:color w:val="auto"/>
                <w:spacing w:val="-16"/>
                <w:kern w:val="0"/>
                <w:szCs w:val="21"/>
                <w:highlight w:val="none"/>
              </w:rPr>
              <w:t>（新建项目不填）</w:t>
            </w:r>
            <w:r>
              <w:rPr>
                <w:rFonts w:ascii="Times New Roman" w:hAnsi="Times New Roman" w:eastAsia="宋体"/>
                <w:snapToGrid w:val="0"/>
                <w:color w:val="auto"/>
                <w:spacing w:val="-16"/>
                <w:kern w:val="0"/>
                <w:szCs w:val="21"/>
                <w:highlight w:val="none"/>
              </w:rPr>
              <w:fldChar w:fldCharType="begin"/>
            </w:r>
            <w:r>
              <w:rPr>
                <w:rFonts w:ascii="Times New Roman" w:hAnsi="Times New Roman" w:eastAsia="宋体"/>
                <w:snapToGrid w:val="0"/>
                <w:color w:val="auto"/>
                <w:spacing w:val="-16"/>
                <w:kern w:val="0"/>
                <w:szCs w:val="21"/>
                <w:highlight w:val="none"/>
              </w:rPr>
              <w:instrText xml:space="preserve"> = 5 \* GB3 \* MERGEFORMAT </w:instrText>
            </w:r>
            <w:r>
              <w:rPr>
                <w:rFonts w:ascii="Times New Roman" w:hAnsi="Times New Roman" w:eastAsia="宋体"/>
                <w:snapToGrid w:val="0"/>
                <w:color w:val="auto"/>
                <w:spacing w:val="-16"/>
                <w:kern w:val="0"/>
                <w:szCs w:val="21"/>
                <w:highlight w:val="none"/>
              </w:rPr>
              <w:fldChar w:fldCharType="separate"/>
            </w:r>
            <w:r>
              <w:rPr>
                <w:rFonts w:hint="eastAsia" w:ascii="Times New Roman" w:hAnsi="Times New Roman" w:eastAsia="宋体" w:cs="宋体"/>
                <w:color w:val="auto"/>
                <w:kern w:val="0"/>
                <w:szCs w:val="21"/>
                <w:highlight w:val="none"/>
              </w:rPr>
              <w:t>⑤</w:t>
            </w:r>
            <w:r>
              <w:rPr>
                <w:rFonts w:ascii="Times New Roman" w:hAnsi="Times New Roman" w:eastAsia="宋体"/>
                <w:snapToGrid w:val="0"/>
                <w:color w:val="auto"/>
                <w:spacing w:val="-16"/>
                <w:kern w:val="0"/>
                <w:szCs w:val="21"/>
                <w:highlight w:val="none"/>
              </w:rPr>
              <w:fldChar w:fldCharType="end"/>
            </w:r>
          </w:p>
        </w:tc>
        <w:tc>
          <w:tcPr>
            <w:tcW w:w="1959" w:type="dxa"/>
            <w:noWrap w:val="0"/>
            <w:tcMar>
              <w:left w:w="28" w:type="dxa"/>
              <w:right w:w="28" w:type="dxa"/>
            </w:tcMar>
            <w:vAlign w:val="center"/>
          </w:tcPr>
          <w:p w14:paraId="0FCACCAD">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snapToGrid w:val="0"/>
                <w:color w:val="auto"/>
                <w:spacing w:val="-16"/>
                <w:kern w:val="0"/>
                <w:szCs w:val="21"/>
                <w:highlight w:val="none"/>
              </w:rPr>
            </w:pPr>
            <w:r>
              <w:rPr>
                <w:rFonts w:ascii="Times New Roman" w:hAnsi="Times New Roman" w:eastAsia="宋体"/>
                <w:snapToGrid w:val="0"/>
                <w:color w:val="auto"/>
                <w:spacing w:val="-16"/>
                <w:kern w:val="0"/>
                <w:szCs w:val="21"/>
                <w:highlight w:val="none"/>
              </w:rPr>
              <w:t>本项目建成后</w:t>
            </w:r>
          </w:p>
          <w:p w14:paraId="1C896995">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16"/>
                <w:kern w:val="0"/>
                <w:szCs w:val="21"/>
                <w:highlight w:val="none"/>
              </w:rPr>
            </w:pPr>
            <w:r>
              <w:rPr>
                <w:rFonts w:hint="eastAsia" w:ascii="Times New Roman" w:hAnsi="Times New Roman" w:eastAsia="宋体"/>
                <w:snapToGrid w:val="0"/>
                <w:color w:val="auto"/>
                <w:spacing w:val="-16"/>
                <w:kern w:val="0"/>
                <w:szCs w:val="21"/>
                <w:highlight w:val="none"/>
              </w:rPr>
              <w:t>全厂</w:t>
            </w:r>
            <w:r>
              <w:rPr>
                <w:rFonts w:ascii="Times New Roman" w:hAnsi="Times New Roman" w:eastAsia="宋体"/>
                <w:snapToGrid w:val="0"/>
                <w:color w:val="auto"/>
                <w:spacing w:val="-16"/>
                <w:kern w:val="0"/>
                <w:szCs w:val="21"/>
                <w:highlight w:val="none"/>
              </w:rPr>
              <w:t>排放量（固</w:t>
            </w:r>
            <w:r>
              <w:rPr>
                <w:rFonts w:hint="eastAsia" w:ascii="Times New Roman" w:hAnsi="Times New Roman" w:eastAsia="宋体"/>
                <w:snapToGrid w:val="0"/>
                <w:color w:val="auto"/>
                <w:spacing w:val="-16"/>
                <w:kern w:val="0"/>
                <w:szCs w:val="21"/>
                <w:highlight w:val="none"/>
              </w:rPr>
              <w:t>体</w:t>
            </w:r>
            <w:r>
              <w:rPr>
                <w:rFonts w:ascii="Times New Roman" w:hAnsi="Times New Roman" w:eastAsia="宋体"/>
                <w:snapToGrid w:val="0"/>
                <w:color w:val="auto"/>
                <w:spacing w:val="-16"/>
                <w:kern w:val="0"/>
                <w:szCs w:val="21"/>
                <w:highlight w:val="none"/>
              </w:rPr>
              <w:t>废</w:t>
            </w:r>
            <w:r>
              <w:rPr>
                <w:rFonts w:hint="eastAsia" w:ascii="Times New Roman" w:hAnsi="Times New Roman" w:eastAsia="宋体"/>
                <w:snapToGrid w:val="0"/>
                <w:color w:val="auto"/>
                <w:spacing w:val="-16"/>
                <w:kern w:val="0"/>
                <w:szCs w:val="21"/>
                <w:highlight w:val="none"/>
              </w:rPr>
              <w:t>物</w:t>
            </w:r>
            <w:r>
              <w:rPr>
                <w:rFonts w:ascii="Times New Roman" w:hAnsi="Times New Roman" w:eastAsia="宋体"/>
                <w:snapToGrid w:val="0"/>
                <w:color w:val="auto"/>
                <w:spacing w:val="-16"/>
                <w:kern w:val="0"/>
                <w:szCs w:val="21"/>
                <w:highlight w:val="none"/>
              </w:rPr>
              <w:t>产生量）</w:t>
            </w:r>
            <w:r>
              <w:rPr>
                <w:rFonts w:ascii="Times New Roman" w:hAnsi="Times New Roman" w:eastAsia="宋体"/>
                <w:snapToGrid w:val="0"/>
                <w:color w:val="auto"/>
                <w:spacing w:val="-16"/>
                <w:kern w:val="0"/>
                <w:szCs w:val="21"/>
                <w:highlight w:val="none"/>
              </w:rPr>
              <w:fldChar w:fldCharType="begin"/>
            </w:r>
            <w:r>
              <w:rPr>
                <w:rFonts w:ascii="Times New Roman" w:hAnsi="Times New Roman" w:eastAsia="宋体"/>
                <w:snapToGrid w:val="0"/>
                <w:color w:val="auto"/>
                <w:spacing w:val="-16"/>
                <w:kern w:val="0"/>
                <w:szCs w:val="21"/>
                <w:highlight w:val="none"/>
              </w:rPr>
              <w:instrText xml:space="preserve"> = 6 \* GB3 \* MERGEFORMAT </w:instrText>
            </w:r>
            <w:r>
              <w:rPr>
                <w:rFonts w:ascii="Times New Roman" w:hAnsi="Times New Roman" w:eastAsia="宋体"/>
                <w:snapToGrid w:val="0"/>
                <w:color w:val="auto"/>
                <w:spacing w:val="-16"/>
                <w:kern w:val="0"/>
                <w:szCs w:val="21"/>
                <w:highlight w:val="none"/>
              </w:rPr>
              <w:fldChar w:fldCharType="separate"/>
            </w:r>
            <w:r>
              <w:rPr>
                <w:rFonts w:hint="eastAsia" w:ascii="Times New Roman" w:hAnsi="Times New Roman" w:eastAsia="宋体" w:cs="宋体"/>
                <w:color w:val="auto"/>
                <w:kern w:val="0"/>
                <w:szCs w:val="21"/>
                <w:highlight w:val="none"/>
              </w:rPr>
              <w:t>⑥</w:t>
            </w:r>
            <w:r>
              <w:rPr>
                <w:rFonts w:ascii="Times New Roman" w:hAnsi="Times New Roman" w:eastAsia="宋体"/>
                <w:snapToGrid w:val="0"/>
                <w:color w:val="auto"/>
                <w:spacing w:val="-16"/>
                <w:kern w:val="0"/>
                <w:szCs w:val="21"/>
                <w:highlight w:val="none"/>
              </w:rPr>
              <w:fldChar w:fldCharType="end"/>
            </w:r>
          </w:p>
        </w:tc>
        <w:tc>
          <w:tcPr>
            <w:tcW w:w="1383" w:type="dxa"/>
            <w:noWrap w:val="0"/>
            <w:tcMar>
              <w:left w:w="28" w:type="dxa"/>
              <w:right w:w="28" w:type="dxa"/>
            </w:tcMar>
            <w:vAlign w:val="center"/>
          </w:tcPr>
          <w:p w14:paraId="06271FC6">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t>变化量</w:t>
            </w:r>
          </w:p>
          <w:p w14:paraId="764AA51E">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0"/>
                <w:szCs w:val="21"/>
                <w:highlight w:val="none"/>
              </w:rPr>
            </w:pPr>
            <w:r>
              <w:rPr>
                <w:rFonts w:ascii="Times New Roman" w:hAnsi="Times New Roman" w:eastAsia="宋体"/>
                <w:snapToGrid w:val="0"/>
                <w:color w:val="auto"/>
                <w:spacing w:val="-6"/>
                <w:kern w:val="0"/>
                <w:szCs w:val="21"/>
                <w:highlight w:val="none"/>
              </w:rPr>
              <w:fldChar w:fldCharType="begin"/>
            </w:r>
            <w:r>
              <w:rPr>
                <w:rFonts w:ascii="Times New Roman" w:hAnsi="Times New Roman" w:eastAsia="宋体"/>
                <w:snapToGrid w:val="0"/>
                <w:color w:val="auto"/>
                <w:spacing w:val="-6"/>
                <w:kern w:val="0"/>
                <w:szCs w:val="21"/>
                <w:highlight w:val="none"/>
              </w:rPr>
              <w:instrText xml:space="preserve"> = 7 \* GB3 \* MERGEFORMAT </w:instrText>
            </w:r>
            <w:r>
              <w:rPr>
                <w:rFonts w:ascii="Times New Roman" w:hAnsi="Times New Roman" w:eastAsia="宋体"/>
                <w:snapToGrid w:val="0"/>
                <w:color w:val="auto"/>
                <w:spacing w:val="-6"/>
                <w:kern w:val="0"/>
                <w:szCs w:val="21"/>
                <w:highlight w:val="none"/>
              </w:rPr>
              <w:fldChar w:fldCharType="separate"/>
            </w:r>
            <w:r>
              <w:rPr>
                <w:rFonts w:hint="eastAsia" w:ascii="Times New Roman" w:hAnsi="Times New Roman" w:eastAsia="宋体" w:cs="宋体"/>
                <w:color w:val="auto"/>
                <w:kern w:val="0"/>
                <w:szCs w:val="21"/>
                <w:highlight w:val="none"/>
              </w:rPr>
              <w:t>⑦</w:t>
            </w:r>
            <w:r>
              <w:rPr>
                <w:rFonts w:ascii="Times New Roman" w:hAnsi="Times New Roman" w:eastAsia="宋体"/>
                <w:snapToGrid w:val="0"/>
                <w:color w:val="auto"/>
                <w:spacing w:val="-6"/>
                <w:kern w:val="0"/>
                <w:szCs w:val="21"/>
                <w:highlight w:val="none"/>
              </w:rPr>
              <w:fldChar w:fldCharType="end"/>
            </w:r>
          </w:p>
        </w:tc>
      </w:tr>
      <w:tr w14:paraId="69F1B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296" w:type="dxa"/>
            <w:vMerge w:val="restart"/>
            <w:noWrap w:val="0"/>
            <w:vAlign w:val="center"/>
          </w:tcPr>
          <w:p w14:paraId="409E27C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hint="eastAsia" w:ascii="Times New Roman" w:hAnsi="Times New Roman" w:eastAsia="宋体" w:cs="宋体"/>
                <w:snapToGrid w:val="0"/>
                <w:color w:val="auto"/>
                <w:kern w:val="0"/>
                <w:szCs w:val="21"/>
                <w:highlight w:val="none"/>
              </w:rPr>
              <w:t>废气</w:t>
            </w:r>
          </w:p>
        </w:tc>
        <w:tc>
          <w:tcPr>
            <w:tcW w:w="781" w:type="dxa"/>
            <w:vMerge w:val="restart"/>
            <w:noWrap w:val="0"/>
            <w:vAlign w:val="center"/>
          </w:tcPr>
          <w:p w14:paraId="15D4C1F0">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snapToGrid w:val="0"/>
                <w:color w:val="auto"/>
                <w:kern w:val="0"/>
                <w:szCs w:val="21"/>
                <w:highlight w:val="none"/>
              </w:rPr>
            </w:pPr>
            <w:r>
              <w:rPr>
                <w:rFonts w:hint="eastAsia" w:ascii="Times New Roman" w:hAnsi="Times New Roman" w:eastAsia="宋体" w:cs="宋体"/>
                <w:snapToGrid w:val="0"/>
                <w:color w:val="auto"/>
                <w:kern w:val="0"/>
                <w:szCs w:val="21"/>
                <w:highlight w:val="none"/>
                <w:lang w:val="en-US" w:eastAsia="zh-CN"/>
              </w:rPr>
              <w:t>颗粒物</w:t>
            </w:r>
          </w:p>
        </w:tc>
        <w:tc>
          <w:tcPr>
            <w:tcW w:w="928" w:type="dxa"/>
            <w:noWrap w:val="0"/>
            <w:vAlign w:val="center"/>
          </w:tcPr>
          <w:p w14:paraId="08A85EC2">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hint="eastAsia" w:ascii="Times New Roman" w:cs="宋体"/>
                <w:snapToGrid w:val="0"/>
                <w:color w:val="auto"/>
                <w:kern w:val="0"/>
                <w:szCs w:val="21"/>
                <w:highlight w:val="none"/>
                <w:lang w:val="en-US" w:eastAsia="zh-CN"/>
              </w:rPr>
              <w:t>有组织</w:t>
            </w:r>
          </w:p>
        </w:tc>
        <w:tc>
          <w:tcPr>
            <w:tcW w:w="1701" w:type="dxa"/>
            <w:noWrap w:val="0"/>
            <w:vAlign w:val="center"/>
          </w:tcPr>
          <w:p w14:paraId="17B8D3FF">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ascii="Times New Roman" w:hAnsi="Times New Roman" w:eastAsia="宋体"/>
                <w:color w:val="auto"/>
                <w:kern w:val="0"/>
                <w:szCs w:val="21"/>
                <w:highlight w:val="none"/>
              </w:rPr>
              <w:t>0</w:t>
            </w:r>
          </w:p>
        </w:tc>
        <w:tc>
          <w:tcPr>
            <w:tcW w:w="1276" w:type="dxa"/>
            <w:noWrap w:val="0"/>
            <w:vAlign w:val="center"/>
          </w:tcPr>
          <w:p w14:paraId="5BE4FB70">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701" w:type="dxa"/>
            <w:noWrap w:val="0"/>
            <w:vAlign w:val="center"/>
          </w:tcPr>
          <w:p w14:paraId="04E05D56">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559" w:type="dxa"/>
            <w:noWrap w:val="0"/>
            <w:vAlign w:val="top"/>
          </w:tcPr>
          <w:p w14:paraId="46E253A6">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snapToGrid w:val="0"/>
                <w:color w:val="auto"/>
                <w:kern w:val="0"/>
                <w:szCs w:val="21"/>
                <w:highlight w:val="none"/>
              </w:rPr>
            </w:pPr>
            <w:r>
              <w:rPr>
                <w:rFonts w:hint="eastAsia" w:ascii="Times New Roman"/>
                <w:color w:val="auto"/>
                <w:kern w:val="0"/>
                <w:highlight w:val="none"/>
                <w:lang w:val="en-US" w:eastAsia="zh-CN"/>
              </w:rPr>
              <w:t>8.928</w:t>
            </w:r>
            <w:r>
              <w:rPr>
                <w:rFonts w:hint="eastAsia" w:ascii="Times New Roman" w:hAnsi="Times New Roman" w:eastAsia="宋体"/>
                <w:color w:val="auto"/>
                <w:kern w:val="0"/>
                <w:highlight w:val="none"/>
              </w:rPr>
              <w:t>t</w:t>
            </w:r>
            <w:r>
              <w:rPr>
                <w:rFonts w:ascii="Times New Roman" w:hAnsi="Times New Roman" w:eastAsia="宋体"/>
                <w:color w:val="auto"/>
                <w:kern w:val="0"/>
                <w:highlight w:val="none"/>
              </w:rPr>
              <w:t>/a</w:t>
            </w:r>
          </w:p>
        </w:tc>
        <w:tc>
          <w:tcPr>
            <w:tcW w:w="1761" w:type="dxa"/>
            <w:noWrap w:val="0"/>
            <w:vAlign w:val="center"/>
          </w:tcPr>
          <w:p w14:paraId="0BE6F41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959" w:type="dxa"/>
            <w:noWrap w:val="0"/>
            <w:vAlign w:val="top"/>
          </w:tcPr>
          <w:p w14:paraId="2F95BD7B">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snapToGrid w:val="0"/>
                <w:color w:val="auto"/>
                <w:kern w:val="0"/>
                <w:szCs w:val="21"/>
                <w:highlight w:val="none"/>
              </w:rPr>
            </w:pPr>
            <w:r>
              <w:rPr>
                <w:rFonts w:hint="eastAsia" w:ascii="Times New Roman"/>
                <w:color w:val="auto"/>
                <w:kern w:val="0"/>
                <w:highlight w:val="none"/>
                <w:lang w:val="en-US" w:eastAsia="zh-CN"/>
              </w:rPr>
              <w:t>8.928</w:t>
            </w:r>
            <w:r>
              <w:rPr>
                <w:rFonts w:hint="eastAsia" w:ascii="Times New Roman" w:hAnsi="Times New Roman" w:eastAsia="宋体"/>
                <w:color w:val="auto"/>
                <w:kern w:val="0"/>
                <w:highlight w:val="none"/>
              </w:rPr>
              <w:t>t</w:t>
            </w:r>
            <w:r>
              <w:rPr>
                <w:rFonts w:ascii="Times New Roman" w:hAnsi="Times New Roman" w:eastAsia="宋体"/>
                <w:color w:val="auto"/>
                <w:kern w:val="0"/>
                <w:highlight w:val="none"/>
              </w:rPr>
              <w:t>/a</w:t>
            </w:r>
          </w:p>
        </w:tc>
        <w:tc>
          <w:tcPr>
            <w:tcW w:w="1383" w:type="dxa"/>
            <w:noWrap w:val="0"/>
            <w:vAlign w:val="top"/>
          </w:tcPr>
          <w:p w14:paraId="737BAEB7">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snapToGrid w:val="0"/>
                <w:color w:val="auto"/>
                <w:kern w:val="0"/>
                <w:szCs w:val="21"/>
                <w:highlight w:val="none"/>
              </w:rPr>
            </w:pPr>
            <w:r>
              <w:rPr>
                <w:rFonts w:hint="eastAsia" w:ascii="Times New Roman" w:hAnsi="Times New Roman" w:eastAsia="宋体"/>
                <w:color w:val="auto"/>
                <w:kern w:val="0"/>
                <w:szCs w:val="21"/>
                <w:highlight w:val="none"/>
                <w:lang w:val="en-US" w:eastAsia="zh-CN"/>
              </w:rPr>
              <w:t>+</w:t>
            </w:r>
            <w:r>
              <w:rPr>
                <w:rFonts w:hint="eastAsia" w:ascii="Times New Roman"/>
                <w:color w:val="auto"/>
                <w:kern w:val="0"/>
                <w:highlight w:val="none"/>
                <w:lang w:val="en-US" w:eastAsia="zh-CN"/>
              </w:rPr>
              <w:t>8.928</w:t>
            </w:r>
            <w:r>
              <w:rPr>
                <w:rFonts w:hint="eastAsia" w:ascii="Times New Roman" w:hAnsi="Times New Roman" w:eastAsia="宋体"/>
                <w:color w:val="auto"/>
                <w:kern w:val="0"/>
                <w:highlight w:val="none"/>
              </w:rPr>
              <w:t>t</w:t>
            </w:r>
            <w:r>
              <w:rPr>
                <w:rFonts w:ascii="Times New Roman" w:hAnsi="Times New Roman" w:eastAsia="宋体"/>
                <w:color w:val="auto"/>
                <w:kern w:val="0"/>
                <w:highlight w:val="none"/>
              </w:rPr>
              <w:t>/a</w:t>
            </w:r>
          </w:p>
        </w:tc>
      </w:tr>
      <w:tr w14:paraId="1E431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296" w:type="dxa"/>
            <w:vMerge w:val="continue"/>
            <w:noWrap w:val="0"/>
            <w:vAlign w:val="center"/>
          </w:tcPr>
          <w:p w14:paraId="7C7119AE">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p>
        </w:tc>
        <w:tc>
          <w:tcPr>
            <w:tcW w:w="781" w:type="dxa"/>
            <w:vMerge w:val="continue"/>
            <w:noWrap w:val="0"/>
            <w:vAlign w:val="center"/>
          </w:tcPr>
          <w:p w14:paraId="428BC78A">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snapToGrid w:val="0"/>
                <w:color w:val="auto"/>
                <w:kern w:val="0"/>
                <w:szCs w:val="21"/>
                <w:highlight w:val="none"/>
                <w:lang w:val="en-US" w:eastAsia="zh-CN"/>
              </w:rPr>
            </w:pPr>
          </w:p>
        </w:tc>
        <w:tc>
          <w:tcPr>
            <w:tcW w:w="928" w:type="dxa"/>
            <w:noWrap w:val="0"/>
            <w:vAlign w:val="center"/>
          </w:tcPr>
          <w:p w14:paraId="6E2438BF">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hint="eastAsia" w:ascii="Times New Roman" w:cs="宋体"/>
                <w:snapToGrid w:val="0"/>
                <w:color w:val="auto"/>
                <w:kern w:val="0"/>
                <w:szCs w:val="21"/>
                <w:highlight w:val="none"/>
                <w:lang w:val="en-US" w:eastAsia="zh-CN"/>
              </w:rPr>
              <w:t>无组织</w:t>
            </w:r>
          </w:p>
        </w:tc>
        <w:tc>
          <w:tcPr>
            <w:tcW w:w="1701" w:type="dxa"/>
            <w:noWrap w:val="0"/>
            <w:vAlign w:val="center"/>
          </w:tcPr>
          <w:p w14:paraId="024CF4A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olor w:val="auto"/>
                <w:kern w:val="0"/>
                <w:szCs w:val="21"/>
                <w:highlight w:val="none"/>
              </w:rPr>
            </w:pPr>
          </w:p>
        </w:tc>
        <w:tc>
          <w:tcPr>
            <w:tcW w:w="1276" w:type="dxa"/>
            <w:noWrap w:val="0"/>
            <w:vAlign w:val="center"/>
          </w:tcPr>
          <w:p w14:paraId="1530F730">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olor w:val="auto"/>
                <w:kern w:val="0"/>
                <w:szCs w:val="21"/>
                <w:highlight w:val="none"/>
              </w:rPr>
            </w:pPr>
          </w:p>
        </w:tc>
        <w:tc>
          <w:tcPr>
            <w:tcW w:w="1701" w:type="dxa"/>
            <w:noWrap w:val="0"/>
            <w:vAlign w:val="center"/>
          </w:tcPr>
          <w:p w14:paraId="6502548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olor w:val="auto"/>
                <w:kern w:val="0"/>
                <w:szCs w:val="21"/>
                <w:highlight w:val="none"/>
              </w:rPr>
            </w:pPr>
          </w:p>
        </w:tc>
        <w:tc>
          <w:tcPr>
            <w:tcW w:w="1559" w:type="dxa"/>
            <w:noWrap w:val="0"/>
            <w:vAlign w:val="top"/>
          </w:tcPr>
          <w:p w14:paraId="6E76085B">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olor w:val="auto"/>
                <w:kern w:val="0"/>
                <w:highlight w:val="none"/>
                <w:lang w:val="en-US" w:eastAsia="zh-CN"/>
              </w:rPr>
            </w:pPr>
            <w:r>
              <w:rPr>
                <w:rFonts w:hint="eastAsia" w:ascii="Times New Roman"/>
                <w:color w:val="auto"/>
                <w:kern w:val="0"/>
                <w:highlight w:val="none"/>
                <w:lang w:val="en-US" w:eastAsia="zh-CN"/>
              </w:rPr>
              <w:t>38.0541</w:t>
            </w:r>
            <w:r>
              <w:rPr>
                <w:rFonts w:hint="eastAsia" w:ascii="Times New Roman" w:hAnsi="Times New Roman" w:eastAsia="宋体"/>
                <w:color w:val="auto"/>
                <w:kern w:val="0"/>
                <w:highlight w:val="none"/>
              </w:rPr>
              <w:t>t</w:t>
            </w:r>
            <w:r>
              <w:rPr>
                <w:rFonts w:ascii="Times New Roman" w:hAnsi="Times New Roman" w:eastAsia="宋体"/>
                <w:color w:val="auto"/>
                <w:kern w:val="0"/>
                <w:highlight w:val="none"/>
              </w:rPr>
              <w:t>/a</w:t>
            </w:r>
          </w:p>
        </w:tc>
        <w:tc>
          <w:tcPr>
            <w:tcW w:w="1761" w:type="dxa"/>
            <w:noWrap w:val="0"/>
            <w:vAlign w:val="center"/>
          </w:tcPr>
          <w:p w14:paraId="0871566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olor w:val="auto"/>
                <w:kern w:val="0"/>
                <w:szCs w:val="21"/>
                <w:highlight w:val="none"/>
              </w:rPr>
            </w:pPr>
          </w:p>
        </w:tc>
        <w:tc>
          <w:tcPr>
            <w:tcW w:w="1959" w:type="dxa"/>
            <w:noWrap w:val="0"/>
            <w:vAlign w:val="top"/>
          </w:tcPr>
          <w:p w14:paraId="499B2C20">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olor w:val="auto"/>
                <w:kern w:val="0"/>
                <w:highlight w:val="none"/>
                <w:lang w:val="en-US" w:eastAsia="zh-CN"/>
              </w:rPr>
            </w:pPr>
            <w:r>
              <w:rPr>
                <w:rFonts w:hint="eastAsia" w:ascii="Times New Roman"/>
                <w:color w:val="auto"/>
                <w:kern w:val="0"/>
                <w:highlight w:val="none"/>
                <w:lang w:val="en-US" w:eastAsia="zh-CN"/>
              </w:rPr>
              <w:t>38.0541</w:t>
            </w:r>
            <w:r>
              <w:rPr>
                <w:rFonts w:hint="eastAsia" w:ascii="Times New Roman" w:hAnsi="Times New Roman" w:eastAsia="宋体"/>
                <w:color w:val="auto"/>
                <w:kern w:val="0"/>
                <w:highlight w:val="none"/>
              </w:rPr>
              <w:t>t</w:t>
            </w:r>
            <w:r>
              <w:rPr>
                <w:rFonts w:ascii="Times New Roman" w:hAnsi="Times New Roman" w:eastAsia="宋体"/>
                <w:color w:val="auto"/>
                <w:kern w:val="0"/>
                <w:highlight w:val="none"/>
              </w:rPr>
              <w:t>/a</w:t>
            </w:r>
          </w:p>
        </w:tc>
        <w:tc>
          <w:tcPr>
            <w:tcW w:w="1383" w:type="dxa"/>
            <w:noWrap w:val="0"/>
            <w:vAlign w:val="top"/>
          </w:tcPr>
          <w:p w14:paraId="3FBFE8D2">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olor w:val="auto"/>
                <w:kern w:val="0"/>
                <w:szCs w:val="21"/>
                <w:highlight w:val="none"/>
                <w:lang w:val="en-US" w:eastAsia="zh-CN"/>
              </w:rPr>
            </w:pPr>
            <w:r>
              <w:rPr>
                <w:rFonts w:hint="eastAsia" w:ascii="Times New Roman"/>
                <w:color w:val="auto"/>
                <w:kern w:val="0"/>
                <w:highlight w:val="none"/>
                <w:lang w:val="en-US" w:eastAsia="zh-CN"/>
              </w:rPr>
              <w:t>+38.0541</w:t>
            </w:r>
            <w:r>
              <w:rPr>
                <w:rFonts w:hint="eastAsia" w:ascii="Times New Roman" w:hAnsi="Times New Roman" w:eastAsia="宋体"/>
                <w:color w:val="auto"/>
                <w:kern w:val="0"/>
                <w:highlight w:val="none"/>
              </w:rPr>
              <w:t>t</w:t>
            </w:r>
            <w:r>
              <w:rPr>
                <w:rFonts w:ascii="Times New Roman" w:hAnsi="Times New Roman" w:eastAsia="宋体"/>
                <w:color w:val="auto"/>
                <w:kern w:val="0"/>
                <w:highlight w:val="none"/>
              </w:rPr>
              <w:t>/a</w:t>
            </w:r>
          </w:p>
        </w:tc>
      </w:tr>
      <w:tr w14:paraId="71DBE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296" w:type="dxa"/>
            <w:vMerge w:val="restart"/>
            <w:noWrap w:val="0"/>
            <w:vAlign w:val="center"/>
          </w:tcPr>
          <w:p w14:paraId="68BA6CD0">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hint="eastAsia" w:ascii="Times New Roman" w:hAnsi="Times New Roman" w:eastAsia="宋体" w:cs="宋体"/>
                <w:snapToGrid w:val="0"/>
                <w:color w:val="auto"/>
                <w:kern w:val="0"/>
                <w:szCs w:val="21"/>
                <w:highlight w:val="none"/>
              </w:rPr>
              <w:t>废水</w:t>
            </w:r>
          </w:p>
        </w:tc>
        <w:tc>
          <w:tcPr>
            <w:tcW w:w="1709" w:type="dxa"/>
            <w:gridSpan w:val="2"/>
            <w:noWrap w:val="0"/>
            <w:vAlign w:val="center"/>
          </w:tcPr>
          <w:p w14:paraId="7124E92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hint="eastAsia" w:ascii="Times New Roman" w:hAnsi="Times New Roman" w:eastAsia="宋体"/>
                <w:snapToGrid w:val="0"/>
                <w:color w:val="auto"/>
                <w:kern w:val="0"/>
                <w:szCs w:val="21"/>
                <w:highlight w:val="none"/>
              </w:rPr>
              <w:t>废水</w:t>
            </w:r>
          </w:p>
        </w:tc>
        <w:tc>
          <w:tcPr>
            <w:tcW w:w="1701" w:type="dxa"/>
            <w:noWrap w:val="0"/>
            <w:vAlign w:val="center"/>
          </w:tcPr>
          <w:p w14:paraId="2F47B5AE">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eastAsia="宋体" w:cs="宋体"/>
                <w:snapToGrid w:val="0"/>
                <w:color w:val="auto"/>
                <w:kern w:val="0"/>
                <w:szCs w:val="21"/>
                <w:highlight w:val="none"/>
              </w:rPr>
              <w:t>0</w:t>
            </w:r>
          </w:p>
        </w:tc>
        <w:tc>
          <w:tcPr>
            <w:tcW w:w="1276" w:type="dxa"/>
            <w:noWrap w:val="0"/>
            <w:vAlign w:val="center"/>
          </w:tcPr>
          <w:p w14:paraId="252B4BE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hint="eastAsia" w:ascii="Times New Roman" w:hAnsi="Times New Roman" w:eastAsia="宋体" w:cs="宋体"/>
                <w:snapToGrid w:val="0"/>
                <w:color w:val="auto"/>
                <w:kern w:val="0"/>
                <w:szCs w:val="21"/>
                <w:highlight w:val="none"/>
              </w:rPr>
              <w:t>0</w:t>
            </w:r>
          </w:p>
        </w:tc>
        <w:tc>
          <w:tcPr>
            <w:tcW w:w="1701" w:type="dxa"/>
            <w:noWrap w:val="0"/>
            <w:vAlign w:val="center"/>
          </w:tcPr>
          <w:p w14:paraId="396CBBDE">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hint="eastAsia" w:ascii="Times New Roman" w:hAnsi="Times New Roman" w:eastAsia="宋体" w:cs="宋体"/>
                <w:snapToGrid w:val="0"/>
                <w:color w:val="auto"/>
                <w:kern w:val="0"/>
                <w:szCs w:val="21"/>
                <w:highlight w:val="none"/>
              </w:rPr>
              <w:t>0</w:t>
            </w:r>
          </w:p>
        </w:tc>
        <w:tc>
          <w:tcPr>
            <w:tcW w:w="1559" w:type="dxa"/>
            <w:noWrap w:val="0"/>
            <w:vAlign w:val="center"/>
          </w:tcPr>
          <w:p w14:paraId="5E7A88B1">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ascii="Times New Roman" w:hAnsi="Times New Roman" w:eastAsia="宋体"/>
                <w:color w:val="auto"/>
                <w:kern w:val="0"/>
                <w:szCs w:val="21"/>
                <w:highlight w:val="none"/>
              </w:rPr>
              <w:t>0</w:t>
            </w:r>
          </w:p>
        </w:tc>
        <w:tc>
          <w:tcPr>
            <w:tcW w:w="1761" w:type="dxa"/>
            <w:noWrap w:val="0"/>
            <w:vAlign w:val="center"/>
          </w:tcPr>
          <w:p w14:paraId="2A619335">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959" w:type="dxa"/>
            <w:noWrap w:val="0"/>
            <w:vAlign w:val="center"/>
          </w:tcPr>
          <w:p w14:paraId="56C761C8">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383" w:type="dxa"/>
            <w:noWrap w:val="0"/>
            <w:vAlign w:val="center"/>
          </w:tcPr>
          <w:p w14:paraId="3E615241">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r>
      <w:tr w14:paraId="742FD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96" w:type="dxa"/>
            <w:vMerge w:val="continue"/>
            <w:noWrap w:val="0"/>
            <w:vAlign w:val="center"/>
          </w:tcPr>
          <w:p w14:paraId="1546FD0F">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p>
        </w:tc>
        <w:tc>
          <w:tcPr>
            <w:tcW w:w="1709" w:type="dxa"/>
            <w:gridSpan w:val="2"/>
            <w:noWrap w:val="0"/>
            <w:vAlign w:val="center"/>
          </w:tcPr>
          <w:p w14:paraId="08AF24FC">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hint="eastAsia" w:ascii="Times New Roman" w:hAnsi="Times New Roman" w:eastAsia="宋体"/>
                <w:snapToGrid w:val="0"/>
                <w:color w:val="auto"/>
                <w:kern w:val="0"/>
                <w:szCs w:val="21"/>
                <w:highlight w:val="none"/>
              </w:rPr>
              <w:t>CODcr</w:t>
            </w:r>
          </w:p>
        </w:tc>
        <w:tc>
          <w:tcPr>
            <w:tcW w:w="1701" w:type="dxa"/>
            <w:noWrap w:val="0"/>
            <w:vAlign w:val="center"/>
          </w:tcPr>
          <w:p w14:paraId="0EA3E011">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hint="eastAsia" w:ascii="Times New Roman" w:hAnsi="Times New Roman" w:eastAsia="宋体" w:cs="宋体"/>
                <w:snapToGrid w:val="0"/>
                <w:color w:val="auto"/>
                <w:kern w:val="0"/>
                <w:szCs w:val="21"/>
                <w:highlight w:val="none"/>
              </w:rPr>
              <w:t>0</w:t>
            </w:r>
          </w:p>
        </w:tc>
        <w:tc>
          <w:tcPr>
            <w:tcW w:w="1276" w:type="dxa"/>
            <w:noWrap w:val="0"/>
            <w:vAlign w:val="center"/>
          </w:tcPr>
          <w:p w14:paraId="2EF71DA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hint="eastAsia" w:ascii="Times New Roman" w:hAnsi="Times New Roman" w:eastAsia="宋体" w:cs="宋体"/>
                <w:snapToGrid w:val="0"/>
                <w:color w:val="auto"/>
                <w:kern w:val="0"/>
                <w:szCs w:val="21"/>
                <w:highlight w:val="none"/>
              </w:rPr>
              <w:t>0</w:t>
            </w:r>
          </w:p>
        </w:tc>
        <w:tc>
          <w:tcPr>
            <w:tcW w:w="1701" w:type="dxa"/>
            <w:noWrap w:val="0"/>
            <w:vAlign w:val="center"/>
          </w:tcPr>
          <w:p w14:paraId="081B831A">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hint="eastAsia" w:ascii="Times New Roman" w:hAnsi="Times New Roman" w:eastAsia="宋体" w:cs="宋体"/>
                <w:snapToGrid w:val="0"/>
                <w:color w:val="auto"/>
                <w:kern w:val="0"/>
                <w:szCs w:val="21"/>
                <w:highlight w:val="none"/>
              </w:rPr>
              <w:t>0</w:t>
            </w:r>
          </w:p>
        </w:tc>
        <w:tc>
          <w:tcPr>
            <w:tcW w:w="1559" w:type="dxa"/>
            <w:noWrap w:val="0"/>
            <w:vAlign w:val="center"/>
          </w:tcPr>
          <w:p w14:paraId="67593AA1">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ascii="Times New Roman" w:hAnsi="Times New Roman" w:eastAsia="宋体"/>
                <w:color w:val="auto"/>
                <w:kern w:val="0"/>
                <w:szCs w:val="21"/>
                <w:highlight w:val="none"/>
              </w:rPr>
              <w:t>0</w:t>
            </w:r>
          </w:p>
        </w:tc>
        <w:tc>
          <w:tcPr>
            <w:tcW w:w="1761" w:type="dxa"/>
            <w:noWrap w:val="0"/>
            <w:vAlign w:val="center"/>
          </w:tcPr>
          <w:p w14:paraId="48842EE0">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959" w:type="dxa"/>
            <w:noWrap w:val="0"/>
            <w:vAlign w:val="center"/>
          </w:tcPr>
          <w:p w14:paraId="2C917A05">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383" w:type="dxa"/>
            <w:noWrap w:val="0"/>
            <w:vAlign w:val="center"/>
          </w:tcPr>
          <w:p w14:paraId="5BC594E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r>
      <w:tr w14:paraId="0A07B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296" w:type="dxa"/>
            <w:vMerge w:val="continue"/>
            <w:noWrap w:val="0"/>
            <w:vAlign w:val="center"/>
          </w:tcPr>
          <w:p w14:paraId="233F6018">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p>
        </w:tc>
        <w:tc>
          <w:tcPr>
            <w:tcW w:w="1709" w:type="dxa"/>
            <w:gridSpan w:val="2"/>
            <w:noWrap w:val="0"/>
            <w:vAlign w:val="center"/>
          </w:tcPr>
          <w:p w14:paraId="55C6DB97">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hint="eastAsia" w:ascii="Times New Roman" w:hAnsi="Times New Roman" w:eastAsia="宋体"/>
                <w:snapToGrid w:val="0"/>
                <w:color w:val="auto"/>
                <w:kern w:val="0"/>
                <w:szCs w:val="21"/>
                <w:highlight w:val="none"/>
              </w:rPr>
              <w:t>氨氮</w:t>
            </w:r>
          </w:p>
        </w:tc>
        <w:tc>
          <w:tcPr>
            <w:tcW w:w="1701" w:type="dxa"/>
            <w:noWrap w:val="0"/>
            <w:vAlign w:val="center"/>
          </w:tcPr>
          <w:p w14:paraId="4673DFA3">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ascii="Times New Roman" w:hAnsi="Times New Roman" w:eastAsia="宋体"/>
                <w:color w:val="auto"/>
                <w:kern w:val="0"/>
                <w:szCs w:val="21"/>
                <w:highlight w:val="none"/>
              </w:rPr>
              <w:t>0</w:t>
            </w:r>
          </w:p>
        </w:tc>
        <w:tc>
          <w:tcPr>
            <w:tcW w:w="1276" w:type="dxa"/>
            <w:noWrap w:val="0"/>
            <w:vAlign w:val="center"/>
          </w:tcPr>
          <w:p w14:paraId="79303F57">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701" w:type="dxa"/>
            <w:noWrap w:val="0"/>
            <w:vAlign w:val="center"/>
          </w:tcPr>
          <w:p w14:paraId="4CDFCE3B">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559" w:type="dxa"/>
            <w:noWrap w:val="0"/>
            <w:vAlign w:val="center"/>
          </w:tcPr>
          <w:p w14:paraId="219A1A2A">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ascii="Times New Roman" w:hAnsi="Times New Roman" w:eastAsia="宋体"/>
                <w:color w:val="auto"/>
                <w:kern w:val="0"/>
                <w:szCs w:val="21"/>
                <w:highlight w:val="none"/>
              </w:rPr>
              <w:t>0</w:t>
            </w:r>
          </w:p>
        </w:tc>
        <w:tc>
          <w:tcPr>
            <w:tcW w:w="1761" w:type="dxa"/>
            <w:noWrap w:val="0"/>
            <w:vAlign w:val="center"/>
          </w:tcPr>
          <w:p w14:paraId="3E76AB35">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959" w:type="dxa"/>
            <w:noWrap w:val="0"/>
            <w:vAlign w:val="center"/>
          </w:tcPr>
          <w:p w14:paraId="6A2989B2">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383" w:type="dxa"/>
            <w:noWrap w:val="0"/>
            <w:vAlign w:val="center"/>
          </w:tcPr>
          <w:p w14:paraId="218BCE43">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r>
      <w:tr w14:paraId="3DB71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96" w:type="dxa"/>
            <w:vMerge w:val="continue"/>
            <w:noWrap w:val="0"/>
            <w:vAlign w:val="center"/>
          </w:tcPr>
          <w:p w14:paraId="3B7B728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p>
        </w:tc>
        <w:tc>
          <w:tcPr>
            <w:tcW w:w="1709" w:type="dxa"/>
            <w:gridSpan w:val="2"/>
            <w:noWrap w:val="0"/>
            <w:vAlign w:val="center"/>
          </w:tcPr>
          <w:p w14:paraId="574C0993">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hint="eastAsia" w:ascii="Times New Roman" w:hAnsi="Times New Roman" w:eastAsia="宋体"/>
                <w:snapToGrid w:val="0"/>
                <w:color w:val="auto"/>
                <w:kern w:val="0"/>
                <w:szCs w:val="21"/>
                <w:highlight w:val="none"/>
              </w:rPr>
              <w:t>总磷</w:t>
            </w:r>
          </w:p>
        </w:tc>
        <w:tc>
          <w:tcPr>
            <w:tcW w:w="1701" w:type="dxa"/>
            <w:noWrap w:val="0"/>
            <w:vAlign w:val="center"/>
          </w:tcPr>
          <w:p w14:paraId="15F0E87D">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ascii="Times New Roman" w:hAnsi="Times New Roman" w:eastAsia="宋体"/>
                <w:color w:val="auto"/>
                <w:kern w:val="0"/>
                <w:szCs w:val="21"/>
                <w:highlight w:val="none"/>
              </w:rPr>
              <w:t>0</w:t>
            </w:r>
          </w:p>
        </w:tc>
        <w:tc>
          <w:tcPr>
            <w:tcW w:w="1276" w:type="dxa"/>
            <w:noWrap w:val="0"/>
            <w:vAlign w:val="center"/>
          </w:tcPr>
          <w:p w14:paraId="3D612B4A">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701" w:type="dxa"/>
            <w:noWrap w:val="0"/>
            <w:vAlign w:val="center"/>
          </w:tcPr>
          <w:p w14:paraId="231655BF">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559" w:type="dxa"/>
            <w:noWrap w:val="0"/>
            <w:vAlign w:val="center"/>
          </w:tcPr>
          <w:p w14:paraId="3C7565D7">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ascii="Times New Roman" w:hAnsi="Times New Roman" w:eastAsia="宋体"/>
                <w:color w:val="auto"/>
                <w:kern w:val="0"/>
                <w:szCs w:val="21"/>
                <w:highlight w:val="none"/>
              </w:rPr>
              <w:t>0</w:t>
            </w:r>
          </w:p>
        </w:tc>
        <w:tc>
          <w:tcPr>
            <w:tcW w:w="1761" w:type="dxa"/>
            <w:noWrap w:val="0"/>
            <w:vAlign w:val="center"/>
          </w:tcPr>
          <w:p w14:paraId="37ECEAD5">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959" w:type="dxa"/>
            <w:noWrap w:val="0"/>
            <w:vAlign w:val="center"/>
          </w:tcPr>
          <w:p w14:paraId="09C11A17">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383" w:type="dxa"/>
            <w:noWrap w:val="0"/>
            <w:vAlign w:val="center"/>
          </w:tcPr>
          <w:p w14:paraId="6D13ED2B">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r>
      <w:tr w14:paraId="160B0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96" w:type="dxa"/>
            <w:noWrap w:val="0"/>
            <w:vAlign w:val="center"/>
          </w:tcPr>
          <w:p w14:paraId="04497F3E">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hint="eastAsia" w:ascii="Times New Roman" w:hAnsi="Times New Roman" w:eastAsia="宋体" w:cs="宋体"/>
                <w:snapToGrid w:val="0"/>
                <w:color w:val="auto"/>
                <w:kern w:val="0"/>
                <w:szCs w:val="21"/>
                <w:highlight w:val="none"/>
              </w:rPr>
              <w:t>一般工业固体废物</w:t>
            </w:r>
          </w:p>
        </w:tc>
        <w:tc>
          <w:tcPr>
            <w:tcW w:w="1709" w:type="dxa"/>
            <w:gridSpan w:val="2"/>
            <w:noWrap w:val="0"/>
            <w:vAlign w:val="center"/>
          </w:tcPr>
          <w:p w14:paraId="44D3933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宋体"/>
                <w:snapToGrid w:val="0"/>
                <w:color w:val="auto"/>
                <w:kern w:val="0"/>
                <w:szCs w:val="21"/>
                <w:highlight w:val="none"/>
                <w:lang w:eastAsia="zh-CN"/>
              </w:rPr>
            </w:pPr>
            <w:r>
              <w:rPr>
                <w:rFonts w:hint="eastAsia" w:ascii="Times New Roman" w:hAnsi="Times New Roman" w:cs="宋体"/>
                <w:snapToGrid w:val="0"/>
                <w:color w:val="auto"/>
                <w:kern w:val="0"/>
                <w:szCs w:val="21"/>
                <w:highlight w:val="none"/>
                <w:lang w:eastAsia="zh-CN"/>
              </w:rPr>
              <w:t>——</w:t>
            </w:r>
          </w:p>
        </w:tc>
        <w:tc>
          <w:tcPr>
            <w:tcW w:w="1701" w:type="dxa"/>
            <w:noWrap w:val="0"/>
            <w:vAlign w:val="center"/>
          </w:tcPr>
          <w:p w14:paraId="6EAE3214">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p>
        </w:tc>
        <w:tc>
          <w:tcPr>
            <w:tcW w:w="1276" w:type="dxa"/>
            <w:noWrap w:val="0"/>
            <w:vAlign w:val="center"/>
          </w:tcPr>
          <w:p w14:paraId="4354BC2B">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p>
        </w:tc>
        <w:tc>
          <w:tcPr>
            <w:tcW w:w="1701" w:type="dxa"/>
            <w:noWrap w:val="0"/>
            <w:vAlign w:val="center"/>
          </w:tcPr>
          <w:p w14:paraId="37BF3560">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p>
        </w:tc>
        <w:tc>
          <w:tcPr>
            <w:tcW w:w="1559" w:type="dxa"/>
            <w:noWrap w:val="0"/>
            <w:vAlign w:val="center"/>
          </w:tcPr>
          <w:p w14:paraId="064D052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宋体"/>
                <w:snapToGrid w:val="0"/>
                <w:color w:val="auto"/>
                <w:kern w:val="0"/>
                <w:szCs w:val="21"/>
                <w:highlight w:val="none"/>
                <w:lang w:val="en-US" w:eastAsia="zh-CN"/>
              </w:rPr>
            </w:pPr>
          </w:p>
        </w:tc>
        <w:tc>
          <w:tcPr>
            <w:tcW w:w="1761" w:type="dxa"/>
            <w:noWrap w:val="0"/>
            <w:vAlign w:val="center"/>
          </w:tcPr>
          <w:p w14:paraId="755CA25C">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p>
        </w:tc>
        <w:tc>
          <w:tcPr>
            <w:tcW w:w="1959" w:type="dxa"/>
            <w:noWrap w:val="0"/>
            <w:vAlign w:val="center"/>
          </w:tcPr>
          <w:p w14:paraId="28BB9A5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p>
        </w:tc>
        <w:tc>
          <w:tcPr>
            <w:tcW w:w="1383" w:type="dxa"/>
            <w:noWrap w:val="0"/>
            <w:vAlign w:val="center"/>
          </w:tcPr>
          <w:p w14:paraId="17247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napToGrid w:val="0"/>
                <w:color w:val="auto"/>
                <w:kern w:val="0"/>
                <w:szCs w:val="21"/>
                <w:highlight w:val="none"/>
              </w:rPr>
            </w:pPr>
          </w:p>
        </w:tc>
      </w:tr>
      <w:tr w14:paraId="0A604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96" w:type="dxa"/>
            <w:vMerge w:val="restart"/>
            <w:noWrap w:val="0"/>
            <w:vAlign w:val="center"/>
          </w:tcPr>
          <w:p w14:paraId="482B6B4E">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0"/>
                <w:szCs w:val="21"/>
                <w:highlight w:val="none"/>
              </w:rPr>
            </w:pPr>
            <w:r>
              <w:rPr>
                <w:rFonts w:hint="eastAsia" w:ascii="Times New Roman" w:hAnsi="Times New Roman" w:eastAsia="宋体" w:cs="宋体"/>
                <w:snapToGrid w:val="0"/>
                <w:color w:val="auto"/>
                <w:kern w:val="0"/>
                <w:szCs w:val="21"/>
                <w:highlight w:val="none"/>
              </w:rPr>
              <w:t>危险废物</w:t>
            </w:r>
          </w:p>
        </w:tc>
        <w:tc>
          <w:tcPr>
            <w:tcW w:w="1709" w:type="dxa"/>
            <w:gridSpan w:val="2"/>
            <w:noWrap w:val="0"/>
            <w:vAlign w:val="center"/>
          </w:tcPr>
          <w:p w14:paraId="55645C7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宋体"/>
                <w:snapToGrid w:val="0"/>
                <w:color w:val="auto"/>
                <w:kern w:val="0"/>
                <w:szCs w:val="21"/>
                <w:highlight w:val="none"/>
              </w:rPr>
            </w:pPr>
            <w:r>
              <w:rPr>
                <w:rFonts w:hint="eastAsia" w:ascii="Times New Roman" w:hAnsi="Times New Roman" w:eastAsia="宋体"/>
                <w:color w:val="auto"/>
                <w:kern w:val="0"/>
                <w:szCs w:val="21"/>
                <w:highlight w:val="none"/>
                <w:lang w:val="en-US" w:eastAsia="zh-CN"/>
              </w:rPr>
              <w:t>废</w:t>
            </w:r>
            <w:r>
              <w:rPr>
                <w:rFonts w:hint="eastAsia" w:ascii="Times New Roman" w:hAnsi="Times New Roman"/>
                <w:color w:val="auto"/>
                <w:kern w:val="0"/>
                <w:szCs w:val="21"/>
                <w:highlight w:val="none"/>
                <w:lang w:val="en-US" w:eastAsia="zh-CN"/>
              </w:rPr>
              <w:t>润滑油</w:t>
            </w:r>
          </w:p>
        </w:tc>
        <w:tc>
          <w:tcPr>
            <w:tcW w:w="1701" w:type="dxa"/>
            <w:noWrap w:val="0"/>
            <w:vAlign w:val="center"/>
          </w:tcPr>
          <w:p w14:paraId="64E61A04">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0"/>
                <w:szCs w:val="21"/>
                <w:highlight w:val="none"/>
                <w:lang w:val="en-US" w:eastAsia="zh-CN"/>
              </w:rPr>
            </w:pPr>
            <w:r>
              <w:rPr>
                <w:rFonts w:ascii="Times New Roman" w:hAnsi="Times New Roman" w:eastAsia="宋体"/>
                <w:color w:val="auto"/>
                <w:kern w:val="0"/>
                <w:szCs w:val="21"/>
                <w:highlight w:val="none"/>
              </w:rPr>
              <w:t>0</w:t>
            </w:r>
          </w:p>
        </w:tc>
        <w:tc>
          <w:tcPr>
            <w:tcW w:w="1276" w:type="dxa"/>
            <w:noWrap w:val="0"/>
            <w:vAlign w:val="center"/>
          </w:tcPr>
          <w:p w14:paraId="7A5DA6D8">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701" w:type="dxa"/>
            <w:noWrap w:val="0"/>
            <w:vAlign w:val="center"/>
          </w:tcPr>
          <w:p w14:paraId="386E96EA">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559" w:type="dxa"/>
            <w:noWrap w:val="0"/>
            <w:vAlign w:val="center"/>
          </w:tcPr>
          <w:p w14:paraId="28ADB47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宋体"/>
                <w:snapToGrid w:val="0"/>
                <w:color w:val="auto"/>
                <w:kern w:val="0"/>
                <w:szCs w:val="21"/>
                <w:highlight w:val="none"/>
              </w:rPr>
            </w:pPr>
            <w:r>
              <w:rPr>
                <w:rFonts w:hint="eastAsia" w:ascii="Times New Roman" w:hAnsi="Times New Roman" w:eastAsia="宋体"/>
                <w:color w:val="auto"/>
                <w:kern w:val="0"/>
                <w:szCs w:val="21"/>
                <w:highlight w:val="none"/>
                <w:lang w:val="en-US" w:eastAsia="zh-CN"/>
              </w:rPr>
              <w:t>0.</w:t>
            </w:r>
            <w:r>
              <w:rPr>
                <w:rFonts w:hint="eastAsia" w:ascii="Times New Roman" w:hAnsi="Times New Roman"/>
                <w:color w:val="auto"/>
                <w:kern w:val="0"/>
                <w:szCs w:val="21"/>
                <w:highlight w:val="none"/>
                <w:lang w:val="en-US" w:eastAsia="zh-CN"/>
              </w:rPr>
              <w:t>2</w:t>
            </w:r>
            <w:r>
              <w:rPr>
                <w:rFonts w:hint="eastAsia" w:ascii="Times New Roman" w:hAnsi="Times New Roman" w:eastAsia="宋体" w:cs="宋体"/>
                <w:snapToGrid w:val="0"/>
                <w:color w:val="auto"/>
                <w:kern w:val="0"/>
                <w:szCs w:val="21"/>
                <w:highlight w:val="none"/>
                <w:lang w:val="en-US" w:eastAsia="zh-CN"/>
              </w:rPr>
              <w:t>t/a</w:t>
            </w:r>
          </w:p>
        </w:tc>
        <w:tc>
          <w:tcPr>
            <w:tcW w:w="1761" w:type="dxa"/>
            <w:noWrap w:val="0"/>
            <w:vAlign w:val="center"/>
          </w:tcPr>
          <w:p w14:paraId="3AEC8886">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959" w:type="dxa"/>
            <w:noWrap w:val="0"/>
            <w:vAlign w:val="center"/>
          </w:tcPr>
          <w:p w14:paraId="05D2DB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snapToGrid w:val="0"/>
                <w:color w:val="auto"/>
                <w:kern w:val="0"/>
                <w:szCs w:val="21"/>
                <w:highlight w:val="none"/>
              </w:rPr>
            </w:pPr>
            <w:r>
              <w:rPr>
                <w:rFonts w:hint="eastAsia" w:ascii="Times New Roman" w:hAnsi="Times New Roman" w:eastAsia="宋体"/>
                <w:color w:val="auto"/>
                <w:kern w:val="0"/>
                <w:szCs w:val="21"/>
                <w:highlight w:val="none"/>
                <w:lang w:val="en-US" w:eastAsia="zh-CN"/>
              </w:rPr>
              <w:t>0.</w:t>
            </w:r>
            <w:r>
              <w:rPr>
                <w:rFonts w:hint="eastAsia" w:ascii="Times New Roman" w:hAnsi="Times New Roman"/>
                <w:color w:val="auto"/>
                <w:kern w:val="0"/>
                <w:szCs w:val="21"/>
                <w:highlight w:val="none"/>
                <w:lang w:val="en-US" w:eastAsia="zh-CN"/>
              </w:rPr>
              <w:t>2</w:t>
            </w:r>
            <w:r>
              <w:rPr>
                <w:rFonts w:hint="eastAsia" w:ascii="Times New Roman" w:hAnsi="Times New Roman" w:eastAsia="宋体" w:cs="宋体"/>
                <w:snapToGrid w:val="0"/>
                <w:color w:val="auto"/>
                <w:kern w:val="0"/>
                <w:szCs w:val="21"/>
                <w:highlight w:val="none"/>
                <w:lang w:val="en-US" w:eastAsia="zh-CN"/>
              </w:rPr>
              <w:t>t/a</w:t>
            </w:r>
          </w:p>
        </w:tc>
        <w:tc>
          <w:tcPr>
            <w:tcW w:w="1383" w:type="dxa"/>
            <w:noWrap w:val="0"/>
            <w:vAlign w:val="center"/>
          </w:tcPr>
          <w:p w14:paraId="0C3153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snapToGrid w:val="0"/>
                <w:color w:val="auto"/>
                <w:kern w:val="0"/>
                <w:szCs w:val="21"/>
                <w:highlight w:val="none"/>
              </w:rPr>
            </w:pPr>
            <w:r>
              <w:rPr>
                <w:rFonts w:hint="eastAsia" w:ascii="Times New Roman" w:hAnsi="Times New Roman" w:eastAsia="宋体"/>
                <w:color w:val="auto"/>
                <w:kern w:val="0"/>
                <w:szCs w:val="21"/>
                <w:highlight w:val="none"/>
                <w:lang w:val="en-US" w:eastAsia="zh-CN"/>
              </w:rPr>
              <w:t>+0.</w:t>
            </w:r>
            <w:r>
              <w:rPr>
                <w:rFonts w:hint="eastAsia" w:ascii="Times New Roman" w:hAnsi="Times New Roman"/>
                <w:color w:val="auto"/>
                <w:kern w:val="0"/>
                <w:szCs w:val="21"/>
                <w:highlight w:val="none"/>
                <w:lang w:val="en-US" w:eastAsia="zh-CN"/>
              </w:rPr>
              <w:t>2</w:t>
            </w:r>
            <w:r>
              <w:rPr>
                <w:rFonts w:hint="eastAsia" w:ascii="Times New Roman" w:hAnsi="Times New Roman" w:eastAsia="宋体" w:cs="宋体"/>
                <w:snapToGrid w:val="0"/>
                <w:color w:val="auto"/>
                <w:kern w:val="0"/>
                <w:szCs w:val="21"/>
                <w:highlight w:val="none"/>
                <w:lang w:val="en-US" w:eastAsia="zh-CN"/>
              </w:rPr>
              <w:t>t/a</w:t>
            </w:r>
          </w:p>
        </w:tc>
      </w:tr>
      <w:tr w14:paraId="026E1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96" w:type="dxa"/>
            <w:vMerge w:val="continue"/>
            <w:noWrap w:val="0"/>
            <w:vAlign w:val="center"/>
          </w:tcPr>
          <w:p w14:paraId="1BC857E3">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p>
        </w:tc>
        <w:tc>
          <w:tcPr>
            <w:tcW w:w="1709" w:type="dxa"/>
            <w:gridSpan w:val="2"/>
            <w:noWrap w:val="0"/>
            <w:vAlign w:val="center"/>
          </w:tcPr>
          <w:p w14:paraId="0ACC1AA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宋体"/>
                <w:snapToGrid w:val="0"/>
                <w:color w:val="auto"/>
                <w:kern w:val="0"/>
                <w:szCs w:val="21"/>
                <w:highlight w:val="none"/>
                <w:lang w:val="en-US" w:eastAsia="zh-CN"/>
              </w:rPr>
            </w:pPr>
            <w:r>
              <w:rPr>
                <w:rFonts w:hint="eastAsia" w:ascii="Times New Roman" w:hAnsi="Times New Roman"/>
                <w:color w:val="auto"/>
                <w:kern w:val="0"/>
                <w:szCs w:val="21"/>
                <w:highlight w:val="none"/>
                <w:lang w:val="en-US" w:eastAsia="zh-CN"/>
              </w:rPr>
              <w:t>废润滑油桶</w:t>
            </w:r>
          </w:p>
        </w:tc>
        <w:tc>
          <w:tcPr>
            <w:tcW w:w="1701" w:type="dxa"/>
            <w:noWrap w:val="0"/>
            <w:vAlign w:val="center"/>
          </w:tcPr>
          <w:p w14:paraId="4A5BFB76">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snapToGrid w:val="0"/>
                <w:color w:val="auto"/>
                <w:kern w:val="0"/>
                <w:szCs w:val="21"/>
                <w:highlight w:val="none"/>
                <w:lang w:val="en-US" w:eastAsia="zh-CN"/>
              </w:rPr>
            </w:pPr>
            <w:r>
              <w:rPr>
                <w:rFonts w:ascii="Times New Roman" w:hAnsi="Times New Roman" w:eastAsia="宋体"/>
                <w:color w:val="auto"/>
                <w:kern w:val="0"/>
                <w:szCs w:val="21"/>
                <w:highlight w:val="none"/>
              </w:rPr>
              <w:t>0</w:t>
            </w:r>
          </w:p>
        </w:tc>
        <w:tc>
          <w:tcPr>
            <w:tcW w:w="1276" w:type="dxa"/>
            <w:noWrap w:val="0"/>
            <w:vAlign w:val="center"/>
          </w:tcPr>
          <w:p w14:paraId="48C70A6F">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701" w:type="dxa"/>
            <w:noWrap w:val="0"/>
            <w:vAlign w:val="center"/>
          </w:tcPr>
          <w:p w14:paraId="108759C9">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559" w:type="dxa"/>
            <w:noWrap w:val="0"/>
            <w:vAlign w:val="center"/>
          </w:tcPr>
          <w:p w14:paraId="3D3BD6F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宋体"/>
                <w:snapToGrid w:val="0"/>
                <w:color w:val="auto"/>
                <w:kern w:val="0"/>
                <w:szCs w:val="21"/>
                <w:highlight w:val="none"/>
              </w:rPr>
            </w:pPr>
            <w:r>
              <w:rPr>
                <w:rFonts w:hint="eastAsia" w:ascii="Times New Roman" w:hAnsi="Times New Roman"/>
                <w:color w:val="auto"/>
                <w:kern w:val="0"/>
                <w:szCs w:val="21"/>
                <w:highlight w:val="none"/>
                <w:lang w:val="en-US" w:eastAsia="zh-CN"/>
              </w:rPr>
              <w:t>0.02</w:t>
            </w:r>
            <w:r>
              <w:rPr>
                <w:rFonts w:hint="eastAsia" w:ascii="Times New Roman" w:hAnsi="Times New Roman" w:eastAsia="宋体" w:cs="宋体"/>
                <w:snapToGrid w:val="0"/>
                <w:color w:val="auto"/>
                <w:kern w:val="0"/>
                <w:szCs w:val="21"/>
                <w:highlight w:val="none"/>
                <w:lang w:val="en-US" w:eastAsia="zh-CN"/>
              </w:rPr>
              <w:t>t/a</w:t>
            </w:r>
          </w:p>
        </w:tc>
        <w:tc>
          <w:tcPr>
            <w:tcW w:w="1761" w:type="dxa"/>
            <w:noWrap w:val="0"/>
            <w:vAlign w:val="center"/>
          </w:tcPr>
          <w:p w14:paraId="31113A8A">
            <w:pPr>
              <w:pStyle w:val="5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0"/>
                <w:szCs w:val="21"/>
                <w:highlight w:val="none"/>
              </w:rPr>
            </w:pPr>
            <w:r>
              <w:rPr>
                <w:rFonts w:ascii="Times New Roman" w:hAnsi="Times New Roman" w:eastAsia="宋体"/>
                <w:color w:val="auto"/>
                <w:kern w:val="0"/>
                <w:szCs w:val="21"/>
                <w:highlight w:val="none"/>
              </w:rPr>
              <w:t>0</w:t>
            </w:r>
          </w:p>
        </w:tc>
        <w:tc>
          <w:tcPr>
            <w:tcW w:w="1959" w:type="dxa"/>
            <w:noWrap w:val="0"/>
            <w:vAlign w:val="center"/>
          </w:tcPr>
          <w:p w14:paraId="665E43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snapToGrid w:val="0"/>
                <w:color w:val="auto"/>
                <w:kern w:val="0"/>
                <w:szCs w:val="21"/>
                <w:highlight w:val="none"/>
              </w:rPr>
            </w:pPr>
            <w:r>
              <w:rPr>
                <w:rFonts w:hint="eastAsia" w:ascii="Times New Roman" w:hAnsi="Times New Roman"/>
                <w:color w:val="auto"/>
                <w:kern w:val="0"/>
                <w:szCs w:val="21"/>
                <w:highlight w:val="none"/>
                <w:lang w:val="en-US" w:eastAsia="zh-CN"/>
              </w:rPr>
              <w:t>0.02</w:t>
            </w:r>
            <w:r>
              <w:rPr>
                <w:rFonts w:hint="eastAsia" w:ascii="Times New Roman" w:hAnsi="Times New Roman" w:eastAsia="宋体" w:cs="宋体"/>
                <w:snapToGrid w:val="0"/>
                <w:color w:val="auto"/>
                <w:kern w:val="0"/>
                <w:szCs w:val="21"/>
                <w:highlight w:val="none"/>
                <w:lang w:val="en-US" w:eastAsia="zh-CN"/>
              </w:rPr>
              <w:t>t/a</w:t>
            </w:r>
          </w:p>
        </w:tc>
        <w:tc>
          <w:tcPr>
            <w:tcW w:w="1383" w:type="dxa"/>
            <w:noWrap w:val="0"/>
            <w:vAlign w:val="center"/>
          </w:tcPr>
          <w:p w14:paraId="48712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snapToGrid w:val="0"/>
                <w:color w:val="auto"/>
                <w:kern w:val="0"/>
                <w:szCs w:val="21"/>
                <w:highlight w:val="none"/>
              </w:rPr>
            </w:pPr>
            <w:r>
              <w:rPr>
                <w:rFonts w:hint="eastAsia" w:ascii="Times New Roman" w:hAnsi="Times New Roman"/>
                <w:color w:val="auto"/>
                <w:kern w:val="0"/>
                <w:szCs w:val="21"/>
                <w:highlight w:val="none"/>
                <w:lang w:val="en-US" w:eastAsia="zh-CN"/>
              </w:rPr>
              <w:t>+0.02</w:t>
            </w:r>
            <w:r>
              <w:rPr>
                <w:rFonts w:hint="eastAsia" w:ascii="Times New Roman" w:hAnsi="Times New Roman" w:eastAsia="宋体" w:cs="宋体"/>
                <w:snapToGrid w:val="0"/>
                <w:color w:val="auto"/>
                <w:kern w:val="0"/>
                <w:szCs w:val="21"/>
                <w:highlight w:val="none"/>
                <w:lang w:val="en-US" w:eastAsia="zh-CN"/>
              </w:rPr>
              <w:t>t/a</w:t>
            </w:r>
          </w:p>
        </w:tc>
      </w:tr>
    </w:tbl>
    <w:p w14:paraId="4134AC76">
      <w:pPr>
        <w:pStyle w:val="34"/>
        <w:rPr>
          <w:rFonts w:ascii="Times New Roman" w:hAnsi="Times New Roman"/>
          <w:color w:val="auto"/>
          <w:highlight w:val="none"/>
        </w:rPr>
        <w:sectPr>
          <w:pgSz w:w="16838" w:h="11905" w:orient="landscape"/>
          <w:pgMar w:top="1531" w:right="1440" w:bottom="1531" w:left="1440" w:header="851" w:footer="1077" w:gutter="0"/>
          <w:cols w:space="720" w:num="1"/>
          <w:docGrid w:type="lines" w:linePitch="317" w:charSpace="0"/>
        </w:sectPr>
      </w:pPr>
      <w:r>
        <w:rPr>
          <w:rFonts w:ascii="Times New Roman" w:hAnsi="Times New Roman"/>
          <w:snapToGrid w:val="0"/>
          <w:color w:val="auto"/>
          <w:kern w:val="21"/>
          <w:szCs w:val="21"/>
          <w:highlight w:val="none"/>
        </w:rPr>
        <w:t>注：</w:t>
      </w:r>
      <w:r>
        <w:rPr>
          <w:rFonts w:ascii="Times New Roman" w:hAnsi="Times New Roman"/>
          <w:snapToGrid w:val="0"/>
          <w:color w:val="auto"/>
          <w:spacing w:val="-16"/>
          <w:kern w:val="21"/>
          <w:szCs w:val="21"/>
          <w:highlight w:val="none"/>
        </w:rPr>
        <w:fldChar w:fldCharType="begin"/>
      </w:r>
      <w:r>
        <w:rPr>
          <w:rFonts w:ascii="Times New Roman" w:hAnsi="Times New Roman"/>
          <w:snapToGrid w:val="0"/>
          <w:color w:val="auto"/>
          <w:spacing w:val="-16"/>
          <w:kern w:val="21"/>
          <w:szCs w:val="21"/>
          <w:highlight w:val="none"/>
        </w:rPr>
        <w:instrText xml:space="preserve"> = 6 \* GB3 \* MERGEFORMAT </w:instrText>
      </w:r>
      <w:r>
        <w:rPr>
          <w:rFonts w:ascii="Times New Roman" w:hAnsi="Times New Roman"/>
          <w:snapToGrid w:val="0"/>
          <w:color w:val="auto"/>
          <w:spacing w:val="-16"/>
          <w:kern w:val="21"/>
          <w:szCs w:val="21"/>
          <w:highlight w:val="none"/>
        </w:rPr>
        <w:fldChar w:fldCharType="separate"/>
      </w:r>
      <w:r>
        <w:rPr>
          <w:rFonts w:hint="eastAsia" w:ascii="Times New Roman" w:hAnsi="Times New Roman"/>
          <w:color w:val="auto"/>
          <w:szCs w:val="21"/>
          <w:highlight w:val="none"/>
        </w:rPr>
        <w:t>⑥</w:t>
      </w:r>
      <w:r>
        <w:rPr>
          <w:rFonts w:ascii="Times New Roman" w:hAnsi="Times New Roman"/>
          <w:snapToGrid w:val="0"/>
          <w:color w:val="auto"/>
          <w:spacing w:val="-16"/>
          <w:kern w:val="21"/>
          <w:szCs w:val="21"/>
          <w:highlight w:val="none"/>
        </w:rPr>
        <w:fldChar w:fldCharType="end"/>
      </w:r>
      <w:r>
        <w:rPr>
          <w:rFonts w:ascii="Times New Roman" w:hAnsi="Times New Roman"/>
          <w:snapToGrid w:val="0"/>
          <w:color w:val="auto"/>
          <w:spacing w:val="-1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1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①</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3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③</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4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④</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16"/>
          <w:kern w:val="21"/>
          <w:szCs w:val="21"/>
          <w:highlight w:val="none"/>
        </w:rPr>
        <w:fldChar w:fldCharType="begin"/>
      </w:r>
      <w:r>
        <w:rPr>
          <w:rFonts w:ascii="Times New Roman" w:hAnsi="Times New Roman"/>
          <w:snapToGrid w:val="0"/>
          <w:color w:val="auto"/>
          <w:spacing w:val="-16"/>
          <w:kern w:val="21"/>
          <w:szCs w:val="21"/>
          <w:highlight w:val="none"/>
        </w:rPr>
        <w:instrText xml:space="preserve"> = 5 \* GB3 \* MERGEFORMAT </w:instrText>
      </w:r>
      <w:r>
        <w:rPr>
          <w:rFonts w:ascii="Times New Roman" w:hAnsi="Times New Roman"/>
          <w:snapToGrid w:val="0"/>
          <w:color w:val="auto"/>
          <w:spacing w:val="-16"/>
          <w:kern w:val="21"/>
          <w:szCs w:val="21"/>
          <w:highlight w:val="none"/>
        </w:rPr>
        <w:fldChar w:fldCharType="separate"/>
      </w:r>
      <w:r>
        <w:rPr>
          <w:rFonts w:hint="eastAsia" w:ascii="Times New Roman" w:hAnsi="Times New Roman"/>
          <w:color w:val="auto"/>
          <w:szCs w:val="21"/>
          <w:highlight w:val="none"/>
        </w:rPr>
        <w:t>⑤</w:t>
      </w:r>
      <w:r>
        <w:rPr>
          <w:rFonts w:ascii="Times New Roman" w:hAnsi="Times New Roman"/>
          <w:snapToGrid w:val="0"/>
          <w:color w:val="auto"/>
          <w:spacing w:val="-16"/>
          <w:kern w:val="21"/>
          <w:szCs w:val="21"/>
          <w:highlight w:val="none"/>
        </w:rPr>
        <w:fldChar w:fldCharType="end"/>
      </w:r>
      <w:r>
        <w:rPr>
          <w:rFonts w:ascii="Times New Roman" w:hAnsi="Times New Roman"/>
          <w:snapToGrid w:val="0"/>
          <w:color w:val="auto"/>
          <w:spacing w:val="-1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7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⑦</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16"/>
          <w:kern w:val="21"/>
          <w:szCs w:val="21"/>
          <w:highlight w:val="none"/>
        </w:rPr>
        <w:fldChar w:fldCharType="begin"/>
      </w:r>
      <w:r>
        <w:rPr>
          <w:rFonts w:ascii="Times New Roman" w:hAnsi="Times New Roman"/>
          <w:snapToGrid w:val="0"/>
          <w:color w:val="auto"/>
          <w:spacing w:val="-16"/>
          <w:kern w:val="21"/>
          <w:szCs w:val="21"/>
          <w:highlight w:val="none"/>
        </w:rPr>
        <w:instrText xml:space="preserve"> = 6 \* GB3 \* MERGEFORMAT </w:instrText>
      </w:r>
      <w:r>
        <w:rPr>
          <w:rFonts w:ascii="Times New Roman" w:hAnsi="Times New Roman"/>
          <w:snapToGrid w:val="0"/>
          <w:color w:val="auto"/>
          <w:spacing w:val="-16"/>
          <w:kern w:val="21"/>
          <w:szCs w:val="21"/>
          <w:highlight w:val="none"/>
        </w:rPr>
        <w:fldChar w:fldCharType="separate"/>
      </w:r>
      <w:r>
        <w:rPr>
          <w:rFonts w:hint="eastAsia" w:ascii="Times New Roman" w:hAnsi="Times New Roman"/>
          <w:color w:val="auto"/>
          <w:szCs w:val="21"/>
          <w:highlight w:val="none"/>
        </w:rPr>
        <w:t>⑥</w:t>
      </w:r>
      <w:r>
        <w:rPr>
          <w:rFonts w:ascii="Times New Roman" w:hAnsi="Times New Roman"/>
          <w:snapToGrid w:val="0"/>
          <w:color w:val="auto"/>
          <w:spacing w:val="-16"/>
          <w:kern w:val="21"/>
          <w:szCs w:val="21"/>
          <w:highlight w:val="none"/>
        </w:rPr>
        <w:fldChar w:fldCharType="end"/>
      </w:r>
      <w:r>
        <w:rPr>
          <w:rFonts w:ascii="Times New Roman" w:hAnsi="Times New Roman"/>
          <w:snapToGrid w:val="0"/>
          <w:color w:val="auto"/>
          <w:spacing w:val="-1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1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①</w:t>
      </w:r>
      <w:r>
        <w:rPr>
          <w:rFonts w:ascii="Times New Roman" w:hAnsi="Times New Roman"/>
          <w:snapToGrid w:val="0"/>
          <w:color w:val="auto"/>
          <w:spacing w:val="-6"/>
          <w:kern w:val="21"/>
          <w:szCs w:val="21"/>
          <w:highlight w:val="none"/>
        </w:rPr>
        <w:fldChar w:fldCharType="end"/>
      </w:r>
    </w:p>
    <w:p w14:paraId="66AF0262">
      <w:pPr>
        <w:rPr>
          <w:rFonts w:hint="eastAsia" w:ascii="Times New Roman" w:hAnsi="Times New Roman" w:eastAsia="黑体"/>
          <w:color w:val="auto"/>
          <w:highlight w:val="none"/>
        </w:rPr>
      </w:pPr>
    </w:p>
    <w:sectPr>
      <w:footerReference r:id="rId5" w:type="default"/>
      <w:pgSz w:w="11905" w:h="16838"/>
      <w:pgMar w:top="1440" w:right="1701" w:bottom="1440" w:left="1701" w:header="851" w:footer="1077" w:gutter="0"/>
      <w:cols w:space="72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Wingdings">
    <w:panose1 w:val="05000000000000000000"/>
    <w:charset w:val="00"/>
    <w:family w:val="auto"/>
    <w:pitch w:val="default"/>
    <w:sig w:usb0="00000000" w:usb1="00000000" w:usb2="00000000" w:usb3="00000000" w:csb0="80000000" w:csb1="00000000"/>
  </w:font>
  <w:font w:name="Kingsoft Symbol">
    <w:panose1 w:val="0500010001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5B692">
    <w:pPr>
      <w:pStyle w:val="2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3945ED">
                          <w:pPr>
                            <w:pStyle w:val="23"/>
                            <w:rPr>
                              <w:rStyle w:val="41"/>
                              <w:rFonts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Fonts w:ascii="宋体" w:hAnsi="宋体"/>
                              <w:sz w:val="26"/>
                              <w:szCs w:val="26"/>
                            </w:rPr>
                            <w:fldChar w:fldCharType="begin"/>
                          </w:r>
                          <w:r>
                            <w:rPr>
                              <w:rStyle w:val="41"/>
                              <w:rFonts w:ascii="宋体" w:hAnsi="宋体"/>
                              <w:sz w:val="26"/>
                              <w:szCs w:val="26"/>
                            </w:rPr>
                            <w:instrText xml:space="preserve">PAGE  </w:instrText>
                          </w:r>
                          <w:r>
                            <w:rPr>
                              <w:rFonts w:ascii="宋体" w:hAnsi="宋体"/>
                              <w:sz w:val="26"/>
                              <w:szCs w:val="26"/>
                            </w:rPr>
                            <w:fldChar w:fldCharType="separate"/>
                          </w:r>
                          <w:r>
                            <w:rPr>
                              <w:rStyle w:val="41"/>
                              <w:rFonts w:ascii="宋体" w:hAnsi="宋体"/>
                              <w:sz w:val="26"/>
                              <w:szCs w:val="26"/>
                            </w:rPr>
                            <w:t>9</w:t>
                          </w:r>
                          <w:r>
                            <w:rPr>
                              <w:rFonts w:ascii="宋体" w:hAnsi="宋体"/>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N/7SN4BAAC/AwAADgAAAGRycy9lMm9Eb2MueG1srVNNrtMwEN4jcQfL&#10;e5q0E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q+ec+aEpYlfvn+7/Ph1+fmV&#10;LZM+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43/tI3gEAAL8DAAAOAAAAAAAA&#10;AAEAIAAAAB4BAABkcnMvZTJvRG9jLnhtbFBLBQYAAAAABgAGAFkBAABuBQAAAAA=&#10;">
              <v:fill on="f" focussize="0,0"/>
              <v:stroke on="f"/>
              <v:imagedata o:title=""/>
              <o:lock v:ext="edit" aspectratio="f"/>
              <v:textbox inset="0mm,0mm,0mm,0mm" style="mso-fit-shape-to-text:t;">
                <w:txbxContent>
                  <w:p w14:paraId="453945ED">
                    <w:pPr>
                      <w:pStyle w:val="23"/>
                      <w:rPr>
                        <w:rStyle w:val="41"/>
                        <w:rFonts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Fonts w:ascii="宋体" w:hAnsi="宋体"/>
                        <w:sz w:val="26"/>
                        <w:szCs w:val="26"/>
                      </w:rPr>
                      <w:fldChar w:fldCharType="begin"/>
                    </w:r>
                    <w:r>
                      <w:rPr>
                        <w:rStyle w:val="41"/>
                        <w:rFonts w:ascii="宋体" w:hAnsi="宋体"/>
                        <w:sz w:val="26"/>
                        <w:szCs w:val="26"/>
                      </w:rPr>
                      <w:instrText xml:space="preserve">PAGE  </w:instrText>
                    </w:r>
                    <w:r>
                      <w:rPr>
                        <w:rFonts w:ascii="宋体" w:hAnsi="宋体"/>
                        <w:sz w:val="26"/>
                        <w:szCs w:val="26"/>
                      </w:rPr>
                      <w:fldChar w:fldCharType="separate"/>
                    </w:r>
                    <w:r>
                      <w:rPr>
                        <w:rStyle w:val="41"/>
                        <w:rFonts w:ascii="宋体" w:hAnsi="宋体"/>
                        <w:sz w:val="26"/>
                        <w:szCs w:val="26"/>
                      </w:rPr>
                      <w:t>9</w:t>
                    </w:r>
                    <w:r>
                      <w:rPr>
                        <w:rFonts w:ascii="宋体" w:hAnsi="宋体"/>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D1CD8">
    <w:pPr>
      <w:pStyle w:val="2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C17721">
                          <w:pPr>
                            <w:pStyle w:val="23"/>
                            <w:rPr>
                              <w:rStyle w:val="41"/>
                              <w:rFonts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Fonts w:ascii="宋体" w:hAnsi="宋体"/>
                              <w:sz w:val="26"/>
                              <w:szCs w:val="26"/>
                            </w:rPr>
                            <w:fldChar w:fldCharType="begin"/>
                          </w:r>
                          <w:r>
                            <w:rPr>
                              <w:rStyle w:val="41"/>
                              <w:rFonts w:ascii="宋体" w:hAnsi="宋体"/>
                              <w:sz w:val="26"/>
                              <w:szCs w:val="26"/>
                            </w:rPr>
                            <w:instrText xml:space="preserve">PAGE  </w:instrText>
                          </w:r>
                          <w:r>
                            <w:rPr>
                              <w:rFonts w:ascii="宋体" w:hAnsi="宋体"/>
                              <w:sz w:val="26"/>
                              <w:szCs w:val="26"/>
                            </w:rPr>
                            <w:fldChar w:fldCharType="separate"/>
                          </w:r>
                          <w:r>
                            <w:rPr>
                              <w:rStyle w:val="41"/>
                              <w:rFonts w:ascii="宋体" w:hAnsi="宋体"/>
                              <w:sz w:val="26"/>
                              <w:szCs w:val="26"/>
                            </w:rPr>
                            <w:t>9</w:t>
                          </w:r>
                          <w:r>
                            <w:rPr>
                              <w:rFonts w:ascii="宋体" w:hAnsi="宋体"/>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2ENUd8BAAC/AwAADgAAAAAA&#10;AAABACAAAAAeAQAAZHJzL2Uyb0RvYy54bWxQSwUGAAAAAAYABgBZAQAAbwUAAAAA&#10;">
              <v:fill on="f" focussize="0,0"/>
              <v:stroke on="f"/>
              <v:imagedata o:title=""/>
              <o:lock v:ext="edit" aspectratio="f"/>
              <v:textbox inset="0mm,0mm,0mm,0mm" style="mso-fit-shape-to-text:t;">
                <w:txbxContent>
                  <w:p w14:paraId="60C17721">
                    <w:pPr>
                      <w:pStyle w:val="23"/>
                      <w:rPr>
                        <w:rStyle w:val="41"/>
                        <w:rFonts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Fonts w:ascii="宋体" w:hAnsi="宋体"/>
                        <w:sz w:val="26"/>
                        <w:szCs w:val="26"/>
                      </w:rPr>
                      <w:fldChar w:fldCharType="begin"/>
                    </w:r>
                    <w:r>
                      <w:rPr>
                        <w:rStyle w:val="41"/>
                        <w:rFonts w:ascii="宋体" w:hAnsi="宋体"/>
                        <w:sz w:val="26"/>
                        <w:szCs w:val="26"/>
                      </w:rPr>
                      <w:instrText xml:space="preserve">PAGE  </w:instrText>
                    </w:r>
                    <w:r>
                      <w:rPr>
                        <w:rFonts w:ascii="宋体" w:hAnsi="宋体"/>
                        <w:sz w:val="26"/>
                        <w:szCs w:val="26"/>
                      </w:rPr>
                      <w:fldChar w:fldCharType="separate"/>
                    </w:r>
                    <w:r>
                      <w:rPr>
                        <w:rStyle w:val="41"/>
                        <w:rFonts w:ascii="宋体" w:hAnsi="宋体"/>
                        <w:sz w:val="26"/>
                        <w:szCs w:val="26"/>
                      </w:rPr>
                      <w:t>9</w:t>
                    </w:r>
                    <w:r>
                      <w:rPr>
                        <w:rFonts w:ascii="宋体" w:hAnsi="宋体"/>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7C712">
    <w:pPr>
      <w:pStyle w:val="23"/>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0B4879">
                          <w:pPr>
                            <w:pStyle w:val="23"/>
                            <w:rPr>
                              <w:rStyle w:val="41"/>
                              <w:rFonts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Fonts w:ascii="宋体" w:hAnsi="宋体"/>
                              <w:sz w:val="26"/>
                              <w:szCs w:val="26"/>
                            </w:rPr>
                            <w:fldChar w:fldCharType="begin"/>
                          </w:r>
                          <w:r>
                            <w:rPr>
                              <w:rStyle w:val="41"/>
                              <w:rFonts w:ascii="宋体" w:hAnsi="宋体"/>
                              <w:sz w:val="26"/>
                              <w:szCs w:val="26"/>
                            </w:rPr>
                            <w:instrText xml:space="preserve">PAGE  </w:instrText>
                          </w:r>
                          <w:r>
                            <w:rPr>
                              <w:rFonts w:ascii="宋体" w:hAnsi="宋体"/>
                              <w:sz w:val="26"/>
                              <w:szCs w:val="26"/>
                            </w:rPr>
                            <w:fldChar w:fldCharType="separate"/>
                          </w:r>
                          <w:r>
                            <w:rPr>
                              <w:rStyle w:val="41"/>
                              <w:rFonts w:ascii="宋体" w:hAnsi="宋体"/>
                              <w:sz w:val="26"/>
                              <w:szCs w:val="26"/>
                            </w:rPr>
                            <w:t>11</w:t>
                          </w:r>
                          <w:r>
                            <w:rPr>
                              <w:rFonts w:ascii="宋体" w:hAnsi="宋体"/>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ScBaN4BAAC/AwAADgAAAGRycy9lMm9Eb2MueG1srVPBjtMwEL0j8Q+W&#10;7zTZaoW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ovae5OWJr4+fu3849f559f&#10;2XXSp/exorR7T4k4vIaBtmb2R3Im2kMbbPoTIUZxUvd0UVcNyGS6tFquViWFJMXmA+EXD9d9iPhG&#10;gWXJqHmg8WVVxfFdxDF1TknVHNxpY/IIjfvLQZjJU6Texx6ThcNumAjtoDkRH3oHVKeD8IWznrag&#10;5o6WnjPz1pHIaWFmI8zGbjaEk3Sx5sjZaN7iuFgHH/S+y6uWmor+1QG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xJwFo3gEAAL8DAAAOAAAAAAAA&#10;AAEAIAAAAB4BAABkcnMvZTJvRG9jLnhtbFBLBQYAAAAABgAGAFkBAABuBQAAAAA=&#10;">
              <v:fill on="f" focussize="0,0"/>
              <v:stroke on="f"/>
              <v:imagedata o:title=""/>
              <o:lock v:ext="edit" aspectratio="f"/>
              <v:textbox inset="0mm,0mm,0mm,0mm" style="mso-fit-shape-to-text:t;">
                <w:txbxContent>
                  <w:p w14:paraId="390B4879">
                    <w:pPr>
                      <w:pStyle w:val="23"/>
                      <w:rPr>
                        <w:rStyle w:val="41"/>
                        <w:rFonts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Fonts w:ascii="宋体" w:hAnsi="宋体"/>
                        <w:sz w:val="26"/>
                        <w:szCs w:val="26"/>
                      </w:rPr>
                      <w:fldChar w:fldCharType="begin"/>
                    </w:r>
                    <w:r>
                      <w:rPr>
                        <w:rStyle w:val="41"/>
                        <w:rFonts w:ascii="宋体" w:hAnsi="宋体"/>
                        <w:sz w:val="26"/>
                        <w:szCs w:val="26"/>
                      </w:rPr>
                      <w:instrText xml:space="preserve">PAGE  </w:instrText>
                    </w:r>
                    <w:r>
                      <w:rPr>
                        <w:rFonts w:ascii="宋体" w:hAnsi="宋体"/>
                        <w:sz w:val="26"/>
                        <w:szCs w:val="26"/>
                      </w:rPr>
                      <w:fldChar w:fldCharType="separate"/>
                    </w:r>
                    <w:r>
                      <w:rPr>
                        <w:rStyle w:val="41"/>
                        <w:rFonts w:ascii="宋体" w:hAnsi="宋体"/>
                        <w:sz w:val="26"/>
                        <w:szCs w:val="26"/>
                      </w:rPr>
                      <w:t>11</w:t>
                    </w:r>
                    <w:r>
                      <w:rPr>
                        <w:rFonts w:ascii="宋体" w:hAnsi="宋体"/>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963EA1"/>
    <w:multiLevelType w:val="singleLevel"/>
    <w:tmpl w:val="A1963EA1"/>
    <w:lvl w:ilvl="0" w:tentative="0">
      <w:start w:val="1"/>
      <w:numFmt w:val="decimal"/>
      <w:suff w:val="nothing"/>
      <w:lvlText w:val="%1、"/>
      <w:lvlJc w:val="left"/>
    </w:lvl>
  </w:abstractNum>
  <w:abstractNum w:abstractNumId="1">
    <w:nsid w:val="E1CE28CE"/>
    <w:multiLevelType w:val="singleLevel"/>
    <w:tmpl w:val="E1CE28CE"/>
    <w:lvl w:ilvl="0" w:tentative="0">
      <w:start w:val="2"/>
      <w:numFmt w:val="chineseCounting"/>
      <w:suff w:val="nothing"/>
      <w:lvlText w:val="%1、"/>
      <w:lvlJc w:val="left"/>
      <w:pPr>
        <w:ind w:left="-60"/>
      </w:pPr>
      <w:rPr>
        <w:rFonts w:hint="eastAsia"/>
      </w:rPr>
    </w:lvl>
  </w:abstractNum>
  <w:abstractNum w:abstractNumId="2">
    <w:nsid w:val="EDE5841A"/>
    <w:multiLevelType w:val="singleLevel"/>
    <w:tmpl w:val="EDE5841A"/>
    <w:lvl w:ilvl="0" w:tentative="0">
      <w:start w:val="1"/>
      <w:numFmt w:val="decimal"/>
      <w:suff w:val="nothing"/>
      <w:lvlText w:val="%1、"/>
      <w:lvlJc w:val="left"/>
    </w:lvl>
  </w:abstractNum>
  <w:abstractNum w:abstractNumId="3">
    <w:nsid w:val="F9FD4ED2"/>
    <w:multiLevelType w:val="singleLevel"/>
    <w:tmpl w:val="F9FD4ED2"/>
    <w:lvl w:ilvl="0" w:tentative="0">
      <w:start w:val="1"/>
      <w:numFmt w:val="decimal"/>
      <w:lvlText w:val="%1"/>
      <w:lvlJc w:val="left"/>
      <w:pPr>
        <w:tabs>
          <w:tab w:val="left" w:pos="420"/>
        </w:tabs>
        <w:ind w:left="425" w:leftChars="0" w:hanging="425" w:firstLineChars="0"/>
      </w:pPr>
      <w:rPr>
        <w:rFonts w:hint="default"/>
      </w:rPr>
    </w:lvl>
  </w:abstractNum>
  <w:abstractNum w:abstractNumId="4">
    <w:nsid w:val="13CD8A7D"/>
    <w:multiLevelType w:val="singleLevel"/>
    <w:tmpl w:val="13CD8A7D"/>
    <w:lvl w:ilvl="0" w:tentative="0">
      <w:start w:val="3"/>
      <w:numFmt w:val="decimal"/>
      <w:suff w:val="nothing"/>
      <w:lvlText w:val="（%1）"/>
      <w:lvlJc w:val="left"/>
    </w:lvl>
  </w:abstractNum>
  <w:abstractNum w:abstractNumId="5">
    <w:nsid w:val="1613A4D6"/>
    <w:multiLevelType w:val="singleLevel"/>
    <w:tmpl w:val="1613A4D6"/>
    <w:lvl w:ilvl="0" w:tentative="0">
      <w:start w:val="1"/>
      <w:numFmt w:val="decimal"/>
      <w:suff w:val="nothing"/>
      <w:lvlText w:val="%1、"/>
      <w:lvlJc w:val="left"/>
    </w:lvl>
  </w:abstractNum>
  <w:abstractNum w:abstractNumId="6">
    <w:nsid w:val="20BB7B44"/>
    <w:multiLevelType w:val="singleLevel"/>
    <w:tmpl w:val="20BB7B44"/>
    <w:lvl w:ilvl="0" w:tentative="0">
      <w:start w:val="8"/>
      <w:numFmt w:val="decimal"/>
      <w:suff w:val="nothing"/>
      <w:lvlText w:val="%1、"/>
      <w:lvlJc w:val="left"/>
    </w:lvl>
  </w:abstractNum>
  <w:abstractNum w:abstractNumId="7">
    <w:nsid w:val="314C714E"/>
    <w:multiLevelType w:val="singleLevel"/>
    <w:tmpl w:val="314C714E"/>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8">
    <w:nsid w:val="56E2D658"/>
    <w:multiLevelType w:val="singleLevel"/>
    <w:tmpl w:val="56E2D658"/>
    <w:lvl w:ilvl="0" w:tentative="0">
      <w:start w:val="1"/>
      <w:numFmt w:val="lowerLetter"/>
      <w:lvlText w:val="%1."/>
      <w:lvlJc w:val="left"/>
      <w:pPr>
        <w:tabs>
          <w:tab w:val="left" w:pos="312"/>
        </w:tabs>
      </w:pPr>
    </w:lvl>
  </w:abstractNum>
  <w:abstractNum w:abstractNumId="9">
    <w:nsid w:val="750B480D"/>
    <w:multiLevelType w:val="singleLevel"/>
    <w:tmpl w:val="750B480D"/>
    <w:lvl w:ilvl="0" w:tentative="0">
      <w:start w:val="6"/>
      <w:numFmt w:val="decimal"/>
      <w:suff w:val="nothing"/>
      <w:lvlText w:val="（%1）"/>
      <w:lvlJc w:val="left"/>
    </w:lvl>
  </w:abstractNum>
  <w:abstractNum w:abstractNumId="10">
    <w:nsid w:val="75E6C677"/>
    <w:multiLevelType w:val="singleLevel"/>
    <w:tmpl w:val="75E6C677"/>
    <w:lvl w:ilvl="0" w:tentative="0">
      <w:start w:val="1"/>
      <w:numFmt w:val="decimal"/>
      <w:suff w:val="nothing"/>
      <w:lvlText w:val="%1、"/>
      <w:lvlJc w:val="left"/>
    </w:lvl>
  </w:abstractNum>
  <w:num w:numId="1">
    <w:abstractNumId w:val="7"/>
  </w:num>
  <w:num w:numId="2">
    <w:abstractNumId w:val="10"/>
  </w:num>
  <w:num w:numId="3">
    <w:abstractNumId w:val="0"/>
  </w:num>
  <w:num w:numId="4">
    <w:abstractNumId w:val="5"/>
  </w:num>
  <w:num w:numId="5">
    <w:abstractNumId w:val="2"/>
  </w:num>
  <w:num w:numId="6">
    <w:abstractNumId w:val="6"/>
  </w:num>
  <w:num w:numId="7">
    <w:abstractNumId w:val="9"/>
  </w:num>
  <w:num w:numId="8">
    <w:abstractNumId w:val="8"/>
  </w:num>
  <w:num w:numId="9">
    <w:abstractNumId w:val="1"/>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105"/>
  <w:drawingGridVerticalSpacing w:val="317"/>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0060"/>
    <w:rsid w:val="000006A0"/>
    <w:rsid w:val="000017C5"/>
    <w:rsid w:val="00001A83"/>
    <w:rsid w:val="00001C44"/>
    <w:rsid w:val="00003C79"/>
    <w:rsid w:val="00004090"/>
    <w:rsid w:val="00004D6B"/>
    <w:rsid w:val="000060B3"/>
    <w:rsid w:val="000060DB"/>
    <w:rsid w:val="000067DF"/>
    <w:rsid w:val="00006DA1"/>
    <w:rsid w:val="000103FB"/>
    <w:rsid w:val="00010862"/>
    <w:rsid w:val="00012F90"/>
    <w:rsid w:val="00013392"/>
    <w:rsid w:val="000144DD"/>
    <w:rsid w:val="00015024"/>
    <w:rsid w:val="00015725"/>
    <w:rsid w:val="00015D0D"/>
    <w:rsid w:val="000161FA"/>
    <w:rsid w:val="000179C5"/>
    <w:rsid w:val="00020945"/>
    <w:rsid w:val="00021F48"/>
    <w:rsid w:val="00022B0E"/>
    <w:rsid w:val="00022C9B"/>
    <w:rsid w:val="000237F4"/>
    <w:rsid w:val="00023CB6"/>
    <w:rsid w:val="000249F1"/>
    <w:rsid w:val="00024C72"/>
    <w:rsid w:val="00024DA4"/>
    <w:rsid w:val="00024F38"/>
    <w:rsid w:val="000250F7"/>
    <w:rsid w:val="0002674E"/>
    <w:rsid w:val="00026F9C"/>
    <w:rsid w:val="00027922"/>
    <w:rsid w:val="00027DC5"/>
    <w:rsid w:val="00030129"/>
    <w:rsid w:val="00030239"/>
    <w:rsid w:val="00030485"/>
    <w:rsid w:val="00030EAC"/>
    <w:rsid w:val="00031954"/>
    <w:rsid w:val="000335FC"/>
    <w:rsid w:val="00033FFD"/>
    <w:rsid w:val="00034328"/>
    <w:rsid w:val="00034AED"/>
    <w:rsid w:val="00034BE5"/>
    <w:rsid w:val="00035A52"/>
    <w:rsid w:val="000360C8"/>
    <w:rsid w:val="0003619A"/>
    <w:rsid w:val="00036544"/>
    <w:rsid w:val="00037233"/>
    <w:rsid w:val="000376DF"/>
    <w:rsid w:val="00037857"/>
    <w:rsid w:val="00043210"/>
    <w:rsid w:val="0004364B"/>
    <w:rsid w:val="00043DCA"/>
    <w:rsid w:val="00045BC9"/>
    <w:rsid w:val="00046F44"/>
    <w:rsid w:val="00047C3A"/>
    <w:rsid w:val="000512CA"/>
    <w:rsid w:val="000516FC"/>
    <w:rsid w:val="00051D0D"/>
    <w:rsid w:val="00051F6F"/>
    <w:rsid w:val="00052AC8"/>
    <w:rsid w:val="0005361B"/>
    <w:rsid w:val="00053C6F"/>
    <w:rsid w:val="000551C7"/>
    <w:rsid w:val="00055B01"/>
    <w:rsid w:val="0005615E"/>
    <w:rsid w:val="000564D9"/>
    <w:rsid w:val="00057355"/>
    <w:rsid w:val="00060CB5"/>
    <w:rsid w:val="00061B1F"/>
    <w:rsid w:val="0006314B"/>
    <w:rsid w:val="000639C9"/>
    <w:rsid w:val="00064942"/>
    <w:rsid w:val="000650F7"/>
    <w:rsid w:val="000659E1"/>
    <w:rsid w:val="000662E3"/>
    <w:rsid w:val="0006672C"/>
    <w:rsid w:val="00066E59"/>
    <w:rsid w:val="000672CA"/>
    <w:rsid w:val="00070567"/>
    <w:rsid w:val="00070862"/>
    <w:rsid w:val="00072D02"/>
    <w:rsid w:val="000733C4"/>
    <w:rsid w:val="00074783"/>
    <w:rsid w:val="0008070B"/>
    <w:rsid w:val="000809C1"/>
    <w:rsid w:val="000810AC"/>
    <w:rsid w:val="00081A02"/>
    <w:rsid w:val="00081EEB"/>
    <w:rsid w:val="00082061"/>
    <w:rsid w:val="00082231"/>
    <w:rsid w:val="00082CE7"/>
    <w:rsid w:val="00083EF9"/>
    <w:rsid w:val="000854B3"/>
    <w:rsid w:val="00085616"/>
    <w:rsid w:val="00087FBA"/>
    <w:rsid w:val="0009034D"/>
    <w:rsid w:val="00090EA9"/>
    <w:rsid w:val="000916DC"/>
    <w:rsid w:val="0009228B"/>
    <w:rsid w:val="00092D38"/>
    <w:rsid w:val="00092D84"/>
    <w:rsid w:val="0009377B"/>
    <w:rsid w:val="00094BEB"/>
    <w:rsid w:val="00095FB0"/>
    <w:rsid w:val="000976F6"/>
    <w:rsid w:val="000A1146"/>
    <w:rsid w:val="000A20C9"/>
    <w:rsid w:val="000A2646"/>
    <w:rsid w:val="000A3552"/>
    <w:rsid w:val="000A55EE"/>
    <w:rsid w:val="000A69C1"/>
    <w:rsid w:val="000A6CAF"/>
    <w:rsid w:val="000A70DA"/>
    <w:rsid w:val="000A760A"/>
    <w:rsid w:val="000B0576"/>
    <w:rsid w:val="000B058F"/>
    <w:rsid w:val="000B087B"/>
    <w:rsid w:val="000B0E6D"/>
    <w:rsid w:val="000B1AFD"/>
    <w:rsid w:val="000B2024"/>
    <w:rsid w:val="000B2703"/>
    <w:rsid w:val="000B277E"/>
    <w:rsid w:val="000B4467"/>
    <w:rsid w:val="000B487A"/>
    <w:rsid w:val="000B4DB9"/>
    <w:rsid w:val="000B50D1"/>
    <w:rsid w:val="000B5A44"/>
    <w:rsid w:val="000B5E50"/>
    <w:rsid w:val="000B7969"/>
    <w:rsid w:val="000C09AC"/>
    <w:rsid w:val="000C23FE"/>
    <w:rsid w:val="000C24D3"/>
    <w:rsid w:val="000C257D"/>
    <w:rsid w:val="000C413D"/>
    <w:rsid w:val="000C47F2"/>
    <w:rsid w:val="000C4AA7"/>
    <w:rsid w:val="000C4ADC"/>
    <w:rsid w:val="000C754B"/>
    <w:rsid w:val="000C7612"/>
    <w:rsid w:val="000C767F"/>
    <w:rsid w:val="000D08EF"/>
    <w:rsid w:val="000D0E98"/>
    <w:rsid w:val="000D1A9F"/>
    <w:rsid w:val="000D2AEC"/>
    <w:rsid w:val="000D2DD4"/>
    <w:rsid w:val="000D31EC"/>
    <w:rsid w:val="000D3E09"/>
    <w:rsid w:val="000D4661"/>
    <w:rsid w:val="000D581F"/>
    <w:rsid w:val="000D5A44"/>
    <w:rsid w:val="000D5DFC"/>
    <w:rsid w:val="000D699D"/>
    <w:rsid w:val="000D71B0"/>
    <w:rsid w:val="000D7CD5"/>
    <w:rsid w:val="000E0A11"/>
    <w:rsid w:val="000E0D96"/>
    <w:rsid w:val="000E2C3F"/>
    <w:rsid w:val="000E3ED2"/>
    <w:rsid w:val="000E4310"/>
    <w:rsid w:val="000E6285"/>
    <w:rsid w:val="000E66B5"/>
    <w:rsid w:val="000E6DCB"/>
    <w:rsid w:val="000E6E3B"/>
    <w:rsid w:val="000E7840"/>
    <w:rsid w:val="000E7D18"/>
    <w:rsid w:val="000F0642"/>
    <w:rsid w:val="000F0970"/>
    <w:rsid w:val="000F0B59"/>
    <w:rsid w:val="000F3229"/>
    <w:rsid w:val="000F3815"/>
    <w:rsid w:val="000F3A0A"/>
    <w:rsid w:val="000F4D01"/>
    <w:rsid w:val="000F4E67"/>
    <w:rsid w:val="000F56EF"/>
    <w:rsid w:val="000F5ECD"/>
    <w:rsid w:val="000F6359"/>
    <w:rsid w:val="000F6B6B"/>
    <w:rsid w:val="000F77DE"/>
    <w:rsid w:val="0010006E"/>
    <w:rsid w:val="00101569"/>
    <w:rsid w:val="0010171F"/>
    <w:rsid w:val="00102F6F"/>
    <w:rsid w:val="00103034"/>
    <w:rsid w:val="00103E87"/>
    <w:rsid w:val="0010441D"/>
    <w:rsid w:val="00105913"/>
    <w:rsid w:val="00105D1C"/>
    <w:rsid w:val="001068D2"/>
    <w:rsid w:val="00106C62"/>
    <w:rsid w:val="0011150B"/>
    <w:rsid w:val="00111605"/>
    <w:rsid w:val="001117E7"/>
    <w:rsid w:val="00112DFA"/>
    <w:rsid w:val="00113373"/>
    <w:rsid w:val="001144AF"/>
    <w:rsid w:val="00114535"/>
    <w:rsid w:val="00114539"/>
    <w:rsid w:val="00114D2C"/>
    <w:rsid w:val="0011777C"/>
    <w:rsid w:val="001177DA"/>
    <w:rsid w:val="00117B61"/>
    <w:rsid w:val="001207FF"/>
    <w:rsid w:val="00121B79"/>
    <w:rsid w:val="001230C8"/>
    <w:rsid w:val="00123DC4"/>
    <w:rsid w:val="00125803"/>
    <w:rsid w:val="00125896"/>
    <w:rsid w:val="00125C48"/>
    <w:rsid w:val="00125D11"/>
    <w:rsid w:val="00130268"/>
    <w:rsid w:val="00131F42"/>
    <w:rsid w:val="0013244E"/>
    <w:rsid w:val="001328CC"/>
    <w:rsid w:val="001337E0"/>
    <w:rsid w:val="001357F1"/>
    <w:rsid w:val="00136CB9"/>
    <w:rsid w:val="00136D29"/>
    <w:rsid w:val="00137F1B"/>
    <w:rsid w:val="001401DE"/>
    <w:rsid w:val="00140B04"/>
    <w:rsid w:val="00140FA8"/>
    <w:rsid w:val="00141B7A"/>
    <w:rsid w:val="0014264B"/>
    <w:rsid w:val="00142FEB"/>
    <w:rsid w:val="001430B3"/>
    <w:rsid w:val="00143A2D"/>
    <w:rsid w:val="00143FF1"/>
    <w:rsid w:val="0014432D"/>
    <w:rsid w:val="0014454B"/>
    <w:rsid w:val="001446AA"/>
    <w:rsid w:val="00144980"/>
    <w:rsid w:val="00144E8C"/>
    <w:rsid w:val="00145A41"/>
    <w:rsid w:val="00146362"/>
    <w:rsid w:val="00146481"/>
    <w:rsid w:val="00147D82"/>
    <w:rsid w:val="00150A84"/>
    <w:rsid w:val="00150F17"/>
    <w:rsid w:val="00151675"/>
    <w:rsid w:val="00151972"/>
    <w:rsid w:val="00151DE5"/>
    <w:rsid w:val="00151FAD"/>
    <w:rsid w:val="00153C0C"/>
    <w:rsid w:val="00154005"/>
    <w:rsid w:val="0015434A"/>
    <w:rsid w:val="00157435"/>
    <w:rsid w:val="00160361"/>
    <w:rsid w:val="00160F4F"/>
    <w:rsid w:val="001612F6"/>
    <w:rsid w:val="00162BEA"/>
    <w:rsid w:val="00163A01"/>
    <w:rsid w:val="0016681E"/>
    <w:rsid w:val="00167DD3"/>
    <w:rsid w:val="001703E7"/>
    <w:rsid w:val="00170671"/>
    <w:rsid w:val="0017098E"/>
    <w:rsid w:val="00171257"/>
    <w:rsid w:val="00172364"/>
    <w:rsid w:val="00172529"/>
    <w:rsid w:val="00173672"/>
    <w:rsid w:val="0017504D"/>
    <w:rsid w:val="0017584C"/>
    <w:rsid w:val="0017619C"/>
    <w:rsid w:val="0017671A"/>
    <w:rsid w:val="00176AB5"/>
    <w:rsid w:val="0017708F"/>
    <w:rsid w:val="00177422"/>
    <w:rsid w:val="00180848"/>
    <w:rsid w:val="001817E3"/>
    <w:rsid w:val="001830B5"/>
    <w:rsid w:val="001833A5"/>
    <w:rsid w:val="00183CC7"/>
    <w:rsid w:val="00183D0E"/>
    <w:rsid w:val="00184590"/>
    <w:rsid w:val="00184655"/>
    <w:rsid w:val="001851FD"/>
    <w:rsid w:val="0018649F"/>
    <w:rsid w:val="001870D1"/>
    <w:rsid w:val="0018781E"/>
    <w:rsid w:val="00187B91"/>
    <w:rsid w:val="001904E5"/>
    <w:rsid w:val="00190941"/>
    <w:rsid w:val="001925C3"/>
    <w:rsid w:val="0019262D"/>
    <w:rsid w:val="00193505"/>
    <w:rsid w:val="00193D4B"/>
    <w:rsid w:val="0019411F"/>
    <w:rsid w:val="00195F0F"/>
    <w:rsid w:val="00196100"/>
    <w:rsid w:val="001961ED"/>
    <w:rsid w:val="001963CD"/>
    <w:rsid w:val="00196A42"/>
    <w:rsid w:val="00196CC8"/>
    <w:rsid w:val="0019737D"/>
    <w:rsid w:val="001A0FA4"/>
    <w:rsid w:val="001A1B35"/>
    <w:rsid w:val="001A1D72"/>
    <w:rsid w:val="001A3D5D"/>
    <w:rsid w:val="001A45A2"/>
    <w:rsid w:val="001A48A2"/>
    <w:rsid w:val="001A4A9C"/>
    <w:rsid w:val="001A539B"/>
    <w:rsid w:val="001A5AAC"/>
    <w:rsid w:val="001A5CBC"/>
    <w:rsid w:val="001A6F61"/>
    <w:rsid w:val="001B1201"/>
    <w:rsid w:val="001B17EB"/>
    <w:rsid w:val="001B1DB0"/>
    <w:rsid w:val="001B2959"/>
    <w:rsid w:val="001B4696"/>
    <w:rsid w:val="001B49AE"/>
    <w:rsid w:val="001B5626"/>
    <w:rsid w:val="001B5E9B"/>
    <w:rsid w:val="001B72B8"/>
    <w:rsid w:val="001B75F2"/>
    <w:rsid w:val="001B76E7"/>
    <w:rsid w:val="001B7B67"/>
    <w:rsid w:val="001C08B9"/>
    <w:rsid w:val="001C09F5"/>
    <w:rsid w:val="001C271B"/>
    <w:rsid w:val="001C42B0"/>
    <w:rsid w:val="001C48AC"/>
    <w:rsid w:val="001C4A03"/>
    <w:rsid w:val="001C6962"/>
    <w:rsid w:val="001C69B3"/>
    <w:rsid w:val="001C70FD"/>
    <w:rsid w:val="001D0C5D"/>
    <w:rsid w:val="001D1B21"/>
    <w:rsid w:val="001D1D65"/>
    <w:rsid w:val="001D2394"/>
    <w:rsid w:val="001D2A3E"/>
    <w:rsid w:val="001D3140"/>
    <w:rsid w:val="001D39A2"/>
    <w:rsid w:val="001D3E2B"/>
    <w:rsid w:val="001D4B80"/>
    <w:rsid w:val="001D532F"/>
    <w:rsid w:val="001D5595"/>
    <w:rsid w:val="001D5A7E"/>
    <w:rsid w:val="001D5BC1"/>
    <w:rsid w:val="001D6731"/>
    <w:rsid w:val="001D7874"/>
    <w:rsid w:val="001D7ABD"/>
    <w:rsid w:val="001D7F22"/>
    <w:rsid w:val="001D7FC0"/>
    <w:rsid w:val="001E080D"/>
    <w:rsid w:val="001E0E56"/>
    <w:rsid w:val="001E148C"/>
    <w:rsid w:val="001E3615"/>
    <w:rsid w:val="001E3C11"/>
    <w:rsid w:val="001E45B4"/>
    <w:rsid w:val="001E487C"/>
    <w:rsid w:val="001E4E55"/>
    <w:rsid w:val="001E5E58"/>
    <w:rsid w:val="001E5F47"/>
    <w:rsid w:val="001E65F3"/>
    <w:rsid w:val="001E68C6"/>
    <w:rsid w:val="001F0288"/>
    <w:rsid w:val="001F0F17"/>
    <w:rsid w:val="001F15CF"/>
    <w:rsid w:val="001F1B3C"/>
    <w:rsid w:val="001F2686"/>
    <w:rsid w:val="001F3168"/>
    <w:rsid w:val="001F31DE"/>
    <w:rsid w:val="001F3347"/>
    <w:rsid w:val="001F4E6B"/>
    <w:rsid w:val="001F50BC"/>
    <w:rsid w:val="001F56A6"/>
    <w:rsid w:val="001F69E4"/>
    <w:rsid w:val="001F6C5C"/>
    <w:rsid w:val="00200DCC"/>
    <w:rsid w:val="00201273"/>
    <w:rsid w:val="002017C8"/>
    <w:rsid w:val="0020260E"/>
    <w:rsid w:val="00203766"/>
    <w:rsid w:val="00204511"/>
    <w:rsid w:val="00206575"/>
    <w:rsid w:val="0020697B"/>
    <w:rsid w:val="00207BE7"/>
    <w:rsid w:val="0021097A"/>
    <w:rsid w:val="002125B4"/>
    <w:rsid w:val="0021262E"/>
    <w:rsid w:val="00212AAB"/>
    <w:rsid w:val="002138A2"/>
    <w:rsid w:val="00214511"/>
    <w:rsid w:val="0021471B"/>
    <w:rsid w:val="002155B8"/>
    <w:rsid w:val="00215749"/>
    <w:rsid w:val="00215EF1"/>
    <w:rsid w:val="00216397"/>
    <w:rsid w:val="00216CA6"/>
    <w:rsid w:val="002176CA"/>
    <w:rsid w:val="00217E61"/>
    <w:rsid w:val="002201E2"/>
    <w:rsid w:val="002206BA"/>
    <w:rsid w:val="0022152D"/>
    <w:rsid w:val="002219F9"/>
    <w:rsid w:val="002221D8"/>
    <w:rsid w:val="002222C3"/>
    <w:rsid w:val="00222936"/>
    <w:rsid w:val="0022375E"/>
    <w:rsid w:val="002237C8"/>
    <w:rsid w:val="00223F53"/>
    <w:rsid w:val="0022408B"/>
    <w:rsid w:val="00224839"/>
    <w:rsid w:val="002249B2"/>
    <w:rsid w:val="00225468"/>
    <w:rsid w:val="00225B82"/>
    <w:rsid w:val="00225E22"/>
    <w:rsid w:val="00226574"/>
    <w:rsid w:val="00226E7E"/>
    <w:rsid w:val="002278EC"/>
    <w:rsid w:val="00231DFE"/>
    <w:rsid w:val="0023233D"/>
    <w:rsid w:val="0023280E"/>
    <w:rsid w:val="00232F6C"/>
    <w:rsid w:val="00233076"/>
    <w:rsid w:val="00234F1A"/>
    <w:rsid w:val="00235C69"/>
    <w:rsid w:val="00236166"/>
    <w:rsid w:val="00236439"/>
    <w:rsid w:val="002372C7"/>
    <w:rsid w:val="0023759E"/>
    <w:rsid w:val="002377D1"/>
    <w:rsid w:val="00237B28"/>
    <w:rsid w:val="00237C63"/>
    <w:rsid w:val="00237E62"/>
    <w:rsid w:val="002403FA"/>
    <w:rsid w:val="002404A0"/>
    <w:rsid w:val="0024187B"/>
    <w:rsid w:val="00241CBE"/>
    <w:rsid w:val="00243379"/>
    <w:rsid w:val="00243606"/>
    <w:rsid w:val="00243C0D"/>
    <w:rsid w:val="00243F37"/>
    <w:rsid w:val="00246120"/>
    <w:rsid w:val="0024681A"/>
    <w:rsid w:val="0024706A"/>
    <w:rsid w:val="002470B7"/>
    <w:rsid w:val="00247737"/>
    <w:rsid w:val="00247ED6"/>
    <w:rsid w:val="002506BC"/>
    <w:rsid w:val="00251F2C"/>
    <w:rsid w:val="00252AD1"/>
    <w:rsid w:val="00253B57"/>
    <w:rsid w:val="0025420D"/>
    <w:rsid w:val="002542F1"/>
    <w:rsid w:val="00254345"/>
    <w:rsid w:val="00254A7E"/>
    <w:rsid w:val="0025526F"/>
    <w:rsid w:val="00255B3C"/>
    <w:rsid w:val="002565DE"/>
    <w:rsid w:val="00256B42"/>
    <w:rsid w:val="002617F9"/>
    <w:rsid w:val="00261B80"/>
    <w:rsid w:val="00261BF7"/>
    <w:rsid w:val="00262B8B"/>
    <w:rsid w:val="00262E4E"/>
    <w:rsid w:val="002636E6"/>
    <w:rsid w:val="00264557"/>
    <w:rsid w:val="00265995"/>
    <w:rsid w:val="0026615C"/>
    <w:rsid w:val="00266523"/>
    <w:rsid w:val="002678EE"/>
    <w:rsid w:val="002704AC"/>
    <w:rsid w:val="0027169D"/>
    <w:rsid w:val="0027255B"/>
    <w:rsid w:val="00273D63"/>
    <w:rsid w:val="002746FB"/>
    <w:rsid w:val="00274898"/>
    <w:rsid w:val="00275730"/>
    <w:rsid w:val="00275BB3"/>
    <w:rsid w:val="002761B3"/>
    <w:rsid w:val="00276C84"/>
    <w:rsid w:val="002773E9"/>
    <w:rsid w:val="00277570"/>
    <w:rsid w:val="00277579"/>
    <w:rsid w:val="002805AB"/>
    <w:rsid w:val="00280E9E"/>
    <w:rsid w:val="00281001"/>
    <w:rsid w:val="002824B2"/>
    <w:rsid w:val="00282D03"/>
    <w:rsid w:val="002832CC"/>
    <w:rsid w:val="0028374A"/>
    <w:rsid w:val="002837FE"/>
    <w:rsid w:val="00283F7F"/>
    <w:rsid w:val="00284204"/>
    <w:rsid w:val="00284E7C"/>
    <w:rsid w:val="00287F1C"/>
    <w:rsid w:val="00290B83"/>
    <w:rsid w:val="00291773"/>
    <w:rsid w:val="00291895"/>
    <w:rsid w:val="00292079"/>
    <w:rsid w:val="0029208B"/>
    <w:rsid w:val="00292394"/>
    <w:rsid w:val="00292619"/>
    <w:rsid w:val="00292E39"/>
    <w:rsid w:val="00294227"/>
    <w:rsid w:val="0029544A"/>
    <w:rsid w:val="002958AF"/>
    <w:rsid w:val="002960B4"/>
    <w:rsid w:val="002962AF"/>
    <w:rsid w:val="0029630E"/>
    <w:rsid w:val="00296E14"/>
    <w:rsid w:val="00296E28"/>
    <w:rsid w:val="00297B62"/>
    <w:rsid w:val="00297E9F"/>
    <w:rsid w:val="002A0478"/>
    <w:rsid w:val="002A0524"/>
    <w:rsid w:val="002A1638"/>
    <w:rsid w:val="002A168C"/>
    <w:rsid w:val="002A1BB6"/>
    <w:rsid w:val="002A306E"/>
    <w:rsid w:val="002A386F"/>
    <w:rsid w:val="002A3DC7"/>
    <w:rsid w:val="002A4662"/>
    <w:rsid w:val="002A49F9"/>
    <w:rsid w:val="002A5683"/>
    <w:rsid w:val="002A5B05"/>
    <w:rsid w:val="002A5DFA"/>
    <w:rsid w:val="002A66C6"/>
    <w:rsid w:val="002A7FB4"/>
    <w:rsid w:val="002B0B9E"/>
    <w:rsid w:val="002B11C1"/>
    <w:rsid w:val="002B3054"/>
    <w:rsid w:val="002B3E81"/>
    <w:rsid w:val="002B49E2"/>
    <w:rsid w:val="002B5850"/>
    <w:rsid w:val="002B623C"/>
    <w:rsid w:val="002B65EE"/>
    <w:rsid w:val="002B710C"/>
    <w:rsid w:val="002B7403"/>
    <w:rsid w:val="002B745E"/>
    <w:rsid w:val="002B7B00"/>
    <w:rsid w:val="002B7C44"/>
    <w:rsid w:val="002B7EA5"/>
    <w:rsid w:val="002C05B5"/>
    <w:rsid w:val="002C0F8A"/>
    <w:rsid w:val="002C204D"/>
    <w:rsid w:val="002C2B17"/>
    <w:rsid w:val="002C328E"/>
    <w:rsid w:val="002C32DF"/>
    <w:rsid w:val="002C416B"/>
    <w:rsid w:val="002C4ADA"/>
    <w:rsid w:val="002C7A8D"/>
    <w:rsid w:val="002C7C46"/>
    <w:rsid w:val="002D13B3"/>
    <w:rsid w:val="002D14EE"/>
    <w:rsid w:val="002D19A0"/>
    <w:rsid w:val="002D2D31"/>
    <w:rsid w:val="002D339F"/>
    <w:rsid w:val="002D3646"/>
    <w:rsid w:val="002D3DD0"/>
    <w:rsid w:val="002D441A"/>
    <w:rsid w:val="002D4BE7"/>
    <w:rsid w:val="002D5746"/>
    <w:rsid w:val="002E134A"/>
    <w:rsid w:val="002E1520"/>
    <w:rsid w:val="002E1B43"/>
    <w:rsid w:val="002E1F3A"/>
    <w:rsid w:val="002E2231"/>
    <w:rsid w:val="002E298A"/>
    <w:rsid w:val="002E2BD8"/>
    <w:rsid w:val="002E3EE4"/>
    <w:rsid w:val="002E56F0"/>
    <w:rsid w:val="002E6C8E"/>
    <w:rsid w:val="002E77BA"/>
    <w:rsid w:val="002F024F"/>
    <w:rsid w:val="002F0506"/>
    <w:rsid w:val="002F0EC5"/>
    <w:rsid w:val="002F1031"/>
    <w:rsid w:val="002F22B8"/>
    <w:rsid w:val="002F24D3"/>
    <w:rsid w:val="002F28F5"/>
    <w:rsid w:val="002F38ED"/>
    <w:rsid w:val="002F3B14"/>
    <w:rsid w:val="002F56AE"/>
    <w:rsid w:val="002F67D7"/>
    <w:rsid w:val="002F6CC3"/>
    <w:rsid w:val="00301978"/>
    <w:rsid w:val="0030299E"/>
    <w:rsid w:val="0030332C"/>
    <w:rsid w:val="0030355C"/>
    <w:rsid w:val="00304FB7"/>
    <w:rsid w:val="003051C2"/>
    <w:rsid w:val="00305C54"/>
    <w:rsid w:val="003068FA"/>
    <w:rsid w:val="003071D2"/>
    <w:rsid w:val="0030721A"/>
    <w:rsid w:val="003078D1"/>
    <w:rsid w:val="00310869"/>
    <w:rsid w:val="00310CCF"/>
    <w:rsid w:val="00312296"/>
    <w:rsid w:val="003128FA"/>
    <w:rsid w:val="0031291E"/>
    <w:rsid w:val="00313142"/>
    <w:rsid w:val="0031351A"/>
    <w:rsid w:val="00313611"/>
    <w:rsid w:val="00313CB9"/>
    <w:rsid w:val="0031456A"/>
    <w:rsid w:val="00314F0E"/>
    <w:rsid w:val="00315307"/>
    <w:rsid w:val="00316ABB"/>
    <w:rsid w:val="00316C0C"/>
    <w:rsid w:val="00316CBB"/>
    <w:rsid w:val="003179A8"/>
    <w:rsid w:val="0032067E"/>
    <w:rsid w:val="00320D48"/>
    <w:rsid w:val="00321412"/>
    <w:rsid w:val="00321CC3"/>
    <w:rsid w:val="00321D8E"/>
    <w:rsid w:val="0032234B"/>
    <w:rsid w:val="0032258C"/>
    <w:rsid w:val="00323684"/>
    <w:rsid w:val="0032420F"/>
    <w:rsid w:val="003242DD"/>
    <w:rsid w:val="00325928"/>
    <w:rsid w:val="00325C0E"/>
    <w:rsid w:val="0032609E"/>
    <w:rsid w:val="00327EFE"/>
    <w:rsid w:val="0033083E"/>
    <w:rsid w:val="003311DC"/>
    <w:rsid w:val="00332863"/>
    <w:rsid w:val="0033299D"/>
    <w:rsid w:val="00332ECF"/>
    <w:rsid w:val="00333210"/>
    <w:rsid w:val="00333413"/>
    <w:rsid w:val="0033369D"/>
    <w:rsid w:val="00334941"/>
    <w:rsid w:val="00334E09"/>
    <w:rsid w:val="00335624"/>
    <w:rsid w:val="00335D9F"/>
    <w:rsid w:val="0033684D"/>
    <w:rsid w:val="00336A1E"/>
    <w:rsid w:val="0033768B"/>
    <w:rsid w:val="00337B42"/>
    <w:rsid w:val="00340514"/>
    <w:rsid w:val="00340E46"/>
    <w:rsid w:val="00341B42"/>
    <w:rsid w:val="0034348F"/>
    <w:rsid w:val="003435D7"/>
    <w:rsid w:val="003437CA"/>
    <w:rsid w:val="003438E2"/>
    <w:rsid w:val="00345769"/>
    <w:rsid w:val="003471B0"/>
    <w:rsid w:val="0034734E"/>
    <w:rsid w:val="00347768"/>
    <w:rsid w:val="003478BC"/>
    <w:rsid w:val="00347FC6"/>
    <w:rsid w:val="0035017E"/>
    <w:rsid w:val="00350371"/>
    <w:rsid w:val="00350A03"/>
    <w:rsid w:val="00350B2D"/>
    <w:rsid w:val="003521B3"/>
    <w:rsid w:val="003552E4"/>
    <w:rsid w:val="00355CE2"/>
    <w:rsid w:val="00355D1A"/>
    <w:rsid w:val="00355D20"/>
    <w:rsid w:val="003562AA"/>
    <w:rsid w:val="00356653"/>
    <w:rsid w:val="00356C71"/>
    <w:rsid w:val="00356FC2"/>
    <w:rsid w:val="0035743F"/>
    <w:rsid w:val="00357BE2"/>
    <w:rsid w:val="003600A6"/>
    <w:rsid w:val="003607CC"/>
    <w:rsid w:val="0036170C"/>
    <w:rsid w:val="00361B5D"/>
    <w:rsid w:val="00361BC4"/>
    <w:rsid w:val="00361DCB"/>
    <w:rsid w:val="00361FA2"/>
    <w:rsid w:val="003623B5"/>
    <w:rsid w:val="00362AD0"/>
    <w:rsid w:val="00365D75"/>
    <w:rsid w:val="00365DEC"/>
    <w:rsid w:val="00366E0F"/>
    <w:rsid w:val="00367834"/>
    <w:rsid w:val="00367B26"/>
    <w:rsid w:val="00370BE6"/>
    <w:rsid w:val="00370E9E"/>
    <w:rsid w:val="00371575"/>
    <w:rsid w:val="00371CE5"/>
    <w:rsid w:val="0037283F"/>
    <w:rsid w:val="003737FB"/>
    <w:rsid w:val="00374940"/>
    <w:rsid w:val="00376E49"/>
    <w:rsid w:val="00377960"/>
    <w:rsid w:val="00377CCF"/>
    <w:rsid w:val="00380D44"/>
    <w:rsid w:val="003818F6"/>
    <w:rsid w:val="00381A72"/>
    <w:rsid w:val="00382128"/>
    <w:rsid w:val="00383FAA"/>
    <w:rsid w:val="00384676"/>
    <w:rsid w:val="00384ABD"/>
    <w:rsid w:val="00385A75"/>
    <w:rsid w:val="003875B7"/>
    <w:rsid w:val="00387DDC"/>
    <w:rsid w:val="0039021E"/>
    <w:rsid w:val="00390857"/>
    <w:rsid w:val="0039139E"/>
    <w:rsid w:val="00391419"/>
    <w:rsid w:val="0039176D"/>
    <w:rsid w:val="00393481"/>
    <w:rsid w:val="0039402B"/>
    <w:rsid w:val="003940FA"/>
    <w:rsid w:val="00396CED"/>
    <w:rsid w:val="00397189"/>
    <w:rsid w:val="003972E8"/>
    <w:rsid w:val="00397E83"/>
    <w:rsid w:val="003A1BC5"/>
    <w:rsid w:val="003A2196"/>
    <w:rsid w:val="003A303B"/>
    <w:rsid w:val="003A33DC"/>
    <w:rsid w:val="003A3B1B"/>
    <w:rsid w:val="003A3B2F"/>
    <w:rsid w:val="003A4BF3"/>
    <w:rsid w:val="003A57CE"/>
    <w:rsid w:val="003A583B"/>
    <w:rsid w:val="003A5DAA"/>
    <w:rsid w:val="003A62DA"/>
    <w:rsid w:val="003A6A4B"/>
    <w:rsid w:val="003A6D3A"/>
    <w:rsid w:val="003A7F9D"/>
    <w:rsid w:val="003B155E"/>
    <w:rsid w:val="003B262D"/>
    <w:rsid w:val="003B2671"/>
    <w:rsid w:val="003B35E6"/>
    <w:rsid w:val="003B38B7"/>
    <w:rsid w:val="003B420D"/>
    <w:rsid w:val="003B4595"/>
    <w:rsid w:val="003B4A95"/>
    <w:rsid w:val="003B4CEC"/>
    <w:rsid w:val="003B69D3"/>
    <w:rsid w:val="003B6D7E"/>
    <w:rsid w:val="003B7AB1"/>
    <w:rsid w:val="003C008F"/>
    <w:rsid w:val="003C0426"/>
    <w:rsid w:val="003C05D8"/>
    <w:rsid w:val="003C09E2"/>
    <w:rsid w:val="003C10DB"/>
    <w:rsid w:val="003C2569"/>
    <w:rsid w:val="003C2677"/>
    <w:rsid w:val="003C46D0"/>
    <w:rsid w:val="003C612B"/>
    <w:rsid w:val="003C69F1"/>
    <w:rsid w:val="003C6C16"/>
    <w:rsid w:val="003C77B9"/>
    <w:rsid w:val="003C7850"/>
    <w:rsid w:val="003D09DF"/>
    <w:rsid w:val="003D11D7"/>
    <w:rsid w:val="003D2135"/>
    <w:rsid w:val="003D254B"/>
    <w:rsid w:val="003D3263"/>
    <w:rsid w:val="003D4836"/>
    <w:rsid w:val="003D4894"/>
    <w:rsid w:val="003D64E2"/>
    <w:rsid w:val="003D6890"/>
    <w:rsid w:val="003D794D"/>
    <w:rsid w:val="003D7AD8"/>
    <w:rsid w:val="003E0419"/>
    <w:rsid w:val="003E1133"/>
    <w:rsid w:val="003E196E"/>
    <w:rsid w:val="003E219F"/>
    <w:rsid w:val="003E2A19"/>
    <w:rsid w:val="003E3058"/>
    <w:rsid w:val="003E3ADA"/>
    <w:rsid w:val="003E403C"/>
    <w:rsid w:val="003E4C05"/>
    <w:rsid w:val="003E5CD8"/>
    <w:rsid w:val="003E7362"/>
    <w:rsid w:val="003E7456"/>
    <w:rsid w:val="003E76A9"/>
    <w:rsid w:val="003F0809"/>
    <w:rsid w:val="003F15AD"/>
    <w:rsid w:val="003F1CBB"/>
    <w:rsid w:val="003F2086"/>
    <w:rsid w:val="003F274B"/>
    <w:rsid w:val="003F2A47"/>
    <w:rsid w:val="003F3FF4"/>
    <w:rsid w:val="003F4C7F"/>
    <w:rsid w:val="003F4E3E"/>
    <w:rsid w:val="003F6A8C"/>
    <w:rsid w:val="003F755C"/>
    <w:rsid w:val="004001EF"/>
    <w:rsid w:val="00400727"/>
    <w:rsid w:val="00400E3E"/>
    <w:rsid w:val="00401096"/>
    <w:rsid w:val="00402118"/>
    <w:rsid w:val="00402B04"/>
    <w:rsid w:val="00403AA5"/>
    <w:rsid w:val="00404C7F"/>
    <w:rsid w:val="004055C4"/>
    <w:rsid w:val="0040589D"/>
    <w:rsid w:val="004058F1"/>
    <w:rsid w:val="00405B0C"/>
    <w:rsid w:val="0040674D"/>
    <w:rsid w:val="00406B0C"/>
    <w:rsid w:val="00406F01"/>
    <w:rsid w:val="00407AB7"/>
    <w:rsid w:val="00407F6E"/>
    <w:rsid w:val="00410BC2"/>
    <w:rsid w:val="00411FF9"/>
    <w:rsid w:val="0041285D"/>
    <w:rsid w:val="00413181"/>
    <w:rsid w:val="0041373E"/>
    <w:rsid w:val="00413AE6"/>
    <w:rsid w:val="004140A0"/>
    <w:rsid w:val="0041442B"/>
    <w:rsid w:val="004149D5"/>
    <w:rsid w:val="00416D50"/>
    <w:rsid w:val="00416FD5"/>
    <w:rsid w:val="00417772"/>
    <w:rsid w:val="00417844"/>
    <w:rsid w:val="0042007C"/>
    <w:rsid w:val="00420E6A"/>
    <w:rsid w:val="004212B0"/>
    <w:rsid w:val="00423428"/>
    <w:rsid w:val="00423B82"/>
    <w:rsid w:val="00424524"/>
    <w:rsid w:val="00425A9E"/>
    <w:rsid w:val="00426170"/>
    <w:rsid w:val="0042621A"/>
    <w:rsid w:val="00426D6B"/>
    <w:rsid w:val="00427186"/>
    <w:rsid w:val="00427268"/>
    <w:rsid w:val="0043011F"/>
    <w:rsid w:val="00430572"/>
    <w:rsid w:val="00431866"/>
    <w:rsid w:val="00431E6C"/>
    <w:rsid w:val="00432069"/>
    <w:rsid w:val="0043246C"/>
    <w:rsid w:val="004325FD"/>
    <w:rsid w:val="00433CE7"/>
    <w:rsid w:val="00435336"/>
    <w:rsid w:val="004359FE"/>
    <w:rsid w:val="00435C15"/>
    <w:rsid w:val="00436850"/>
    <w:rsid w:val="004369AB"/>
    <w:rsid w:val="0043723E"/>
    <w:rsid w:val="00437490"/>
    <w:rsid w:val="00437683"/>
    <w:rsid w:val="00437DED"/>
    <w:rsid w:val="00440A59"/>
    <w:rsid w:val="00441580"/>
    <w:rsid w:val="00441E45"/>
    <w:rsid w:val="00443791"/>
    <w:rsid w:val="00443ECD"/>
    <w:rsid w:val="004440E7"/>
    <w:rsid w:val="00445A3D"/>
    <w:rsid w:val="00447494"/>
    <w:rsid w:val="004474CD"/>
    <w:rsid w:val="00447B20"/>
    <w:rsid w:val="00447FCB"/>
    <w:rsid w:val="004513CE"/>
    <w:rsid w:val="00452164"/>
    <w:rsid w:val="0045245B"/>
    <w:rsid w:val="00452738"/>
    <w:rsid w:val="00455F2D"/>
    <w:rsid w:val="00456006"/>
    <w:rsid w:val="00456091"/>
    <w:rsid w:val="00456133"/>
    <w:rsid w:val="00456510"/>
    <w:rsid w:val="00456E30"/>
    <w:rsid w:val="00456EB7"/>
    <w:rsid w:val="00460994"/>
    <w:rsid w:val="00461FBE"/>
    <w:rsid w:val="00462531"/>
    <w:rsid w:val="00462FFF"/>
    <w:rsid w:val="004630AE"/>
    <w:rsid w:val="0046555B"/>
    <w:rsid w:val="0046599F"/>
    <w:rsid w:val="00466321"/>
    <w:rsid w:val="004679D8"/>
    <w:rsid w:val="00467CCD"/>
    <w:rsid w:val="00470265"/>
    <w:rsid w:val="004713A7"/>
    <w:rsid w:val="00471CA8"/>
    <w:rsid w:val="0047250A"/>
    <w:rsid w:val="00472575"/>
    <w:rsid w:val="004759B5"/>
    <w:rsid w:val="0047683C"/>
    <w:rsid w:val="00477007"/>
    <w:rsid w:val="004774C3"/>
    <w:rsid w:val="00477D5F"/>
    <w:rsid w:val="004801BA"/>
    <w:rsid w:val="00480F04"/>
    <w:rsid w:val="00482378"/>
    <w:rsid w:val="004830C3"/>
    <w:rsid w:val="00483CCC"/>
    <w:rsid w:val="00483F39"/>
    <w:rsid w:val="00484B68"/>
    <w:rsid w:val="00484B9B"/>
    <w:rsid w:val="00485277"/>
    <w:rsid w:val="004855F6"/>
    <w:rsid w:val="004856C9"/>
    <w:rsid w:val="004860BC"/>
    <w:rsid w:val="0048626B"/>
    <w:rsid w:val="004862AE"/>
    <w:rsid w:val="0048661E"/>
    <w:rsid w:val="00486740"/>
    <w:rsid w:val="00487E17"/>
    <w:rsid w:val="004903AF"/>
    <w:rsid w:val="004909E9"/>
    <w:rsid w:val="00490F70"/>
    <w:rsid w:val="004921EE"/>
    <w:rsid w:val="004924CD"/>
    <w:rsid w:val="00492927"/>
    <w:rsid w:val="00494670"/>
    <w:rsid w:val="00494961"/>
    <w:rsid w:val="00495A8B"/>
    <w:rsid w:val="00496474"/>
    <w:rsid w:val="00496A93"/>
    <w:rsid w:val="004A1091"/>
    <w:rsid w:val="004A126D"/>
    <w:rsid w:val="004A12F0"/>
    <w:rsid w:val="004A166D"/>
    <w:rsid w:val="004A2088"/>
    <w:rsid w:val="004A3823"/>
    <w:rsid w:val="004A4360"/>
    <w:rsid w:val="004A732D"/>
    <w:rsid w:val="004B2962"/>
    <w:rsid w:val="004B459D"/>
    <w:rsid w:val="004B5A27"/>
    <w:rsid w:val="004B6D9E"/>
    <w:rsid w:val="004B6F0A"/>
    <w:rsid w:val="004B6F73"/>
    <w:rsid w:val="004B71E3"/>
    <w:rsid w:val="004C1496"/>
    <w:rsid w:val="004C29C6"/>
    <w:rsid w:val="004C301D"/>
    <w:rsid w:val="004C375D"/>
    <w:rsid w:val="004C4F7E"/>
    <w:rsid w:val="004C6273"/>
    <w:rsid w:val="004C63AC"/>
    <w:rsid w:val="004C6679"/>
    <w:rsid w:val="004C66F8"/>
    <w:rsid w:val="004C745B"/>
    <w:rsid w:val="004C7BE5"/>
    <w:rsid w:val="004D113F"/>
    <w:rsid w:val="004D16A9"/>
    <w:rsid w:val="004D1870"/>
    <w:rsid w:val="004D1DB0"/>
    <w:rsid w:val="004D1EDE"/>
    <w:rsid w:val="004D22E2"/>
    <w:rsid w:val="004D328E"/>
    <w:rsid w:val="004D3439"/>
    <w:rsid w:val="004D3F18"/>
    <w:rsid w:val="004D40E6"/>
    <w:rsid w:val="004D487F"/>
    <w:rsid w:val="004D5562"/>
    <w:rsid w:val="004D5EB3"/>
    <w:rsid w:val="004D6783"/>
    <w:rsid w:val="004D733C"/>
    <w:rsid w:val="004E0280"/>
    <w:rsid w:val="004E15B4"/>
    <w:rsid w:val="004E1C5B"/>
    <w:rsid w:val="004E2E94"/>
    <w:rsid w:val="004E2EA4"/>
    <w:rsid w:val="004E42A0"/>
    <w:rsid w:val="004E4AAE"/>
    <w:rsid w:val="004E4C4C"/>
    <w:rsid w:val="004E5033"/>
    <w:rsid w:val="004E5116"/>
    <w:rsid w:val="004E60D1"/>
    <w:rsid w:val="004E650D"/>
    <w:rsid w:val="004E6946"/>
    <w:rsid w:val="004E6A36"/>
    <w:rsid w:val="004F1AD8"/>
    <w:rsid w:val="004F1C07"/>
    <w:rsid w:val="004F38D6"/>
    <w:rsid w:val="004F3EF6"/>
    <w:rsid w:val="004F4ED8"/>
    <w:rsid w:val="004F587A"/>
    <w:rsid w:val="004F5AC8"/>
    <w:rsid w:val="0050053B"/>
    <w:rsid w:val="00500C0D"/>
    <w:rsid w:val="00501595"/>
    <w:rsid w:val="005029FA"/>
    <w:rsid w:val="005039CB"/>
    <w:rsid w:val="0050558F"/>
    <w:rsid w:val="00505A6B"/>
    <w:rsid w:val="00506286"/>
    <w:rsid w:val="00510813"/>
    <w:rsid w:val="00510A0E"/>
    <w:rsid w:val="00510E9D"/>
    <w:rsid w:val="00511990"/>
    <w:rsid w:val="00511DE0"/>
    <w:rsid w:val="00512B62"/>
    <w:rsid w:val="00512CE1"/>
    <w:rsid w:val="00512EF5"/>
    <w:rsid w:val="0051358F"/>
    <w:rsid w:val="00514753"/>
    <w:rsid w:val="00514870"/>
    <w:rsid w:val="00514B9B"/>
    <w:rsid w:val="00514EDD"/>
    <w:rsid w:val="00517F02"/>
    <w:rsid w:val="00522A85"/>
    <w:rsid w:val="00522D1E"/>
    <w:rsid w:val="00523184"/>
    <w:rsid w:val="00524303"/>
    <w:rsid w:val="00524349"/>
    <w:rsid w:val="00525340"/>
    <w:rsid w:val="005258A2"/>
    <w:rsid w:val="00526046"/>
    <w:rsid w:val="00526433"/>
    <w:rsid w:val="005267A1"/>
    <w:rsid w:val="005270C0"/>
    <w:rsid w:val="00527559"/>
    <w:rsid w:val="00527A70"/>
    <w:rsid w:val="0053057A"/>
    <w:rsid w:val="00530FC7"/>
    <w:rsid w:val="00531647"/>
    <w:rsid w:val="0053255F"/>
    <w:rsid w:val="0053282D"/>
    <w:rsid w:val="00532DB3"/>
    <w:rsid w:val="00533714"/>
    <w:rsid w:val="00534A7F"/>
    <w:rsid w:val="005353B3"/>
    <w:rsid w:val="005356F5"/>
    <w:rsid w:val="0053605C"/>
    <w:rsid w:val="005361E0"/>
    <w:rsid w:val="00536402"/>
    <w:rsid w:val="00536A3A"/>
    <w:rsid w:val="00536DD7"/>
    <w:rsid w:val="00537763"/>
    <w:rsid w:val="005401AE"/>
    <w:rsid w:val="00540ABE"/>
    <w:rsid w:val="00541636"/>
    <w:rsid w:val="005418C1"/>
    <w:rsid w:val="00541A37"/>
    <w:rsid w:val="00541F70"/>
    <w:rsid w:val="005422DC"/>
    <w:rsid w:val="00542936"/>
    <w:rsid w:val="00542C16"/>
    <w:rsid w:val="00542E07"/>
    <w:rsid w:val="00542FFD"/>
    <w:rsid w:val="00544184"/>
    <w:rsid w:val="00544FE2"/>
    <w:rsid w:val="00545424"/>
    <w:rsid w:val="00545DBC"/>
    <w:rsid w:val="00550F62"/>
    <w:rsid w:val="00551307"/>
    <w:rsid w:val="00552A17"/>
    <w:rsid w:val="005530B5"/>
    <w:rsid w:val="005532D3"/>
    <w:rsid w:val="00554221"/>
    <w:rsid w:val="00554A7B"/>
    <w:rsid w:val="00554F70"/>
    <w:rsid w:val="00555634"/>
    <w:rsid w:val="0055572C"/>
    <w:rsid w:val="00556336"/>
    <w:rsid w:val="00557A2A"/>
    <w:rsid w:val="00560302"/>
    <w:rsid w:val="0056106A"/>
    <w:rsid w:val="0056192D"/>
    <w:rsid w:val="0056195E"/>
    <w:rsid w:val="00561B6E"/>
    <w:rsid w:val="00562ED1"/>
    <w:rsid w:val="005637E1"/>
    <w:rsid w:val="00563852"/>
    <w:rsid w:val="0056465F"/>
    <w:rsid w:val="005671B3"/>
    <w:rsid w:val="00567743"/>
    <w:rsid w:val="00567782"/>
    <w:rsid w:val="00567C8F"/>
    <w:rsid w:val="00570C37"/>
    <w:rsid w:val="005712FC"/>
    <w:rsid w:val="005720AE"/>
    <w:rsid w:val="00572565"/>
    <w:rsid w:val="00572AE4"/>
    <w:rsid w:val="00572BC9"/>
    <w:rsid w:val="00573CC0"/>
    <w:rsid w:val="00573D9B"/>
    <w:rsid w:val="005753B7"/>
    <w:rsid w:val="00575940"/>
    <w:rsid w:val="00575DC9"/>
    <w:rsid w:val="00575F66"/>
    <w:rsid w:val="00576103"/>
    <w:rsid w:val="00576D03"/>
    <w:rsid w:val="0057757D"/>
    <w:rsid w:val="00577CAD"/>
    <w:rsid w:val="005840D8"/>
    <w:rsid w:val="00585A23"/>
    <w:rsid w:val="00585C59"/>
    <w:rsid w:val="0058686B"/>
    <w:rsid w:val="00587E7A"/>
    <w:rsid w:val="00590551"/>
    <w:rsid w:val="0059142C"/>
    <w:rsid w:val="0059195D"/>
    <w:rsid w:val="005919E5"/>
    <w:rsid w:val="005944EF"/>
    <w:rsid w:val="00594512"/>
    <w:rsid w:val="0059475D"/>
    <w:rsid w:val="00594D77"/>
    <w:rsid w:val="005968E5"/>
    <w:rsid w:val="005969E4"/>
    <w:rsid w:val="00597C26"/>
    <w:rsid w:val="005A034D"/>
    <w:rsid w:val="005A06B7"/>
    <w:rsid w:val="005A0D64"/>
    <w:rsid w:val="005A13E2"/>
    <w:rsid w:val="005A1759"/>
    <w:rsid w:val="005A4F14"/>
    <w:rsid w:val="005A57D9"/>
    <w:rsid w:val="005A674D"/>
    <w:rsid w:val="005A683E"/>
    <w:rsid w:val="005A68A7"/>
    <w:rsid w:val="005A7A5D"/>
    <w:rsid w:val="005B06FB"/>
    <w:rsid w:val="005B0CA1"/>
    <w:rsid w:val="005B1A39"/>
    <w:rsid w:val="005B3A3B"/>
    <w:rsid w:val="005B44FE"/>
    <w:rsid w:val="005B454E"/>
    <w:rsid w:val="005B7B97"/>
    <w:rsid w:val="005B7FDE"/>
    <w:rsid w:val="005C0536"/>
    <w:rsid w:val="005C0CE0"/>
    <w:rsid w:val="005C0D0C"/>
    <w:rsid w:val="005C11C7"/>
    <w:rsid w:val="005C1334"/>
    <w:rsid w:val="005C1582"/>
    <w:rsid w:val="005C3B9D"/>
    <w:rsid w:val="005C4486"/>
    <w:rsid w:val="005C472C"/>
    <w:rsid w:val="005C48CF"/>
    <w:rsid w:val="005C4AE5"/>
    <w:rsid w:val="005C5C58"/>
    <w:rsid w:val="005C62EA"/>
    <w:rsid w:val="005C6667"/>
    <w:rsid w:val="005D0ADE"/>
    <w:rsid w:val="005D2277"/>
    <w:rsid w:val="005D230B"/>
    <w:rsid w:val="005D3699"/>
    <w:rsid w:val="005D36AB"/>
    <w:rsid w:val="005D3BDC"/>
    <w:rsid w:val="005D6BA9"/>
    <w:rsid w:val="005D7314"/>
    <w:rsid w:val="005D7449"/>
    <w:rsid w:val="005E035C"/>
    <w:rsid w:val="005E05C3"/>
    <w:rsid w:val="005E0676"/>
    <w:rsid w:val="005E0B8D"/>
    <w:rsid w:val="005E294B"/>
    <w:rsid w:val="005E29F6"/>
    <w:rsid w:val="005E49E2"/>
    <w:rsid w:val="005E4BDA"/>
    <w:rsid w:val="005E4E53"/>
    <w:rsid w:val="005E574E"/>
    <w:rsid w:val="005E5F9C"/>
    <w:rsid w:val="005E75AD"/>
    <w:rsid w:val="005E7CA5"/>
    <w:rsid w:val="005E7F4E"/>
    <w:rsid w:val="005F0ACF"/>
    <w:rsid w:val="005F1D61"/>
    <w:rsid w:val="005F1F6E"/>
    <w:rsid w:val="005F1FB9"/>
    <w:rsid w:val="005F2482"/>
    <w:rsid w:val="005F2EF6"/>
    <w:rsid w:val="005F34A1"/>
    <w:rsid w:val="005F3E12"/>
    <w:rsid w:val="005F429F"/>
    <w:rsid w:val="005F6B5D"/>
    <w:rsid w:val="005F6E1A"/>
    <w:rsid w:val="005F6F24"/>
    <w:rsid w:val="005F72FD"/>
    <w:rsid w:val="00601F35"/>
    <w:rsid w:val="0060241D"/>
    <w:rsid w:val="006029D8"/>
    <w:rsid w:val="006030D0"/>
    <w:rsid w:val="00605453"/>
    <w:rsid w:val="00605A38"/>
    <w:rsid w:val="00605DB1"/>
    <w:rsid w:val="0060655E"/>
    <w:rsid w:val="00606C87"/>
    <w:rsid w:val="0061150F"/>
    <w:rsid w:val="00611CA8"/>
    <w:rsid w:val="006131E9"/>
    <w:rsid w:val="00613911"/>
    <w:rsid w:val="006142D2"/>
    <w:rsid w:val="00614CCA"/>
    <w:rsid w:val="00616113"/>
    <w:rsid w:val="00616124"/>
    <w:rsid w:val="006179EA"/>
    <w:rsid w:val="00617CC3"/>
    <w:rsid w:val="00620A06"/>
    <w:rsid w:val="0062111E"/>
    <w:rsid w:val="00621C3A"/>
    <w:rsid w:val="0062247A"/>
    <w:rsid w:val="006225CF"/>
    <w:rsid w:val="00622A8D"/>
    <w:rsid w:val="00622DAE"/>
    <w:rsid w:val="00623E33"/>
    <w:rsid w:val="00624D45"/>
    <w:rsid w:val="00625568"/>
    <w:rsid w:val="00625B05"/>
    <w:rsid w:val="00625D7D"/>
    <w:rsid w:val="00625E19"/>
    <w:rsid w:val="006266B7"/>
    <w:rsid w:val="00626FA3"/>
    <w:rsid w:val="00627DB3"/>
    <w:rsid w:val="0063028A"/>
    <w:rsid w:val="00630799"/>
    <w:rsid w:val="006307F4"/>
    <w:rsid w:val="00631D73"/>
    <w:rsid w:val="00632E22"/>
    <w:rsid w:val="00633623"/>
    <w:rsid w:val="00633F7F"/>
    <w:rsid w:val="00634217"/>
    <w:rsid w:val="00634365"/>
    <w:rsid w:val="00634FA4"/>
    <w:rsid w:val="0063518C"/>
    <w:rsid w:val="0063577E"/>
    <w:rsid w:val="00635892"/>
    <w:rsid w:val="00636795"/>
    <w:rsid w:val="006377A6"/>
    <w:rsid w:val="00637A3D"/>
    <w:rsid w:val="006410F8"/>
    <w:rsid w:val="006411EF"/>
    <w:rsid w:val="0064256B"/>
    <w:rsid w:val="00642F71"/>
    <w:rsid w:val="00643636"/>
    <w:rsid w:val="00643C38"/>
    <w:rsid w:val="00644285"/>
    <w:rsid w:val="00644FB1"/>
    <w:rsid w:val="00646544"/>
    <w:rsid w:val="00647DB1"/>
    <w:rsid w:val="0065125B"/>
    <w:rsid w:val="00652891"/>
    <w:rsid w:val="00652C0E"/>
    <w:rsid w:val="006535FD"/>
    <w:rsid w:val="00653877"/>
    <w:rsid w:val="00653B94"/>
    <w:rsid w:val="0065406A"/>
    <w:rsid w:val="00654339"/>
    <w:rsid w:val="006545B6"/>
    <w:rsid w:val="00655714"/>
    <w:rsid w:val="00655C6B"/>
    <w:rsid w:val="00656125"/>
    <w:rsid w:val="0065691B"/>
    <w:rsid w:val="00657F53"/>
    <w:rsid w:val="0066044F"/>
    <w:rsid w:val="0066060B"/>
    <w:rsid w:val="0066154A"/>
    <w:rsid w:val="00661EA3"/>
    <w:rsid w:val="00661EE1"/>
    <w:rsid w:val="006626F0"/>
    <w:rsid w:val="00664467"/>
    <w:rsid w:val="006650CE"/>
    <w:rsid w:val="006650EC"/>
    <w:rsid w:val="00665373"/>
    <w:rsid w:val="00665A74"/>
    <w:rsid w:val="00670067"/>
    <w:rsid w:val="00670698"/>
    <w:rsid w:val="0067077E"/>
    <w:rsid w:val="006712B5"/>
    <w:rsid w:val="006724B6"/>
    <w:rsid w:val="0067263B"/>
    <w:rsid w:val="00672F82"/>
    <w:rsid w:val="0067427A"/>
    <w:rsid w:val="006748B8"/>
    <w:rsid w:val="00674A85"/>
    <w:rsid w:val="006757BF"/>
    <w:rsid w:val="0067588E"/>
    <w:rsid w:val="006775C3"/>
    <w:rsid w:val="00677F8B"/>
    <w:rsid w:val="006805B0"/>
    <w:rsid w:val="00680983"/>
    <w:rsid w:val="00681265"/>
    <w:rsid w:val="00681279"/>
    <w:rsid w:val="006833AB"/>
    <w:rsid w:val="0068442D"/>
    <w:rsid w:val="00685329"/>
    <w:rsid w:val="00686481"/>
    <w:rsid w:val="006866A0"/>
    <w:rsid w:val="00686846"/>
    <w:rsid w:val="006872EF"/>
    <w:rsid w:val="0068776A"/>
    <w:rsid w:val="006879E2"/>
    <w:rsid w:val="006905C9"/>
    <w:rsid w:val="0069140C"/>
    <w:rsid w:val="006914BB"/>
    <w:rsid w:val="00691765"/>
    <w:rsid w:val="00691982"/>
    <w:rsid w:val="0069290A"/>
    <w:rsid w:val="00692F88"/>
    <w:rsid w:val="006931D8"/>
    <w:rsid w:val="006931FD"/>
    <w:rsid w:val="006936C5"/>
    <w:rsid w:val="00693940"/>
    <w:rsid w:val="00696059"/>
    <w:rsid w:val="00696315"/>
    <w:rsid w:val="00696FEB"/>
    <w:rsid w:val="0069775A"/>
    <w:rsid w:val="00697813"/>
    <w:rsid w:val="00697D51"/>
    <w:rsid w:val="006A0274"/>
    <w:rsid w:val="006A1649"/>
    <w:rsid w:val="006A1C67"/>
    <w:rsid w:val="006A23EA"/>
    <w:rsid w:val="006A241A"/>
    <w:rsid w:val="006A30C3"/>
    <w:rsid w:val="006A3EE8"/>
    <w:rsid w:val="006A43B3"/>
    <w:rsid w:val="006A4A49"/>
    <w:rsid w:val="006A6B44"/>
    <w:rsid w:val="006A72BF"/>
    <w:rsid w:val="006A7A66"/>
    <w:rsid w:val="006B0120"/>
    <w:rsid w:val="006B03F2"/>
    <w:rsid w:val="006B2F25"/>
    <w:rsid w:val="006B37DC"/>
    <w:rsid w:val="006B3896"/>
    <w:rsid w:val="006B4011"/>
    <w:rsid w:val="006B42E1"/>
    <w:rsid w:val="006B4530"/>
    <w:rsid w:val="006B4F68"/>
    <w:rsid w:val="006B5289"/>
    <w:rsid w:val="006B5737"/>
    <w:rsid w:val="006B6B6B"/>
    <w:rsid w:val="006B7BD0"/>
    <w:rsid w:val="006C0389"/>
    <w:rsid w:val="006C0592"/>
    <w:rsid w:val="006C23CD"/>
    <w:rsid w:val="006C272E"/>
    <w:rsid w:val="006C2994"/>
    <w:rsid w:val="006C3447"/>
    <w:rsid w:val="006C39EC"/>
    <w:rsid w:val="006C40C1"/>
    <w:rsid w:val="006C41DE"/>
    <w:rsid w:val="006C4293"/>
    <w:rsid w:val="006C4AAA"/>
    <w:rsid w:val="006C4B6A"/>
    <w:rsid w:val="006C4F43"/>
    <w:rsid w:val="006C5479"/>
    <w:rsid w:val="006C5E08"/>
    <w:rsid w:val="006C603F"/>
    <w:rsid w:val="006C627A"/>
    <w:rsid w:val="006C6A43"/>
    <w:rsid w:val="006C7918"/>
    <w:rsid w:val="006C7B84"/>
    <w:rsid w:val="006D06D6"/>
    <w:rsid w:val="006D13B5"/>
    <w:rsid w:val="006D2432"/>
    <w:rsid w:val="006D2C1A"/>
    <w:rsid w:val="006D41CD"/>
    <w:rsid w:val="006D5F65"/>
    <w:rsid w:val="006D610B"/>
    <w:rsid w:val="006D74ED"/>
    <w:rsid w:val="006D7B48"/>
    <w:rsid w:val="006E12FF"/>
    <w:rsid w:val="006E29A9"/>
    <w:rsid w:val="006E36FE"/>
    <w:rsid w:val="006E3C1E"/>
    <w:rsid w:val="006E43B3"/>
    <w:rsid w:val="006E4A4F"/>
    <w:rsid w:val="006E4EDA"/>
    <w:rsid w:val="006E5B2F"/>
    <w:rsid w:val="006E5C2F"/>
    <w:rsid w:val="006E5D53"/>
    <w:rsid w:val="006E607E"/>
    <w:rsid w:val="006E67A9"/>
    <w:rsid w:val="006E6966"/>
    <w:rsid w:val="006E697E"/>
    <w:rsid w:val="006E69AA"/>
    <w:rsid w:val="006E7282"/>
    <w:rsid w:val="006F1335"/>
    <w:rsid w:val="006F2747"/>
    <w:rsid w:val="006F3897"/>
    <w:rsid w:val="006F4A53"/>
    <w:rsid w:val="006F4BBA"/>
    <w:rsid w:val="006F60C6"/>
    <w:rsid w:val="006F661D"/>
    <w:rsid w:val="006F6CFF"/>
    <w:rsid w:val="006F7B08"/>
    <w:rsid w:val="006F7B28"/>
    <w:rsid w:val="006F7D52"/>
    <w:rsid w:val="00700B79"/>
    <w:rsid w:val="00701B0B"/>
    <w:rsid w:val="00701BDA"/>
    <w:rsid w:val="00702884"/>
    <w:rsid w:val="00702D60"/>
    <w:rsid w:val="0070355A"/>
    <w:rsid w:val="0070465B"/>
    <w:rsid w:val="00704FAA"/>
    <w:rsid w:val="00706C5D"/>
    <w:rsid w:val="00707824"/>
    <w:rsid w:val="00711B34"/>
    <w:rsid w:val="0071203C"/>
    <w:rsid w:val="00712175"/>
    <w:rsid w:val="0071221D"/>
    <w:rsid w:val="00713BE3"/>
    <w:rsid w:val="00714FBC"/>
    <w:rsid w:val="007154D7"/>
    <w:rsid w:val="00715C70"/>
    <w:rsid w:val="007175C1"/>
    <w:rsid w:val="007202BD"/>
    <w:rsid w:val="00720644"/>
    <w:rsid w:val="00722836"/>
    <w:rsid w:val="00722EB9"/>
    <w:rsid w:val="00723203"/>
    <w:rsid w:val="0072328E"/>
    <w:rsid w:val="00723EB0"/>
    <w:rsid w:val="00723FE3"/>
    <w:rsid w:val="007242C4"/>
    <w:rsid w:val="00724F56"/>
    <w:rsid w:val="00725800"/>
    <w:rsid w:val="0072590D"/>
    <w:rsid w:val="00726862"/>
    <w:rsid w:val="007270BF"/>
    <w:rsid w:val="00727600"/>
    <w:rsid w:val="00727747"/>
    <w:rsid w:val="00727FB9"/>
    <w:rsid w:val="00730379"/>
    <w:rsid w:val="0073149A"/>
    <w:rsid w:val="00731BFE"/>
    <w:rsid w:val="00731EAC"/>
    <w:rsid w:val="00732922"/>
    <w:rsid w:val="00733897"/>
    <w:rsid w:val="00733ABC"/>
    <w:rsid w:val="00734965"/>
    <w:rsid w:val="00734E98"/>
    <w:rsid w:val="00735A66"/>
    <w:rsid w:val="00737853"/>
    <w:rsid w:val="00737A87"/>
    <w:rsid w:val="00737DA7"/>
    <w:rsid w:val="00737E14"/>
    <w:rsid w:val="00740956"/>
    <w:rsid w:val="00740AE3"/>
    <w:rsid w:val="00743349"/>
    <w:rsid w:val="00744368"/>
    <w:rsid w:val="0074485D"/>
    <w:rsid w:val="00745C32"/>
    <w:rsid w:val="0074637C"/>
    <w:rsid w:val="00746512"/>
    <w:rsid w:val="0074690C"/>
    <w:rsid w:val="0074781C"/>
    <w:rsid w:val="007502EA"/>
    <w:rsid w:val="0075162E"/>
    <w:rsid w:val="007517E7"/>
    <w:rsid w:val="00751FCE"/>
    <w:rsid w:val="00752D07"/>
    <w:rsid w:val="00754034"/>
    <w:rsid w:val="007544F3"/>
    <w:rsid w:val="00756308"/>
    <w:rsid w:val="00756556"/>
    <w:rsid w:val="007568CF"/>
    <w:rsid w:val="00757C27"/>
    <w:rsid w:val="007603AD"/>
    <w:rsid w:val="0076091A"/>
    <w:rsid w:val="00760928"/>
    <w:rsid w:val="00760B0C"/>
    <w:rsid w:val="007614A7"/>
    <w:rsid w:val="007618C4"/>
    <w:rsid w:val="00761B15"/>
    <w:rsid w:val="00763A4A"/>
    <w:rsid w:val="00764A00"/>
    <w:rsid w:val="00764B44"/>
    <w:rsid w:val="00764EC5"/>
    <w:rsid w:val="007660ED"/>
    <w:rsid w:val="00766910"/>
    <w:rsid w:val="00767980"/>
    <w:rsid w:val="00770B19"/>
    <w:rsid w:val="00771440"/>
    <w:rsid w:val="007714A4"/>
    <w:rsid w:val="00771729"/>
    <w:rsid w:val="00771B22"/>
    <w:rsid w:val="007726F3"/>
    <w:rsid w:val="0077308D"/>
    <w:rsid w:val="0077455F"/>
    <w:rsid w:val="0077463F"/>
    <w:rsid w:val="0077555D"/>
    <w:rsid w:val="00775ED6"/>
    <w:rsid w:val="00776DE4"/>
    <w:rsid w:val="00777A5D"/>
    <w:rsid w:val="00777F44"/>
    <w:rsid w:val="0078010B"/>
    <w:rsid w:val="00780497"/>
    <w:rsid w:val="0078177C"/>
    <w:rsid w:val="007821D7"/>
    <w:rsid w:val="00782A0E"/>
    <w:rsid w:val="00782F24"/>
    <w:rsid w:val="00783208"/>
    <w:rsid w:val="007836EA"/>
    <w:rsid w:val="00783E1C"/>
    <w:rsid w:val="00784CDA"/>
    <w:rsid w:val="00784E38"/>
    <w:rsid w:val="00785F01"/>
    <w:rsid w:val="00786041"/>
    <w:rsid w:val="007870CC"/>
    <w:rsid w:val="007906C4"/>
    <w:rsid w:val="00792F50"/>
    <w:rsid w:val="007930FB"/>
    <w:rsid w:val="00793EB9"/>
    <w:rsid w:val="007940EA"/>
    <w:rsid w:val="00794446"/>
    <w:rsid w:val="00794FE7"/>
    <w:rsid w:val="007967E8"/>
    <w:rsid w:val="00796A44"/>
    <w:rsid w:val="00796A59"/>
    <w:rsid w:val="007A027F"/>
    <w:rsid w:val="007A0575"/>
    <w:rsid w:val="007A0CB4"/>
    <w:rsid w:val="007A2170"/>
    <w:rsid w:val="007A22BF"/>
    <w:rsid w:val="007A2911"/>
    <w:rsid w:val="007A2E6E"/>
    <w:rsid w:val="007A3323"/>
    <w:rsid w:val="007A3677"/>
    <w:rsid w:val="007A392B"/>
    <w:rsid w:val="007A415C"/>
    <w:rsid w:val="007A6DBC"/>
    <w:rsid w:val="007A7E0F"/>
    <w:rsid w:val="007B0FC0"/>
    <w:rsid w:val="007B2F69"/>
    <w:rsid w:val="007B3A66"/>
    <w:rsid w:val="007B6D31"/>
    <w:rsid w:val="007B72B8"/>
    <w:rsid w:val="007B7849"/>
    <w:rsid w:val="007B7A58"/>
    <w:rsid w:val="007B7C9D"/>
    <w:rsid w:val="007B7F95"/>
    <w:rsid w:val="007C21B5"/>
    <w:rsid w:val="007C2805"/>
    <w:rsid w:val="007C332E"/>
    <w:rsid w:val="007C391B"/>
    <w:rsid w:val="007C43D7"/>
    <w:rsid w:val="007C46AB"/>
    <w:rsid w:val="007C4F59"/>
    <w:rsid w:val="007C64E3"/>
    <w:rsid w:val="007C7705"/>
    <w:rsid w:val="007D0282"/>
    <w:rsid w:val="007D0478"/>
    <w:rsid w:val="007D0E6F"/>
    <w:rsid w:val="007D1299"/>
    <w:rsid w:val="007D1647"/>
    <w:rsid w:val="007D246E"/>
    <w:rsid w:val="007D2BA0"/>
    <w:rsid w:val="007D3F9B"/>
    <w:rsid w:val="007D6067"/>
    <w:rsid w:val="007D77DD"/>
    <w:rsid w:val="007D7921"/>
    <w:rsid w:val="007D7BCC"/>
    <w:rsid w:val="007D7C21"/>
    <w:rsid w:val="007E0D8B"/>
    <w:rsid w:val="007E2B08"/>
    <w:rsid w:val="007E421A"/>
    <w:rsid w:val="007E4AE1"/>
    <w:rsid w:val="007E4BD2"/>
    <w:rsid w:val="007E5DBB"/>
    <w:rsid w:val="007E61FD"/>
    <w:rsid w:val="007E6291"/>
    <w:rsid w:val="007E698C"/>
    <w:rsid w:val="007E7052"/>
    <w:rsid w:val="007E7390"/>
    <w:rsid w:val="007E7948"/>
    <w:rsid w:val="007E7B4D"/>
    <w:rsid w:val="007F071F"/>
    <w:rsid w:val="007F0A70"/>
    <w:rsid w:val="007F207F"/>
    <w:rsid w:val="007F2BA3"/>
    <w:rsid w:val="007F5541"/>
    <w:rsid w:val="007F5684"/>
    <w:rsid w:val="007F63A6"/>
    <w:rsid w:val="007F63CB"/>
    <w:rsid w:val="00801393"/>
    <w:rsid w:val="008021CF"/>
    <w:rsid w:val="00802F88"/>
    <w:rsid w:val="008047A7"/>
    <w:rsid w:val="00806009"/>
    <w:rsid w:val="00807E6A"/>
    <w:rsid w:val="00810A30"/>
    <w:rsid w:val="008113B9"/>
    <w:rsid w:val="008119F9"/>
    <w:rsid w:val="0081258B"/>
    <w:rsid w:val="008127CC"/>
    <w:rsid w:val="0081293E"/>
    <w:rsid w:val="00813129"/>
    <w:rsid w:val="00813F2C"/>
    <w:rsid w:val="00814D3F"/>
    <w:rsid w:val="00815465"/>
    <w:rsid w:val="00815D12"/>
    <w:rsid w:val="0081684C"/>
    <w:rsid w:val="00817E9A"/>
    <w:rsid w:val="008206F5"/>
    <w:rsid w:val="00820981"/>
    <w:rsid w:val="00821FA2"/>
    <w:rsid w:val="00822281"/>
    <w:rsid w:val="0082417B"/>
    <w:rsid w:val="008256CA"/>
    <w:rsid w:val="00827742"/>
    <w:rsid w:val="008306BD"/>
    <w:rsid w:val="00830E0C"/>
    <w:rsid w:val="00830EDE"/>
    <w:rsid w:val="00831A80"/>
    <w:rsid w:val="00832277"/>
    <w:rsid w:val="00832F9A"/>
    <w:rsid w:val="008332DF"/>
    <w:rsid w:val="00833742"/>
    <w:rsid w:val="00833743"/>
    <w:rsid w:val="00833C7E"/>
    <w:rsid w:val="008340A4"/>
    <w:rsid w:val="00834971"/>
    <w:rsid w:val="008354BE"/>
    <w:rsid w:val="008379FA"/>
    <w:rsid w:val="008405C8"/>
    <w:rsid w:val="0084235D"/>
    <w:rsid w:val="00842CDF"/>
    <w:rsid w:val="0084529B"/>
    <w:rsid w:val="0084578C"/>
    <w:rsid w:val="0084596B"/>
    <w:rsid w:val="00845E63"/>
    <w:rsid w:val="00846404"/>
    <w:rsid w:val="00846C46"/>
    <w:rsid w:val="00847006"/>
    <w:rsid w:val="0084718B"/>
    <w:rsid w:val="00847218"/>
    <w:rsid w:val="00847E33"/>
    <w:rsid w:val="00850BE3"/>
    <w:rsid w:val="00851D8B"/>
    <w:rsid w:val="008525BE"/>
    <w:rsid w:val="00853EF1"/>
    <w:rsid w:val="00853F59"/>
    <w:rsid w:val="00855204"/>
    <w:rsid w:val="00855721"/>
    <w:rsid w:val="00855E61"/>
    <w:rsid w:val="00855F86"/>
    <w:rsid w:val="008566DF"/>
    <w:rsid w:val="008601A3"/>
    <w:rsid w:val="00861600"/>
    <w:rsid w:val="008621C6"/>
    <w:rsid w:val="008635F1"/>
    <w:rsid w:val="008643F1"/>
    <w:rsid w:val="00865B06"/>
    <w:rsid w:val="008663FF"/>
    <w:rsid w:val="008668FE"/>
    <w:rsid w:val="008703D6"/>
    <w:rsid w:val="0087135F"/>
    <w:rsid w:val="00872051"/>
    <w:rsid w:val="008724FC"/>
    <w:rsid w:val="00872BC3"/>
    <w:rsid w:val="00872D94"/>
    <w:rsid w:val="00873B23"/>
    <w:rsid w:val="00874719"/>
    <w:rsid w:val="00875372"/>
    <w:rsid w:val="0087564D"/>
    <w:rsid w:val="00876219"/>
    <w:rsid w:val="00876247"/>
    <w:rsid w:val="00880364"/>
    <w:rsid w:val="0088159E"/>
    <w:rsid w:val="008817EF"/>
    <w:rsid w:val="00881A77"/>
    <w:rsid w:val="008824CC"/>
    <w:rsid w:val="008837C6"/>
    <w:rsid w:val="00883C22"/>
    <w:rsid w:val="00886316"/>
    <w:rsid w:val="00886662"/>
    <w:rsid w:val="00886CE2"/>
    <w:rsid w:val="00886F5A"/>
    <w:rsid w:val="008870CC"/>
    <w:rsid w:val="0088761B"/>
    <w:rsid w:val="0089008F"/>
    <w:rsid w:val="008904F5"/>
    <w:rsid w:val="00891592"/>
    <w:rsid w:val="00891956"/>
    <w:rsid w:val="008919E4"/>
    <w:rsid w:val="00891E9E"/>
    <w:rsid w:val="00891F06"/>
    <w:rsid w:val="0089249C"/>
    <w:rsid w:val="008927E0"/>
    <w:rsid w:val="00892B5B"/>
    <w:rsid w:val="0089334E"/>
    <w:rsid w:val="00894F81"/>
    <w:rsid w:val="00895C0C"/>
    <w:rsid w:val="0089658F"/>
    <w:rsid w:val="008965C6"/>
    <w:rsid w:val="008977A7"/>
    <w:rsid w:val="00897A09"/>
    <w:rsid w:val="008A0790"/>
    <w:rsid w:val="008A0B31"/>
    <w:rsid w:val="008A27C7"/>
    <w:rsid w:val="008A2F68"/>
    <w:rsid w:val="008A30EB"/>
    <w:rsid w:val="008A3141"/>
    <w:rsid w:val="008A38ED"/>
    <w:rsid w:val="008A53C3"/>
    <w:rsid w:val="008A61AF"/>
    <w:rsid w:val="008A7087"/>
    <w:rsid w:val="008A70AE"/>
    <w:rsid w:val="008B120E"/>
    <w:rsid w:val="008B1D13"/>
    <w:rsid w:val="008B1DDB"/>
    <w:rsid w:val="008B4FA6"/>
    <w:rsid w:val="008B4FD9"/>
    <w:rsid w:val="008B4FE2"/>
    <w:rsid w:val="008B5282"/>
    <w:rsid w:val="008B52DB"/>
    <w:rsid w:val="008B5C4F"/>
    <w:rsid w:val="008B645F"/>
    <w:rsid w:val="008B6467"/>
    <w:rsid w:val="008B6720"/>
    <w:rsid w:val="008B6B5A"/>
    <w:rsid w:val="008B6C91"/>
    <w:rsid w:val="008B7C17"/>
    <w:rsid w:val="008C1149"/>
    <w:rsid w:val="008C1BD4"/>
    <w:rsid w:val="008C2473"/>
    <w:rsid w:val="008C2BB4"/>
    <w:rsid w:val="008C2D01"/>
    <w:rsid w:val="008C2F6B"/>
    <w:rsid w:val="008C31F6"/>
    <w:rsid w:val="008C3738"/>
    <w:rsid w:val="008C40E6"/>
    <w:rsid w:val="008C426F"/>
    <w:rsid w:val="008C5FDB"/>
    <w:rsid w:val="008C611B"/>
    <w:rsid w:val="008C6C05"/>
    <w:rsid w:val="008C6F30"/>
    <w:rsid w:val="008C7720"/>
    <w:rsid w:val="008D0F7A"/>
    <w:rsid w:val="008D114C"/>
    <w:rsid w:val="008D17A3"/>
    <w:rsid w:val="008D26E3"/>
    <w:rsid w:val="008D2C0C"/>
    <w:rsid w:val="008D2FFB"/>
    <w:rsid w:val="008D457A"/>
    <w:rsid w:val="008D4D2D"/>
    <w:rsid w:val="008D68E4"/>
    <w:rsid w:val="008D780A"/>
    <w:rsid w:val="008D7BDF"/>
    <w:rsid w:val="008E0506"/>
    <w:rsid w:val="008E0810"/>
    <w:rsid w:val="008E0BDD"/>
    <w:rsid w:val="008E0CFF"/>
    <w:rsid w:val="008E166D"/>
    <w:rsid w:val="008E1968"/>
    <w:rsid w:val="008E2745"/>
    <w:rsid w:val="008E5D6B"/>
    <w:rsid w:val="008E6D42"/>
    <w:rsid w:val="008E7540"/>
    <w:rsid w:val="008E76F0"/>
    <w:rsid w:val="008E7FBF"/>
    <w:rsid w:val="008F0B65"/>
    <w:rsid w:val="008F11AB"/>
    <w:rsid w:val="008F15FE"/>
    <w:rsid w:val="008F1682"/>
    <w:rsid w:val="008F231C"/>
    <w:rsid w:val="008F2D29"/>
    <w:rsid w:val="008F3F12"/>
    <w:rsid w:val="008F4C50"/>
    <w:rsid w:val="008F5187"/>
    <w:rsid w:val="008F58C3"/>
    <w:rsid w:val="008F60D8"/>
    <w:rsid w:val="008F645E"/>
    <w:rsid w:val="008F6E0E"/>
    <w:rsid w:val="008F7EA8"/>
    <w:rsid w:val="00900C48"/>
    <w:rsid w:val="00901D0D"/>
    <w:rsid w:val="00902727"/>
    <w:rsid w:val="0090312B"/>
    <w:rsid w:val="00905DBD"/>
    <w:rsid w:val="00905F52"/>
    <w:rsid w:val="009069B9"/>
    <w:rsid w:val="00907398"/>
    <w:rsid w:val="00907C7B"/>
    <w:rsid w:val="00907DC2"/>
    <w:rsid w:val="00910468"/>
    <w:rsid w:val="00911207"/>
    <w:rsid w:val="00911212"/>
    <w:rsid w:val="00911C86"/>
    <w:rsid w:val="0091202A"/>
    <w:rsid w:val="009148FC"/>
    <w:rsid w:val="00914F35"/>
    <w:rsid w:val="00916A4E"/>
    <w:rsid w:val="0091736D"/>
    <w:rsid w:val="0091798E"/>
    <w:rsid w:val="009201B9"/>
    <w:rsid w:val="00921F2C"/>
    <w:rsid w:val="009222DF"/>
    <w:rsid w:val="00922A6D"/>
    <w:rsid w:val="00924436"/>
    <w:rsid w:val="009246B4"/>
    <w:rsid w:val="009252A2"/>
    <w:rsid w:val="00925734"/>
    <w:rsid w:val="00925A31"/>
    <w:rsid w:val="00925A7F"/>
    <w:rsid w:val="00926DDE"/>
    <w:rsid w:val="00927B3D"/>
    <w:rsid w:val="0093037A"/>
    <w:rsid w:val="0093039A"/>
    <w:rsid w:val="00930653"/>
    <w:rsid w:val="009307A3"/>
    <w:rsid w:val="00930B8C"/>
    <w:rsid w:val="009337AB"/>
    <w:rsid w:val="0093596A"/>
    <w:rsid w:val="00936385"/>
    <w:rsid w:val="009364A8"/>
    <w:rsid w:val="00936FF7"/>
    <w:rsid w:val="0093719D"/>
    <w:rsid w:val="009372F0"/>
    <w:rsid w:val="0094154D"/>
    <w:rsid w:val="00941DFE"/>
    <w:rsid w:val="0094236B"/>
    <w:rsid w:val="00942A1B"/>
    <w:rsid w:val="009430CA"/>
    <w:rsid w:val="009446DA"/>
    <w:rsid w:val="00946D9C"/>
    <w:rsid w:val="00947943"/>
    <w:rsid w:val="00950E37"/>
    <w:rsid w:val="0095155F"/>
    <w:rsid w:val="00952843"/>
    <w:rsid w:val="00954429"/>
    <w:rsid w:val="00956267"/>
    <w:rsid w:val="009563CE"/>
    <w:rsid w:val="00956C40"/>
    <w:rsid w:val="00957370"/>
    <w:rsid w:val="00957650"/>
    <w:rsid w:val="00957BE8"/>
    <w:rsid w:val="00957D49"/>
    <w:rsid w:val="00957DA0"/>
    <w:rsid w:val="00957F44"/>
    <w:rsid w:val="009603E1"/>
    <w:rsid w:val="00960637"/>
    <w:rsid w:val="009626E3"/>
    <w:rsid w:val="00962E75"/>
    <w:rsid w:val="009639D1"/>
    <w:rsid w:val="0096725A"/>
    <w:rsid w:val="00967992"/>
    <w:rsid w:val="0097013C"/>
    <w:rsid w:val="009702DD"/>
    <w:rsid w:val="0097031F"/>
    <w:rsid w:val="00970418"/>
    <w:rsid w:val="00970C03"/>
    <w:rsid w:val="009716BA"/>
    <w:rsid w:val="00973440"/>
    <w:rsid w:val="00973498"/>
    <w:rsid w:val="00974397"/>
    <w:rsid w:val="009744EB"/>
    <w:rsid w:val="00974616"/>
    <w:rsid w:val="009748B5"/>
    <w:rsid w:val="00974C61"/>
    <w:rsid w:val="0097501C"/>
    <w:rsid w:val="00975848"/>
    <w:rsid w:val="00975AEB"/>
    <w:rsid w:val="00975E2D"/>
    <w:rsid w:val="00976328"/>
    <w:rsid w:val="00976625"/>
    <w:rsid w:val="0097680D"/>
    <w:rsid w:val="00976DBF"/>
    <w:rsid w:val="00980AAB"/>
    <w:rsid w:val="00981106"/>
    <w:rsid w:val="00981367"/>
    <w:rsid w:val="00982438"/>
    <w:rsid w:val="0098322A"/>
    <w:rsid w:val="0098404C"/>
    <w:rsid w:val="00984AD9"/>
    <w:rsid w:val="00985283"/>
    <w:rsid w:val="00987862"/>
    <w:rsid w:val="009879B5"/>
    <w:rsid w:val="0099114D"/>
    <w:rsid w:val="0099129C"/>
    <w:rsid w:val="00991416"/>
    <w:rsid w:val="00993DAA"/>
    <w:rsid w:val="00994452"/>
    <w:rsid w:val="00995992"/>
    <w:rsid w:val="00995D88"/>
    <w:rsid w:val="00996136"/>
    <w:rsid w:val="009961E9"/>
    <w:rsid w:val="009975DF"/>
    <w:rsid w:val="00997C45"/>
    <w:rsid w:val="00997ED9"/>
    <w:rsid w:val="009A00DF"/>
    <w:rsid w:val="009A03E5"/>
    <w:rsid w:val="009A09DC"/>
    <w:rsid w:val="009A0F3B"/>
    <w:rsid w:val="009A1BB4"/>
    <w:rsid w:val="009A233F"/>
    <w:rsid w:val="009A2414"/>
    <w:rsid w:val="009A2628"/>
    <w:rsid w:val="009A28D0"/>
    <w:rsid w:val="009A2A88"/>
    <w:rsid w:val="009A2E2B"/>
    <w:rsid w:val="009A3031"/>
    <w:rsid w:val="009A3200"/>
    <w:rsid w:val="009A4836"/>
    <w:rsid w:val="009A4BD2"/>
    <w:rsid w:val="009A5ABE"/>
    <w:rsid w:val="009A6A34"/>
    <w:rsid w:val="009A7AC4"/>
    <w:rsid w:val="009B0163"/>
    <w:rsid w:val="009B0897"/>
    <w:rsid w:val="009B0D2B"/>
    <w:rsid w:val="009B0F97"/>
    <w:rsid w:val="009B1ECA"/>
    <w:rsid w:val="009B2B4A"/>
    <w:rsid w:val="009B2BAA"/>
    <w:rsid w:val="009B2F66"/>
    <w:rsid w:val="009B3576"/>
    <w:rsid w:val="009B43A0"/>
    <w:rsid w:val="009B43AE"/>
    <w:rsid w:val="009B5CBF"/>
    <w:rsid w:val="009B7BD9"/>
    <w:rsid w:val="009C1379"/>
    <w:rsid w:val="009C1A7A"/>
    <w:rsid w:val="009C3B09"/>
    <w:rsid w:val="009C3F92"/>
    <w:rsid w:val="009C45C6"/>
    <w:rsid w:val="009C4F56"/>
    <w:rsid w:val="009C66A4"/>
    <w:rsid w:val="009C6CCD"/>
    <w:rsid w:val="009C6E12"/>
    <w:rsid w:val="009C71F8"/>
    <w:rsid w:val="009C782B"/>
    <w:rsid w:val="009C7A0F"/>
    <w:rsid w:val="009C7CFF"/>
    <w:rsid w:val="009C7DD5"/>
    <w:rsid w:val="009D09A2"/>
    <w:rsid w:val="009D2CDD"/>
    <w:rsid w:val="009D2D20"/>
    <w:rsid w:val="009D2F32"/>
    <w:rsid w:val="009D2FBC"/>
    <w:rsid w:val="009D3441"/>
    <w:rsid w:val="009D3EAA"/>
    <w:rsid w:val="009D4A20"/>
    <w:rsid w:val="009D4A83"/>
    <w:rsid w:val="009D537C"/>
    <w:rsid w:val="009D6782"/>
    <w:rsid w:val="009D6E22"/>
    <w:rsid w:val="009D781C"/>
    <w:rsid w:val="009E1191"/>
    <w:rsid w:val="009E19B6"/>
    <w:rsid w:val="009E205B"/>
    <w:rsid w:val="009E2159"/>
    <w:rsid w:val="009E227D"/>
    <w:rsid w:val="009E388A"/>
    <w:rsid w:val="009E4DC1"/>
    <w:rsid w:val="009E5019"/>
    <w:rsid w:val="009E5F37"/>
    <w:rsid w:val="009E6F30"/>
    <w:rsid w:val="009F012F"/>
    <w:rsid w:val="009F027C"/>
    <w:rsid w:val="009F09F0"/>
    <w:rsid w:val="009F10F3"/>
    <w:rsid w:val="009F13A2"/>
    <w:rsid w:val="009F1BEE"/>
    <w:rsid w:val="009F2479"/>
    <w:rsid w:val="009F24A9"/>
    <w:rsid w:val="009F2FBD"/>
    <w:rsid w:val="009F3086"/>
    <w:rsid w:val="009F3CD5"/>
    <w:rsid w:val="009F46C7"/>
    <w:rsid w:val="009F4A2B"/>
    <w:rsid w:val="009F5AED"/>
    <w:rsid w:val="009F6BB2"/>
    <w:rsid w:val="00A00669"/>
    <w:rsid w:val="00A00C75"/>
    <w:rsid w:val="00A00C87"/>
    <w:rsid w:val="00A01009"/>
    <w:rsid w:val="00A02488"/>
    <w:rsid w:val="00A027F3"/>
    <w:rsid w:val="00A03172"/>
    <w:rsid w:val="00A04F1B"/>
    <w:rsid w:val="00A0501B"/>
    <w:rsid w:val="00A05A06"/>
    <w:rsid w:val="00A05A21"/>
    <w:rsid w:val="00A069CA"/>
    <w:rsid w:val="00A10C33"/>
    <w:rsid w:val="00A111F8"/>
    <w:rsid w:val="00A115EF"/>
    <w:rsid w:val="00A12A05"/>
    <w:rsid w:val="00A12CCE"/>
    <w:rsid w:val="00A13009"/>
    <w:rsid w:val="00A13315"/>
    <w:rsid w:val="00A1342C"/>
    <w:rsid w:val="00A13AF9"/>
    <w:rsid w:val="00A14947"/>
    <w:rsid w:val="00A14DB1"/>
    <w:rsid w:val="00A16395"/>
    <w:rsid w:val="00A1653A"/>
    <w:rsid w:val="00A1667B"/>
    <w:rsid w:val="00A16A5A"/>
    <w:rsid w:val="00A16B99"/>
    <w:rsid w:val="00A17414"/>
    <w:rsid w:val="00A175B3"/>
    <w:rsid w:val="00A17944"/>
    <w:rsid w:val="00A17F79"/>
    <w:rsid w:val="00A2187C"/>
    <w:rsid w:val="00A218A1"/>
    <w:rsid w:val="00A21D20"/>
    <w:rsid w:val="00A236CE"/>
    <w:rsid w:val="00A2497C"/>
    <w:rsid w:val="00A25F49"/>
    <w:rsid w:val="00A265E3"/>
    <w:rsid w:val="00A30585"/>
    <w:rsid w:val="00A30B6A"/>
    <w:rsid w:val="00A316C4"/>
    <w:rsid w:val="00A32A83"/>
    <w:rsid w:val="00A3393F"/>
    <w:rsid w:val="00A340CB"/>
    <w:rsid w:val="00A34D97"/>
    <w:rsid w:val="00A35AF7"/>
    <w:rsid w:val="00A368DB"/>
    <w:rsid w:val="00A369C6"/>
    <w:rsid w:val="00A373B9"/>
    <w:rsid w:val="00A379B0"/>
    <w:rsid w:val="00A37F8C"/>
    <w:rsid w:val="00A40149"/>
    <w:rsid w:val="00A407AD"/>
    <w:rsid w:val="00A411D7"/>
    <w:rsid w:val="00A423AA"/>
    <w:rsid w:val="00A43250"/>
    <w:rsid w:val="00A4401C"/>
    <w:rsid w:val="00A50210"/>
    <w:rsid w:val="00A505D3"/>
    <w:rsid w:val="00A50B58"/>
    <w:rsid w:val="00A511B2"/>
    <w:rsid w:val="00A51742"/>
    <w:rsid w:val="00A51815"/>
    <w:rsid w:val="00A51A1B"/>
    <w:rsid w:val="00A52512"/>
    <w:rsid w:val="00A526FB"/>
    <w:rsid w:val="00A53141"/>
    <w:rsid w:val="00A537D7"/>
    <w:rsid w:val="00A53EC6"/>
    <w:rsid w:val="00A541CE"/>
    <w:rsid w:val="00A54369"/>
    <w:rsid w:val="00A55C0F"/>
    <w:rsid w:val="00A55F47"/>
    <w:rsid w:val="00A5722A"/>
    <w:rsid w:val="00A57A66"/>
    <w:rsid w:val="00A61053"/>
    <w:rsid w:val="00A61960"/>
    <w:rsid w:val="00A6283D"/>
    <w:rsid w:val="00A6330C"/>
    <w:rsid w:val="00A64483"/>
    <w:rsid w:val="00A658F8"/>
    <w:rsid w:val="00A66BDB"/>
    <w:rsid w:val="00A66D26"/>
    <w:rsid w:val="00A66F58"/>
    <w:rsid w:val="00A671F9"/>
    <w:rsid w:val="00A674DC"/>
    <w:rsid w:val="00A70DF9"/>
    <w:rsid w:val="00A72B20"/>
    <w:rsid w:val="00A73271"/>
    <w:rsid w:val="00A73772"/>
    <w:rsid w:val="00A73957"/>
    <w:rsid w:val="00A73E23"/>
    <w:rsid w:val="00A75E13"/>
    <w:rsid w:val="00A76DE4"/>
    <w:rsid w:val="00A77DC0"/>
    <w:rsid w:val="00A81C97"/>
    <w:rsid w:val="00A8303C"/>
    <w:rsid w:val="00A839CD"/>
    <w:rsid w:val="00A846A6"/>
    <w:rsid w:val="00A860C2"/>
    <w:rsid w:val="00A86BF1"/>
    <w:rsid w:val="00A8713F"/>
    <w:rsid w:val="00A9050B"/>
    <w:rsid w:val="00A90BA1"/>
    <w:rsid w:val="00A91169"/>
    <w:rsid w:val="00A95005"/>
    <w:rsid w:val="00A95080"/>
    <w:rsid w:val="00A95384"/>
    <w:rsid w:val="00A95485"/>
    <w:rsid w:val="00A97405"/>
    <w:rsid w:val="00A9772E"/>
    <w:rsid w:val="00A9796A"/>
    <w:rsid w:val="00A97A9A"/>
    <w:rsid w:val="00A97E5A"/>
    <w:rsid w:val="00AA0432"/>
    <w:rsid w:val="00AA0671"/>
    <w:rsid w:val="00AA0CAA"/>
    <w:rsid w:val="00AA0EDB"/>
    <w:rsid w:val="00AA1017"/>
    <w:rsid w:val="00AA2531"/>
    <w:rsid w:val="00AA27E6"/>
    <w:rsid w:val="00AA3A2C"/>
    <w:rsid w:val="00AA5985"/>
    <w:rsid w:val="00AA5A70"/>
    <w:rsid w:val="00AA5C3E"/>
    <w:rsid w:val="00AA64FE"/>
    <w:rsid w:val="00AA670E"/>
    <w:rsid w:val="00AA737C"/>
    <w:rsid w:val="00AB0339"/>
    <w:rsid w:val="00AB0AB2"/>
    <w:rsid w:val="00AB0BB1"/>
    <w:rsid w:val="00AB1E09"/>
    <w:rsid w:val="00AB1FCB"/>
    <w:rsid w:val="00AB2C55"/>
    <w:rsid w:val="00AB2E2E"/>
    <w:rsid w:val="00AB3320"/>
    <w:rsid w:val="00AB42F4"/>
    <w:rsid w:val="00AB4F82"/>
    <w:rsid w:val="00AB5330"/>
    <w:rsid w:val="00AB6329"/>
    <w:rsid w:val="00AB7747"/>
    <w:rsid w:val="00AC0960"/>
    <w:rsid w:val="00AC104C"/>
    <w:rsid w:val="00AC1302"/>
    <w:rsid w:val="00AC14CE"/>
    <w:rsid w:val="00AC1521"/>
    <w:rsid w:val="00AC24C5"/>
    <w:rsid w:val="00AC2A56"/>
    <w:rsid w:val="00AC4ABF"/>
    <w:rsid w:val="00AC4B76"/>
    <w:rsid w:val="00AC56E7"/>
    <w:rsid w:val="00AC5E79"/>
    <w:rsid w:val="00AC65F2"/>
    <w:rsid w:val="00AC7332"/>
    <w:rsid w:val="00AC737C"/>
    <w:rsid w:val="00AD055E"/>
    <w:rsid w:val="00AD2643"/>
    <w:rsid w:val="00AD3E16"/>
    <w:rsid w:val="00AD47A7"/>
    <w:rsid w:val="00AD5C63"/>
    <w:rsid w:val="00AD6EFB"/>
    <w:rsid w:val="00AD748B"/>
    <w:rsid w:val="00AD74D7"/>
    <w:rsid w:val="00AD7783"/>
    <w:rsid w:val="00AD7D34"/>
    <w:rsid w:val="00AE0302"/>
    <w:rsid w:val="00AE04E7"/>
    <w:rsid w:val="00AE0A69"/>
    <w:rsid w:val="00AE16EE"/>
    <w:rsid w:val="00AE16FC"/>
    <w:rsid w:val="00AE2007"/>
    <w:rsid w:val="00AE2134"/>
    <w:rsid w:val="00AE258E"/>
    <w:rsid w:val="00AE2F3B"/>
    <w:rsid w:val="00AE3401"/>
    <w:rsid w:val="00AE3B50"/>
    <w:rsid w:val="00AE41E7"/>
    <w:rsid w:val="00AE5E9B"/>
    <w:rsid w:val="00AF0B38"/>
    <w:rsid w:val="00AF0CBF"/>
    <w:rsid w:val="00AF0EAF"/>
    <w:rsid w:val="00AF1CD9"/>
    <w:rsid w:val="00AF1E74"/>
    <w:rsid w:val="00AF246C"/>
    <w:rsid w:val="00AF257F"/>
    <w:rsid w:val="00AF2C78"/>
    <w:rsid w:val="00AF33CF"/>
    <w:rsid w:val="00AF4D50"/>
    <w:rsid w:val="00AF4DAD"/>
    <w:rsid w:val="00AF5045"/>
    <w:rsid w:val="00AF5277"/>
    <w:rsid w:val="00AF5701"/>
    <w:rsid w:val="00AF6179"/>
    <w:rsid w:val="00AF6A25"/>
    <w:rsid w:val="00AF742F"/>
    <w:rsid w:val="00B00EE1"/>
    <w:rsid w:val="00B01273"/>
    <w:rsid w:val="00B01B29"/>
    <w:rsid w:val="00B022F0"/>
    <w:rsid w:val="00B035E7"/>
    <w:rsid w:val="00B03823"/>
    <w:rsid w:val="00B04081"/>
    <w:rsid w:val="00B04A19"/>
    <w:rsid w:val="00B06805"/>
    <w:rsid w:val="00B10C32"/>
    <w:rsid w:val="00B125B6"/>
    <w:rsid w:val="00B1295A"/>
    <w:rsid w:val="00B13865"/>
    <w:rsid w:val="00B15B90"/>
    <w:rsid w:val="00B16D87"/>
    <w:rsid w:val="00B1780C"/>
    <w:rsid w:val="00B178D5"/>
    <w:rsid w:val="00B20102"/>
    <w:rsid w:val="00B20A45"/>
    <w:rsid w:val="00B2162A"/>
    <w:rsid w:val="00B21A52"/>
    <w:rsid w:val="00B22B83"/>
    <w:rsid w:val="00B22C5C"/>
    <w:rsid w:val="00B2491B"/>
    <w:rsid w:val="00B24D19"/>
    <w:rsid w:val="00B24F30"/>
    <w:rsid w:val="00B2503B"/>
    <w:rsid w:val="00B251DE"/>
    <w:rsid w:val="00B25368"/>
    <w:rsid w:val="00B25370"/>
    <w:rsid w:val="00B25AE4"/>
    <w:rsid w:val="00B26411"/>
    <w:rsid w:val="00B2703D"/>
    <w:rsid w:val="00B27F7A"/>
    <w:rsid w:val="00B31467"/>
    <w:rsid w:val="00B3162D"/>
    <w:rsid w:val="00B31ABF"/>
    <w:rsid w:val="00B31F36"/>
    <w:rsid w:val="00B33BE3"/>
    <w:rsid w:val="00B33E51"/>
    <w:rsid w:val="00B34207"/>
    <w:rsid w:val="00B3422B"/>
    <w:rsid w:val="00B34304"/>
    <w:rsid w:val="00B343B6"/>
    <w:rsid w:val="00B345B0"/>
    <w:rsid w:val="00B34BDE"/>
    <w:rsid w:val="00B34D12"/>
    <w:rsid w:val="00B37368"/>
    <w:rsid w:val="00B4040C"/>
    <w:rsid w:val="00B4045C"/>
    <w:rsid w:val="00B42C3C"/>
    <w:rsid w:val="00B42F26"/>
    <w:rsid w:val="00B4397C"/>
    <w:rsid w:val="00B43B2F"/>
    <w:rsid w:val="00B44276"/>
    <w:rsid w:val="00B44F02"/>
    <w:rsid w:val="00B45007"/>
    <w:rsid w:val="00B4798C"/>
    <w:rsid w:val="00B47AC0"/>
    <w:rsid w:val="00B47D06"/>
    <w:rsid w:val="00B50186"/>
    <w:rsid w:val="00B50D7A"/>
    <w:rsid w:val="00B51703"/>
    <w:rsid w:val="00B52CFD"/>
    <w:rsid w:val="00B5390A"/>
    <w:rsid w:val="00B5392B"/>
    <w:rsid w:val="00B53B5D"/>
    <w:rsid w:val="00B54952"/>
    <w:rsid w:val="00B556C1"/>
    <w:rsid w:val="00B56536"/>
    <w:rsid w:val="00B5706C"/>
    <w:rsid w:val="00B571C3"/>
    <w:rsid w:val="00B575DB"/>
    <w:rsid w:val="00B57A03"/>
    <w:rsid w:val="00B57AC5"/>
    <w:rsid w:val="00B57B38"/>
    <w:rsid w:val="00B60272"/>
    <w:rsid w:val="00B6055E"/>
    <w:rsid w:val="00B60F35"/>
    <w:rsid w:val="00B6174F"/>
    <w:rsid w:val="00B61E05"/>
    <w:rsid w:val="00B61F7C"/>
    <w:rsid w:val="00B626AF"/>
    <w:rsid w:val="00B6282F"/>
    <w:rsid w:val="00B62BE3"/>
    <w:rsid w:val="00B62EAA"/>
    <w:rsid w:val="00B6317D"/>
    <w:rsid w:val="00B636F0"/>
    <w:rsid w:val="00B65DCD"/>
    <w:rsid w:val="00B66DBD"/>
    <w:rsid w:val="00B6717C"/>
    <w:rsid w:val="00B67746"/>
    <w:rsid w:val="00B70317"/>
    <w:rsid w:val="00B715D4"/>
    <w:rsid w:val="00B72291"/>
    <w:rsid w:val="00B72A5E"/>
    <w:rsid w:val="00B72F40"/>
    <w:rsid w:val="00B73BEB"/>
    <w:rsid w:val="00B74BCC"/>
    <w:rsid w:val="00B760C9"/>
    <w:rsid w:val="00B7723F"/>
    <w:rsid w:val="00B77F58"/>
    <w:rsid w:val="00B80534"/>
    <w:rsid w:val="00B8067B"/>
    <w:rsid w:val="00B813F0"/>
    <w:rsid w:val="00B839A6"/>
    <w:rsid w:val="00B83B32"/>
    <w:rsid w:val="00B83CAB"/>
    <w:rsid w:val="00B8433C"/>
    <w:rsid w:val="00B84514"/>
    <w:rsid w:val="00B8492B"/>
    <w:rsid w:val="00B85E7C"/>
    <w:rsid w:val="00B85EEA"/>
    <w:rsid w:val="00B860F2"/>
    <w:rsid w:val="00B87491"/>
    <w:rsid w:val="00B878A1"/>
    <w:rsid w:val="00B947EE"/>
    <w:rsid w:val="00B94AEC"/>
    <w:rsid w:val="00B95219"/>
    <w:rsid w:val="00B95B57"/>
    <w:rsid w:val="00B962DF"/>
    <w:rsid w:val="00B9641A"/>
    <w:rsid w:val="00B96E4C"/>
    <w:rsid w:val="00B96F39"/>
    <w:rsid w:val="00B97757"/>
    <w:rsid w:val="00BA02C0"/>
    <w:rsid w:val="00BA033F"/>
    <w:rsid w:val="00BA1B96"/>
    <w:rsid w:val="00BA1CC6"/>
    <w:rsid w:val="00BA2062"/>
    <w:rsid w:val="00BA29E9"/>
    <w:rsid w:val="00BA3E65"/>
    <w:rsid w:val="00BA5773"/>
    <w:rsid w:val="00BA5E6B"/>
    <w:rsid w:val="00BA63A5"/>
    <w:rsid w:val="00BA7142"/>
    <w:rsid w:val="00BA765C"/>
    <w:rsid w:val="00BB1926"/>
    <w:rsid w:val="00BB20E2"/>
    <w:rsid w:val="00BB237C"/>
    <w:rsid w:val="00BB2529"/>
    <w:rsid w:val="00BB40DC"/>
    <w:rsid w:val="00BB41A3"/>
    <w:rsid w:val="00BB66A5"/>
    <w:rsid w:val="00BB7F79"/>
    <w:rsid w:val="00BC08DF"/>
    <w:rsid w:val="00BC0C21"/>
    <w:rsid w:val="00BC32DC"/>
    <w:rsid w:val="00BC35B6"/>
    <w:rsid w:val="00BC3D29"/>
    <w:rsid w:val="00BC4A44"/>
    <w:rsid w:val="00BC4C1C"/>
    <w:rsid w:val="00BC4E8C"/>
    <w:rsid w:val="00BC4F30"/>
    <w:rsid w:val="00BC5CCE"/>
    <w:rsid w:val="00BC6BC3"/>
    <w:rsid w:val="00BC6D82"/>
    <w:rsid w:val="00BC6F30"/>
    <w:rsid w:val="00BD0132"/>
    <w:rsid w:val="00BD148B"/>
    <w:rsid w:val="00BD1B51"/>
    <w:rsid w:val="00BD2026"/>
    <w:rsid w:val="00BD2A8B"/>
    <w:rsid w:val="00BD2DF4"/>
    <w:rsid w:val="00BD37AD"/>
    <w:rsid w:val="00BD3C3D"/>
    <w:rsid w:val="00BD4596"/>
    <w:rsid w:val="00BD4B73"/>
    <w:rsid w:val="00BD4F27"/>
    <w:rsid w:val="00BD5BCB"/>
    <w:rsid w:val="00BD5CC0"/>
    <w:rsid w:val="00BD5D84"/>
    <w:rsid w:val="00BD5E06"/>
    <w:rsid w:val="00BD609B"/>
    <w:rsid w:val="00BD66D3"/>
    <w:rsid w:val="00BD714D"/>
    <w:rsid w:val="00BD720D"/>
    <w:rsid w:val="00BE0113"/>
    <w:rsid w:val="00BE0457"/>
    <w:rsid w:val="00BE05C0"/>
    <w:rsid w:val="00BE1405"/>
    <w:rsid w:val="00BE15F5"/>
    <w:rsid w:val="00BE19BE"/>
    <w:rsid w:val="00BE1B4D"/>
    <w:rsid w:val="00BE1C20"/>
    <w:rsid w:val="00BE1F55"/>
    <w:rsid w:val="00BE1F93"/>
    <w:rsid w:val="00BE203D"/>
    <w:rsid w:val="00BE312D"/>
    <w:rsid w:val="00BE37F1"/>
    <w:rsid w:val="00BE3DF0"/>
    <w:rsid w:val="00BE3E27"/>
    <w:rsid w:val="00BE3F9F"/>
    <w:rsid w:val="00BE4B25"/>
    <w:rsid w:val="00BE5821"/>
    <w:rsid w:val="00BE5D88"/>
    <w:rsid w:val="00BE5E43"/>
    <w:rsid w:val="00BE6249"/>
    <w:rsid w:val="00BE6FE9"/>
    <w:rsid w:val="00BE7B10"/>
    <w:rsid w:val="00BF001B"/>
    <w:rsid w:val="00BF009F"/>
    <w:rsid w:val="00BF13EE"/>
    <w:rsid w:val="00BF1C20"/>
    <w:rsid w:val="00BF3E25"/>
    <w:rsid w:val="00BF5187"/>
    <w:rsid w:val="00BF5C6F"/>
    <w:rsid w:val="00BF639B"/>
    <w:rsid w:val="00BF6BB1"/>
    <w:rsid w:val="00C00597"/>
    <w:rsid w:val="00C00B6E"/>
    <w:rsid w:val="00C02B37"/>
    <w:rsid w:val="00C02B7A"/>
    <w:rsid w:val="00C03889"/>
    <w:rsid w:val="00C04E4B"/>
    <w:rsid w:val="00C051A6"/>
    <w:rsid w:val="00C063BB"/>
    <w:rsid w:val="00C0683D"/>
    <w:rsid w:val="00C078CD"/>
    <w:rsid w:val="00C10306"/>
    <w:rsid w:val="00C10578"/>
    <w:rsid w:val="00C10ED6"/>
    <w:rsid w:val="00C135BC"/>
    <w:rsid w:val="00C1385C"/>
    <w:rsid w:val="00C14237"/>
    <w:rsid w:val="00C1425B"/>
    <w:rsid w:val="00C15C95"/>
    <w:rsid w:val="00C1645F"/>
    <w:rsid w:val="00C174B4"/>
    <w:rsid w:val="00C21DBB"/>
    <w:rsid w:val="00C21F46"/>
    <w:rsid w:val="00C22020"/>
    <w:rsid w:val="00C2234B"/>
    <w:rsid w:val="00C22445"/>
    <w:rsid w:val="00C22D24"/>
    <w:rsid w:val="00C23167"/>
    <w:rsid w:val="00C23EFB"/>
    <w:rsid w:val="00C2596A"/>
    <w:rsid w:val="00C25A11"/>
    <w:rsid w:val="00C25AC9"/>
    <w:rsid w:val="00C25F93"/>
    <w:rsid w:val="00C26D48"/>
    <w:rsid w:val="00C27537"/>
    <w:rsid w:val="00C27C56"/>
    <w:rsid w:val="00C27E6A"/>
    <w:rsid w:val="00C31211"/>
    <w:rsid w:val="00C31B72"/>
    <w:rsid w:val="00C321EA"/>
    <w:rsid w:val="00C32493"/>
    <w:rsid w:val="00C328FE"/>
    <w:rsid w:val="00C32B57"/>
    <w:rsid w:val="00C32C11"/>
    <w:rsid w:val="00C33507"/>
    <w:rsid w:val="00C33A13"/>
    <w:rsid w:val="00C346AC"/>
    <w:rsid w:val="00C36C3A"/>
    <w:rsid w:val="00C378D0"/>
    <w:rsid w:val="00C40F6C"/>
    <w:rsid w:val="00C40F82"/>
    <w:rsid w:val="00C427A9"/>
    <w:rsid w:val="00C42BE9"/>
    <w:rsid w:val="00C4409D"/>
    <w:rsid w:val="00C441E3"/>
    <w:rsid w:val="00C446D6"/>
    <w:rsid w:val="00C44C8C"/>
    <w:rsid w:val="00C44E72"/>
    <w:rsid w:val="00C45840"/>
    <w:rsid w:val="00C45A06"/>
    <w:rsid w:val="00C461C5"/>
    <w:rsid w:val="00C463DA"/>
    <w:rsid w:val="00C46D72"/>
    <w:rsid w:val="00C474A9"/>
    <w:rsid w:val="00C47E5B"/>
    <w:rsid w:val="00C501A8"/>
    <w:rsid w:val="00C5159A"/>
    <w:rsid w:val="00C52CB2"/>
    <w:rsid w:val="00C52DE3"/>
    <w:rsid w:val="00C52EED"/>
    <w:rsid w:val="00C533A2"/>
    <w:rsid w:val="00C54537"/>
    <w:rsid w:val="00C55175"/>
    <w:rsid w:val="00C55181"/>
    <w:rsid w:val="00C5586E"/>
    <w:rsid w:val="00C55C08"/>
    <w:rsid w:val="00C562B3"/>
    <w:rsid w:val="00C5643A"/>
    <w:rsid w:val="00C5776B"/>
    <w:rsid w:val="00C57B44"/>
    <w:rsid w:val="00C57C99"/>
    <w:rsid w:val="00C61E4B"/>
    <w:rsid w:val="00C63D44"/>
    <w:rsid w:val="00C64199"/>
    <w:rsid w:val="00C64BFF"/>
    <w:rsid w:val="00C64FD9"/>
    <w:rsid w:val="00C65667"/>
    <w:rsid w:val="00C65DB7"/>
    <w:rsid w:val="00C65F63"/>
    <w:rsid w:val="00C667C6"/>
    <w:rsid w:val="00C672CD"/>
    <w:rsid w:val="00C701C5"/>
    <w:rsid w:val="00C7026E"/>
    <w:rsid w:val="00C704E9"/>
    <w:rsid w:val="00C70690"/>
    <w:rsid w:val="00C70C3E"/>
    <w:rsid w:val="00C71EEC"/>
    <w:rsid w:val="00C73A43"/>
    <w:rsid w:val="00C73E4A"/>
    <w:rsid w:val="00C74172"/>
    <w:rsid w:val="00C74EBC"/>
    <w:rsid w:val="00C7569D"/>
    <w:rsid w:val="00C763C9"/>
    <w:rsid w:val="00C76487"/>
    <w:rsid w:val="00C7653A"/>
    <w:rsid w:val="00C80057"/>
    <w:rsid w:val="00C8063A"/>
    <w:rsid w:val="00C81AFC"/>
    <w:rsid w:val="00C82232"/>
    <w:rsid w:val="00C8284B"/>
    <w:rsid w:val="00C82913"/>
    <w:rsid w:val="00C832E0"/>
    <w:rsid w:val="00C832ED"/>
    <w:rsid w:val="00C8380A"/>
    <w:rsid w:val="00C86127"/>
    <w:rsid w:val="00C8736A"/>
    <w:rsid w:val="00C8758F"/>
    <w:rsid w:val="00C87AC2"/>
    <w:rsid w:val="00C90621"/>
    <w:rsid w:val="00C91721"/>
    <w:rsid w:val="00C93D42"/>
    <w:rsid w:val="00C93E00"/>
    <w:rsid w:val="00C9517B"/>
    <w:rsid w:val="00C9689F"/>
    <w:rsid w:val="00C96996"/>
    <w:rsid w:val="00C96D91"/>
    <w:rsid w:val="00C97031"/>
    <w:rsid w:val="00C972B1"/>
    <w:rsid w:val="00C979A3"/>
    <w:rsid w:val="00CA0635"/>
    <w:rsid w:val="00CA0A31"/>
    <w:rsid w:val="00CA2CCE"/>
    <w:rsid w:val="00CA40FF"/>
    <w:rsid w:val="00CA43FD"/>
    <w:rsid w:val="00CA4F02"/>
    <w:rsid w:val="00CA55AF"/>
    <w:rsid w:val="00CA6DB0"/>
    <w:rsid w:val="00CA7EF8"/>
    <w:rsid w:val="00CB0878"/>
    <w:rsid w:val="00CB0AB2"/>
    <w:rsid w:val="00CB1EA3"/>
    <w:rsid w:val="00CB2744"/>
    <w:rsid w:val="00CB2BD3"/>
    <w:rsid w:val="00CB48BD"/>
    <w:rsid w:val="00CB646C"/>
    <w:rsid w:val="00CB724D"/>
    <w:rsid w:val="00CB7F0C"/>
    <w:rsid w:val="00CC0A69"/>
    <w:rsid w:val="00CC1936"/>
    <w:rsid w:val="00CC1BB4"/>
    <w:rsid w:val="00CC1FCF"/>
    <w:rsid w:val="00CC2202"/>
    <w:rsid w:val="00CC3B1D"/>
    <w:rsid w:val="00CC3C76"/>
    <w:rsid w:val="00CC45B9"/>
    <w:rsid w:val="00CC46A6"/>
    <w:rsid w:val="00CC489B"/>
    <w:rsid w:val="00CC4978"/>
    <w:rsid w:val="00CC4B1E"/>
    <w:rsid w:val="00CC7375"/>
    <w:rsid w:val="00CC7989"/>
    <w:rsid w:val="00CD1515"/>
    <w:rsid w:val="00CD1B1C"/>
    <w:rsid w:val="00CD212C"/>
    <w:rsid w:val="00CD2297"/>
    <w:rsid w:val="00CD2BCD"/>
    <w:rsid w:val="00CD3A4C"/>
    <w:rsid w:val="00CD52B3"/>
    <w:rsid w:val="00CD64B3"/>
    <w:rsid w:val="00CD6831"/>
    <w:rsid w:val="00CD7F97"/>
    <w:rsid w:val="00CE10E9"/>
    <w:rsid w:val="00CE154A"/>
    <w:rsid w:val="00CE1E91"/>
    <w:rsid w:val="00CE2419"/>
    <w:rsid w:val="00CE2910"/>
    <w:rsid w:val="00CE35A1"/>
    <w:rsid w:val="00CE36E5"/>
    <w:rsid w:val="00CE3B63"/>
    <w:rsid w:val="00CE4E00"/>
    <w:rsid w:val="00CE5393"/>
    <w:rsid w:val="00CE5EC5"/>
    <w:rsid w:val="00CE7E1F"/>
    <w:rsid w:val="00CE7E94"/>
    <w:rsid w:val="00CF028A"/>
    <w:rsid w:val="00CF1155"/>
    <w:rsid w:val="00CF1FF9"/>
    <w:rsid w:val="00CF24FD"/>
    <w:rsid w:val="00CF29B5"/>
    <w:rsid w:val="00CF2CDE"/>
    <w:rsid w:val="00CF35FD"/>
    <w:rsid w:val="00CF36BE"/>
    <w:rsid w:val="00CF418C"/>
    <w:rsid w:val="00CF6000"/>
    <w:rsid w:val="00CF6524"/>
    <w:rsid w:val="00CF690A"/>
    <w:rsid w:val="00D003F3"/>
    <w:rsid w:val="00D00B7A"/>
    <w:rsid w:val="00D013C9"/>
    <w:rsid w:val="00D0275F"/>
    <w:rsid w:val="00D031EE"/>
    <w:rsid w:val="00D032FF"/>
    <w:rsid w:val="00D0364F"/>
    <w:rsid w:val="00D04C15"/>
    <w:rsid w:val="00D04F27"/>
    <w:rsid w:val="00D066F8"/>
    <w:rsid w:val="00D06834"/>
    <w:rsid w:val="00D068C7"/>
    <w:rsid w:val="00D073D1"/>
    <w:rsid w:val="00D07604"/>
    <w:rsid w:val="00D10375"/>
    <w:rsid w:val="00D109B9"/>
    <w:rsid w:val="00D11D4B"/>
    <w:rsid w:val="00D11FF4"/>
    <w:rsid w:val="00D12A95"/>
    <w:rsid w:val="00D13126"/>
    <w:rsid w:val="00D139A0"/>
    <w:rsid w:val="00D13BCF"/>
    <w:rsid w:val="00D141C5"/>
    <w:rsid w:val="00D152B7"/>
    <w:rsid w:val="00D15C3D"/>
    <w:rsid w:val="00D15DBC"/>
    <w:rsid w:val="00D16509"/>
    <w:rsid w:val="00D16B52"/>
    <w:rsid w:val="00D20036"/>
    <w:rsid w:val="00D20ACF"/>
    <w:rsid w:val="00D20D2C"/>
    <w:rsid w:val="00D2134C"/>
    <w:rsid w:val="00D2227E"/>
    <w:rsid w:val="00D22E49"/>
    <w:rsid w:val="00D23AE5"/>
    <w:rsid w:val="00D2494D"/>
    <w:rsid w:val="00D24995"/>
    <w:rsid w:val="00D24ED7"/>
    <w:rsid w:val="00D253ED"/>
    <w:rsid w:val="00D25FC3"/>
    <w:rsid w:val="00D2634D"/>
    <w:rsid w:val="00D266D8"/>
    <w:rsid w:val="00D26FE2"/>
    <w:rsid w:val="00D30845"/>
    <w:rsid w:val="00D308ED"/>
    <w:rsid w:val="00D3107E"/>
    <w:rsid w:val="00D31A77"/>
    <w:rsid w:val="00D31B55"/>
    <w:rsid w:val="00D31C16"/>
    <w:rsid w:val="00D321C1"/>
    <w:rsid w:val="00D322FA"/>
    <w:rsid w:val="00D33C9E"/>
    <w:rsid w:val="00D34CBD"/>
    <w:rsid w:val="00D35957"/>
    <w:rsid w:val="00D35F01"/>
    <w:rsid w:val="00D36444"/>
    <w:rsid w:val="00D36D86"/>
    <w:rsid w:val="00D41494"/>
    <w:rsid w:val="00D4274D"/>
    <w:rsid w:val="00D428AA"/>
    <w:rsid w:val="00D4302F"/>
    <w:rsid w:val="00D43744"/>
    <w:rsid w:val="00D43EC2"/>
    <w:rsid w:val="00D440C1"/>
    <w:rsid w:val="00D4471A"/>
    <w:rsid w:val="00D4519E"/>
    <w:rsid w:val="00D47378"/>
    <w:rsid w:val="00D476B4"/>
    <w:rsid w:val="00D4796F"/>
    <w:rsid w:val="00D50A34"/>
    <w:rsid w:val="00D51B27"/>
    <w:rsid w:val="00D53EFA"/>
    <w:rsid w:val="00D54A9E"/>
    <w:rsid w:val="00D554DB"/>
    <w:rsid w:val="00D55F21"/>
    <w:rsid w:val="00D5722D"/>
    <w:rsid w:val="00D5731B"/>
    <w:rsid w:val="00D57F73"/>
    <w:rsid w:val="00D60F2F"/>
    <w:rsid w:val="00D61AE7"/>
    <w:rsid w:val="00D61D98"/>
    <w:rsid w:val="00D6306B"/>
    <w:rsid w:val="00D6345F"/>
    <w:rsid w:val="00D648CD"/>
    <w:rsid w:val="00D6491E"/>
    <w:rsid w:val="00D65698"/>
    <w:rsid w:val="00D67389"/>
    <w:rsid w:val="00D70BF9"/>
    <w:rsid w:val="00D71279"/>
    <w:rsid w:val="00D718FC"/>
    <w:rsid w:val="00D71A22"/>
    <w:rsid w:val="00D71F62"/>
    <w:rsid w:val="00D71F7D"/>
    <w:rsid w:val="00D72DB5"/>
    <w:rsid w:val="00D7311B"/>
    <w:rsid w:val="00D73977"/>
    <w:rsid w:val="00D739BD"/>
    <w:rsid w:val="00D74F42"/>
    <w:rsid w:val="00D76F67"/>
    <w:rsid w:val="00D80140"/>
    <w:rsid w:val="00D80D63"/>
    <w:rsid w:val="00D83F53"/>
    <w:rsid w:val="00D84742"/>
    <w:rsid w:val="00D84FD4"/>
    <w:rsid w:val="00D86676"/>
    <w:rsid w:val="00D8739D"/>
    <w:rsid w:val="00D8771A"/>
    <w:rsid w:val="00D90F01"/>
    <w:rsid w:val="00D910D6"/>
    <w:rsid w:val="00D916E8"/>
    <w:rsid w:val="00D924BE"/>
    <w:rsid w:val="00D933AC"/>
    <w:rsid w:val="00D93C4E"/>
    <w:rsid w:val="00D94A7C"/>
    <w:rsid w:val="00D95896"/>
    <w:rsid w:val="00D9657F"/>
    <w:rsid w:val="00D97301"/>
    <w:rsid w:val="00DA19B8"/>
    <w:rsid w:val="00DA2869"/>
    <w:rsid w:val="00DA2F75"/>
    <w:rsid w:val="00DA40E9"/>
    <w:rsid w:val="00DA46DB"/>
    <w:rsid w:val="00DA48D0"/>
    <w:rsid w:val="00DA515C"/>
    <w:rsid w:val="00DA5536"/>
    <w:rsid w:val="00DA58F1"/>
    <w:rsid w:val="00DA63D7"/>
    <w:rsid w:val="00DA6E27"/>
    <w:rsid w:val="00DA78E6"/>
    <w:rsid w:val="00DB004E"/>
    <w:rsid w:val="00DB041C"/>
    <w:rsid w:val="00DB1E70"/>
    <w:rsid w:val="00DB2031"/>
    <w:rsid w:val="00DB2983"/>
    <w:rsid w:val="00DB3AD6"/>
    <w:rsid w:val="00DB402B"/>
    <w:rsid w:val="00DB466E"/>
    <w:rsid w:val="00DB516B"/>
    <w:rsid w:val="00DB6A94"/>
    <w:rsid w:val="00DB7030"/>
    <w:rsid w:val="00DB7882"/>
    <w:rsid w:val="00DB79C0"/>
    <w:rsid w:val="00DC035E"/>
    <w:rsid w:val="00DC1257"/>
    <w:rsid w:val="00DC19FF"/>
    <w:rsid w:val="00DC2581"/>
    <w:rsid w:val="00DC3392"/>
    <w:rsid w:val="00DC3DC0"/>
    <w:rsid w:val="00DC509D"/>
    <w:rsid w:val="00DC5166"/>
    <w:rsid w:val="00DC5576"/>
    <w:rsid w:val="00DC5B2B"/>
    <w:rsid w:val="00DC6FDC"/>
    <w:rsid w:val="00DD021A"/>
    <w:rsid w:val="00DD072F"/>
    <w:rsid w:val="00DD1925"/>
    <w:rsid w:val="00DD2E7D"/>
    <w:rsid w:val="00DD2F0F"/>
    <w:rsid w:val="00DD318D"/>
    <w:rsid w:val="00DD3F33"/>
    <w:rsid w:val="00DD4A29"/>
    <w:rsid w:val="00DD5AD9"/>
    <w:rsid w:val="00DD5CFE"/>
    <w:rsid w:val="00DD65A1"/>
    <w:rsid w:val="00DD6A36"/>
    <w:rsid w:val="00DD7214"/>
    <w:rsid w:val="00DD73F5"/>
    <w:rsid w:val="00DE0C30"/>
    <w:rsid w:val="00DE2D5C"/>
    <w:rsid w:val="00DE404F"/>
    <w:rsid w:val="00DE5FDE"/>
    <w:rsid w:val="00DE66A3"/>
    <w:rsid w:val="00DE6F1C"/>
    <w:rsid w:val="00DE7800"/>
    <w:rsid w:val="00DE7967"/>
    <w:rsid w:val="00DF2E12"/>
    <w:rsid w:val="00DF38B6"/>
    <w:rsid w:val="00DF3B02"/>
    <w:rsid w:val="00DF3D9D"/>
    <w:rsid w:val="00DF40FA"/>
    <w:rsid w:val="00DF514A"/>
    <w:rsid w:val="00DF6690"/>
    <w:rsid w:val="00DF6804"/>
    <w:rsid w:val="00DF7406"/>
    <w:rsid w:val="00DF7CFF"/>
    <w:rsid w:val="00E005C1"/>
    <w:rsid w:val="00E00A2E"/>
    <w:rsid w:val="00E019BB"/>
    <w:rsid w:val="00E02E00"/>
    <w:rsid w:val="00E02E94"/>
    <w:rsid w:val="00E0358D"/>
    <w:rsid w:val="00E04323"/>
    <w:rsid w:val="00E0450F"/>
    <w:rsid w:val="00E049E7"/>
    <w:rsid w:val="00E070A2"/>
    <w:rsid w:val="00E07C96"/>
    <w:rsid w:val="00E10000"/>
    <w:rsid w:val="00E10BBE"/>
    <w:rsid w:val="00E128C6"/>
    <w:rsid w:val="00E131A6"/>
    <w:rsid w:val="00E13ED1"/>
    <w:rsid w:val="00E166D9"/>
    <w:rsid w:val="00E1691F"/>
    <w:rsid w:val="00E174DE"/>
    <w:rsid w:val="00E175E2"/>
    <w:rsid w:val="00E20120"/>
    <w:rsid w:val="00E2118D"/>
    <w:rsid w:val="00E22406"/>
    <w:rsid w:val="00E237A3"/>
    <w:rsid w:val="00E25199"/>
    <w:rsid w:val="00E2656A"/>
    <w:rsid w:val="00E2676A"/>
    <w:rsid w:val="00E26E73"/>
    <w:rsid w:val="00E27AB9"/>
    <w:rsid w:val="00E3099D"/>
    <w:rsid w:val="00E30ABF"/>
    <w:rsid w:val="00E310BC"/>
    <w:rsid w:val="00E3167E"/>
    <w:rsid w:val="00E31940"/>
    <w:rsid w:val="00E32670"/>
    <w:rsid w:val="00E3377E"/>
    <w:rsid w:val="00E33882"/>
    <w:rsid w:val="00E33B20"/>
    <w:rsid w:val="00E3460E"/>
    <w:rsid w:val="00E35469"/>
    <w:rsid w:val="00E35501"/>
    <w:rsid w:val="00E357EB"/>
    <w:rsid w:val="00E376D8"/>
    <w:rsid w:val="00E37D19"/>
    <w:rsid w:val="00E412D0"/>
    <w:rsid w:val="00E418D9"/>
    <w:rsid w:val="00E41B5D"/>
    <w:rsid w:val="00E426F8"/>
    <w:rsid w:val="00E4328E"/>
    <w:rsid w:val="00E43BE7"/>
    <w:rsid w:val="00E44ED0"/>
    <w:rsid w:val="00E454DE"/>
    <w:rsid w:val="00E465F3"/>
    <w:rsid w:val="00E46CD8"/>
    <w:rsid w:val="00E47516"/>
    <w:rsid w:val="00E47D23"/>
    <w:rsid w:val="00E47D49"/>
    <w:rsid w:val="00E50140"/>
    <w:rsid w:val="00E50947"/>
    <w:rsid w:val="00E50CFE"/>
    <w:rsid w:val="00E51C34"/>
    <w:rsid w:val="00E5233A"/>
    <w:rsid w:val="00E541FC"/>
    <w:rsid w:val="00E54E57"/>
    <w:rsid w:val="00E55DB0"/>
    <w:rsid w:val="00E55FFF"/>
    <w:rsid w:val="00E5604C"/>
    <w:rsid w:val="00E56322"/>
    <w:rsid w:val="00E60982"/>
    <w:rsid w:val="00E60FF6"/>
    <w:rsid w:val="00E612B3"/>
    <w:rsid w:val="00E61B1A"/>
    <w:rsid w:val="00E62C62"/>
    <w:rsid w:val="00E6357E"/>
    <w:rsid w:val="00E64C64"/>
    <w:rsid w:val="00E654C1"/>
    <w:rsid w:val="00E65675"/>
    <w:rsid w:val="00E65D97"/>
    <w:rsid w:val="00E6611E"/>
    <w:rsid w:val="00E661DC"/>
    <w:rsid w:val="00E66F31"/>
    <w:rsid w:val="00E6705C"/>
    <w:rsid w:val="00E70014"/>
    <w:rsid w:val="00E70243"/>
    <w:rsid w:val="00E71705"/>
    <w:rsid w:val="00E71898"/>
    <w:rsid w:val="00E72A5A"/>
    <w:rsid w:val="00E73354"/>
    <w:rsid w:val="00E7379E"/>
    <w:rsid w:val="00E73B2C"/>
    <w:rsid w:val="00E7430A"/>
    <w:rsid w:val="00E747B0"/>
    <w:rsid w:val="00E74870"/>
    <w:rsid w:val="00E750C8"/>
    <w:rsid w:val="00E7591D"/>
    <w:rsid w:val="00E75971"/>
    <w:rsid w:val="00E75B31"/>
    <w:rsid w:val="00E761D4"/>
    <w:rsid w:val="00E764BE"/>
    <w:rsid w:val="00E8461B"/>
    <w:rsid w:val="00E84A9A"/>
    <w:rsid w:val="00E8571E"/>
    <w:rsid w:val="00E857E8"/>
    <w:rsid w:val="00E85E3F"/>
    <w:rsid w:val="00E86181"/>
    <w:rsid w:val="00E862C4"/>
    <w:rsid w:val="00E8799C"/>
    <w:rsid w:val="00E900A5"/>
    <w:rsid w:val="00E90F55"/>
    <w:rsid w:val="00E91F2A"/>
    <w:rsid w:val="00E9242D"/>
    <w:rsid w:val="00E92812"/>
    <w:rsid w:val="00E928CC"/>
    <w:rsid w:val="00E92D80"/>
    <w:rsid w:val="00E930E2"/>
    <w:rsid w:val="00E930F9"/>
    <w:rsid w:val="00E93553"/>
    <w:rsid w:val="00E9489A"/>
    <w:rsid w:val="00E94A3E"/>
    <w:rsid w:val="00E94F2D"/>
    <w:rsid w:val="00E95B42"/>
    <w:rsid w:val="00E95CDA"/>
    <w:rsid w:val="00E96B50"/>
    <w:rsid w:val="00E97455"/>
    <w:rsid w:val="00EA0290"/>
    <w:rsid w:val="00EA08DA"/>
    <w:rsid w:val="00EA1594"/>
    <w:rsid w:val="00EA1833"/>
    <w:rsid w:val="00EA230C"/>
    <w:rsid w:val="00EA3128"/>
    <w:rsid w:val="00EA55DA"/>
    <w:rsid w:val="00EA5B09"/>
    <w:rsid w:val="00EA69F8"/>
    <w:rsid w:val="00EA71DF"/>
    <w:rsid w:val="00EA77AB"/>
    <w:rsid w:val="00EB04D1"/>
    <w:rsid w:val="00EB07EC"/>
    <w:rsid w:val="00EB0A62"/>
    <w:rsid w:val="00EB0C0B"/>
    <w:rsid w:val="00EB0E5F"/>
    <w:rsid w:val="00EB2B13"/>
    <w:rsid w:val="00EB3B57"/>
    <w:rsid w:val="00EB5255"/>
    <w:rsid w:val="00EB540A"/>
    <w:rsid w:val="00EB55A3"/>
    <w:rsid w:val="00EB5951"/>
    <w:rsid w:val="00EB5C47"/>
    <w:rsid w:val="00EB6602"/>
    <w:rsid w:val="00EB7213"/>
    <w:rsid w:val="00EB73B5"/>
    <w:rsid w:val="00EB757F"/>
    <w:rsid w:val="00EB7779"/>
    <w:rsid w:val="00EB784D"/>
    <w:rsid w:val="00EC118E"/>
    <w:rsid w:val="00EC137E"/>
    <w:rsid w:val="00EC2BFC"/>
    <w:rsid w:val="00EC2E54"/>
    <w:rsid w:val="00EC3A62"/>
    <w:rsid w:val="00EC45A1"/>
    <w:rsid w:val="00EC51AD"/>
    <w:rsid w:val="00EC55CE"/>
    <w:rsid w:val="00EC5A3B"/>
    <w:rsid w:val="00EC607F"/>
    <w:rsid w:val="00EC6EA1"/>
    <w:rsid w:val="00EC75A3"/>
    <w:rsid w:val="00ED0639"/>
    <w:rsid w:val="00ED070D"/>
    <w:rsid w:val="00ED2BFB"/>
    <w:rsid w:val="00ED37FC"/>
    <w:rsid w:val="00ED4CDB"/>
    <w:rsid w:val="00ED4F81"/>
    <w:rsid w:val="00ED54E5"/>
    <w:rsid w:val="00ED646D"/>
    <w:rsid w:val="00EE0DAC"/>
    <w:rsid w:val="00EE2463"/>
    <w:rsid w:val="00EE2840"/>
    <w:rsid w:val="00EE2AC5"/>
    <w:rsid w:val="00EE37FD"/>
    <w:rsid w:val="00EE3893"/>
    <w:rsid w:val="00EE44F0"/>
    <w:rsid w:val="00EE4D0C"/>
    <w:rsid w:val="00EE5E60"/>
    <w:rsid w:val="00EF0096"/>
    <w:rsid w:val="00EF158C"/>
    <w:rsid w:val="00EF424E"/>
    <w:rsid w:val="00EF4507"/>
    <w:rsid w:val="00EF4755"/>
    <w:rsid w:val="00EF4CD6"/>
    <w:rsid w:val="00EF7135"/>
    <w:rsid w:val="00EF7ABC"/>
    <w:rsid w:val="00F026A2"/>
    <w:rsid w:val="00F027DB"/>
    <w:rsid w:val="00F02E00"/>
    <w:rsid w:val="00F0360D"/>
    <w:rsid w:val="00F03926"/>
    <w:rsid w:val="00F0460C"/>
    <w:rsid w:val="00F0590C"/>
    <w:rsid w:val="00F05D87"/>
    <w:rsid w:val="00F0738A"/>
    <w:rsid w:val="00F075D2"/>
    <w:rsid w:val="00F07833"/>
    <w:rsid w:val="00F07C28"/>
    <w:rsid w:val="00F07FCF"/>
    <w:rsid w:val="00F1082C"/>
    <w:rsid w:val="00F110D7"/>
    <w:rsid w:val="00F137B5"/>
    <w:rsid w:val="00F13D5F"/>
    <w:rsid w:val="00F147CE"/>
    <w:rsid w:val="00F1497A"/>
    <w:rsid w:val="00F14A7A"/>
    <w:rsid w:val="00F14E07"/>
    <w:rsid w:val="00F14E2F"/>
    <w:rsid w:val="00F15888"/>
    <w:rsid w:val="00F159A4"/>
    <w:rsid w:val="00F16CD0"/>
    <w:rsid w:val="00F17E3C"/>
    <w:rsid w:val="00F20C23"/>
    <w:rsid w:val="00F20E12"/>
    <w:rsid w:val="00F21DB1"/>
    <w:rsid w:val="00F22985"/>
    <w:rsid w:val="00F23498"/>
    <w:rsid w:val="00F23664"/>
    <w:rsid w:val="00F23857"/>
    <w:rsid w:val="00F2401A"/>
    <w:rsid w:val="00F249DF"/>
    <w:rsid w:val="00F25ACB"/>
    <w:rsid w:val="00F25D13"/>
    <w:rsid w:val="00F25D52"/>
    <w:rsid w:val="00F26214"/>
    <w:rsid w:val="00F301A5"/>
    <w:rsid w:val="00F301AB"/>
    <w:rsid w:val="00F305C6"/>
    <w:rsid w:val="00F31337"/>
    <w:rsid w:val="00F31354"/>
    <w:rsid w:val="00F31BB1"/>
    <w:rsid w:val="00F32012"/>
    <w:rsid w:val="00F336CF"/>
    <w:rsid w:val="00F3383E"/>
    <w:rsid w:val="00F339A2"/>
    <w:rsid w:val="00F34B48"/>
    <w:rsid w:val="00F36A2D"/>
    <w:rsid w:val="00F36B59"/>
    <w:rsid w:val="00F371C1"/>
    <w:rsid w:val="00F400A4"/>
    <w:rsid w:val="00F40D83"/>
    <w:rsid w:val="00F42A34"/>
    <w:rsid w:val="00F431AC"/>
    <w:rsid w:val="00F433E7"/>
    <w:rsid w:val="00F43E79"/>
    <w:rsid w:val="00F443D1"/>
    <w:rsid w:val="00F447E1"/>
    <w:rsid w:val="00F44F89"/>
    <w:rsid w:val="00F45CC1"/>
    <w:rsid w:val="00F465A7"/>
    <w:rsid w:val="00F46D77"/>
    <w:rsid w:val="00F47E0D"/>
    <w:rsid w:val="00F50132"/>
    <w:rsid w:val="00F50B7C"/>
    <w:rsid w:val="00F51A12"/>
    <w:rsid w:val="00F51A18"/>
    <w:rsid w:val="00F528AA"/>
    <w:rsid w:val="00F53883"/>
    <w:rsid w:val="00F5392F"/>
    <w:rsid w:val="00F53EAA"/>
    <w:rsid w:val="00F546E4"/>
    <w:rsid w:val="00F550E6"/>
    <w:rsid w:val="00F564C0"/>
    <w:rsid w:val="00F56823"/>
    <w:rsid w:val="00F575EE"/>
    <w:rsid w:val="00F57635"/>
    <w:rsid w:val="00F577A3"/>
    <w:rsid w:val="00F609D7"/>
    <w:rsid w:val="00F61443"/>
    <w:rsid w:val="00F61873"/>
    <w:rsid w:val="00F6273F"/>
    <w:rsid w:val="00F63FD2"/>
    <w:rsid w:val="00F65CA1"/>
    <w:rsid w:val="00F66E7F"/>
    <w:rsid w:val="00F6711C"/>
    <w:rsid w:val="00F67986"/>
    <w:rsid w:val="00F71BFD"/>
    <w:rsid w:val="00F71E7F"/>
    <w:rsid w:val="00F72F94"/>
    <w:rsid w:val="00F74345"/>
    <w:rsid w:val="00F74491"/>
    <w:rsid w:val="00F74A5E"/>
    <w:rsid w:val="00F74D85"/>
    <w:rsid w:val="00F768A0"/>
    <w:rsid w:val="00F80A0A"/>
    <w:rsid w:val="00F815A5"/>
    <w:rsid w:val="00F8212E"/>
    <w:rsid w:val="00F82B19"/>
    <w:rsid w:val="00F82CE5"/>
    <w:rsid w:val="00F84266"/>
    <w:rsid w:val="00F8451A"/>
    <w:rsid w:val="00F84901"/>
    <w:rsid w:val="00F85263"/>
    <w:rsid w:val="00F85F7C"/>
    <w:rsid w:val="00F8708F"/>
    <w:rsid w:val="00F875BC"/>
    <w:rsid w:val="00F87B09"/>
    <w:rsid w:val="00F909B7"/>
    <w:rsid w:val="00F90F08"/>
    <w:rsid w:val="00F91594"/>
    <w:rsid w:val="00F91BD2"/>
    <w:rsid w:val="00F91FB5"/>
    <w:rsid w:val="00F9212D"/>
    <w:rsid w:val="00F922C2"/>
    <w:rsid w:val="00F93C2A"/>
    <w:rsid w:val="00F954BA"/>
    <w:rsid w:val="00F965DA"/>
    <w:rsid w:val="00F9722C"/>
    <w:rsid w:val="00F9781C"/>
    <w:rsid w:val="00F97B23"/>
    <w:rsid w:val="00F97E67"/>
    <w:rsid w:val="00FA0809"/>
    <w:rsid w:val="00FA0A4B"/>
    <w:rsid w:val="00FA24A7"/>
    <w:rsid w:val="00FA2592"/>
    <w:rsid w:val="00FA2B5F"/>
    <w:rsid w:val="00FA32EE"/>
    <w:rsid w:val="00FA406A"/>
    <w:rsid w:val="00FA4907"/>
    <w:rsid w:val="00FA5AF5"/>
    <w:rsid w:val="00FA5E00"/>
    <w:rsid w:val="00FA60D3"/>
    <w:rsid w:val="00FA68F2"/>
    <w:rsid w:val="00FA7158"/>
    <w:rsid w:val="00FA754E"/>
    <w:rsid w:val="00FA7691"/>
    <w:rsid w:val="00FA7DCA"/>
    <w:rsid w:val="00FB1348"/>
    <w:rsid w:val="00FB1E73"/>
    <w:rsid w:val="00FB2445"/>
    <w:rsid w:val="00FB304E"/>
    <w:rsid w:val="00FB3060"/>
    <w:rsid w:val="00FB3809"/>
    <w:rsid w:val="00FB3ADB"/>
    <w:rsid w:val="00FB3E53"/>
    <w:rsid w:val="00FB503A"/>
    <w:rsid w:val="00FB516C"/>
    <w:rsid w:val="00FB6A3E"/>
    <w:rsid w:val="00FB767B"/>
    <w:rsid w:val="00FC07F0"/>
    <w:rsid w:val="00FC120F"/>
    <w:rsid w:val="00FC14D0"/>
    <w:rsid w:val="00FC1833"/>
    <w:rsid w:val="00FC29C6"/>
    <w:rsid w:val="00FC304D"/>
    <w:rsid w:val="00FC3DEA"/>
    <w:rsid w:val="00FC4519"/>
    <w:rsid w:val="00FC5281"/>
    <w:rsid w:val="00FC5811"/>
    <w:rsid w:val="00FC6489"/>
    <w:rsid w:val="00FC7AAA"/>
    <w:rsid w:val="00FD0236"/>
    <w:rsid w:val="00FD13A5"/>
    <w:rsid w:val="00FD16DE"/>
    <w:rsid w:val="00FD18F4"/>
    <w:rsid w:val="00FD2BB7"/>
    <w:rsid w:val="00FD331A"/>
    <w:rsid w:val="00FD4785"/>
    <w:rsid w:val="00FD4DAC"/>
    <w:rsid w:val="00FD54DB"/>
    <w:rsid w:val="00FD619F"/>
    <w:rsid w:val="00FD73CD"/>
    <w:rsid w:val="00FE0896"/>
    <w:rsid w:val="00FE26DB"/>
    <w:rsid w:val="00FE27C6"/>
    <w:rsid w:val="00FE2A04"/>
    <w:rsid w:val="00FE32A9"/>
    <w:rsid w:val="00FE34F7"/>
    <w:rsid w:val="00FE47A9"/>
    <w:rsid w:val="00FE598F"/>
    <w:rsid w:val="00FE5A3F"/>
    <w:rsid w:val="00FE63C0"/>
    <w:rsid w:val="00FE6593"/>
    <w:rsid w:val="00FE65B5"/>
    <w:rsid w:val="00FE7871"/>
    <w:rsid w:val="00FE7931"/>
    <w:rsid w:val="00FF09D6"/>
    <w:rsid w:val="00FF2701"/>
    <w:rsid w:val="00FF2838"/>
    <w:rsid w:val="00FF2EE7"/>
    <w:rsid w:val="00FF371E"/>
    <w:rsid w:val="00FF38EF"/>
    <w:rsid w:val="00FF38F5"/>
    <w:rsid w:val="00FF3A1B"/>
    <w:rsid w:val="00FF3DFF"/>
    <w:rsid w:val="00FF408B"/>
    <w:rsid w:val="00FF62A5"/>
    <w:rsid w:val="00FF67FC"/>
    <w:rsid w:val="01290F7E"/>
    <w:rsid w:val="015D1E09"/>
    <w:rsid w:val="01BF2CA9"/>
    <w:rsid w:val="025A59A3"/>
    <w:rsid w:val="02697903"/>
    <w:rsid w:val="026C4FD1"/>
    <w:rsid w:val="028E2C3F"/>
    <w:rsid w:val="02F96569"/>
    <w:rsid w:val="03C50038"/>
    <w:rsid w:val="03E56DE9"/>
    <w:rsid w:val="03EA7B21"/>
    <w:rsid w:val="0404580D"/>
    <w:rsid w:val="040B0267"/>
    <w:rsid w:val="045478E1"/>
    <w:rsid w:val="047C5758"/>
    <w:rsid w:val="04AC7907"/>
    <w:rsid w:val="056F1060"/>
    <w:rsid w:val="05F83EAE"/>
    <w:rsid w:val="063E7D85"/>
    <w:rsid w:val="068711A6"/>
    <w:rsid w:val="06BB2083"/>
    <w:rsid w:val="07171168"/>
    <w:rsid w:val="07293586"/>
    <w:rsid w:val="07295285"/>
    <w:rsid w:val="07636392"/>
    <w:rsid w:val="07770C56"/>
    <w:rsid w:val="07782531"/>
    <w:rsid w:val="07937179"/>
    <w:rsid w:val="0818317C"/>
    <w:rsid w:val="083C579F"/>
    <w:rsid w:val="08656B68"/>
    <w:rsid w:val="08E30F28"/>
    <w:rsid w:val="090C2CEF"/>
    <w:rsid w:val="092217DD"/>
    <w:rsid w:val="093A7294"/>
    <w:rsid w:val="0A1517F3"/>
    <w:rsid w:val="0A263993"/>
    <w:rsid w:val="0A2D3AC2"/>
    <w:rsid w:val="0A687C01"/>
    <w:rsid w:val="0A74360B"/>
    <w:rsid w:val="0A801D18"/>
    <w:rsid w:val="0AA55524"/>
    <w:rsid w:val="0AA755DF"/>
    <w:rsid w:val="0AD1549E"/>
    <w:rsid w:val="0AFD4B93"/>
    <w:rsid w:val="0B120D44"/>
    <w:rsid w:val="0B424B21"/>
    <w:rsid w:val="0B61784F"/>
    <w:rsid w:val="0B643881"/>
    <w:rsid w:val="0B653A3A"/>
    <w:rsid w:val="0BD27BF6"/>
    <w:rsid w:val="0BE502CE"/>
    <w:rsid w:val="0C3B3C7D"/>
    <w:rsid w:val="0C5B26D4"/>
    <w:rsid w:val="0C68115F"/>
    <w:rsid w:val="0C9155B2"/>
    <w:rsid w:val="0CAB2EAE"/>
    <w:rsid w:val="0CAD246E"/>
    <w:rsid w:val="0CB06B5C"/>
    <w:rsid w:val="0CBF23F5"/>
    <w:rsid w:val="0D18348D"/>
    <w:rsid w:val="0D621C7D"/>
    <w:rsid w:val="0D882AC3"/>
    <w:rsid w:val="0DB227D1"/>
    <w:rsid w:val="0DD45DB8"/>
    <w:rsid w:val="0E2C1984"/>
    <w:rsid w:val="0E2D26BB"/>
    <w:rsid w:val="0E302112"/>
    <w:rsid w:val="0E73034D"/>
    <w:rsid w:val="0E977CAD"/>
    <w:rsid w:val="0EC00ED0"/>
    <w:rsid w:val="0EF54495"/>
    <w:rsid w:val="0F13775A"/>
    <w:rsid w:val="0F5F45FE"/>
    <w:rsid w:val="0F9A112B"/>
    <w:rsid w:val="0FE3639A"/>
    <w:rsid w:val="102313C5"/>
    <w:rsid w:val="106D2F64"/>
    <w:rsid w:val="109E4EEF"/>
    <w:rsid w:val="10B63710"/>
    <w:rsid w:val="10F10820"/>
    <w:rsid w:val="10F16FA3"/>
    <w:rsid w:val="111C2F7A"/>
    <w:rsid w:val="11362561"/>
    <w:rsid w:val="11665CA1"/>
    <w:rsid w:val="116F1444"/>
    <w:rsid w:val="11FA4003"/>
    <w:rsid w:val="123C53FF"/>
    <w:rsid w:val="12483481"/>
    <w:rsid w:val="126A1F93"/>
    <w:rsid w:val="12816426"/>
    <w:rsid w:val="12850115"/>
    <w:rsid w:val="12903ABD"/>
    <w:rsid w:val="12A77F5C"/>
    <w:rsid w:val="12DC3AAD"/>
    <w:rsid w:val="132E236C"/>
    <w:rsid w:val="13951726"/>
    <w:rsid w:val="13A40E12"/>
    <w:rsid w:val="13C56926"/>
    <w:rsid w:val="14396509"/>
    <w:rsid w:val="144B713C"/>
    <w:rsid w:val="144C7F45"/>
    <w:rsid w:val="14B34A87"/>
    <w:rsid w:val="14C45900"/>
    <w:rsid w:val="14CE7D3C"/>
    <w:rsid w:val="14DD2C3C"/>
    <w:rsid w:val="15451E32"/>
    <w:rsid w:val="15553758"/>
    <w:rsid w:val="157038B6"/>
    <w:rsid w:val="15D05455"/>
    <w:rsid w:val="15EC7A64"/>
    <w:rsid w:val="16087E1D"/>
    <w:rsid w:val="16633809"/>
    <w:rsid w:val="166B4F45"/>
    <w:rsid w:val="16AF6C0B"/>
    <w:rsid w:val="17701D14"/>
    <w:rsid w:val="17735226"/>
    <w:rsid w:val="17B97B16"/>
    <w:rsid w:val="17FB6806"/>
    <w:rsid w:val="18757B4C"/>
    <w:rsid w:val="189F624C"/>
    <w:rsid w:val="18E76064"/>
    <w:rsid w:val="19CE23A1"/>
    <w:rsid w:val="19DF42A7"/>
    <w:rsid w:val="1A1C66C0"/>
    <w:rsid w:val="1A201E34"/>
    <w:rsid w:val="1A42393B"/>
    <w:rsid w:val="1A6E338E"/>
    <w:rsid w:val="1A731697"/>
    <w:rsid w:val="1AAD45DE"/>
    <w:rsid w:val="1B046F80"/>
    <w:rsid w:val="1B3267B5"/>
    <w:rsid w:val="1B40161D"/>
    <w:rsid w:val="1B441859"/>
    <w:rsid w:val="1B6606B1"/>
    <w:rsid w:val="1C3845FA"/>
    <w:rsid w:val="1C5E7925"/>
    <w:rsid w:val="1CA1517C"/>
    <w:rsid w:val="1CEB6DC6"/>
    <w:rsid w:val="1CFD070F"/>
    <w:rsid w:val="1D0D31E0"/>
    <w:rsid w:val="1D5F6196"/>
    <w:rsid w:val="1D6132A5"/>
    <w:rsid w:val="1D8E56D5"/>
    <w:rsid w:val="1DDA6E3B"/>
    <w:rsid w:val="1DFA7773"/>
    <w:rsid w:val="1E195CB3"/>
    <w:rsid w:val="1E2F0D07"/>
    <w:rsid w:val="1E691F3F"/>
    <w:rsid w:val="1E7159F1"/>
    <w:rsid w:val="1E7A43DA"/>
    <w:rsid w:val="1EC11600"/>
    <w:rsid w:val="1ECB5EBE"/>
    <w:rsid w:val="1EF1780F"/>
    <w:rsid w:val="1F1F369F"/>
    <w:rsid w:val="1F3E0869"/>
    <w:rsid w:val="1F787316"/>
    <w:rsid w:val="1FB1173F"/>
    <w:rsid w:val="1FD700E0"/>
    <w:rsid w:val="1FD83465"/>
    <w:rsid w:val="1FE7539E"/>
    <w:rsid w:val="200C06A4"/>
    <w:rsid w:val="20356406"/>
    <w:rsid w:val="20671BE0"/>
    <w:rsid w:val="208F7B35"/>
    <w:rsid w:val="20963CB8"/>
    <w:rsid w:val="20A4068A"/>
    <w:rsid w:val="20A81A1B"/>
    <w:rsid w:val="20B07FB6"/>
    <w:rsid w:val="20B646FB"/>
    <w:rsid w:val="20D65D3B"/>
    <w:rsid w:val="213B74B1"/>
    <w:rsid w:val="213D7E8E"/>
    <w:rsid w:val="215014E7"/>
    <w:rsid w:val="215A2310"/>
    <w:rsid w:val="21B02153"/>
    <w:rsid w:val="21D40771"/>
    <w:rsid w:val="21DE318A"/>
    <w:rsid w:val="21EF5B80"/>
    <w:rsid w:val="22576990"/>
    <w:rsid w:val="226178A9"/>
    <w:rsid w:val="228C5DFC"/>
    <w:rsid w:val="22B81B14"/>
    <w:rsid w:val="22F47480"/>
    <w:rsid w:val="2302669E"/>
    <w:rsid w:val="239F4DAE"/>
    <w:rsid w:val="23DE1C48"/>
    <w:rsid w:val="23DE58D7"/>
    <w:rsid w:val="23F1601C"/>
    <w:rsid w:val="240210CD"/>
    <w:rsid w:val="247A0DA7"/>
    <w:rsid w:val="24BF09F7"/>
    <w:rsid w:val="24BF2F99"/>
    <w:rsid w:val="24E40F71"/>
    <w:rsid w:val="24F15330"/>
    <w:rsid w:val="250D429E"/>
    <w:rsid w:val="252D53FE"/>
    <w:rsid w:val="252E0198"/>
    <w:rsid w:val="256D3F71"/>
    <w:rsid w:val="25CE520C"/>
    <w:rsid w:val="25EC2D81"/>
    <w:rsid w:val="263B1089"/>
    <w:rsid w:val="267D50CB"/>
    <w:rsid w:val="26A60B54"/>
    <w:rsid w:val="26AF355A"/>
    <w:rsid w:val="27102ED4"/>
    <w:rsid w:val="277057A2"/>
    <w:rsid w:val="277B2C81"/>
    <w:rsid w:val="279204EF"/>
    <w:rsid w:val="28426727"/>
    <w:rsid w:val="28613DF3"/>
    <w:rsid w:val="288901DB"/>
    <w:rsid w:val="28977429"/>
    <w:rsid w:val="28E97B36"/>
    <w:rsid w:val="291F59C6"/>
    <w:rsid w:val="29206EB8"/>
    <w:rsid w:val="293D4067"/>
    <w:rsid w:val="29595666"/>
    <w:rsid w:val="295B161E"/>
    <w:rsid w:val="297315C2"/>
    <w:rsid w:val="29816D94"/>
    <w:rsid w:val="29874881"/>
    <w:rsid w:val="29B50E88"/>
    <w:rsid w:val="29E325E0"/>
    <w:rsid w:val="2A115333"/>
    <w:rsid w:val="2A452503"/>
    <w:rsid w:val="2A6D37BB"/>
    <w:rsid w:val="2A6F1D1B"/>
    <w:rsid w:val="2A8C4388"/>
    <w:rsid w:val="2AD30B2A"/>
    <w:rsid w:val="2B027302"/>
    <w:rsid w:val="2B392644"/>
    <w:rsid w:val="2BA936A8"/>
    <w:rsid w:val="2BAC0068"/>
    <w:rsid w:val="2BD31908"/>
    <w:rsid w:val="2C31056E"/>
    <w:rsid w:val="2C315A5A"/>
    <w:rsid w:val="2C477DC2"/>
    <w:rsid w:val="2C4B1C25"/>
    <w:rsid w:val="2C7C1DF8"/>
    <w:rsid w:val="2C930685"/>
    <w:rsid w:val="2CC060E8"/>
    <w:rsid w:val="2CE73F87"/>
    <w:rsid w:val="2CED6DB1"/>
    <w:rsid w:val="2D145EC5"/>
    <w:rsid w:val="2D5269EE"/>
    <w:rsid w:val="2D7008D1"/>
    <w:rsid w:val="2D9E56F5"/>
    <w:rsid w:val="2DFE0923"/>
    <w:rsid w:val="2E0D016A"/>
    <w:rsid w:val="2E1B6F78"/>
    <w:rsid w:val="2E667F96"/>
    <w:rsid w:val="2E8226AB"/>
    <w:rsid w:val="2F426866"/>
    <w:rsid w:val="2F977449"/>
    <w:rsid w:val="2FB43990"/>
    <w:rsid w:val="2FD065E6"/>
    <w:rsid w:val="2FD96870"/>
    <w:rsid w:val="2FE53B49"/>
    <w:rsid w:val="30580BC9"/>
    <w:rsid w:val="311E2ED7"/>
    <w:rsid w:val="31501496"/>
    <w:rsid w:val="315619EE"/>
    <w:rsid w:val="315C449C"/>
    <w:rsid w:val="31B82709"/>
    <w:rsid w:val="31D05482"/>
    <w:rsid w:val="31D40319"/>
    <w:rsid w:val="31D82653"/>
    <w:rsid w:val="31EB11BF"/>
    <w:rsid w:val="32400B34"/>
    <w:rsid w:val="325B2C35"/>
    <w:rsid w:val="329E6876"/>
    <w:rsid w:val="32FB3683"/>
    <w:rsid w:val="330865C8"/>
    <w:rsid w:val="333015F2"/>
    <w:rsid w:val="334143F8"/>
    <w:rsid w:val="334B6320"/>
    <w:rsid w:val="33D934D4"/>
    <w:rsid w:val="33FE2F6A"/>
    <w:rsid w:val="340E07E5"/>
    <w:rsid w:val="34235BF7"/>
    <w:rsid w:val="3437693D"/>
    <w:rsid w:val="34521CAF"/>
    <w:rsid w:val="346520A2"/>
    <w:rsid w:val="346C045C"/>
    <w:rsid w:val="34A94D84"/>
    <w:rsid w:val="358C5FA8"/>
    <w:rsid w:val="35B93933"/>
    <w:rsid w:val="35BF6371"/>
    <w:rsid w:val="35C15DF1"/>
    <w:rsid w:val="36074A7F"/>
    <w:rsid w:val="36923549"/>
    <w:rsid w:val="36B75FBF"/>
    <w:rsid w:val="36BD0C45"/>
    <w:rsid w:val="36C84337"/>
    <w:rsid w:val="36E06556"/>
    <w:rsid w:val="36E263F9"/>
    <w:rsid w:val="371B42F4"/>
    <w:rsid w:val="372D0ED4"/>
    <w:rsid w:val="37E00298"/>
    <w:rsid w:val="380B185B"/>
    <w:rsid w:val="38196A86"/>
    <w:rsid w:val="385D20A6"/>
    <w:rsid w:val="38B302F9"/>
    <w:rsid w:val="38F12CD3"/>
    <w:rsid w:val="38F80FCC"/>
    <w:rsid w:val="38F94775"/>
    <w:rsid w:val="38FA182F"/>
    <w:rsid w:val="392971ED"/>
    <w:rsid w:val="39325651"/>
    <w:rsid w:val="3935410B"/>
    <w:rsid w:val="397877DC"/>
    <w:rsid w:val="39932B7A"/>
    <w:rsid w:val="3A4722BA"/>
    <w:rsid w:val="3A4F49E1"/>
    <w:rsid w:val="3A872856"/>
    <w:rsid w:val="3A877A37"/>
    <w:rsid w:val="3AF37A62"/>
    <w:rsid w:val="3B3763D1"/>
    <w:rsid w:val="3B4402BD"/>
    <w:rsid w:val="3B497B49"/>
    <w:rsid w:val="3C2F6E1E"/>
    <w:rsid w:val="3C4F64BA"/>
    <w:rsid w:val="3C792E8E"/>
    <w:rsid w:val="3CB52AF5"/>
    <w:rsid w:val="3CC3332C"/>
    <w:rsid w:val="3CDA245A"/>
    <w:rsid w:val="3CE84C78"/>
    <w:rsid w:val="3D1E06B7"/>
    <w:rsid w:val="3DE23DBE"/>
    <w:rsid w:val="3E162396"/>
    <w:rsid w:val="3E1B6952"/>
    <w:rsid w:val="3E1C2E2C"/>
    <w:rsid w:val="3E3143FD"/>
    <w:rsid w:val="3E6475B3"/>
    <w:rsid w:val="3EDA0523"/>
    <w:rsid w:val="3F2E0148"/>
    <w:rsid w:val="3F460520"/>
    <w:rsid w:val="3F6932EA"/>
    <w:rsid w:val="3F8073EA"/>
    <w:rsid w:val="3F875FB9"/>
    <w:rsid w:val="3F8C2233"/>
    <w:rsid w:val="3FC952EA"/>
    <w:rsid w:val="3FE61EB3"/>
    <w:rsid w:val="3FEC2CD2"/>
    <w:rsid w:val="4056403D"/>
    <w:rsid w:val="406C35D7"/>
    <w:rsid w:val="40741F79"/>
    <w:rsid w:val="407A6407"/>
    <w:rsid w:val="409D67DF"/>
    <w:rsid w:val="40FB4C3D"/>
    <w:rsid w:val="41090A48"/>
    <w:rsid w:val="41384259"/>
    <w:rsid w:val="41771072"/>
    <w:rsid w:val="41850CE8"/>
    <w:rsid w:val="4200449D"/>
    <w:rsid w:val="420A743F"/>
    <w:rsid w:val="421F2EEA"/>
    <w:rsid w:val="42273726"/>
    <w:rsid w:val="42352F26"/>
    <w:rsid w:val="423A3BCC"/>
    <w:rsid w:val="424E57D2"/>
    <w:rsid w:val="42776B4C"/>
    <w:rsid w:val="427E2D68"/>
    <w:rsid w:val="428611BC"/>
    <w:rsid w:val="42883893"/>
    <w:rsid w:val="42B26C49"/>
    <w:rsid w:val="433A6FE6"/>
    <w:rsid w:val="43476477"/>
    <w:rsid w:val="43480868"/>
    <w:rsid w:val="4350713C"/>
    <w:rsid w:val="436653E0"/>
    <w:rsid w:val="43C4431A"/>
    <w:rsid w:val="44B951CC"/>
    <w:rsid w:val="44CD14E0"/>
    <w:rsid w:val="44F20B0B"/>
    <w:rsid w:val="450B59A8"/>
    <w:rsid w:val="452C5FEF"/>
    <w:rsid w:val="452E5F4C"/>
    <w:rsid w:val="452F1AB2"/>
    <w:rsid w:val="45612018"/>
    <w:rsid w:val="45792A95"/>
    <w:rsid w:val="458946E9"/>
    <w:rsid w:val="45A47C0E"/>
    <w:rsid w:val="45AE7708"/>
    <w:rsid w:val="45DE4E6B"/>
    <w:rsid w:val="45E701C3"/>
    <w:rsid w:val="463F555C"/>
    <w:rsid w:val="46577FD6"/>
    <w:rsid w:val="46B05F59"/>
    <w:rsid w:val="46D955A7"/>
    <w:rsid w:val="46E22739"/>
    <w:rsid w:val="47133957"/>
    <w:rsid w:val="47297B1E"/>
    <w:rsid w:val="47557E40"/>
    <w:rsid w:val="479B7A4E"/>
    <w:rsid w:val="47A07E0C"/>
    <w:rsid w:val="47DB0BD9"/>
    <w:rsid w:val="481E3C44"/>
    <w:rsid w:val="48510EE7"/>
    <w:rsid w:val="4870272E"/>
    <w:rsid w:val="49210111"/>
    <w:rsid w:val="49272422"/>
    <w:rsid w:val="492E0D2E"/>
    <w:rsid w:val="493A4AAE"/>
    <w:rsid w:val="493B6550"/>
    <w:rsid w:val="498875C7"/>
    <w:rsid w:val="49D96075"/>
    <w:rsid w:val="49DC7715"/>
    <w:rsid w:val="4A023139"/>
    <w:rsid w:val="4A171C5C"/>
    <w:rsid w:val="4A3C42B6"/>
    <w:rsid w:val="4A7B576F"/>
    <w:rsid w:val="4A885427"/>
    <w:rsid w:val="4AF561A9"/>
    <w:rsid w:val="4B3A5EFD"/>
    <w:rsid w:val="4BCA143B"/>
    <w:rsid w:val="4C1C493F"/>
    <w:rsid w:val="4C4A0649"/>
    <w:rsid w:val="4C654E73"/>
    <w:rsid w:val="4C757967"/>
    <w:rsid w:val="4C7E5ECA"/>
    <w:rsid w:val="4C876AA5"/>
    <w:rsid w:val="4CEB383F"/>
    <w:rsid w:val="4D0E00FB"/>
    <w:rsid w:val="4D176606"/>
    <w:rsid w:val="4D352FBB"/>
    <w:rsid w:val="4DEC4FB0"/>
    <w:rsid w:val="4E075D8A"/>
    <w:rsid w:val="4E1D5DD7"/>
    <w:rsid w:val="4EC00FAD"/>
    <w:rsid w:val="4ECD32F3"/>
    <w:rsid w:val="4EDB288F"/>
    <w:rsid w:val="4F027E1C"/>
    <w:rsid w:val="4F9843DC"/>
    <w:rsid w:val="4F9A6C16"/>
    <w:rsid w:val="4FA54A2C"/>
    <w:rsid w:val="4FC62A8C"/>
    <w:rsid w:val="4FC87DDB"/>
    <w:rsid w:val="4FE20F0D"/>
    <w:rsid w:val="4FE51552"/>
    <w:rsid w:val="50504C4B"/>
    <w:rsid w:val="509C6E7C"/>
    <w:rsid w:val="50B67110"/>
    <w:rsid w:val="5162104E"/>
    <w:rsid w:val="51CE7A8F"/>
    <w:rsid w:val="51DD028A"/>
    <w:rsid w:val="51EE4F7D"/>
    <w:rsid w:val="5242552B"/>
    <w:rsid w:val="52B96A43"/>
    <w:rsid w:val="52DE0C95"/>
    <w:rsid w:val="532641F4"/>
    <w:rsid w:val="53A039CC"/>
    <w:rsid w:val="53A1505A"/>
    <w:rsid w:val="54063E08"/>
    <w:rsid w:val="543437E8"/>
    <w:rsid w:val="545D78A2"/>
    <w:rsid w:val="5463135D"/>
    <w:rsid w:val="54662BFB"/>
    <w:rsid w:val="54DA14E5"/>
    <w:rsid w:val="54E16706"/>
    <w:rsid w:val="54F55D2D"/>
    <w:rsid w:val="54F73313"/>
    <w:rsid w:val="54F80955"/>
    <w:rsid w:val="555170A7"/>
    <w:rsid w:val="5587536D"/>
    <w:rsid w:val="559B174B"/>
    <w:rsid w:val="55B94FAC"/>
    <w:rsid w:val="55CE0CF4"/>
    <w:rsid w:val="56026953"/>
    <w:rsid w:val="56B22A9C"/>
    <w:rsid w:val="56BE2BFE"/>
    <w:rsid w:val="576C7B5B"/>
    <w:rsid w:val="578D049F"/>
    <w:rsid w:val="57B7093E"/>
    <w:rsid w:val="57B72A76"/>
    <w:rsid w:val="57C3426C"/>
    <w:rsid w:val="57CD066A"/>
    <w:rsid w:val="57CE1F93"/>
    <w:rsid w:val="588743D1"/>
    <w:rsid w:val="5887701A"/>
    <w:rsid w:val="58BC6623"/>
    <w:rsid w:val="58C51773"/>
    <w:rsid w:val="58F81C34"/>
    <w:rsid w:val="594A4FC6"/>
    <w:rsid w:val="59C0439F"/>
    <w:rsid w:val="59F1740B"/>
    <w:rsid w:val="59F73D34"/>
    <w:rsid w:val="5A885693"/>
    <w:rsid w:val="5ABE2233"/>
    <w:rsid w:val="5B117107"/>
    <w:rsid w:val="5B3333DD"/>
    <w:rsid w:val="5B644B60"/>
    <w:rsid w:val="5BDF5D95"/>
    <w:rsid w:val="5BFE7528"/>
    <w:rsid w:val="5C48285C"/>
    <w:rsid w:val="5C984D5B"/>
    <w:rsid w:val="5C9F5940"/>
    <w:rsid w:val="5CD06143"/>
    <w:rsid w:val="5CE2303B"/>
    <w:rsid w:val="5D437F7D"/>
    <w:rsid w:val="5D980BB0"/>
    <w:rsid w:val="5E0E2ECA"/>
    <w:rsid w:val="5E2467F1"/>
    <w:rsid w:val="5E3D4F56"/>
    <w:rsid w:val="5EFC6636"/>
    <w:rsid w:val="5F1A2B43"/>
    <w:rsid w:val="5F245634"/>
    <w:rsid w:val="5F50072F"/>
    <w:rsid w:val="5F6E36F0"/>
    <w:rsid w:val="5FAD16DE"/>
    <w:rsid w:val="5FB837BB"/>
    <w:rsid w:val="60045D5B"/>
    <w:rsid w:val="600E5244"/>
    <w:rsid w:val="604364E6"/>
    <w:rsid w:val="60CB6580"/>
    <w:rsid w:val="60CC405A"/>
    <w:rsid w:val="60E80F1B"/>
    <w:rsid w:val="61042A4C"/>
    <w:rsid w:val="614A6955"/>
    <w:rsid w:val="614E5143"/>
    <w:rsid w:val="614F5A2B"/>
    <w:rsid w:val="61834E85"/>
    <w:rsid w:val="61D86C12"/>
    <w:rsid w:val="61E215D8"/>
    <w:rsid w:val="621B3775"/>
    <w:rsid w:val="621E2D67"/>
    <w:rsid w:val="62325A1D"/>
    <w:rsid w:val="62364782"/>
    <w:rsid w:val="624843B6"/>
    <w:rsid w:val="62A74434"/>
    <w:rsid w:val="62AB7828"/>
    <w:rsid w:val="62AE1A3B"/>
    <w:rsid w:val="62B00D22"/>
    <w:rsid w:val="63660ED6"/>
    <w:rsid w:val="6394356A"/>
    <w:rsid w:val="63C61B2C"/>
    <w:rsid w:val="63C7266A"/>
    <w:rsid w:val="63D40BE9"/>
    <w:rsid w:val="63E43B3C"/>
    <w:rsid w:val="64102431"/>
    <w:rsid w:val="64A5243A"/>
    <w:rsid w:val="64D12312"/>
    <w:rsid w:val="64F531DE"/>
    <w:rsid w:val="64F84305"/>
    <w:rsid w:val="65373578"/>
    <w:rsid w:val="656E190F"/>
    <w:rsid w:val="65A976AD"/>
    <w:rsid w:val="65BF4B50"/>
    <w:rsid w:val="6637146D"/>
    <w:rsid w:val="665C2838"/>
    <w:rsid w:val="66630DA5"/>
    <w:rsid w:val="66AF3F8D"/>
    <w:rsid w:val="66C514C6"/>
    <w:rsid w:val="671F124A"/>
    <w:rsid w:val="67580AC9"/>
    <w:rsid w:val="675F5EFE"/>
    <w:rsid w:val="677A33C6"/>
    <w:rsid w:val="679D028A"/>
    <w:rsid w:val="67DD0864"/>
    <w:rsid w:val="681744E0"/>
    <w:rsid w:val="681F6961"/>
    <w:rsid w:val="68610A2F"/>
    <w:rsid w:val="68805514"/>
    <w:rsid w:val="68883922"/>
    <w:rsid w:val="689C50B2"/>
    <w:rsid w:val="68B6663B"/>
    <w:rsid w:val="68D2328F"/>
    <w:rsid w:val="68DD74D8"/>
    <w:rsid w:val="68EC595E"/>
    <w:rsid w:val="69135D10"/>
    <w:rsid w:val="69316E2F"/>
    <w:rsid w:val="694E2071"/>
    <w:rsid w:val="696C4099"/>
    <w:rsid w:val="69766163"/>
    <w:rsid w:val="697A3B33"/>
    <w:rsid w:val="69A55B1C"/>
    <w:rsid w:val="69A753F0"/>
    <w:rsid w:val="69AE18CF"/>
    <w:rsid w:val="69D44760"/>
    <w:rsid w:val="6A33765B"/>
    <w:rsid w:val="6A4C5F97"/>
    <w:rsid w:val="6A520EC7"/>
    <w:rsid w:val="6AF428B7"/>
    <w:rsid w:val="6AF87E20"/>
    <w:rsid w:val="6B091B28"/>
    <w:rsid w:val="6B1B6095"/>
    <w:rsid w:val="6B322639"/>
    <w:rsid w:val="6B412CAE"/>
    <w:rsid w:val="6B5275DD"/>
    <w:rsid w:val="6B7F25AD"/>
    <w:rsid w:val="6B9676AC"/>
    <w:rsid w:val="6BC903CB"/>
    <w:rsid w:val="6C184383"/>
    <w:rsid w:val="6C345714"/>
    <w:rsid w:val="6C4B15B7"/>
    <w:rsid w:val="6C4E5D01"/>
    <w:rsid w:val="6C636C38"/>
    <w:rsid w:val="6D495C5A"/>
    <w:rsid w:val="6D806DC5"/>
    <w:rsid w:val="6D9F2C32"/>
    <w:rsid w:val="6DB34098"/>
    <w:rsid w:val="6DB545B6"/>
    <w:rsid w:val="6DE02FB4"/>
    <w:rsid w:val="6DE23FAB"/>
    <w:rsid w:val="6E045D25"/>
    <w:rsid w:val="6E0A4BE5"/>
    <w:rsid w:val="6E1F5E9D"/>
    <w:rsid w:val="6E3C57CD"/>
    <w:rsid w:val="6E514CED"/>
    <w:rsid w:val="6E7D2BC3"/>
    <w:rsid w:val="6E810905"/>
    <w:rsid w:val="6EB563D5"/>
    <w:rsid w:val="6ED92677"/>
    <w:rsid w:val="6EDA0016"/>
    <w:rsid w:val="6EDA32A9"/>
    <w:rsid w:val="6F0B0384"/>
    <w:rsid w:val="6F225983"/>
    <w:rsid w:val="6FA7229F"/>
    <w:rsid w:val="6FD83F25"/>
    <w:rsid w:val="6FFC5590"/>
    <w:rsid w:val="706D1DD0"/>
    <w:rsid w:val="70856B87"/>
    <w:rsid w:val="70A20D4F"/>
    <w:rsid w:val="70D527EE"/>
    <w:rsid w:val="70D67082"/>
    <w:rsid w:val="70E24956"/>
    <w:rsid w:val="715B5300"/>
    <w:rsid w:val="719C5A56"/>
    <w:rsid w:val="71D27F8A"/>
    <w:rsid w:val="721F5595"/>
    <w:rsid w:val="72553024"/>
    <w:rsid w:val="72831B3E"/>
    <w:rsid w:val="729F6E97"/>
    <w:rsid w:val="72E44FB6"/>
    <w:rsid w:val="72F21DD2"/>
    <w:rsid w:val="73122968"/>
    <w:rsid w:val="731F5D5E"/>
    <w:rsid w:val="732F076A"/>
    <w:rsid w:val="73C51AD5"/>
    <w:rsid w:val="741144D9"/>
    <w:rsid w:val="741E793C"/>
    <w:rsid w:val="745E3944"/>
    <w:rsid w:val="74757C53"/>
    <w:rsid w:val="748051BB"/>
    <w:rsid w:val="7499002B"/>
    <w:rsid w:val="74D50889"/>
    <w:rsid w:val="753058C1"/>
    <w:rsid w:val="75422471"/>
    <w:rsid w:val="75517593"/>
    <w:rsid w:val="75AF0B84"/>
    <w:rsid w:val="75D05CCE"/>
    <w:rsid w:val="75E460F7"/>
    <w:rsid w:val="75ED2C39"/>
    <w:rsid w:val="75F95225"/>
    <w:rsid w:val="7635099D"/>
    <w:rsid w:val="76377AFB"/>
    <w:rsid w:val="765B7C8E"/>
    <w:rsid w:val="76AB2D5C"/>
    <w:rsid w:val="76D90BB3"/>
    <w:rsid w:val="770F1963"/>
    <w:rsid w:val="77106CCA"/>
    <w:rsid w:val="77283529"/>
    <w:rsid w:val="77762421"/>
    <w:rsid w:val="77B56B1F"/>
    <w:rsid w:val="780F09F4"/>
    <w:rsid w:val="781216FA"/>
    <w:rsid w:val="787C4691"/>
    <w:rsid w:val="78A90480"/>
    <w:rsid w:val="79224002"/>
    <w:rsid w:val="79690914"/>
    <w:rsid w:val="797A042B"/>
    <w:rsid w:val="7A06786F"/>
    <w:rsid w:val="7A093963"/>
    <w:rsid w:val="7A364017"/>
    <w:rsid w:val="7A8265E1"/>
    <w:rsid w:val="7AB427E4"/>
    <w:rsid w:val="7B41051E"/>
    <w:rsid w:val="7B686D42"/>
    <w:rsid w:val="7B841746"/>
    <w:rsid w:val="7C2F170F"/>
    <w:rsid w:val="7C6C5AC7"/>
    <w:rsid w:val="7C8B0BA1"/>
    <w:rsid w:val="7CA73C2D"/>
    <w:rsid w:val="7CC6544B"/>
    <w:rsid w:val="7CD05D18"/>
    <w:rsid w:val="7D0239FF"/>
    <w:rsid w:val="7D522DA3"/>
    <w:rsid w:val="7D5E40CD"/>
    <w:rsid w:val="7D6A6A08"/>
    <w:rsid w:val="7DCD56F2"/>
    <w:rsid w:val="7E2F59EA"/>
    <w:rsid w:val="7EB22F8B"/>
    <w:rsid w:val="7EC108AA"/>
    <w:rsid w:val="7EF473A8"/>
    <w:rsid w:val="7F001CE7"/>
    <w:rsid w:val="7F8C54BB"/>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qFormat="1"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qFormat/>
    <w:locked/>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paragraph" w:styleId="5">
    <w:name w:val="heading 4"/>
    <w:basedOn w:val="1"/>
    <w:next w:val="1"/>
    <w:unhideWhenUsed/>
    <w:qFormat/>
    <w:locked/>
    <w:uiPriority w:val="0"/>
    <w:pPr>
      <w:keepNext/>
      <w:keepLines/>
      <w:spacing w:before="280" w:after="290" w:line="372" w:lineRule="auto"/>
      <w:outlineLvl w:val="3"/>
    </w:pPr>
    <w:rPr>
      <w:rFonts w:ascii="Arial" w:hAnsi="Arial" w:eastAsia="黑体"/>
      <w:b/>
      <w:sz w:val="28"/>
    </w:rPr>
  </w:style>
  <w:style w:type="character" w:default="1" w:styleId="39">
    <w:name w:val="Default Paragraph Font"/>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6">
    <w:name w:val="List 3"/>
    <w:basedOn w:val="1"/>
    <w:qFormat/>
    <w:locked/>
    <w:uiPriority w:val="0"/>
    <w:pPr>
      <w:ind w:left="1260" w:hanging="420"/>
    </w:pPr>
    <w:rPr>
      <w:rFonts w:ascii="Times New Roman" w:hAnsi="Times New Roman" w:cs="Times New Roman"/>
      <w:sz w:val="28"/>
      <w:szCs w:val="20"/>
    </w:rPr>
  </w:style>
  <w:style w:type="paragraph" w:styleId="7">
    <w:name w:val="Normal Indent"/>
    <w:basedOn w:val="1"/>
    <w:qFormat/>
    <w:locked/>
    <w:uiPriority w:val="0"/>
    <w:pPr>
      <w:ind w:firstLine="420"/>
    </w:pPr>
    <w:rPr>
      <w:szCs w:val="24"/>
    </w:rPr>
  </w:style>
  <w:style w:type="paragraph" w:styleId="8">
    <w:name w:val="caption"/>
    <w:basedOn w:val="1"/>
    <w:next w:val="1"/>
    <w:link w:val="47"/>
    <w:qFormat/>
    <w:locked/>
    <w:uiPriority w:val="0"/>
    <w:pPr>
      <w:jc w:val="center"/>
    </w:pPr>
    <w:rPr>
      <w:rFonts w:cs="Arial"/>
      <w:b/>
      <w:szCs w:val="20"/>
    </w:rPr>
  </w:style>
  <w:style w:type="paragraph" w:styleId="9">
    <w:name w:val="annotation text"/>
    <w:basedOn w:val="1"/>
    <w:link w:val="48"/>
    <w:semiHidden/>
    <w:qFormat/>
    <w:uiPriority w:val="0"/>
    <w:pPr>
      <w:jc w:val="left"/>
    </w:pPr>
    <w:rPr>
      <w:kern w:val="0"/>
      <w:sz w:val="24"/>
      <w:szCs w:val="20"/>
    </w:rPr>
  </w:style>
  <w:style w:type="paragraph" w:styleId="10">
    <w:name w:val="Salutation"/>
    <w:basedOn w:val="1"/>
    <w:next w:val="1"/>
    <w:qFormat/>
    <w:locked/>
    <w:uiPriority w:val="0"/>
    <w:pPr>
      <w:widowControl/>
    </w:pPr>
    <w:rPr>
      <w:kern w:val="0"/>
      <w:szCs w:val="20"/>
    </w:rPr>
  </w:style>
  <w:style w:type="paragraph" w:styleId="11">
    <w:name w:val="Body Text 3"/>
    <w:basedOn w:val="1"/>
    <w:qFormat/>
    <w:locked/>
    <w:uiPriority w:val="0"/>
    <w:pPr>
      <w:spacing w:after="120" w:line="240" w:lineRule="auto"/>
      <w:ind w:firstLine="0" w:firstLineChars="0"/>
    </w:pPr>
    <w:rPr>
      <w:rFonts w:ascii="Times New Roman" w:hAnsi="Times New Roman" w:eastAsia="仿宋_GB2312" w:cs="Times New Roman"/>
      <w:kern w:val="0"/>
      <w:sz w:val="16"/>
      <w:szCs w:val="16"/>
    </w:rPr>
  </w:style>
  <w:style w:type="paragraph" w:styleId="12">
    <w:name w:val="Body Text"/>
    <w:basedOn w:val="1"/>
    <w:next w:val="13"/>
    <w:link w:val="46"/>
    <w:qFormat/>
    <w:uiPriority w:val="0"/>
    <w:pPr>
      <w:widowControl/>
      <w:snapToGrid w:val="0"/>
      <w:spacing w:before="60" w:after="160" w:line="259" w:lineRule="auto"/>
      <w:ind w:right="113"/>
    </w:pPr>
    <w:rPr>
      <w:kern w:val="0"/>
      <w:sz w:val="18"/>
      <w:szCs w:val="20"/>
    </w:rPr>
  </w:style>
  <w:style w:type="paragraph" w:styleId="13">
    <w:name w:val="List Bullet 5"/>
    <w:basedOn w:val="1"/>
    <w:qFormat/>
    <w:locked/>
    <w:uiPriority w:val="0"/>
    <w:pPr>
      <w:numPr>
        <w:ilvl w:val="0"/>
        <w:numId w:val="1"/>
      </w:numPr>
    </w:pPr>
  </w:style>
  <w:style w:type="paragraph" w:styleId="14">
    <w:name w:val="Body Text Indent"/>
    <w:basedOn w:val="1"/>
    <w:next w:val="15"/>
    <w:link w:val="45"/>
    <w:qFormat/>
    <w:uiPriority w:val="0"/>
    <w:pPr>
      <w:spacing w:after="120"/>
      <w:ind w:left="420" w:leftChars="200"/>
    </w:pPr>
    <w:rPr>
      <w:kern w:val="0"/>
      <w:sz w:val="24"/>
      <w:szCs w:val="20"/>
    </w:rPr>
  </w:style>
  <w:style w:type="paragraph" w:customStyle="1" w:styleId="15">
    <w:name w:val="样式 正文文本缩进 + 行距: 1.5 倍行距"/>
    <w:basedOn w:val="14"/>
    <w:qFormat/>
    <w:uiPriority w:val="0"/>
    <w:pPr>
      <w:spacing w:line="360" w:lineRule="auto"/>
      <w:ind w:left="0" w:leftChars="0" w:firstLine="560" w:firstLineChars="200"/>
    </w:pPr>
    <w:rPr>
      <w:rFonts w:cs="宋体"/>
      <w:b/>
      <w:bCs/>
      <w:sz w:val="28"/>
      <w:szCs w:val="20"/>
    </w:rPr>
  </w:style>
  <w:style w:type="paragraph" w:styleId="16">
    <w:name w:val="toc 3"/>
    <w:basedOn w:val="1"/>
    <w:next w:val="1"/>
    <w:qFormat/>
    <w:locked/>
    <w:uiPriority w:val="39"/>
    <w:pPr>
      <w:ind w:left="840" w:leftChars="400"/>
    </w:pPr>
  </w:style>
  <w:style w:type="paragraph" w:styleId="17">
    <w:name w:val="Plain Text"/>
    <w:basedOn w:val="1"/>
    <w:next w:val="18"/>
    <w:qFormat/>
    <w:locked/>
    <w:uiPriority w:val="99"/>
    <w:pPr>
      <w:spacing w:line="240" w:lineRule="atLeast"/>
    </w:pPr>
    <w:rPr>
      <w:rFonts w:ascii="宋体" w:hAnsi="Courier New"/>
      <w:sz w:val="28"/>
      <w:szCs w:val="20"/>
    </w:rPr>
  </w:style>
  <w:style w:type="paragraph" w:customStyle="1" w:styleId="18">
    <w:name w:val="Default"/>
    <w:basedOn w:val="19"/>
    <w:next w:val="1"/>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 w:type="paragraph" w:customStyle="1" w:styleId="19">
    <w:name w:val="纯文本1"/>
    <w:basedOn w:val="1"/>
    <w:qFormat/>
    <w:uiPriority w:val="0"/>
    <w:pPr>
      <w:adjustRightInd w:val="0"/>
    </w:pPr>
    <w:rPr>
      <w:rFonts w:ascii="宋体" w:hAnsi="Courier New"/>
      <w:szCs w:val="20"/>
    </w:rPr>
  </w:style>
  <w:style w:type="paragraph" w:styleId="20">
    <w:name w:val="Date"/>
    <w:basedOn w:val="1"/>
    <w:next w:val="1"/>
    <w:link w:val="49"/>
    <w:qFormat/>
    <w:uiPriority w:val="0"/>
    <w:pPr>
      <w:ind w:left="100" w:leftChars="2500"/>
    </w:pPr>
    <w:rPr>
      <w:kern w:val="0"/>
      <w:sz w:val="24"/>
      <w:szCs w:val="20"/>
    </w:rPr>
  </w:style>
  <w:style w:type="paragraph" w:styleId="21">
    <w:name w:val="Body Text Indent 2"/>
    <w:basedOn w:val="1"/>
    <w:qFormat/>
    <w:locked/>
    <w:uiPriority w:val="0"/>
    <w:pPr>
      <w:spacing w:line="360" w:lineRule="auto"/>
      <w:ind w:left="0" w:leftChars="0" w:firstLine="400" w:firstLineChars="200"/>
    </w:pPr>
    <w:rPr>
      <w:sz w:val="24"/>
      <w:szCs w:val="20"/>
    </w:rPr>
  </w:style>
  <w:style w:type="paragraph" w:styleId="22">
    <w:name w:val="Balloon Text"/>
    <w:basedOn w:val="1"/>
    <w:link w:val="50"/>
    <w:semiHidden/>
    <w:qFormat/>
    <w:uiPriority w:val="0"/>
    <w:rPr>
      <w:kern w:val="0"/>
      <w:sz w:val="18"/>
      <w:szCs w:val="20"/>
    </w:rPr>
  </w:style>
  <w:style w:type="paragraph" w:styleId="23">
    <w:name w:val="footer"/>
    <w:basedOn w:val="1"/>
    <w:link w:val="51"/>
    <w:qFormat/>
    <w:uiPriority w:val="99"/>
    <w:pPr>
      <w:tabs>
        <w:tab w:val="center" w:pos="4153"/>
        <w:tab w:val="right" w:pos="8306"/>
      </w:tabs>
      <w:snapToGrid w:val="0"/>
      <w:jc w:val="left"/>
    </w:pPr>
    <w:rPr>
      <w:kern w:val="0"/>
      <w:sz w:val="18"/>
      <w:szCs w:val="20"/>
    </w:rPr>
  </w:style>
  <w:style w:type="paragraph" w:styleId="24">
    <w:name w:val="header"/>
    <w:basedOn w:val="1"/>
    <w:next w:val="25"/>
    <w:link w:val="52"/>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index heading"/>
    <w:basedOn w:val="1"/>
    <w:next w:val="26"/>
    <w:qFormat/>
    <w:locked/>
    <w:uiPriority w:val="0"/>
    <w:rPr>
      <w:szCs w:val="20"/>
    </w:rPr>
  </w:style>
  <w:style w:type="paragraph" w:styleId="26">
    <w:name w:val="index 1"/>
    <w:basedOn w:val="1"/>
    <w:next w:val="1"/>
    <w:qFormat/>
    <w:locked/>
    <w:uiPriority w:val="0"/>
  </w:style>
  <w:style w:type="paragraph" w:styleId="27">
    <w:name w:val="toc 1"/>
    <w:basedOn w:val="1"/>
    <w:next w:val="1"/>
    <w:qFormat/>
    <w:locked/>
    <w:uiPriority w:val="39"/>
  </w:style>
  <w:style w:type="paragraph" w:styleId="28">
    <w:name w:val="Body Text Indent 3"/>
    <w:basedOn w:val="1"/>
    <w:link w:val="53"/>
    <w:qFormat/>
    <w:locked/>
    <w:uiPriority w:val="0"/>
    <w:pPr>
      <w:spacing w:after="120"/>
      <w:ind w:left="420" w:leftChars="200"/>
    </w:pPr>
    <w:rPr>
      <w:sz w:val="16"/>
      <w:szCs w:val="16"/>
    </w:rPr>
  </w:style>
  <w:style w:type="paragraph" w:styleId="29">
    <w:name w:val="toc 2"/>
    <w:basedOn w:val="1"/>
    <w:next w:val="1"/>
    <w:qFormat/>
    <w:locked/>
    <w:uiPriority w:val="39"/>
    <w:pPr>
      <w:ind w:left="420" w:leftChars="200"/>
    </w:pPr>
  </w:style>
  <w:style w:type="paragraph" w:styleId="30">
    <w:name w:val="Normal (Web)"/>
    <w:basedOn w:val="1"/>
    <w:link w:val="54"/>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qFormat/>
    <w:locked/>
    <w:uiPriority w:val="10"/>
    <w:pPr>
      <w:spacing w:before="240" w:after="60"/>
      <w:jc w:val="center"/>
      <w:outlineLvl w:val="0"/>
    </w:pPr>
    <w:rPr>
      <w:rFonts w:asciiTheme="majorHAnsi" w:hAnsiTheme="majorHAnsi" w:eastAsiaTheme="majorEastAsia" w:cstheme="majorBidi"/>
      <w:b/>
      <w:bCs/>
      <w:sz w:val="32"/>
      <w:szCs w:val="32"/>
    </w:rPr>
  </w:style>
  <w:style w:type="paragraph" w:styleId="32">
    <w:name w:val="annotation subject"/>
    <w:basedOn w:val="9"/>
    <w:next w:val="9"/>
    <w:link w:val="55"/>
    <w:semiHidden/>
    <w:qFormat/>
    <w:uiPriority w:val="0"/>
    <w:rPr>
      <w:b/>
      <w:sz w:val="24"/>
      <w:szCs w:val="20"/>
    </w:rPr>
  </w:style>
  <w:style w:type="paragraph" w:styleId="33">
    <w:name w:val="Body Text First Indent"/>
    <w:basedOn w:val="12"/>
    <w:next w:val="1"/>
    <w:unhideWhenUsed/>
    <w:qFormat/>
    <w:locked/>
    <w:uiPriority w:val="0"/>
    <w:pPr>
      <w:ind w:firstLine="420" w:firstLineChars="100"/>
    </w:pPr>
    <w:rPr>
      <w:sz w:val="21"/>
      <w:szCs w:val="24"/>
    </w:rPr>
  </w:style>
  <w:style w:type="paragraph" w:styleId="34">
    <w:name w:val="Body Text First Indent 2"/>
    <w:basedOn w:val="14"/>
    <w:next w:val="33"/>
    <w:qFormat/>
    <w:locked/>
    <w:uiPriority w:val="0"/>
    <w:pPr>
      <w:spacing w:after="120" w:afterLines="0"/>
      <w:ind w:left="420" w:leftChars="200" w:firstLine="420"/>
    </w:pPr>
    <w:rPr>
      <w:sz w:val="21"/>
      <w:szCs w:val="24"/>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7">
    <w:name w:val="Table Theme"/>
    <w:basedOn w:val="35"/>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Table 3D effects 3"/>
    <w:basedOn w:val="35"/>
    <w:qFormat/>
    <w:locked/>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40">
    <w:name w:val="Strong"/>
    <w:qFormat/>
    <w:locked/>
    <w:uiPriority w:val="0"/>
    <w:rPr>
      <w:b/>
    </w:rPr>
  </w:style>
  <w:style w:type="character" w:styleId="41">
    <w:name w:val="page number"/>
    <w:basedOn w:val="39"/>
    <w:qFormat/>
    <w:locked/>
    <w:uiPriority w:val="0"/>
  </w:style>
  <w:style w:type="character" w:styleId="42">
    <w:name w:val="Hyperlink"/>
    <w:unhideWhenUsed/>
    <w:qFormat/>
    <w:locked/>
    <w:uiPriority w:val="99"/>
    <w:rPr>
      <w:color w:val="0563C1"/>
      <w:u w:val="single"/>
    </w:rPr>
  </w:style>
  <w:style w:type="character" w:styleId="43">
    <w:name w:val="annotation reference"/>
    <w:semiHidden/>
    <w:qFormat/>
    <w:uiPriority w:val="0"/>
    <w:rPr>
      <w:sz w:val="21"/>
    </w:rPr>
  </w:style>
  <w:style w:type="paragraph" w:customStyle="1" w:styleId="44">
    <w:name w:val="文本正文"/>
    <w:basedOn w:val="1"/>
    <w:qFormat/>
    <w:uiPriority w:val="0"/>
    <w:pPr>
      <w:snapToGrid w:val="0"/>
      <w:spacing w:line="360" w:lineRule="auto"/>
      <w:ind w:firstLine="510"/>
      <w:jc w:val="left"/>
    </w:pPr>
    <w:rPr>
      <w:spacing w:val="4"/>
      <w:kern w:val="24"/>
      <w:szCs w:val="24"/>
      <w:lang w:val="zh-CN"/>
    </w:rPr>
  </w:style>
  <w:style w:type="character" w:customStyle="1" w:styleId="45">
    <w:name w:val="正文文本缩进 字符"/>
    <w:link w:val="14"/>
    <w:semiHidden/>
    <w:qFormat/>
    <w:locked/>
    <w:uiPriority w:val="0"/>
    <w:rPr>
      <w:rFonts w:ascii="Times New Roman" w:hAnsi="Times New Roman" w:eastAsia="宋体"/>
      <w:sz w:val="24"/>
    </w:rPr>
  </w:style>
  <w:style w:type="character" w:customStyle="1" w:styleId="46">
    <w:name w:val="正文文本 字符"/>
    <w:link w:val="12"/>
    <w:qFormat/>
    <w:locked/>
    <w:uiPriority w:val="0"/>
    <w:rPr>
      <w:sz w:val="18"/>
    </w:rPr>
  </w:style>
  <w:style w:type="character" w:customStyle="1" w:styleId="47">
    <w:name w:val="题注 字符"/>
    <w:link w:val="8"/>
    <w:qFormat/>
    <w:uiPriority w:val="0"/>
    <w:rPr>
      <w:rFonts w:cs="Arial"/>
      <w:b/>
      <w:kern w:val="2"/>
      <w:sz w:val="21"/>
    </w:rPr>
  </w:style>
  <w:style w:type="character" w:customStyle="1" w:styleId="48">
    <w:name w:val="批注文字 字符"/>
    <w:link w:val="9"/>
    <w:qFormat/>
    <w:locked/>
    <w:uiPriority w:val="0"/>
    <w:rPr>
      <w:rFonts w:ascii="Times New Roman" w:hAnsi="Times New Roman" w:eastAsia="宋体"/>
      <w:sz w:val="24"/>
    </w:rPr>
  </w:style>
  <w:style w:type="character" w:customStyle="1" w:styleId="49">
    <w:name w:val="日期 字符1"/>
    <w:link w:val="20"/>
    <w:qFormat/>
    <w:locked/>
    <w:uiPriority w:val="0"/>
    <w:rPr>
      <w:rFonts w:ascii="Times New Roman" w:hAnsi="Times New Roman" w:eastAsia="宋体"/>
      <w:sz w:val="24"/>
    </w:rPr>
  </w:style>
  <w:style w:type="character" w:customStyle="1" w:styleId="50">
    <w:name w:val="批注框文本 字符"/>
    <w:link w:val="22"/>
    <w:semiHidden/>
    <w:qFormat/>
    <w:locked/>
    <w:uiPriority w:val="0"/>
    <w:rPr>
      <w:rFonts w:ascii="Times New Roman" w:hAnsi="Times New Roman" w:eastAsia="宋体"/>
      <w:sz w:val="18"/>
    </w:rPr>
  </w:style>
  <w:style w:type="character" w:customStyle="1" w:styleId="51">
    <w:name w:val="页脚 字符1"/>
    <w:link w:val="23"/>
    <w:qFormat/>
    <w:locked/>
    <w:uiPriority w:val="99"/>
    <w:rPr>
      <w:sz w:val="18"/>
    </w:rPr>
  </w:style>
  <w:style w:type="character" w:customStyle="1" w:styleId="52">
    <w:name w:val="页眉 字符"/>
    <w:link w:val="24"/>
    <w:qFormat/>
    <w:locked/>
    <w:uiPriority w:val="0"/>
    <w:rPr>
      <w:sz w:val="18"/>
    </w:rPr>
  </w:style>
  <w:style w:type="character" w:customStyle="1" w:styleId="53">
    <w:name w:val="正文文本缩进 3 字符"/>
    <w:link w:val="28"/>
    <w:qFormat/>
    <w:uiPriority w:val="0"/>
    <w:rPr>
      <w:kern w:val="2"/>
      <w:sz w:val="16"/>
      <w:szCs w:val="16"/>
    </w:rPr>
  </w:style>
  <w:style w:type="character" w:customStyle="1" w:styleId="54">
    <w:name w:val="普通(网站) 字符"/>
    <w:link w:val="30"/>
    <w:qFormat/>
    <w:locked/>
    <w:uiPriority w:val="0"/>
    <w:rPr>
      <w:rFonts w:ascii="宋体" w:hAnsi="宋体" w:eastAsia="宋体"/>
      <w:sz w:val="24"/>
    </w:rPr>
  </w:style>
  <w:style w:type="character" w:customStyle="1" w:styleId="55">
    <w:name w:val="批注主题 字符"/>
    <w:link w:val="32"/>
    <w:semiHidden/>
    <w:qFormat/>
    <w:locked/>
    <w:uiPriority w:val="0"/>
    <w:rPr>
      <w:rFonts w:ascii="Times New Roman" w:hAnsi="Times New Roman" w:eastAsia="宋体"/>
      <w:b/>
      <w:kern w:val="2"/>
      <w:sz w:val="24"/>
    </w:rPr>
  </w:style>
  <w:style w:type="character" w:customStyle="1" w:styleId="56">
    <w:name w:val="表格 Char"/>
    <w:link w:val="57"/>
    <w:qFormat/>
    <w:locked/>
    <w:uiPriority w:val="0"/>
    <w:rPr>
      <w:rFonts w:ascii="宋体"/>
      <w:sz w:val="21"/>
    </w:rPr>
  </w:style>
  <w:style w:type="paragraph" w:customStyle="1" w:styleId="57">
    <w:name w:val="表格"/>
    <w:basedOn w:val="7"/>
    <w:next w:val="1"/>
    <w:link w:val="56"/>
    <w:qFormat/>
    <w:uiPriority w:val="0"/>
    <w:pPr>
      <w:adjustRightInd w:val="0"/>
      <w:snapToGrid w:val="0"/>
      <w:spacing w:beforeLines="10" w:afterLines="10" w:line="259" w:lineRule="auto"/>
      <w:jc w:val="center"/>
    </w:pPr>
    <w:rPr>
      <w:rFonts w:ascii="宋体"/>
      <w:kern w:val="0"/>
      <w:szCs w:val="20"/>
    </w:rPr>
  </w:style>
  <w:style w:type="character" w:customStyle="1" w:styleId="58">
    <w:name w:val="fontstyle01"/>
    <w:qFormat/>
    <w:uiPriority w:val="0"/>
    <w:rPr>
      <w:rFonts w:hint="eastAsia" w:ascii="宋体" w:hAnsi="宋体" w:eastAsia="宋体"/>
      <w:color w:val="000000"/>
      <w:sz w:val="24"/>
      <w:szCs w:val="24"/>
    </w:rPr>
  </w:style>
  <w:style w:type="character" w:customStyle="1" w:styleId="59">
    <w:name w:val=" Char Char3"/>
    <w:qFormat/>
    <w:locked/>
    <w:uiPriority w:val="0"/>
    <w:rPr>
      <w:rFonts w:eastAsia="宋体"/>
      <w:kern w:val="2"/>
      <w:sz w:val="28"/>
      <w:szCs w:val="24"/>
      <w:lang w:val="en-US" w:eastAsia="zh-CN" w:bidi="ar-SA"/>
    </w:rPr>
  </w:style>
  <w:style w:type="character" w:customStyle="1" w:styleId="60">
    <w:name w:val="批注文字 字符1"/>
    <w:semiHidden/>
    <w:qFormat/>
    <w:uiPriority w:val="0"/>
    <w:rPr>
      <w:rFonts w:ascii="Times New Roman" w:hAnsi="Times New Roman" w:eastAsia="宋体"/>
      <w:sz w:val="24"/>
    </w:rPr>
  </w:style>
  <w:style w:type="character" w:customStyle="1" w:styleId="61">
    <w:name w:val="日期 字符"/>
    <w:semiHidden/>
    <w:qFormat/>
    <w:uiPriority w:val="0"/>
    <w:rPr>
      <w:rFonts w:ascii="Times New Roman" w:hAnsi="Times New Roman" w:eastAsia="宋体"/>
      <w:sz w:val="24"/>
    </w:rPr>
  </w:style>
  <w:style w:type="character" w:customStyle="1" w:styleId="62">
    <w:name w:val="正文文本 字符1"/>
    <w:semiHidden/>
    <w:qFormat/>
    <w:uiPriority w:val="0"/>
    <w:rPr>
      <w:rFonts w:ascii="Times New Roman" w:hAnsi="Times New Roman" w:eastAsia="宋体"/>
      <w:sz w:val="24"/>
    </w:rPr>
  </w:style>
  <w:style w:type="character" w:customStyle="1" w:styleId="63">
    <w:name w:val="页脚 字符"/>
    <w:basedOn w:val="39"/>
    <w:qFormat/>
    <w:uiPriority w:val="99"/>
  </w:style>
  <w:style w:type="paragraph" w:customStyle="1" w:styleId="6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标准正文"/>
    <w:basedOn w:val="1"/>
    <w:qFormat/>
    <w:uiPriority w:val="0"/>
    <w:pPr>
      <w:spacing w:line="360" w:lineRule="auto"/>
      <w:ind w:firstLine="480" w:firstLineChars="200"/>
    </w:pPr>
    <w:rPr>
      <w:rFonts w:ascii="Times New Roman" w:cs="Times New Roman"/>
      <w:szCs w:val="20"/>
    </w:rPr>
  </w:style>
  <w:style w:type="paragraph" w:customStyle="1" w:styleId="66">
    <w:name w:val="表头"/>
    <w:basedOn w:val="4"/>
    <w:next w:val="7"/>
    <w:qFormat/>
    <w:uiPriority w:val="0"/>
    <w:pPr>
      <w:adjustRightInd w:val="0"/>
      <w:snapToGrid w:val="0"/>
      <w:spacing w:before="0" w:beforeAutospacing="0" w:after="0" w:afterAutospacing="0" w:line="360" w:lineRule="auto"/>
      <w:jc w:val="center"/>
      <w:outlineLvl w:val="9"/>
    </w:pPr>
    <w:rPr>
      <w:rFonts w:ascii="黑体" w:hAnsi="黑体" w:eastAsia="黑体" w:cs="黑体"/>
      <w:spacing w:val="4"/>
      <w:sz w:val="24"/>
      <w:szCs w:val="24"/>
    </w:rPr>
  </w:style>
  <w:style w:type="paragraph" w:customStyle="1" w:styleId="67">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6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9">
    <w:name w:val="Table Paragraph"/>
    <w:basedOn w:val="1"/>
    <w:qFormat/>
    <w:uiPriority w:val="1"/>
    <w:pPr>
      <w:adjustRightInd/>
      <w:ind w:firstLine="0" w:firstLineChars="0"/>
      <w:jc w:val="left"/>
    </w:pPr>
    <w:rPr>
      <w:rFonts w:ascii="Calibri" w:hAnsi="Calibri" w:eastAsia="宋体" w:cs="Times New Roman"/>
      <w:kern w:val="0"/>
      <w:sz w:val="22"/>
      <w:szCs w:val="22"/>
      <w:lang w:eastAsia="en-US"/>
    </w:rPr>
  </w:style>
  <w:style w:type="paragraph" w:customStyle="1" w:styleId="70">
    <w:name w:val="1正文"/>
    <w:basedOn w:val="1"/>
    <w:qFormat/>
    <w:uiPriority w:val="0"/>
    <w:pPr>
      <w:adjustRightInd w:val="0"/>
      <w:snapToGrid w:val="0"/>
      <w:spacing w:line="360" w:lineRule="auto"/>
      <w:ind w:firstLine="200" w:firstLineChars="200"/>
    </w:pPr>
    <w:rPr>
      <w:rFonts w:ascii="宋体" w:hAnsi="宋体" w:cs="宋体"/>
      <w:sz w:val="24"/>
    </w:rPr>
  </w:style>
  <w:style w:type="paragraph" w:customStyle="1" w:styleId="71">
    <w:name w:val="样式 标题 1 + 四号 段前: 0 磅 段后: 0 磅 行距: 1.5 倍行距"/>
    <w:basedOn w:val="70"/>
    <w:next w:val="44"/>
    <w:qFormat/>
    <w:uiPriority w:val="0"/>
    <w:pPr>
      <w:spacing w:line="360" w:lineRule="auto"/>
      <w:jc w:val="center"/>
    </w:pPr>
    <w:rPr>
      <w:rFonts w:eastAsia="宋体"/>
      <w:sz w:val="24"/>
    </w:rPr>
  </w:style>
  <w:style w:type="paragraph" w:customStyle="1" w:styleId="72">
    <w:name w:val="表内容"/>
    <w:basedOn w:val="1"/>
    <w:unhideWhenUsed/>
    <w:qFormat/>
    <w:uiPriority w:val="0"/>
    <w:pPr>
      <w:adjustRightInd w:val="0"/>
      <w:snapToGrid w:val="0"/>
    </w:pPr>
    <w:rPr>
      <w:rFonts w:ascii="宋体" w:hAnsi="宋体" w:cs="宋体"/>
      <w:snapToGrid w:val="0"/>
      <w:szCs w:val="21"/>
    </w:rPr>
  </w:style>
  <w:style w:type="character" w:customStyle="1" w:styleId="73">
    <w:name w:val="普通(网站) Char"/>
    <w:qFormat/>
    <w:locked/>
    <w:uiPriority w:val="0"/>
    <w:rPr>
      <w:rFonts w:ascii="宋体" w:hAnsi="宋体" w:eastAsia="宋体"/>
      <w:sz w:val="24"/>
    </w:rPr>
  </w:style>
  <w:style w:type="paragraph" w:customStyle="1" w:styleId="74">
    <w:name w:val="_Style 65"/>
    <w:basedOn w:val="2"/>
    <w:next w:val="1"/>
    <w:unhideWhenUsed/>
    <w:qFormat/>
    <w:uiPriority w:val="39"/>
    <w:pPr>
      <w:keepLines/>
      <w:widowControl/>
      <w:overflowPunct/>
      <w:snapToGrid/>
      <w:spacing w:before="240" w:after="0"/>
      <w:ind w:left="0" w:firstLine="0"/>
      <w:jc w:val="left"/>
      <w:outlineLvl w:val="9"/>
    </w:pPr>
    <w:rPr>
      <w:rFonts w:ascii="等线 Light" w:hAnsi="等线 Light" w:eastAsia="等线 Light" w:cs="Times New Roman"/>
      <w:b w:val="0"/>
      <w:bCs w:val="0"/>
      <w:color w:val="2F5496"/>
      <w:kern w:val="0"/>
      <w:sz w:val="32"/>
      <w:szCs w:val="32"/>
    </w:rPr>
  </w:style>
  <w:style w:type="paragraph" w:customStyle="1" w:styleId="75">
    <w:name w:val="表格标题"/>
    <w:basedOn w:val="1"/>
    <w:next w:val="1"/>
    <w:link w:val="76"/>
    <w:qFormat/>
    <w:uiPriority w:val="0"/>
    <w:pPr>
      <w:jc w:val="center"/>
    </w:pPr>
    <w:rPr>
      <w:rFonts w:cs="黑体"/>
      <w:b/>
    </w:rPr>
  </w:style>
  <w:style w:type="character" w:customStyle="1" w:styleId="76">
    <w:name w:val="表格标题 Char"/>
    <w:link w:val="75"/>
    <w:qFormat/>
    <w:uiPriority w:val="0"/>
    <w:rPr>
      <w:rFonts w:cs="黑体"/>
      <w:b/>
      <w:kern w:val="2"/>
      <w:sz w:val="21"/>
      <w:szCs w:val="24"/>
    </w:rPr>
  </w:style>
  <w:style w:type="table" w:customStyle="1" w:styleId="77">
    <w:name w:val="Table Normal"/>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paragraph" w:customStyle="1" w:styleId="78">
    <w:name w:val="表"/>
    <w:basedOn w:val="1"/>
    <w:link w:val="79"/>
    <w:qFormat/>
    <w:uiPriority w:val="0"/>
    <w:pPr>
      <w:framePr w:hSpace="1048" w:vSpace="132" w:wrap="around" w:vAnchor="text" w:hAnchor="page" w:x="1250" w:y="132"/>
      <w:adjustRightInd w:val="0"/>
      <w:snapToGrid w:val="0"/>
      <w:jc w:val="center"/>
    </w:pPr>
    <w:rPr>
      <w:rFonts w:ascii="宋体" w:hAnsi="宋体" w:cs="宋体"/>
      <w:bCs/>
      <w:kern w:val="0"/>
      <w:szCs w:val="21"/>
    </w:rPr>
  </w:style>
  <w:style w:type="character" w:customStyle="1" w:styleId="79">
    <w:name w:val="表 字符"/>
    <w:link w:val="78"/>
    <w:qFormat/>
    <w:uiPriority w:val="0"/>
    <w:rPr>
      <w:rFonts w:ascii="宋体" w:hAnsi="宋体" w:cs="宋体"/>
      <w:bCs/>
      <w:sz w:val="21"/>
      <w:szCs w:val="21"/>
    </w:rPr>
  </w:style>
  <w:style w:type="table" w:customStyle="1" w:styleId="80">
    <w:name w:val="我的表格"/>
    <w:basedOn w:val="35"/>
    <w:qFormat/>
    <w:uiPriority w:val="99"/>
    <w:pPr>
      <w:adjustRightInd w:val="0"/>
      <w:snapToGrid w:val="0"/>
      <w:jc w:val="center"/>
    </w:pPr>
    <w:rPr>
      <w:rFonts w:ascii="Calibri" w:hAnsi="Calibri" w:eastAsia="宋体" w:cs="Times New Roman"/>
      <w:kern w:val="2"/>
      <w:sz w:val="21"/>
      <w:szCs w:val="22"/>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rFonts w:eastAsia="Cambria Math"/>
        <w:sz w:val="21"/>
      </w:rPr>
      <w:tcPr>
        <w:shd w:val="clear" w:color="auto" w:fill="D9D9D9"/>
      </w:tcPr>
    </w:tblStylePr>
  </w:style>
  <w:style w:type="paragraph" w:customStyle="1" w:styleId="81">
    <w:name w:val="列表段落1"/>
    <w:basedOn w:val="1"/>
    <w:qFormat/>
    <w:uiPriority w:val="34"/>
    <w:pPr>
      <w:ind w:firstLine="420" w:firstLineChars="200"/>
    </w:pPr>
    <w:rPr>
      <w:rFonts w:ascii="Calibri" w:hAnsi="Calibri"/>
    </w:rPr>
  </w:style>
  <w:style w:type="table" w:customStyle="1" w:styleId="82">
    <w:name w:val="网格型31"/>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3">
    <w:name w:val="Normal Indent1"/>
    <w:basedOn w:val="1"/>
    <w:qFormat/>
    <w:uiPriority w:val="0"/>
    <w:pPr>
      <w:ind w:firstLine="420" w:firstLineChars="200"/>
    </w:pPr>
  </w:style>
  <w:style w:type="paragraph" w:customStyle="1" w:styleId="84">
    <w:name w:val="报告表格"/>
    <w:basedOn w:val="1"/>
    <w:next w:val="1"/>
    <w:link w:val="85"/>
    <w:qFormat/>
    <w:uiPriority w:val="0"/>
    <w:pPr>
      <w:autoSpaceDE w:val="0"/>
      <w:autoSpaceDN w:val="0"/>
      <w:adjustRightInd w:val="0"/>
      <w:spacing w:before="20" w:after="20"/>
      <w:jc w:val="center"/>
      <w:textAlignment w:val="center"/>
    </w:pPr>
    <w:rPr>
      <w:kern w:val="0"/>
      <w:szCs w:val="20"/>
    </w:rPr>
  </w:style>
  <w:style w:type="character" w:customStyle="1" w:styleId="85">
    <w:name w:val="报告表格 Char"/>
    <w:link w:val="84"/>
    <w:qFormat/>
    <w:uiPriority w:val="0"/>
    <w:rPr>
      <w:sz w:val="21"/>
    </w:rPr>
  </w:style>
  <w:style w:type="paragraph" w:customStyle="1" w:styleId="86">
    <w:name w:val="表体"/>
    <w:basedOn w:val="1"/>
    <w:qFormat/>
    <w:uiPriority w:val="0"/>
    <w:pPr>
      <w:widowControl/>
      <w:tabs>
        <w:tab w:val="left" w:pos="540"/>
        <w:tab w:val="left" w:pos="851"/>
        <w:tab w:val="left" w:pos="994"/>
        <w:tab w:val="left" w:pos="1260"/>
        <w:tab w:val="left" w:pos="3108"/>
        <w:tab w:val="left" w:pos="3150"/>
      </w:tabs>
      <w:overflowPunct w:val="0"/>
      <w:spacing w:line="340" w:lineRule="exact"/>
      <w:jc w:val="center"/>
      <w:textAlignment w:val="baseline"/>
    </w:pPr>
    <w:rPr>
      <w:bCs/>
      <w:color w:val="000000"/>
      <w:szCs w:val="20"/>
      <w:lang w:val="zh-CN"/>
    </w:rPr>
  </w:style>
  <w:style w:type="paragraph" w:customStyle="1" w:styleId="87">
    <w:name w:val="表格文字"/>
    <w:basedOn w:val="66"/>
    <w:next w:val="1"/>
    <w:qFormat/>
    <w:uiPriority w:val="0"/>
    <w:pPr>
      <w:widowControl w:val="0"/>
      <w:autoSpaceDE w:val="0"/>
      <w:autoSpaceDN w:val="0"/>
      <w:adjustRightInd w:val="0"/>
      <w:snapToGrid w:val="0"/>
      <w:spacing w:before="40" w:after="40"/>
      <w:ind w:firstLine="0" w:firstLineChars="0"/>
      <w:jc w:val="center"/>
      <w:textAlignment w:val="baseline"/>
    </w:pPr>
    <w:rPr>
      <w:rFonts w:hAnsi="宋体"/>
      <w:kern w:val="24"/>
      <w:szCs w:val="20"/>
    </w:rPr>
  </w:style>
  <w:style w:type="paragraph" w:customStyle="1" w:styleId="88">
    <w:name w:val="p0"/>
    <w:basedOn w:val="1"/>
    <w:qFormat/>
    <w:uiPriority w:val="0"/>
    <w:pPr>
      <w:widowControl/>
      <w:jc w:val="left"/>
    </w:pPr>
    <w:rPr>
      <w:sz w:val="20"/>
    </w:rPr>
  </w:style>
  <w:style w:type="paragraph" w:customStyle="1" w:styleId="89">
    <w:name w:val="正文▲"/>
    <w:basedOn w:val="11"/>
    <w:qFormat/>
    <w:uiPriority w:val="0"/>
    <w:pPr>
      <w:spacing w:after="0" w:line="360" w:lineRule="auto"/>
      <w:ind w:firstLine="200" w:firstLineChars="200"/>
      <w:jc w:val="left"/>
    </w:pPr>
    <w:rPr>
      <w:rFonts w:eastAsia="宋体"/>
      <w:color w:val="000000"/>
      <w:kern w:val="2"/>
      <w:sz w:val="24"/>
      <w:szCs w:val="24"/>
    </w:rPr>
  </w:style>
  <w:style w:type="paragraph" w:customStyle="1" w:styleId="90">
    <w:name w:val="Table Text"/>
    <w:basedOn w:val="1"/>
    <w:semiHidden/>
    <w:qFormat/>
    <w:uiPriority w:val="0"/>
    <w:rPr>
      <w:rFonts w:ascii="宋体" w:hAnsi="宋体" w:eastAsia="宋体" w:cs="宋体"/>
      <w:sz w:val="28"/>
      <w:szCs w:val="28"/>
      <w:lang w:val="en-US" w:eastAsia="en-US" w:bidi="ar-SA"/>
    </w:rPr>
  </w:style>
  <w:style w:type="paragraph" w:customStyle="1" w:styleId="91">
    <w:name w:val="正文表格"/>
    <w:basedOn w:val="92"/>
    <w:qFormat/>
    <w:uiPriority w:val="0"/>
    <w:pPr>
      <w:jc w:val="center"/>
    </w:pPr>
    <w:rPr>
      <w:rFonts w:ascii="Times New Roman" w:hAnsi="Times New Roman"/>
      <w:szCs w:val="21"/>
    </w:rPr>
  </w:style>
  <w:style w:type="paragraph" w:customStyle="1" w:styleId="92">
    <w:name w:val="表格A"/>
    <w:basedOn w:val="1"/>
    <w:qFormat/>
    <w:uiPriority w:val="0"/>
    <w:pPr>
      <w:adjustRightInd w:val="0"/>
      <w:snapToGrid w:val="0"/>
      <w:spacing w:beforeLines="30" w:afterLines="30"/>
      <w:jc w:val="center"/>
    </w:pPr>
    <w:rPr>
      <w:szCs w:val="21"/>
    </w:rPr>
  </w:style>
  <w:style w:type="table" w:customStyle="1" w:styleId="93">
    <w:name w:val="样式1"/>
    <w:basedOn w:val="35"/>
    <w:qFormat/>
    <w:uiPriority w:val="99"/>
    <w:pPr>
      <w:jc w:val="center"/>
    </w:pPr>
    <w:rPr>
      <w:rFonts w:cs="Times New Roman"/>
      <w:szCs w:val="20"/>
    </w:rPr>
    <w:tblPr>
      <w:tblBorders>
        <w:top w:val="single" w:color="auto" w:sz="4" w:space="0"/>
        <w:bottom w:val="single" w:color="auto" w:sz="4" w:space="0"/>
        <w:insideH w:val="single" w:color="auto" w:sz="6" w:space="0"/>
        <w:insideV w:val="single" w:color="auto" w:sz="6" w:space="0"/>
      </w:tblBorders>
    </w:tblPr>
    <w:tcPr>
      <w:vAlign w:val="center"/>
    </w:tcPr>
  </w:style>
  <w:style w:type="paragraph" w:customStyle="1" w:styleId="94">
    <w:name w:val="无间隔1"/>
    <w:autoRedefine/>
    <w:qFormat/>
    <w:uiPriority w:val="0"/>
    <w:pPr>
      <w:widowControl w:val="0"/>
      <w:jc w:val="center"/>
    </w:pPr>
    <w:rPr>
      <w:rFonts w:ascii="Times New Roman" w:hAnsi="Times New Roman" w:eastAsia="宋体" w:cs="黑体"/>
      <w:kern w:val="2"/>
      <w:sz w:val="21"/>
      <w:szCs w:val="22"/>
      <w:lang w:val="en-US" w:eastAsia="zh-CN" w:bidi="ar-SA"/>
    </w:rPr>
  </w:style>
  <w:style w:type="paragraph" w:customStyle="1" w:styleId="95">
    <w:name w:val="正文1"/>
    <w:autoRedefine/>
    <w:qFormat/>
    <w:uiPriority w:val="0"/>
    <w:pPr>
      <w:widowControl w:val="0"/>
      <w:adjustRightInd w:val="0"/>
      <w:spacing w:line="315" w:lineRule="atLeast"/>
      <w:jc w:val="both"/>
      <w:textAlignment w:val="baseline"/>
    </w:pPr>
    <w:rPr>
      <w:rFonts w:ascii="宋体" w:hAnsi="Times New Roman" w:eastAsia="宋体" w:cs="Times New Roman"/>
      <w:kern w:val="0"/>
      <w:sz w:val="24"/>
      <w:szCs w:val="20"/>
      <w:lang w:val="en-US" w:eastAsia="zh-CN" w:bidi="ar-SA"/>
    </w:rPr>
  </w:style>
  <w:style w:type="paragraph" w:customStyle="1" w:styleId="96">
    <w:name w:val="表格内容"/>
    <w:basedOn w:val="75"/>
    <w:next w:val="1"/>
    <w:autoRedefine/>
    <w:qFormat/>
    <w:uiPriority w:val="0"/>
    <w:pPr>
      <w:spacing w:line="240" w:lineRule="auto"/>
    </w:pPr>
    <w:rPr>
      <w:b w:val="0"/>
    </w:rPr>
  </w:style>
  <w:style w:type="character" w:customStyle="1" w:styleId="97">
    <w:name w:val="ca-01"/>
    <w:autoRedefine/>
    <w:qFormat/>
    <w:uiPriority w:val="0"/>
    <w:rPr>
      <w:rFonts w:hint="eastAsia" w:ascii="宋体" w:hAnsi="宋体" w:eastAsia="宋体"/>
      <w:sz w:val="24"/>
      <w:szCs w:val="24"/>
    </w:rPr>
  </w:style>
  <w:style w:type="paragraph" w:customStyle="1" w:styleId="98">
    <w:name w:val="正文LTT"/>
    <w:basedOn w:val="1"/>
    <w:autoRedefine/>
    <w:qFormat/>
    <w:uiPriority w:val="0"/>
    <w:pPr>
      <w:spacing w:line="360" w:lineRule="auto"/>
      <w:ind w:firstLine="440" w:firstLineChars="200"/>
    </w:pPr>
    <w:rPr>
      <w:sz w:val="24"/>
    </w:rPr>
  </w:style>
  <w:style w:type="paragraph" w:customStyle="1" w:styleId="99">
    <w:name w:val="0正文"/>
    <w:basedOn w:val="1"/>
    <w:autoRedefine/>
    <w:semiHidden/>
    <w:qFormat/>
    <w:uiPriority w:val="0"/>
    <w:pPr>
      <w:spacing w:line="360" w:lineRule="auto"/>
      <w:ind w:firstLine="720" w:firstLineChars="200"/>
      <w:jc w:val="left"/>
    </w:pPr>
    <w:rPr>
      <w:kern w:val="0"/>
      <w:sz w:val="24"/>
    </w:rPr>
  </w:style>
  <w:style w:type="paragraph" w:customStyle="1" w:styleId="100">
    <w:name w:val="样式 正文缩进正文缩进2正文缩进 Char Char正文缩进 Char Char Char Char正文缩进 Char ..."/>
    <w:basedOn w:val="7"/>
    <w:autoRedefine/>
    <w:qFormat/>
    <w:uiPriority w:val="0"/>
    <w:pPr>
      <w:spacing w:line="360" w:lineRule="auto"/>
      <w:ind w:firstLine="200"/>
    </w:pPr>
    <w:rPr>
      <w:rFonts w:cs="宋体"/>
    </w:rPr>
  </w:style>
  <w:style w:type="paragraph" w:customStyle="1" w:styleId="101">
    <w:name w:val="123456"/>
    <w:basedOn w:val="1"/>
    <w:autoRedefine/>
    <w:qFormat/>
    <w:uiPriority w:val="0"/>
  </w:style>
  <w:style w:type="paragraph" w:customStyle="1" w:styleId="102">
    <w:name w:val="7表格文字"/>
    <w:basedOn w:val="1"/>
    <w:next w:val="1"/>
    <w:qFormat/>
    <w:uiPriority w:val="0"/>
    <w:pPr>
      <w:adjustRightInd w:val="0"/>
      <w:snapToGrid w:val="0"/>
      <w:spacing w:before="10" w:beforeLines="10" w:after="10" w:afterLines="10" w:line="259" w:lineRule="auto"/>
      <w:ind w:firstLine="0" w:firstLineChars="0"/>
      <w:jc w:val="center"/>
    </w:pPr>
    <w:rPr>
      <w:kern w:val="0"/>
      <w:sz w:val="21"/>
      <w:szCs w:val="20"/>
    </w:rPr>
  </w:style>
  <w:style w:type="paragraph" w:customStyle="1" w:styleId="103">
    <w:name w:val="表中表"/>
    <w:basedOn w:val="1"/>
    <w:qFormat/>
    <w:uiPriority w:val="0"/>
    <w:pPr>
      <w:wordWrap w:val="0"/>
      <w:adjustRightInd w:val="0"/>
      <w:snapToGrid w:val="0"/>
      <w:spacing w:line="240" w:lineRule="auto"/>
      <w:ind w:firstLine="0" w:firstLineChars="0"/>
      <w:jc w:val="center"/>
    </w:pPr>
    <w:rPr>
      <w:rFonts w:hint="eastAsia"/>
      <w:kern w:val="0"/>
      <w:sz w:val="21"/>
      <w:szCs w:val="21"/>
    </w:rPr>
  </w:style>
  <w:style w:type="paragraph" w:customStyle="1" w:styleId="104">
    <w:name w:val="报告正文"/>
    <w:basedOn w:val="1"/>
    <w:qFormat/>
    <w:uiPriority w:val="0"/>
    <w:pPr>
      <w:adjustRightInd w:val="0"/>
      <w:snapToGrid w:val="0"/>
      <w:spacing w:beforeLines="50" w:afterLines="50"/>
    </w:pPr>
    <w:rPr>
      <w:color w:val="auto"/>
      <w:spacing w:val="4"/>
      <w:sz w:val="24"/>
      <w:szCs w:val="22"/>
    </w:rPr>
  </w:style>
  <w:style w:type="paragraph" w:customStyle="1" w:styleId="105">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06">
    <w:name w:val="111正文"/>
    <w:basedOn w:val="1"/>
    <w:semiHidden/>
    <w:qFormat/>
    <w:uiPriority w:val="0"/>
    <w:rPr>
      <w:rFonts w:ascii="Times New Roman" w:hAnsi="Times New Roman" w:eastAsia="宋体" w:cs="Times New Roman"/>
      <w:szCs w:val="24"/>
    </w:rPr>
  </w:style>
  <w:style w:type="paragraph" w:customStyle="1" w:styleId="107">
    <w:name w:val="GT正文"/>
    <w:basedOn w:val="1"/>
    <w:qFormat/>
    <w:uiPriority w:val="0"/>
    <w:pPr>
      <w:topLinePunct/>
      <w:adjustRightInd w:val="0"/>
      <w:snapToGrid w:val="0"/>
      <w:spacing w:line="360" w:lineRule="auto"/>
      <w:ind w:firstLine="480" w:firstLineChars="200"/>
    </w:pPr>
    <w:rPr>
      <w:rFonts w:ascii="Times New Roman" w:hAnsi="Times New Roman" w:eastAsia="宋体" w:cs="Times New Roman"/>
      <w:sz w:val="24"/>
    </w:rPr>
  </w:style>
  <w:style w:type="paragraph" w:customStyle="1" w:styleId="108">
    <w:name w:val="GT表格格式"/>
    <w:basedOn w:val="1"/>
    <w:qFormat/>
    <w:uiPriority w:val="0"/>
    <w:pPr>
      <w:topLinePunct/>
      <w:adjustRightInd w:val="0"/>
      <w:snapToGrid w:val="0"/>
      <w:jc w:val="center"/>
    </w:pPr>
    <w:rPr>
      <w:rFonts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wmf"/><Relationship Id="rId23" Type="http://schemas.openxmlformats.org/officeDocument/2006/relationships/image" Target="media/image10.jpeg"/><Relationship Id="rId22" Type="http://schemas.openxmlformats.org/officeDocument/2006/relationships/image" Target="media/image9.wmf"/><Relationship Id="rId21" Type="http://schemas.openxmlformats.org/officeDocument/2006/relationships/image" Target="media/image8.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3f61d9f4-e6a6-40e9-baab-d3764e9729d2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5C496061</paraID>
      <start>83</start>
      <end>84</end>
      <status>ignored</status>
      <modifiedWord/>
      <trackRevisions>false</trackRevisions>
    </reviewItem>
    <reviewItem>
      <errorID>9151dffe-e1af-4e85-a74e-53dbe10b6bfe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5C496061</paraID>
      <start>154</start>
      <end>155</end>
      <status>ignored</status>
      <modifiedWord/>
      <trackRevisions>false</trackRevisions>
    </reviewItem>
    <reviewItem>
      <errorID>edb7c35d-c348-480d-8daa-39f8e7efe2f8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24DFFE9C</paraID>
      <start>24</start>
      <end>25</end>
      <status>ignored</status>
      <modifiedWord/>
      <trackRevisions>false</trackRevisions>
    </reviewItem>
    <reviewItem>
      <errorID>8c7fc609-998f-4ca2-aafb-1031e0c6465f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2DD616F5</paraID>
      <start>21</start>
      <end>22</end>
      <status>ignored</status>
      <modifiedWord/>
      <trackRevisions>false</trackRevisions>
    </reviewItem>
    <reviewItem>
      <errorID>c0d27711-d161-4b81-b347-37f4429f3ca5</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4D1C8065</paraID>
      <start>160</start>
      <end>163</end>
      <status>ignored</status>
      <modifiedWord/>
      <trackRevisions>false</trackRevisions>
    </reviewItem>
    <reviewItem>
      <errorID>b0cc4361-1b42-4e71-9dbd-69b3f1ab285b</errorID>
      <errorWord>，</errorWord>
      <group>L1_Word</group>
      <groupName>字词问题</groupName>
      <ability>L2_Typo</ability>
      <abilityName>字词错误</abilityName>
      <candidateList>
        <item>，在</item>
      </candidateList>
      <explain/>
      <paraID>3DAB4C97</paraID>
      <start>97</start>
      <end>98</end>
      <status>ignored</status>
      <modifiedWord/>
      <trackRevisions>false</trackRevisions>
    </reviewItem>
    <reviewItem>
      <errorID>122ef957-6e7f-4c73-9505-4d69f773d2cf</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57FBF4F5</paraID>
      <start>88</start>
      <end>91</end>
      <status>ignored</status>
      <modifiedWord/>
      <trackRevisions>false</trackRevisions>
    </reviewItem>
    <reviewItem>
      <errorID>5d0b340a-9d26-479a-8ce3-69ebdbf26a78</errorID>
      <errorWord>污染治理攻坚战</errorWord>
      <group>L1_Political</group>
      <groupName>政治性问题</groupName>
      <ability>L2_Keyword</ability>
      <abilityName>固定表述</abilityName>
      <candidateList>
        <item>污染防治攻坚战</item>
      </candidateList>
      <explain>词汇“污染防治攻坚战”在特定场景下为固定表述形式，请确认此处的“污染治理攻坚战”是否存在不当。</explain>
      <paraID>16DF2772</paraID>
      <start>15</start>
      <end>22</end>
      <status>ignored</status>
      <modifiedWord/>
      <trackRevisions>false</trackRevisions>
    </reviewItem>
    <reviewItem>
      <errorID>bb955e37-0d99-44c2-aba4-bb5432668770</errorID>
      <errorWord>主要生态特征以湖盆和丘状高原地貌为主</errorWord>
      <group>L1_Grammar</group>
      <groupName>语法问题</groupName>
      <ability>L2_Grammar</ability>
      <abilityName>语法错误</abilityName>
      <candidateList>
        <item>生态特征以湖盆和丘状高原地貌为主</item>
      </candidateList>
      <explain/>
      <paraID>4824A9FE</paraID>
      <start>69</start>
      <end>87</end>
      <status>ignored</status>
      <modifiedWord/>
      <trackRevisions>false</trackRevisions>
    </reviewItem>
    <reviewItem>
      <errorID>b502e557-bdb6-4292-aa16-24cc136a5b8b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2F5708C4</paraID>
      <start>87</start>
      <end>88</end>
      <status>ignored</status>
      <modifiedWord/>
      <trackRevisions>false</trackRevisions>
    </reviewItem>
    <reviewItem>
      <errorID>d7db7ce6-eb63-4a89-95af-ef6625f468c0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2F5708C4</paraID>
      <start>129</start>
      <end>130</end>
      <status>ignored</status>
      <modifiedWord/>
      <trackRevisions>false</trackRevisions>
    </reviewItem>
    <reviewItem>
      <errorID>1fb702d3-4931-4f0a-b180-3cc547354718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3F7B2399</paraID>
      <start>41</start>
      <end>42</end>
      <status>ignored</status>
      <modifiedWord/>
      <trackRevisions>false</trackRevisions>
    </reviewItem>
    <reviewItem>
      <errorID>86cf1a95-16a3-4ce0-a339-03d679ef907c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3F7B2399</paraID>
      <start>80</start>
      <end>81</end>
      <status>ignored</status>
      <modifiedWord/>
      <trackRevisions>false</trackRevisions>
    </reviewItem>
    <reviewItem>
      <errorID>17f79370-42d6-48b2-b84c-bc5682fb7d80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395D311F</paraID>
      <start>102</start>
      <end>103</end>
      <status>ignored</status>
      <modifiedWord/>
      <trackRevisions>false</trackRevisions>
    </reviewItem>
    <reviewItem>
      <errorID>3b7ac8a7-f0b4-4d92-bd92-1420badc8736</errorID>
      <errorWord>～</errorWord>
      <group>L1_Format</group>
      <groupName>格式问题</groupName>
      <ability>L2_HalfPunc_CN</ability>
      <abilityName/>
      <candidateList>
        <item>~</item>
      </candidateList>
      <explain>文本全半角错误。</explain>
      <paraID> 9FE1067</paraID>
      <start>1</start>
      <end>2</end>
      <status>ignored</status>
      <modifiedWord/>
      <trackRevisions>false</trackRevisions>
    </reviewItem>
    <reviewItem>
      <errorID>4028197f-74b6-47d1-b1fa-3948ad078cf5</errorID>
      <errorWord>8~20%</errorWord>
      <group>L1_Knowledge</group>
      <groupName>知识性问题</groupName>
      <ability>L2_Knowledge</ability>
      <abilityName>其他知识</abilityName>
      <candidateList>
        <item>8%～20%</item>
      </candidateList>
      <explain>1. “8~20%”中的单位“%”仅出现在后一个数字上，容易引起歧义；根据《现代汉语标点符号数字用法规范手册》，数字表示范围两边需要使用统一的格式。2. 根据标点国标 4.13 中的规则，数字、时间或地域连接符应使用（视觉上更长的）“—”或“～”。</explain>
      <paraID>4C2B227F</paraID>
      <start>42</start>
      <end>48</end>
      <status>modified</status>
      <modifiedWord>8%～20%</modifiedWord>
      <trackRevisions>false</trackRevisions>
    </reviewItem>
    <reviewItem>
      <errorID>2fcc1c1a-4491-453e-a562-a92809fdf6b5</errorID>
      <errorWord>～</errorWord>
      <group>L1_Format</group>
      <groupName>格式问题</groupName>
      <ability>L2_HalfPunc_CN</ability>
      <abilityName/>
      <candidateList>
        <item>~</item>
      </candidateList>
      <explain>文本全半角错误。</explain>
      <paraID>71DE6D3C</paraID>
      <start>3</start>
      <end>4</end>
      <status>ignored</status>
      <modifiedWord/>
      <trackRevisions>false</trackRevisions>
    </reviewItem>
    <reviewItem>
      <errorID>b1b3d00f-9b71-4d9d-bb68-1df1aa9d5c17</errorID>
      <errorWord>（</errorWord>
      <group>L1_Format</group>
      <groupName>格式问题</groupName>
      <ability>L2_HalfPunc_CN</ability>
      <abilityName/>
      <candidateList>
        <item>(</item>
      </candidateList>
      <explain>文本全半角错误。</explain>
      <paraID>72961117</paraID>
      <start>12</start>
      <end>13</end>
      <status>ignored</status>
      <modifiedWord/>
      <trackRevisions>false</trackRevisions>
    </reviewItem>
    <reviewItem>
      <errorID>6715795f-d233-43ef-bdd4-4ab5fae739c6</errorID>
      <errorWord>）</errorWord>
      <group>L1_Format</group>
      <groupName>格式问题</groupName>
      <ability>L2_HalfPunc_CN</ability>
      <abilityName/>
      <candidateList>
        <item>)</item>
      </candidateList>
      <explain>文本全半角错误。</explain>
      <paraID>72961117</paraID>
      <start>23</start>
      <end>24</end>
      <status>ignored</status>
      <modifiedWord/>
      <trackRevisions>false</trackRevisions>
    </reviewItem>
    <reviewItem>
      <errorID>1a8eb73b-9157-424a-98fe-d1324d7cab1c</errorID>
      <errorWord>（</errorWord>
      <group>L1_Format</group>
      <groupName>格式问题</groupName>
      <ability>L2_HalfPunc_CN</ability>
      <abilityName/>
      <candidateList>
        <item>(</item>
      </candidateList>
      <explain>文本全半角错误。</explain>
      <paraID>72961117</paraID>
      <start>26</start>
      <end>27</end>
      <status>ignored</status>
      <modifiedWord/>
      <trackRevisions>false</trackRevisions>
    </reviewItem>
    <reviewItem>
      <errorID>3296eb09-42e7-4e07-9d84-7faf4eef3399</errorID>
      <errorWord>）</errorWord>
      <group>L1_Format</group>
      <groupName>格式问题</groupName>
      <ability>L2_HalfPunc_CN</ability>
      <abilityName/>
      <candidateList>
        <item>)</item>
      </candidateList>
      <explain>文本全半角错误。</explain>
      <paraID>72961117</paraID>
      <start>35</start>
      <end>36</end>
      <status>ignored</status>
      <modifiedWord/>
      <trackRevisions>false</trackRevisions>
    </reviewItem>
    <reviewItem>
      <errorID>3291e304-e2c9-4f3a-8f44-02209e733b48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7860E5A7</paraID>
      <start>97</start>
      <end>98</end>
      <status>ignored</status>
      <modifiedWord/>
      <trackRevisions>false</trackRevisions>
    </reviewItem>
    <reviewItem>
      <errorID>2ec20efa-645d-47b7-bb0c-4085261ea550</errorID>
      <errorWord>8~20%</errorWord>
      <group>L1_Knowledge</group>
      <groupName>知识性问题</groupName>
      <ability>L2_Knowledge</ability>
      <abilityName>其他知识</abilityName>
      <candidateList>
        <item>8%～20%</item>
      </candidateList>
      <explain>1. “8~20%”中的单位“%”仅出现在后一个数字上，容易引起歧义；根据《现代汉语标点符号数字用法规范手册》，数字表示范围两边需要使用统一的格式。2. 根据标点国标 4.13 中的规则，数字、时间或地域连接符应使用（视觉上更长的）“—”或“～”。</explain>
      <paraID>168E59D1</paraID>
      <start>49</start>
      <end>55</end>
      <status>modified</status>
      <modifiedWord>8%～20%</modifiedWord>
      <trackRevisions>false</trackRevisions>
    </reviewItem>
    <reviewItem>
      <errorID>997d3826-4794-4701-b891-cc51108ceb64</errorID>
      <errorWord>（</errorWord>
      <group>L1_Format</group>
      <groupName>格式问题</groupName>
      <ability>L2_HalfPunc_CN</ability>
      <abilityName/>
      <candidateList>
        <item>(</item>
      </candidateList>
      <explain>文本全半角错误。</explain>
      <paraID>79E1D7C6</paraID>
      <start>5</start>
      <end>6</end>
      <status>ignored</status>
      <modifiedWord/>
      <trackRevisions>false</trackRevisions>
    </reviewItem>
    <reviewItem>
      <errorID>67b35b7c-bfb7-48b9-aeeb-9273ecaa0c50</errorID>
      <errorWord>）</errorWord>
      <group>L1_Format</group>
      <groupName>格式问题</groupName>
      <ability>L2_HalfPunc_CN</ability>
      <abilityName/>
      <candidateList>
        <item>)</item>
      </candidateList>
      <explain>文本全半角错误。</explain>
      <paraID>79E1D7C6</paraID>
      <start>7</start>
      <end>8</end>
      <status>ignored</status>
      <modifiedWord/>
      <trackRevisions>false</trackRevisions>
    </reviewItem>
    <reviewItem>
      <errorID>3da8ddd7-3131-41f6-b772-5588519cd47b</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4D4E8164</paraID>
      <start>204</start>
      <end>207</end>
      <status>ignored</status>
      <modifiedWord/>
      <trackRevisions>false</trackRevisions>
    </reviewItem>
    <reviewItem>
      <errorID>b6b7d03b-20ba-486f-9695-ea76043cf911</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4D4E8164</paraID>
      <start>208</start>
      <end>211</end>
      <status>ignored</status>
      <modifiedWord/>
      <trackRevisions>false</trackRevisions>
    </reviewItem>
    <reviewItem>
      <errorID>04c35bfe-a619-4920-ac96-60f7c03fb2c7</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4D4E8164</paraID>
      <start>212</start>
      <end>215</end>
      <status>ignored</status>
      <modifiedWord/>
      <trackRevisions>false</trackRevisions>
    </reviewItem>
    <reviewItem>
      <errorID>82d575bf-725b-4ea6-934a-4c622db8a6c0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779E8915</paraID>
      <start>61</start>
      <end>62</end>
      <status>ignored</status>
      <modifiedWord/>
      <trackRevisions>false</trackRevisions>
    </reviewItem>
    <reviewItem>
      <errorID>1efc9eb2-380c-4a82-bedc-05af317ec7d2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17C66AC8</paraID>
      <start>67</start>
      <end>68</end>
      <status>ignored</status>
      <modifiedWord/>
      <trackRevisions>false</trackRevisions>
    </reviewItem>
    <reviewItem>
      <errorID>e61fcae1-7d2e-4f04-9470-4f53b39b5869</errorID>
      <errorWord>&lt;</errorWord>
      <group>L1_Format</group>
      <groupName>格式问题</groupName>
      <ability>L2_HalfPunc_CN</ability>
      <abilityName/>
      <candidateList>
        <item>〈</item>
      </candidateList>
      <explain>文本全半角错误。</explain>
      <paraID>7E287802</paraID>
      <start>7</start>
      <end>8</end>
      <status>ignored</status>
      <modifiedWord/>
      <trackRevisions>false</trackRevisions>
    </reviewItem>
    <reviewItem>
      <errorID>71e19f70-b62f-4eff-9398-d2d6a0954549</errorID>
      <errorWord>&gt;</errorWord>
      <group>L1_Format</group>
      <groupName>格式问题</groupName>
      <ability>L2_HalfPunc_CN</ability>
      <abilityName/>
      <candidateList>
        <item>〉</item>
      </candidateList>
      <explain>文本全半角错误。</explain>
      <paraID>7E287802</paraID>
      <start>19</start>
      <end>20</end>
      <status>ignored</status>
      <modifiedWord/>
      <trackRevisions>false</trackRevisions>
    </reviewItem>
    <reviewItem>
      <errorID>3d7fb6a0-406a-48aa-9070-afd3213b1f62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7E287802</paraID>
      <start>221</start>
      <end>222</end>
      <status>ignored</status>
      <modifiedWord/>
      <trackRevisions>false</trackRevisions>
    </reviewItem>
    <reviewItem>
      <errorID>bfcdf1d7-6133-4771-80c6-6a3e55013282</errorID>
      <errorWord>厂</errorWord>
      <group>L1_Word</group>
      <groupName>字词问题</groupName>
      <ability>L2_Typo</ability>
      <abilityName>字词错误</abilityName>
      <candidateList>
        <item>场</item>
      </candidateList>
      <explain/>
      <paraID>3AF03709</paraID>
      <start>2</start>
      <end>3</end>
      <status>ignored</status>
      <modifiedWord/>
      <trackRevisions>false</trackRevisions>
    </reviewItem>
    <reviewItem>
      <errorID>fa69dcb5-d496-4ee0-b20d-188dcfcecec4</errorID>
      <errorWord>，＜</errorWord>
      <group>L1_Format</group>
      <groupName>格式问题</groupName>
      <ability>L2_HalfPunc_CN</ability>
      <abilityName/>
      <candidateList>
        <item>,&lt;</item>
      </candidateList>
      <explain>文本全半角错误。</explain>
      <paraID>2B93DB22</paraID>
      <start>2</start>
      <end>4</end>
      <status>ignored</status>
      <modifiedWord/>
      <trackRevisions>false</trackRevisions>
    </reviewItem>
    <reviewItem>
      <errorID>aa383810-9b72-4e27-9218-1655724d5456</errorID>
      <errorWord>（</errorWord>
      <group>L1_Format</group>
      <groupName>格式问题</groupName>
      <ability>L2_HalfPunc_CN</ability>
      <abilityName/>
      <candidateList>
        <item>(</item>
      </candidateList>
      <explain>文本全半角错误。</explain>
      <paraID>7F4D26E8</paraID>
      <start>4</start>
      <end>5</end>
      <status>ignored</status>
      <modifiedWord/>
      <trackRevisions>false</trackRevisions>
    </reviewItem>
    <reviewItem>
      <errorID>e56b2721-245f-4a08-a8a6-a599e86c4717</errorID>
      <errorWord>）</errorWord>
      <group>L1_Format</group>
      <groupName>格式问题</groupName>
      <ability>L2_HalfPunc_CN</ability>
      <abilityName/>
      <candidateList>
        <item>)</item>
      </candidateList>
      <explain>文本全半角错误。</explain>
      <paraID>7F4D26E8</paraID>
      <start>9</start>
      <end>10</end>
      <status>ignored</status>
      <modifiedWord/>
      <trackRevisions>false</trackRevisions>
    </reviewItem>
    <reviewItem>
      <errorID>122ea776-f0e5-44c8-8642-3fc93e6457ba</errorID>
      <errorWord>~</errorWord>
      <group>L1_Format</group>
      <groupName>格式问题</groupName>
      <ability>L2_HalfPunc_CN</ability>
      <abilityName/>
      <candidateList>
        <item>～</item>
      </candidateList>
      <explain>文本全半角错误。</explain>
      <paraID>6AA5BA2B</paraID>
      <start>52</start>
      <end>53</end>
      <status>ignored</status>
      <modifiedWord/>
      <trackRevisions>false</trackRevisions>
    </reviewItem>
    <reviewItem>
      <errorID>4dfd3fbf-8778-4a48-8e79-1d36195c8577</errorID>
      <errorWord>：</errorWord>
      <group>L1_Punc</group>
      <groupName>标点问题</groupName>
      <ability>L2_Punc_CN</ability>
      <abilityName/>
      <candidateList/>
      <explain/>
      <paraID>5C8AB3F5</paraID>
      <start>2</start>
      <end>3</end>
      <status>ignored</status>
      <modifiedWord/>
      <trackRevisions>false</trackRevisions>
    </reviewItem>
    <reviewItem>
      <errorID>cccd1420-4d3b-4fc6-b6d6-26fe9059cbfe</errorID>
      <errorWord>：</errorWord>
      <group>L1_Punc</group>
      <groupName>标点问题</groupName>
      <ability>L2_Punc_CN</ability>
      <abilityName/>
      <candidateList/>
      <explain/>
      <paraID>2335A85C</paraID>
      <start>9</start>
      <end>10</end>
      <status>ignored</status>
      <modifiedWord/>
      <trackRevisions>false</trackRevisions>
    </reviewItem>
    <reviewItem>
      <errorID>cc7087a6-a328-460f-bc20-2945dc514fdd</errorID>
      <errorWord>：</errorWord>
      <group>L1_Punc</group>
      <groupName>标点问题</groupName>
      <ability>L2_Punc_CN</ability>
      <abilityName/>
      <candidateList/>
      <explain/>
      <paraID>4DCC5949</paraID>
      <start>9</start>
      <end>10</end>
      <status>ignored</status>
      <modifiedWord/>
      <trackRevisions>false</trackRevisions>
    </reviewItem>
    <reviewItem>
      <errorID>85d1ea6b-46e9-48fd-bf7f-b7a32c712d50</errorID>
      <errorWord>：</errorWord>
      <group>L1_Punc</group>
      <groupName>标点问题</groupName>
      <ability>L2_Punc_CN</ability>
      <abilityName/>
      <candidateList/>
      <explain/>
      <paraID>435C5D1A</paraID>
      <start>7</start>
      <end>8</end>
      <status>ignored</status>
      <modifiedWord/>
      <trackRevisions>false</trackRevisions>
    </reviewItem>
    <reviewItem>
      <errorID>a08457a3-14fd-4cb3-9344-79143ae3ae48</errorID>
      <errorWord>：</errorWord>
      <group>L1_Punc</group>
      <groupName>标点问题</groupName>
      <ability>L2_Punc_CN</ability>
      <abilityName/>
      <candidateList/>
      <explain/>
      <paraID>65AD7A5B</paraID>
      <start>2</start>
      <end>3</end>
      <status>ignored</status>
      <modifiedWord/>
      <trackRevisions>false</trackRevisions>
    </reviewItem>
    <reviewItem>
      <errorID>76c48580-0ec4-4500-8d45-938f932640d9</errorID>
      <errorWord>：</errorWord>
      <group>L1_Punc</group>
      <groupName>标点问题</groupName>
      <ability>L2_Punc_CN</ability>
      <abilityName/>
      <candidateList/>
      <explain/>
      <paraID>2E644592</paraID>
      <start>7</start>
      <end>8</end>
      <status>ignored</status>
      <modifiedWord/>
      <trackRevisions>false</trackRevisions>
    </reviewItem>
    <reviewItem>
      <errorID>bea3d62c-f123-40b5-81ae-e874e6374d47</errorID>
      <errorWord>:</errorWord>
      <group>L1_Punc</group>
      <groupName>标点问题</groupName>
      <ability>L2_Punc_CN</ability>
      <abilityName/>
      <candidateList/>
      <explain/>
      <paraID>601D8F56</paraID>
      <start>2</start>
      <end>3</end>
      <status>ignored</status>
      <modifiedWord/>
      <trackRevisions>false</trackRevisions>
    </reviewItem>
    <reviewItem>
      <errorID>0ea950f8-95a3-4c3c-8d6e-e7cc4bdac241</errorID>
      <errorWord>：</errorWord>
      <group>L1_Punc</group>
      <groupName>标点问题</groupName>
      <ability>L2_Punc_CN</ability>
      <abilityName/>
      <candidateList/>
      <explain/>
      <paraID>57DE9A1F</paraID>
      <start>2</start>
      <end>3</end>
      <status>ignored</status>
      <modifiedWord/>
      <trackRevisions>false</trackRevisions>
    </reviewItem>
    <reviewItem>
      <errorID>7d013e0a-0e8d-4843-aa57-ab7f531a16a7</errorID>
      <errorWord>：</errorWord>
      <group>L1_Punc</group>
      <groupName>标点问题</groupName>
      <ability>L2_Punc_CN</ability>
      <abilityName/>
      <candidateList/>
      <explain/>
      <paraID>79ED3C97</paraID>
      <start>7</start>
      <end>8</end>
      <status>ignored</status>
      <modifiedWord/>
      <trackRevisions>false</trackRevisions>
    </reviewItem>
    <reviewItem>
      <errorID>9fe1c02c-0572-48c6-9892-b21f96792414</errorID>
      <errorWord>：</errorWord>
      <group>L1_Punc</group>
      <groupName>标点问题</groupName>
      <ability>L2_Punc_CN</ability>
      <abilityName/>
      <candidateList/>
      <explain/>
      <paraID>150A19C4</paraID>
      <start>7</start>
      <end>8</end>
      <status>ignored</status>
      <modifiedWord/>
      <trackRevisions>false</trackRevisions>
    </reviewItem>
    <reviewItem>
      <errorID>bd9c9dc4-de1b-4c2b-bb68-6bccde6e32bd</errorID>
      <errorWord>（</errorWord>
      <group>L1_Format</group>
      <groupName>格式问题</groupName>
      <ability>L2_HalfPunc_CN</ability>
      <abilityName/>
      <candidateList>
        <item>(</item>
      </candidateList>
      <explain>文本全半角错误。</explain>
      <paraID>2EF60B14</paraID>
      <start>0</start>
      <end>1</end>
      <status>ignored</status>
      <modifiedWord/>
      <trackRevisions>false</trackRevisions>
    </reviewItem>
    <reviewItem>
      <errorID>1a78bedd-eea8-4cd8-affe-d457d17b618b</errorID>
      <errorWord>）</errorWord>
      <group>L1_Format</group>
      <groupName>格式问题</groupName>
      <ability>L2_HalfPunc_CN</ability>
      <abilityName/>
      <candidateList>
        <item>)</item>
      </candidateList>
      <explain>文本全半角错误。</explain>
      <paraID>2EF60B14</paraID>
      <start>6</start>
      <end>7</end>
      <status>ignored</status>
      <modifiedWord/>
      <trackRevisions>false</trackRevisions>
    </reviewItem>
    <reviewItem>
      <errorID>6f13bfb5-b9ec-479d-a3b4-2af3f0543eae</errorID>
      <errorWord>（</errorWord>
      <group>L1_Format</group>
      <groupName>格式问题</groupName>
      <ability>L2_HalfPunc_CN</ability>
      <abilityName/>
      <candidateList>
        <item>(</item>
      </candidateList>
      <explain>文本全半角错误。</explain>
      <paraID>166DB4FA</paraID>
      <start>0</start>
      <end>1</end>
      <status>ignored</status>
      <modifiedWord/>
      <trackRevisions>false</trackRevisions>
    </reviewItem>
    <reviewItem>
      <errorID>f0464249-8e77-437b-8870-1df5b2ab30b6</errorID>
      <errorWord>）</errorWord>
      <group>L1_Format</group>
      <groupName>格式问题</groupName>
      <ability>L2_HalfPunc_CN</ability>
      <abilityName/>
      <candidateList>
        <item>)</item>
      </candidateList>
      <explain>文本全半角错误。</explain>
      <paraID>166DB4FA</paraID>
      <start>5</start>
      <end>6</end>
      <status>ignored</status>
      <modifiedWord/>
      <trackRevisions>false</trackRevisions>
    </reviewItem>
    <reviewItem>
      <errorID>90714543-67dc-4c7f-977b-fb5b22a15c0a</errorID>
      <errorWord>～</errorWord>
      <group>L1_Format</group>
      <groupName>格式问题</groupName>
      <ability>L2_HalfPunc_CN</ability>
      <abilityName/>
      <candidateList>
        <item>~</item>
      </candidateList>
      <explain>文本全半角错误。</explain>
      <paraID>47206D18</paraID>
      <start>1</start>
      <end>2</end>
      <status>ignored</status>
      <modifiedWord/>
      <trackRevisions>false</trackRevisions>
    </reviewItem>
    <reviewItem>
      <errorID>eb146307-b7b1-4a9d-a43f-907fbed217d4</errorID>
      <errorWord>：</errorWord>
      <group>L1_Format</group>
      <groupName>格式问题</groupName>
      <ability>L2_HalfPunc_CN</ability>
      <abilityName/>
      <candidateList>
        <item>:</item>
      </candidateList>
      <explain>文本全半角错误。</explain>
      <paraID>34DB791F</paraID>
      <start>139</start>
      <end>140</end>
      <status>ignored</status>
      <modifiedWord/>
      <trackRevisions>false</trackRevisions>
    </reviewItem>
    <reviewItem>
      <errorID>19d6af53-75a3-4317-9255-5f576b190673</errorID>
      <errorWord>、</errorWord>
      <group>L1_Punc</group>
      <groupName>标点问题</groupName>
      <ability>L2_Punc_CN</ability>
      <abilityName/>
      <candidateList>
        <item>.</item>
      </candidateList>
      <explain/>
      <paraID>364FFF00</paraID>
      <start>1</start>
      <end>2</end>
      <status>ignored</status>
      <modifiedWord/>
      <trackRevisions>false</trackRevisions>
    </reviewItem>
    <reviewItem>
      <errorID>8e1e765d-6f60-46e5-8967-fbb571a77138</errorID>
      <errorWord>、</errorWord>
      <group>L1_Punc</group>
      <groupName>标点问题</groupName>
      <ability>L2_Punc_CN</ability>
      <abilityName/>
      <candidateList>
        <item>.</item>
      </candidateList>
      <explain/>
      <paraID>726F4933</paraID>
      <start>1</start>
      <end>2</end>
      <status>ignored</status>
      <modifiedWord/>
      <trackRevisions>false</trackRevisions>
    </reviewItem>
    <reviewItem>
      <errorID>8d08cdaa-8a37-4910-9011-009971d7357f</errorID>
      <errorWord>~</errorWord>
      <group>L1_Format</group>
      <groupName>格式问题</groupName>
      <ability>L2_HalfPunc_CN</ability>
      <abilityName/>
      <candidateList>
        <item>～</item>
      </candidateList>
      <explain>文本全半角错误。</explain>
      <paraID>244F86CD</paraID>
      <start>18</start>
      <end>19</end>
      <status>ignored</status>
      <modifiedWord/>
      <trackRevisions>false</trackRevisions>
    </reviewItem>
    <reviewItem>
      <errorID>39e61098-16ec-43ed-bb6a-6009fcad8d53</errorID>
      <errorWord>、</errorWord>
      <group>L1_Punc</group>
      <groupName>标点问题</groupName>
      <ability>L2_Punc_CN</ability>
      <abilityName/>
      <candidateList>
        <item>.</item>
      </candidateList>
      <explain/>
      <paraID>6FB3882C</paraID>
      <start>1</start>
      <end>2</end>
      <status>ignored</status>
      <modifiedWord/>
      <trackRevisions>false</trackRevisions>
    </reviewItem>
    <reviewItem>
      <errorID>58200535-79d6-42d7-8b91-f3e2f54d7f95</errorID>
      <errorWord>、</errorWord>
      <group>L1_Punc</group>
      <groupName>标点问题</groupName>
      <ability>L2_Punc_CN</ability>
      <abilityName/>
      <candidateList>
        <item>.</item>
      </candidateList>
      <explain/>
      <paraID>7DEA141E</paraID>
      <start>1</start>
      <end>2</end>
      <status>ignored</status>
      <modifiedWord/>
      <trackRevisions>false</trackRevisions>
    </reviewItem>
    <reviewItem>
      <errorID>78e81756-0165-4a8c-90bb-6a30acecd901</errorID>
      <errorWord>、</errorWord>
      <group>L1_Punc</group>
      <groupName>标点问题</groupName>
      <ability>L2_Punc_CN</ability>
      <abilityName/>
      <candidateList>
        <item>.</item>
      </candidateList>
      <explain/>
      <paraID>7EDD4812</paraID>
      <start>1</start>
      <end>2</end>
      <status>ignored</status>
      <modifiedWord/>
      <trackRevisions>false</trackRevisions>
    </reviewItem>
    <reviewItem>
      <errorID>5c2b3f21-6801-4207-9522-205a5c26df1d</errorID>
      <errorWord>、</errorWord>
      <group>L1_Punc</group>
      <groupName>标点问题</groupName>
      <ability>L2_Punc_CN</ability>
      <abilityName/>
      <candidateList>
        <item>.</item>
      </candidateList>
      <explain/>
      <paraID>7BE9EA7F</paraID>
      <start>1</start>
      <end>2</end>
      <status>ignored</status>
      <modifiedWord/>
      <trackRevisions>false</trackRevisions>
    </reviewItem>
    <reviewItem>
      <errorID>586fdce6-f200-4b90-9738-a7deccf9a6fb</errorID>
      <errorWord>、</errorWord>
      <group>L1_Punc</group>
      <groupName>标点问题</groupName>
      <ability>L2_Punc_CN</ability>
      <abilityName/>
      <candidateList>
        <item>.</item>
      </candidateList>
      <explain/>
      <paraID>11F46F21</paraID>
      <start>1</start>
      <end>2</end>
      <status>ignored</status>
      <modifiedWord/>
      <trackRevisions>false</trackRevisions>
    </reviewItem>
    <reviewItem>
      <errorID>8cf304ef-a891-40fa-879e-14225e49523d</errorID>
      <errorWord>、</errorWord>
      <group>L1_Punc</group>
      <groupName>标点问题</groupName>
      <ability>L2_Punc_CN</ability>
      <abilityName/>
      <candidateList>
        <item>.</item>
      </candidateList>
      <explain/>
      <paraID>331E5E6A</paraID>
      <start>1</start>
      <end>2</end>
      <status>ignored</status>
      <modifiedWord/>
      <trackRevisions>false</trackRevisions>
    </reviewItem>
    <reviewItem>
      <errorID>38380801-f56e-4673-abf2-9cb41edd7193</errorID>
      <errorWord>、</errorWord>
      <group>L1_Punc</group>
      <groupName>标点问题</groupName>
      <ability>L2_Punc_CN</ability>
      <abilityName/>
      <candidateList>
        <item>.</item>
      </candidateList>
      <explain/>
      <paraID>41E9AD6E</paraID>
      <start>1</start>
      <end>2</end>
      <status>ignored</status>
      <modifiedWord/>
      <trackRevisions>false</trackRevisions>
    </reviewItem>
    <reviewItem>
      <errorID>f7c4a537-ab26-4074-ae82-846c2dfba919</errorID>
      <errorWord>）</errorWord>
      <group>L1_Format</group>
      <groupName>格式问题</groupName>
      <ability>L2_HalfPunc_CN</ability>
      <abilityName/>
      <candidateList>
        <item>)</item>
      </candidateList>
      <explain>文本全半角错误。</explain>
      <paraID>6BAF9FE6</paraID>
      <start>18</start>
      <end>19</end>
      <status>ignored</status>
      <modifiedWord/>
      <trackRevisions>false</trackRevisions>
    </reviewItem>
    <reviewItem>
      <errorID>f2408cd8-4271-4c80-9d70-2649d8e1c365</errorID>
      <errorWord>（</errorWord>
      <group>L1_Format</group>
      <groupName>格式问题</groupName>
      <ability>L2_HalfPunc_CN</ability>
      <abilityName/>
      <candidateList>
        <item>(</item>
      </candidateList>
      <explain>文本全半角错误。</explain>
      <paraID>7FF10ED3</paraID>
      <start>1</start>
      <end>2</end>
      <status>ignored</status>
      <modifiedWord/>
      <trackRevisions>false</trackRevisions>
    </reviewItem>
    <reviewItem>
      <errorID>83477214-9274-4fcb-9a08-4d574b71bf05</errorID>
      <errorWord>）</errorWord>
      <group>L1_Format</group>
      <groupName>格式问题</groupName>
      <ability>L2_HalfPunc_CN</ability>
      <abilityName/>
      <candidateList>
        <item>)</item>
      </candidateList>
      <explain>文本全半角错误。</explain>
      <paraID>7FF10ED3</paraID>
      <start>5</start>
      <end>6</end>
      <status>ignored</status>
      <modifiedWord/>
      <trackRevisions>false</trackRevisions>
    </reviewItem>
    <reviewItem>
      <errorID>d63ba3b8-37a7-489a-b242-6b72af752cfa</errorID>
      <errorWord>（</errorWord>
      <group>L1_Format</group>
      <groupName>格式问题</groupName>
      <ability>L2_HalfPunc_CN</ability>
      <abilityName/>
      <candidateList>
        <item>(</item>
      </candidateList>
      <explain>文本全半角错误。</explain>
      <paraID>178E5810</paraID>
      <start>1</start>
      <end>2</end>
      <status>ignored</status>
      <modifiedWord/>
      <trackRevisions>false</trackRevisions>
    </reviewItem>
    <reviewItem>
      <errorID>284bd3c0-b1a3-4e5e-9f1e-3085eaaf489b</errorID>
      <errorWord>）</errorWord>
      <group>L1_Format</group>
      <groupName>格式问题</groupName>
      <ability>L2_HalfPunc_CN</ability>
      <abilityName/>
      <candidateList>
        <item>)</item>
      </candidateList>
      <explain>文本全半角错误。</explain>
      <paraID>178E5810</paraID>
      <start>5</start>
      <end>6</end>
      <status>ignored</status>
      <modifiedWord/>
      <trackRevisions>false</trackRevisions>
    </reviewItem>
    <reviewItem>
      <errorID>509f02cc-75dd-4dea-b0c9-168febd9946e</errorID>
      <errorWord>（</errorWord>
      <group>L1_Format</group>
      <groupName>格式问题</groupName>
      <ability>L2_HalfPunc_CN</ability>
      <abilityName/>
      <candidateList>
        <item>(</item>
      </candidateList>
      <explain>文本全半角错误。</explain>
      <paraID>79E47045</paraID>
      <start>23</start>
      <end>24</end>
      <status>ignored</status>
      <modifiedWord/>
      <trackRevisions>false</trackRevisions>
    </reviewItem>
    <reviewItem>
      <errorID>ca15cb2d-5a53-4d8f-9471-ae2024de4c1f</errorID>
      <errorWord>）</errorWord>
      <group>L1_Format</group>
      <groupName>格式问题</groupName>
      <ability>L2_HalfPunc_CN</ability>
      <abilityName/>
      <candidateList>
        <item>)</item>
      </candidateList>
      <explain>文本全半角错误。</explain>
      <paraID>79E47045</paraID>
      <start>27</start>
      <end>28</end>
      <status>ignored</status>
      <modifiedWord/>
      <trackRevisions>false</trackRevisions>
    </reviewItem>
    <reviewItem>
      <errorID>b3dfc590-cc00-4cfc-888d-0844e3737f76</errorID>
      <errorWord>（</errorWord>
      <group>L1_Format</group>
      <groupName>格式问题</groupName>
      <ability>L2_HalfPunc_CN</ability>
      <abilityName/>
      <candidateList>
        <item>(</item>
      </candidateList>
      <explain>文本全半角错误。</explain>
      <paraID>4864245D</paraID>
      <start>15</start>
      <end>16</end>
      <status>ignored</status>
      <modifiedWord/>
      <trackRevisions>false</trackRevisions>
    </reviewItem>
    <reviewItem>
      <errorID>8fe33418-d155-4c99-a816-06ae3bd03b0e</errorID>
      <errorWord>）</errorWord>
      <group>L1_Format</group>
      <groupName>格式问题</groupName>
      <ability>L2_HalfPunc_CN</ability>
      <abilityName/>
      <candidateList>
        <item>)</item>
      </candidateList>
      <explain>文本全半角错误。</explain>
      <paraID>4864245D</paraID>
      <start>19</start>
      <end>20</end>
      <status>ignored</status>
      <modifiedWord/>
      <trackRevisions>false</trackRevisions>
    </reviewItem>
    <reviewItem>
      <errorID>eec8ae95-8137-44b8-a470-5a41a455e9e1</errorID>
      <errorWord>、</errorWord>
      <group>L1_Punc</group>
      <groupName>标点问题</groupName>
      <ability>L2_Punc_CN</ability>
      <abilityName/>
      <candidateList>
        <item>.</item>
      </candidateList>
      <explain/>
      <paraID>62553E7C</paraID>
      <start>1</start>
      <end>2</end>
      <status>ignored</status>
      <modifiedWord/>
      <trackRevisions>false</trackRevisions>
    </reviewItem>
    <reviewItem>
      <errorID>4b27101a-c049-454a-87ff-6a7c43efff40</errorID>
      <errorWord>、</errorWord>
      <group>L1_Punc</group>
      <groupName>标点问题</groupName>
      <ability>L2_Punc_CN</ability>
      <abilityName/>
      <candidateList>
        <item>.</item>
      </candidateList>
      <explain/>
      <paraID>5C962FAC</paraID>
      <start>1</start>
      <end>2</end>
      <status>ignored</status>
      <modifiedWord/>
      <trackRevisions>false</trackRevisions>
    </reviewItem>
    <reviewItem>
      <errorID>ffdb3c30-309c-484b-b13a-337badd531c0</errorID>
      <errorWord>（</errorWord>
      <group>L1_Format</group>
      <groupName>格式问题</groupName>
      <ability>L2_HalfPunc_CN</ability>
      <abilityName/>
      <candidateList>
        <item>(</item>
      </candidateList>
      <explain>文本全半角错误。</explain>
      <paraID>6AB935C0</paraID>
      <start>1</start>
      <end>2</end>
      <status>ignored</status>
      <modifiedWord/>
      <trackRevisions>false</trackRevisions>
    </reviewItem>
    <reviewItem>
      <errorID>a8b8d34a-4b00-4e00-a19a-8a7d1ac86a97</errorID>
      <errorWord>）</errorWord>
      <group>L1_Format</group>
      <groupName>格式问题</groupName>
      <ability>L2_HalfPunc_CN</ability>
      <abilityName/>
      <candidateList>
        <item>)</item>
      </candidateList>
      <explain>文本全半角错误。</explain>
      <paraID>6AB935C0</paraID>
      <start>3</start>
      <end>4</end>
      <status>ignored</status>
      <modifiedWord/>
      <trackRevisions>false</trackRevisions>
    </reviewItem>
    <reviewItem>
      <errorID>8dce7bdb-26a5-4635-a644-48a3d2d6be93</errorID>
      <errorWord>（</errorWord>
      <group>L1_Format</group>
      <groupName>格式问题</groupName>
      <ability>L2_HalfPunc_CN</ability>
      <abilityName/>
      <candidateList>
        <item>(</item>
      </candidateList>
      <explain>文本全半角错误。</explain>
      <paraID>6788C9AF</paraID>
      <start>1</start>
      <end>2</end>
      <status>ignored</status>
      <modifiedWord/>
      <trackRevisions>false</trackRevisions>
    </reviewItem>
    <reviewItem>
      <errorID>b05955bd-6bff-40a8-8526-3c7012c835b1</errorID>
      <errorWord>）</errorWord>
      <group>L1_Format</group>
      <groupName>格式问题</groupName>
      <ability>L2_HalfPunc_CN</ability>
      <abilityName/>
      <candidateList>
        <item>)</item>
      </candidateList>
      <explain>文本全半角错误。</explain>
      <paraID>6788C9AF</paraID>
      <start>3</start>
      <end>4</end>
      <status>ignored</status>
      <modifiedWord/>
      <trackRevisions>false</trackRevisions>
    </reviewItem>
    <reviewItem>
      <errorID>8a87d190-e874-4f42-a337-aaccff14564f</errorID>
      <errorWord>、</errorWord>
      <group>L1_Punc</group>
      <groupName>标点问题</groupName>
      <ability>L2_Punc_CN</ability>
      <abilityName/>
      <candidateList>
        <item>.</item>
      </candidateList>
      <explain/>
      <paraID>47B9DD05</paraID>
      <start>1</start>
      <end>2</end>
      <status>ignored</status>
      <modifiedWord/>
      <trackRevisions>false</trackRevisions>
    </reviewItem>
    <reviewItem>
      <errorID>93f3e7bf-aad0-446b-93ef-ebe48f5e9458</errorID>
      <errorWord>、</errorWord>
      <group>L1_Punc</group>
      <groupName>标点问题</groupName>
      <ability>L2_Punc_CN</ability>
      <abilityName/>
      <candidateList>
        <item>.</item>
      </candidateList>
      <explain/>
      <paraID>21BCAC05</paraID>
      <start>1</start>
      <end>2</end>
      <status>ignored</status>
      <modifiedWord/>
      <trackRevisions>false</trackRevisions>
    </reviewItem>
    <reviewItem>
      <errorID>ff1aa7d0-37bf-4401-9fd4-c3bdb1573037</errorID>
      <errorWord>：</errorWord>
      <group>L1_Format</group>
      <groupName>格式问题</groupName>
      <ability>L2_HalfPunc_CN</ability>
      <abilityName/>
      <candidateList>
        <item>:</item>
      </candidateList>
      <explain>文本全半角错误。</explain>
      <paraID>1CAC1FAA</paraID>
      <start>160</start>
      <end>161</end>
      <status>ignored</status>
      <modifiedWord/>
      <trackRevisions>false</trackRevisions>
    </reviewItem>
    <reviewItem>
      <errorID>0b1894a5-c9e7-4ef0-b862-d6704d06b934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255861B5</paraID>
      <start>125</start>
      <end>126</end>
      <status>ignored</status>
      <modifiedWord/>
      <trackRevisions>false</trackRevisions>
    </reviewItem>
    <reviewItem>
      <errorID>a7b3dcb4-6949-49c7-b60f-387ad70c4485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255861B5</paraID>
      <start>164</start>
      <end>165</end>
      <status>ignored</status>
      <modifiedWord/>
      <trackRevisions>false</trackRevisions>
    </reviewItem>
    <reviewItem>
      <errorID>5156d1b0-5dcc-4a92-a4d9-e0eb3f275e54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15405804</paraID>
      <start>74</start>
      <end>75</end>
      <status>ignored</status>
      <modifiedWord/>
      <trackRevisions>false</trackRevisions>
    </reviewItem>
    <reviewItem>
      <errorID>063c1428-e8b0-4feb-9e8d-a154dba27e70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15405804</paraID>
      <start>112</start>
      <end>113</end>
      <status>ignored</status>
      <modifiedWord/>
      <trackRevisions>false</trackRevisions>
    </reviewItem>
    <reviewItem>
      <errorID>00bcc733-aa2e-4d65-a27b-a2709412dff1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5CE11C6</paraID>
      <start>57</start>
      <end>58</end>
      <status>ignored</status>
      <modifiedWord/>
      <trackRevisions>false</trackRevisions>
    </reviewItem>
    <reviewItem>
      <errorID>0be72790-be65-43b6-bc8b-4423826dc0a0</errorID>
      <errorWord>（</errorWord>
      <group>L1_Punc</group>
      <groupName>标点问题</groupName>
      <ability>L2_Punc_CN</ability>
      <abilityName/>
      <candidateList/>
      <explain>同一形式括号套用。</explain>
      <paraID>2A9CE3DD</paraID>
      <start>26</start>
      <end>27</end>
      <status>ignored</status>
      <modifiedWord/>
      <trackRevisions>false</trackRevisions>
    </reviewItem>
    <reviewItem>
      <errorID>7f32b6eb-51b8-4625-977c-993439c36ec8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2A9CE3DD</paraID>
      <start>34</start>
      <end>35</end>
      <status>ignored</status>
      <modifiedWord/>
      <trackRevisions>false</trackRevisions>
    </reviewItem>
    <reviewItem>
      <errorID>c1c0f1d9-be16-41cd-8136-9af51fa83c85</errorID>
      <errorWord>）</errorWord>
      <group>L1_Punc</group>
      <groupName>标点问题</groupName>
      <ability>L2_Punc_CN</ability>
      <abilityName/>
      <candidateList/>
      <explain>同一形式括号套用。</explain>
      <paraID>2A9CE3DD</paraID>
      <start>40</start>
      <end>41</end>
      <status>ignored</status>
      <modifiedWord/>
      <trackRevisions>false</trackRevisions>
    </reviewItem>
    <reviewItem>
      <errorID>3652252c-42bf-4f25-aac1-685d01226c7d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2A9CE3DD</paraID>
      <start>76</start>
      <end>77</end>
      <status>ignored</status>
      <modifiedWord/>
      <trackRevisions>false</trackRevisions>
    </reviewItem>
    <reviewItem>
      <errorID>6f4a458b-03fd-4b89-8994-956038dc567e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3D26FAB6</paraID>
      <start>57</start>
      <end>58</end>
      <status>ignored</status>
      <modifiedWord/>
      <trackRevisions>false</trackRevisions>
    </reviewItem>
    <reviewItem>
      <errorID>f4313e64-df32-427f-8141-46cc6f4ada7b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70D7CC84</paraID>
      <start>88</start>
      <end>89</end>
      <status>ignored</status>
      <modifiedWord/>
      <trackRevisions>false</trackRevisions>
    </reviewItem>
    <reviewItem>
      <errorID>239e9d5c-6d21-417d-923d-c00a0f35179f</errorID>
      <errorWord>-</errorWord>
      <group>L1_Format</group>
      <groupName>格式问题</groupName>
      <ability>L2_HalfPunc_CN</ability>
      <abilityName/>
      <candidateList>
        <item>－</item>
      </candidateList>
      <explain>文本全半角错误。</explain>
      <paraID>734B770D</paraID>
      <start>3</start>
      <end>4</end>
      <status>ignored</status>
      <modifiedWord/>
      <trackRevisions>false</trackRevisions>
    </reviewItem>
    <reviewItem>
      <errorID>1c9d3ba2-b11c-4a3e-ba9f-c1dc32c8f91e</errorID>
      <errorWord>-</errorWord>
      <group>L1_Format</group>
      <groupName>格式问题</groupName>
      <ability>L2_HalfPunc_CN</ability>
      <abilityName/>
      <candidateList>
        <item>－</item>
      </candidateList>
      <explain>文本全半角错误。</explain>
      <paraID>403A7D8A</paraID>
      <start>3</start>
      <end>4</end>
      <status>ignored</status>
      <modifiedWord/>
      <trackRevisions>false</trackRevisions>
    </reviewItem>
    <reviewItem>
      <errorID>b5474d4d-fbe0-4676-a0c7-7bbdef607c29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1FA8C511</paraID>
      <start>35</start>
      <end>36</end>
      <status>ignored</status>
      <modifiedWord/>
      <trackRevisions>false</trackRevisions>
    </reviewItem>
    <reviewItem>
      <errorID>8a3162d8-090e-48b4-b645-c232d7de76d9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1FA8C511</paraID>
      <start>74</start>
      <end>75</end>
      <status>ignored</status>
      <modifiedWord/>
      <trackRevisions>false</trackRevisions>
    </reviewItem>
    <reviewItem>
      <errorID>86c903e6-7170-4c4b-afc0-04a87fd80fa8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1F91FADD</paraID>
      <start>97</start>
      <end>98</end>
      <status>ignored</status>
      <modifiedWord/>
      <trackRevisions>false</trackRevisions>
    </reviewItem>
    <reviewItem>
      <errorID>0d9a28ce-6ddb-446b-a98e-0f1877f38a6c</errorID>
      <errorWord>-</errorWord>
      <group>L1_Format</group>
      <groupName>格式问题</groupName>
      <ability>L2_HalfPunc_CN</ability>
      <abilityName/>
      <candidateList>
        <item>－</item>
      </candidateList>
      <explain>文本全半角错误。</explain>
      <paraID>59F5F2FA</paraID>
      <start>3</start>
      <end>4</end>
      <status>ignored</status>
      <modifiedWord/>
      <trackRevisions>false</trackRevisions>
    </reviewItem>
    <reviewItem>
      <errorID>46898da7-2490-4964-94c1-accf32c657d6</errorID>
      <errorWord>-</errorWord>
      <group>L1_Format</group>
      <groupName>格式问题</groupName>
      <ability>L2_HalfPunc_CN</ability>
      <abilityName/>
      <candidateList>
        <item>－</item>
      </candidateList>
      <explain>文本全半角错误。</explain>
      <paraID>36B025C1</paraID>
      <start>3</start>
      <end>4</end>
      <status>ignored</status>
      <modifiedWord/>
      <trackRevisions>false</trackRevisions>
    </reviewItem>
    <reviewItem>
      <errorID>e8c55350-269a-4b78-a9ec-43915353bf45</errorID>
      <errorWord>-</errorWord>
      <group>L1_Format</group>
      <groupName>格式问题</groupName>
      <ability>L2_HalfPunc_CN</ability>
      <abilityName/>
      <candidateList>
        <item>－</item>
      </candidateList>
      <explain>文本全半角错误。</explain>
      <paraID>2581E61B</paraID>
      <start>3</start>
      <end>4</end>
      <status>ignored</status>
      <modifiedWord/>
      <trackRevisions>false</trackRevisions>
    </reviewItem>
    <reviewItem>
      <errorID>e346ddd9-17e8-4ee4-b729-dd71f38e85a7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1F67F385</paraID>
      <start>25</start>
      <end>26</end>
      <status>ignored</status>
      <modifiedWord/>
      <trackRevisions>false</trackRevisions>
    </reviewItem>
    <reviewItem>
      <errorID>22a1f5ad-6f1a-401f-84ac-cafdab8457cf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1685E9E4</paraID>
      <start>58</start>
      <end>59</end>
      <status>ignored</status>
      <modifiedWord/>
      <trackRevisions>false</trackRevisions>
    </reviewItem>
    <reviewItem>
      <errorID>92bc3b06-cb99-40f7-b666-b31db50c9fb0</errorID>
      <errorWord>-</errorWord>
      <group>L1_Format</group>
      <groupName>格式问题</groupName>
      <ability>L2_HalfPunc_CN</ability>
      <abilityName/>
      <candidateList>
        <item>－</item>
      </candidateList>
      <explain>文本全半角错误。</explain>
      <paraID>6E6A884E</paraID>
      <start>61</start>
      <end>62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59a30b-3bfd-450c-b6fa-de8c17c634d9}">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104</Pages>
  <Words>66747</Words>
  <Characters>74879</Characters>
  <Lines>1</Lines>
  <Paragraphs>1</Paragraphs>
  <TotalTime>10</TotalTime>
  <ScaleCrop>false</ScaleCrop>
  <LinksUpToDate>false</LinksUpToDate>
  <CharactersWithSpaces>75775</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丫头</cp:lastModifiedBy>
  <cp:lastPrinted>2023-09-20T09:23:00Z</cp:lastPrinted>
  <dcterms:modified xsi:type="dcterms:W3CDTF">2026-05-29T06:56:17Z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2B575C1AB2F54E0887C31C3E44C2B626_13</vt:lpwstr>
  </property>
  <property fmtid="{D5CDD505-2E9C-101B-9397-08002B2CF9AE}" pid="4" name="KSOTemplateDocerSaveRecord">
    <vt:lpwstr>eyJoZGlkIjoiOTZmZWJmYTVlNjkyMzBiZDM1MzVkNjA4NDEyMjY0MDAiLCJ1c2VySWQiOiIxNDA3OTc2NDYyIn0=</vt:lpwstr>
  </property>
</Properties>
</file>