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1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《玉溪市燃气管理办法(征求意见稿）》</w:t>
      </w: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编制说明</w:t>
      </w:r>
    </w:p>
    <w:bookmarkEnd w:id="0"/>
    <w:p w14:paraId="0CCD4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为便于理解和执行</w:t>
      </w:r>
      <w:bookmarkStart w:id="1" w:name="OLE_LINK2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《玉溪市燃气管理办法</w:t>
      </w:r>
      <w:bookmarkEnd w:id="1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（征求意见稿）》（以下简称《办法》），现就其编制背景、依据、主要思路、程序说明、主要内容和特点说明如下：</w:t>
      </w:r>
    </w:p>
    <w:p w14:paraId="537F60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一、起草背景</w:t>
      </w:r>
    </w:p>
    <w:p w14:paraId="1E662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城镇燃气安全事关人民群众生命财产安全和社会稳定。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为加强我市城镇燃气管理，规范城镇燃气市场秩序，保障人民群众生命财产安全和社会公共安全，促进燃气事业健康发展，按照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市政府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2025年和2026年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立法工作计划，根据《</w:t>
      </w:r>
      <w:r>
        <w:rPr>
          <w:rFonts w:hint="eastAsia" w:ascii="仿宋" w:hAnsi="仿宋" w:eastAsia="仿宋" w:cs="仿宋"/>
          <w:sz w:val="32"/>
          <w:szCs w:val="32"/>
        </w:rPr>
        <w:t>中华人民共和国安全生产法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》《城镇燃气管理条例》《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云南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省燃气管理条例》等有关法律法规，</w:t>
      </w:r>
      <w:r>
        <w:rPr>
          <w:rFonts w:hint="eastAsia" w:ascii="仿宋" w:hAnsi="仿宋" w:eastAsia="仿宋" w:cs="仿宋"/>
          <w:sz w:val="32"/>
          <w:szCs w:val="32"/>
        </w:rPr>
        <w:t>借鉴了省内外相关地市的立法成果，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广泛征求社会各界、相关部门和区县意见建议，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形成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《办法》。</w:t>
      </w:r>
    </w:p>
    <w:p w14:paraId="64A2A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《办法》出台的依据</w:t>
      </w:r>
    </w:p>
    <w:p w14:paraId="5CCFF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起草《办法》主要依据《中华人民共和国安全生产法》《中华人民共和国消防法》《城镇燃气管理条例》《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</w:t>
      </w:r>
      <w:r>
        <w:rPr>
          <w:rFonts w:hint="eastAsia" w:ascii="仿宋" w:hAnsi="仿宋" w:eastAsia="仿宋" w:cs="仿宋"/>
          <w:sz w:val="32"/>
          <w:szCs w:val="32"/>
        </w:rPr>
        <w:t>省燃气管理条例》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《云南省燃气经营许可管理办法》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《云南省瓶装燃气配送服务管理办法》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《基础设施和公用事业特许经营管理办法》《市政公用事业特许经营管理办法》</w:t>
      </w:r>
      <w:r>
        <w:rPr>
          <w:rFonts w:hint="eastAsia" w:ascii="仿宋" w:hAnsi="仿宋" w:eastAsia="仿宋" w:cs="仿宋"/>
          <w:sz w:val="32"/>
          <w:szCs w:val="32"/>
        </w:rPr>
        <w:t>等法律法规，同时吸收了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玉溪</w:t>
      </w:r>
      <w:r>
        <w:rPr>
          <w:rFonts w:hint="eastAsia" w:ascii="仿宋" w:hAnsi="仿宋" w:eastAsia="仿宋" w:cs="仿宋"/>
          <w:sz w:val="32"/>
          <w:szCs w:val="32"/>
        </w:rPr>
        <w:t>市燃气管理工作的实践经验，借鉴了省内外相关地市的立法成果，确保《办法》合法合规、切合实际、具有可操作性。</w:t>
      </w:r>
    </w:p>
    <w:p w14:paraId="5494D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起草的主要思路</w:t>
      </w:r>
    </w:p>
    <w:p w14:paraId="774B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起草本《办法》的核心思路是：围绕强化安全管理、理顺监管机制、压实主体责任及推动高质量发展展开，旨在通过全链条管理、部门协同和长效机制来系统性解决燃气管理中的痛点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‌。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具体围绕以下几个方面展开：</w:t>
      </w:r>
    </w:p>
    <w:p w14:paraId="7CDBB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一、‌在总体原则方面。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燃气管理办法遵循‌统筹规划、保障安全、确保供应、规范服务、节能高效‌的原则，强调燃气工作需纳入国民经济和社会发展规划，并坚持安全第一、保障供应、有序竞争等要求，以平衡发展与安全。</w:t>
      </w:r>
    </w:p>
    <w:p w14:paraId="75E34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二、‌在部门协同方面。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完善法规标准体系，‌理顺体制机制与部门职责分工‌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解决监管责任碎片化问题，通过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法规重新界定住建、商务、消防、公安等部门的全链条监管责任，建立职责明确、协同高效的管理体系。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‌‌</w:t>
      </w:r>
    </w:p>
    <w:p w14:paraId="47C6A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三、‌在管理框架方面。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采用‌全生命周期安全管理‌理念，覆盖燃气规划、建设、经营、使用、设施保护及事故应急等环节。</w:t>
      </w:r>
    </w:p>
    <w:p w14:paraId="18399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四、‌在安全管控方面。‌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‌源头防控和责任落实‌，具体措施包括：燃气工程建设需与主体工程“同时设计、同时施工、同时验收”，并严格遵循国家技术标准；用气场所必须符合规划用途，杜绝违规改造；燃气经营者承担安全供气主体责任，需定期入户安检并指导隐患整改；用户须履行安全用气义务，违规操作可能面临停气处理。‌</w:t>
      </w:r>
    </w:p>
    <w:p w14:paraId="02436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五、‌在地方特色方面。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结合本地实际细化要求，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固化实践经验与推动智能化管理‌是重要方向，通过总结近年燃气安全管理中的有效做法（如智能化全流程监管），新增条款强化燃气企业安全生产标准化和应急管理体系建设，并鼓励应用新技术提升供气保障和安全运行水平</w:t>
      </w:r>
    </w:p>
    <w:p w14:paraId="60D56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总的来说，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燃气管理办法的编制思路基于国家法律法规和地方实际，旨在构建系统化、全链条的管理体系，核心在于通过统筹规划、明确责任、强化源头防控和部门协同来提升燃气安全水平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A9E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制定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程序说明</w:t>
      </w:r>
    </w:p>
    <w:p w14:paraId="7963D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按照相关程序，市住房城乡建设局牵头组织各有关部门单位开展《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玉溪市燃气管理办法(征求意见稿）》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《办法》制定过程中，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我们认真学习研究了相关法律法规和政策文件，借鉴了其他地区的先进经验，结合玉溪市城镇燃气行业管理实际，形成了《办法》初稿。随后，征求了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各市直部门、各县（市、区）人民政府，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各燃气企业及专家的意见建议，并根据反馈进行了多次修改完善，确保了《办法》内容的合法性、适用性和可操作性。</w:t>
      </w:r>
    </w:p>
    <w:p w14:paraId="00652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《管理办法》的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主要内容</w:t>
      </w:r>
    </w:p>
    <w:p w14:paraId="4BC94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六十二</w:t>
      </w:r>
      <w:r>
        <w:rPr>
          <w:rFonts w:hint="eastAsia" w:ascii="仿宋" w:hAnsi="仿宋" w:eastAsia="仿宋" w:cs="仿宋"/>
          <w:sz w:val="32"/>
          <w:szCs w:val="32"/>
        </w:rPr>
        <w:t>条，涵盖燃气管理全流程，主要内容包括以下方面：</w:t>
      </w:r>
    </w:p>
    <w:p w14:paraId="3857A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（一）总则</w:t>
      </w:r>
    </w:p>
    <w:p w14:paraId="10EAA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明确立法目的、适用范围、基本原则，界定燃气、明确市、县（区）人民政府及乡镇人民政府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的管理职责，细化燃气行政主管部门及发展改革、应急管理、市场监督管理等相关部门的具体职责；规定行业协会职责、宣传教育等内容。</w:t>
      </w:r>
    </w:p>
    <w:p w14:paraId="62E94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（二）规划建设</w:t>
      </w:r>
    </w:p>
    <w:p w14:paraId="2CD84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燃气发展规划的编制、审批和修改程序，明确燃气设施建设应当符合规划要求；对新区建设、老旧小区改造、农村燃气延伸等燃气设施配套建设作出规定；明确燃气工程的规划许可、施工许可、资质要求、消防设计审查与验收、竣工验收及设施移交等程序要求。</w:t>
      </w:r>
    </w:p>
    <w:p w14:paraId="0CF9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（三）经营服务</w:t>
      </w:r>
    </w:p>
    <w:p w14:paraId="4B91446B">
      <w:pPr>
        <w:ind w:firstLine="640" w:firstLineChars="200"/>
      </w:pP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明确燃气经营许可制度，规范燃气经营企业的一般义务及管道燃气、瓶装燃气、车用燃气经营企业的特别规定；要求燃气经营企业建立用户服务档案，保障供气质量，规范停供气管理；规定入户安全检查制度，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明确企业与用户职责</w:t>
      </w:r>
      <w:r>
        <w:rPr>
          <w:rFonts w:hint="eastAsia" w:ascii="仿宋" w:hAnsi="仿宋" w:eastAsia="仿宋" w:cs="仿宋"/>
          <w:sz w:val="32"/>
          <w:szCs w:val="32"/>
        </w:rPr>
        <w:t>；规范瓶装燃气运输管理要求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；规范</w:t>
      </w:r>
      <w:r>
        <w:rPr>
          <w:rFonts w:hint="default" w:ascii="仿宋" w:hAnsi="仿宋" w:eastAsia="仿宋" w:cs="仿宋"/>
          <w:sz w:val="32"/>
          <w:szCs w:val="32"/>
        </w:rPr>
        <w:t>燃气燃烧器具安装、维修经营企业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管理要求。</w:t>
      </w:r>
    </w:p>
    <w:p w14:paraId="169B1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燃气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使用与器具管理</w:t>
      </w:r>
    </w:p>
    <w:p w14:paraId="67F94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燃气供用合同签订及用户安全使用义务，推广安全装置使用；明确户内燃气设施安装、改装、迁移、拆除的资质要求；针对餐饮用户制定专门安全管理规定，区分管道燃气和瓶装燃气餐饮用户的特别义务；禁止危害燃气安全的各类行为，规范燃气燃烧器具的销售、安装和维修。</w:t>
      </w:r>
    </w:p>
    <w:p w14:paraId="588701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4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lang w:eastAsia="zh-CN"/>
        </w:rPr>
        <w:t>（五）</w:t>
      </w: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</w:rPr>
        <w:t>安全管理</w:t>
      </w:r>
    </w:p>
    <w:p w14:paraId="039D9C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市、县（市、区）人民政府应当建立燃气安全联席会议制度，加强燃气经营、使用环节以及燃气设施建设、运行的安全管理，协调和解决燃气安全管理突出问题。划定燃气管道设施的安全保护范围和安全控制范围，明确保护范围内的禁止行为；建立燃气设施巡查制度，要求燃气经营企业加强设施维护；鼓励燃气经营企业和用户投保相关责任保险。</w:t>
      </w:r>
    </w:p>
    <w:p w14:paraId="140A0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要求制定燃气安全事故应急预案，明确事故应急处置流程和报告义务；规范燃气经营企业抢险队伍建设、应急气源储备等要求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33A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）法律责任</w:t>
      </w:r>
    </w:p>
    <w:p w14:paraId="1CCB9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对违反《办法》的各类行为设定相应法律责任，包括对燃气行政主管部门及相关部门工作人员的违法责任，对建设单位、燃气经营企业、燃气用户等的违法行为处罚，确保《办法》规定的各项制度落到实处。</w:t>
      </w:r>
    </w:p>
    <w:p w14:paraId="2E259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）附则</w:t>
      </w:r>
    </w:p>
    <w:p w14:paraId="2D4B8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特定用语，</w:t>
      </w:r>
      <w:r>
        <w:rPr>
          <w:rFonts w:hint="eastAsia" w:ascii="仿宋" w:hAnsi="仿宋" w:eastAsia="仿宋" w:cs="仿宋"/>
          <w:sz w:val="32"/>
          <w:szCs w:val="32"/>
        </w:rPr>
        <w:t>明确《办法》的施行日期。</w:t>
      </w:r>
    </w:p>
    <w:p w14:paraId="6DDBA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、《办法》的亮点和特色</w:t>
      </w:r>
    </w:p>
    <w:p w14:paraId="1920C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（一）突出全链条闭环管理</w:t>
      </w:r>
    </w:p>
    <w:p w14:paraId="229B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构建了从燃气规划建设、经营服务、设施保护、使用管理到应急处置、法律责任的全链条管理体系，覆盖政府、部门、企业、用户等多元主体，明确各方职责边界，形成“源头管控—过程监管—应急处置—事后追责”的闭环机制，确保燃气管理各环节有法可依、有章可循。</w:t>
      </w:r>
    </w:p>
    <w:p w14:paraId="1130C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（二）聚焦重点领域精准施策</w:t>
      </w:r>
    </w:p>
    <w:p w14:paraId="5EE6D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餐饮场所、老旧小区、农村地区等燃气安全重点区域和薄弱环节，制定差异化管理措施。对餐饮用户设置专门安全规范，明确瓶装燃气餐饮用户的气瓶储存、连接方式等具体要求；支持老旧小区配套建设管道燃气设施，有序推进农村燃气延伸；规范临时供气装置管理，解决管网覆盖区域临时供气安全问题。</w:t>
      </w:r>
    </w:p>
    <w:p w14:paraId="3FFDE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（三）强化科技赋能与信息化监管</w:t>
      </w:r>
    </w:p>
    <w:p w14:paraId="33CDE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燃气科学技术研究和新技术、新设备推广应用；推动建立燃气管理信息化平台，实现规划、建设、经营、安全监管等全流程信息化、智能化管理；要求燃气经营企业将燃气浓度检测报警器与安全网络监控平台连接，运用信息化技术提升安全监管效能。</w:t>
      </w:r>
    </w:p>
    <w:p w14:paraId="3251A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（四）健全协同监管机制</w:t>
      </w:r>
    </w:p>
    <w:p w14:paraId="49FD9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燃气行政主管部门牵头、多部门协同的联合执法机制，明确各部门在燃气管理中的职责分工，加强执法联动；实行分类分级监管，对违法情节严重的企业列入重点监管对象，增加检查频次；完善跨部门信息共享和案件移送机制，形成监管合力。</w:t>
      </w:r>
    </w:p>
    <w:p w14:paraId="19AAD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（五）注重安全保障与民生需求平衡</w:t>
      </w:r>
    </w:p>
    <w:p w14:paraId="09678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强化安全监管的同时，兼顾燃气用户的合法权益和民生需求。要求燃气经营企业保障稳定供气，规范停供气告知程序；明确燃气经营企业的服务义务和入户安全检查责任，推广安全便利的燃气器具和连接管；针对农村地区和老旧小区燃气发展需求，制定支持政策，促进城乡燃气均衡发展。</w:t>
      </w:r>
    </w:p>
    <w:p w14:paraId="090CD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（六）强化责任落实与风险防控</w:t>
      </w:r>
    </w:p>
    <w:p w14:paraId="41FDF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通过明确法律责任，对各类违法行为设定具体处罚标准，增强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 w:cs="仿宋"/>
          <w:sz w:val="32"/>
          <w:szCs w:val="32"/>
        </w:rPr>
        <w:t>约束力；建立燃气安全隐患排查治理机制，要求企业定期巡查、用户主动配合整改；鼓励投保责任保险，运用市场机制分担安全风险；完善应急处置流程，提升燃气安全事故快速响应和处置能力。</w:t>
      </w:r>
    </w:p>
    <w:p w14:paraId="461F3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综上，《办法》立足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玉溪</w:t>
      </w:r>
      <w:r>
        <w:rPr>
          <w:rFonts w:hint="eastAsia" w:ascii="仿宋" w:hAnsi="仿宋" w:eastAsia="仿宋" w:cs="仿宋"/>
          <w:sz w:val="32"/>
          <w:szCs w:val="32"/>
        </w:rPr>
        <w:t>市燃气管理实际，针对性解决突出问题，借鉴先进地区经验，具有较强的针对性、可操作性和地方特色，能够为规范燃气管理秩序、保障公共安全、促进燃气事业健康发展提供有力的法治保障。</w:t>
      </w:r>
    </w:p>
    <w:p w14:paraId="39A5D682"/>
    <w:p w14:paraId="34C9E15F"/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 Regular">
    <w:altName w:val="思源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48BC"/>
    <w:rsid w:val="0DA048BC"/>
    <w:rsid w:val="27811640"/>
    <w:rsid w:val="623D79D1"/>
    <w:rsid w:val="B3AD366B"/>
    <w:rsid w:val="EEFF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240" w:lineRule="auto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Note Heading"/>
    <w:basedOn w:val="1"/>
    <w:next w:val="1"/>
    <w:qFormat/>
    <w:uiPriority w:val="99"/>
    <w:pPr>
      <w:jc w:val="center"/>
    </w:pPr>
  </w:style>
  <w:style w:type="paragraph" w:styleId="5">
    <w:name w:val="Body Text"/>
    <w:basedOn w:val="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next w:val="9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Heading"/>
    <w:next w:val="5"/>
    <w:qFormat/>
    <w:uiPriority w:val="0"/>
    <w:pPr>
      <w:keepNext/>
      <w:widowControl w:val="0"/>
      <w:suppressAutoHyphens/>
      <w:spacing w:before="240" w:after="120"/>
      <w:jc w:val="both"/>
    </w:pPr>
    <w:rPr>
      <w:rFonts w:ascii="Liberation Sans" w:hAnsi="Liberation Sans" w:eastAsia="Noto Sans CJK SC Regular" w:cs="Noto Sans CJK SC Regular"/>
      <w:kern w:val="2"/>
      <w:sz w:val="28"/>
      <w:szCs w:val="28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2025-10-16T17:43:00Z</dcterms:created>
  <dc:creator>春风十里</dc:creator>
  <cp:lastModifiedBy>user</cp:lastModifiedBy>
  <dcterms:modified xsi:type="dcterms:W3CDTF">2026-05-18T10:28:36Z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235D77A8EF6A4C04B23DC5B405E7B3FD_11</vt:lpwstr>
  </property>
</Properties>
</file>