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23550">
      <w:pPr>
        <w:keepNext w:val="0"/>
        <w:keepLines w:val="0"/>
        <w:pageBreakBefore w:val="0"/>
        <w:widowControl w:val="0"/>
        <w:tabs>
          <w:tab w:val="left" w:pos="1050"/>
        </w:tabs>
        <w:kinsoku/>
        <w:wordWrap/>
        <w:overflowPunct/>
        <w:topLinePunct w:val="0"/>
        <w:autoSpaceDE/>
        <w:autoSpaceDN/>
        <w:bidi w:val="0"/>
        <w:adjustRightInd w:val="0"/>
        <w:snapToGrid w:val="0"/>
        <w:spacing w:line="360" w:lineRule="auto"/>
        <w:jc w:val="center"/>
        <w:textAlignment w:val="auto"/>
        <w:rPr>
          <w:rFonts w:eastAsia="方正小标宋_GBK"/>
          <w:bCs/>
          <w:sz w:val="72"/>
          <w:szCs w:val="72"/>
        </w:rPr>
      </w:pPr>
      <w:r>
        <w:rPr>
          <w:rFonts w:eastAsia="方正小标宋_GBK"/>
          <w:bCs/>
          <w:sz w:val="72"/>
          <w:szCs w:val="72"/>
        </w:rPr>
        <w:t>建设项目环境影响报告表</w:t>
      </w:r>
    </w:p>
    <w:p w14:paraId="4E500F6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楷体_GB2312"/>
          <w:bCs/>
          <w:sz w:val="48"/>
          <w:szCs w:val="48"/>
        </w:rPr>
      </w:pPr>
      <w:r>
        <w:rPr>
          <w:rFonts w:eastAsia="楷体_GB2312"/>
          <w:bCs/>
          <w:sz w:val="48"/>
          <w:szCs w:val="48"/>
        </w:rPr>
        <w:t>（</w:t>
      </w:r>
      <w:r>
        <w:rPr>
          <w:rFonts w:hint="eastAsia" w:eastAsia="楷体_GB2312"/>
          <w:bCs/>
          <w:sz w:val="48"/>
          <w:szCs w:val="48"/>
          <w:lang w:val="en-US" w:eastAsia="zh-CN"/>
        </w:rPr>
        <w:t>生态</w:t>
      </w:r>
      <w:r>
        <w:rPr>
          <w:rFonts w:eastAsia="楷体_GB2312"/>
          <w:bCs/>
          <w:sz w:val="48"/>
          <w:szCs w:val="48"/>
        </w:rPr>
        <w:t>影响类）</w:t>
      </w:r>
    </w:p>
    <w:p w14:paraId="3ACACB90">
      <w:pPr>
        <w:pStyle w:val="15"/>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rPr>
          <w:rFonts w:hint="eastAsia" w:ascii="Times New Roman" w:hAnsi="Times New Roman" w:eastAsia="楷体_GB2312" w:cs="Times New Roman"/>
          <w:bCs/>
          <w:spacing w:val="0"/>
          <w:kern w:val="2"/>
          <w:sz w:val="48"/>
          <w:szCs w:val="48"/>
          <w:lang w:val="en-US" w:eastAsia="zh-CN" w:bidi="ar-SA"/>
        </w:rPr>
      </w:pPr>
      <w:r>
        <w:rPr>
          <w:rFonts w:hint="eastAsia" w:ascii="Times New Roman" w:hAnsi="Times New Roman" w:eastAsia="楷体_GB2312" w:cs="Times New Roman"/>
          <w:bCs/>
          <w:spacing w:val="0"/>
          <w:kern w:val="2"/>
          <w:sz w:val="48"/>
          <w:szCs w:val="48"/>
          <w:lang w:val="en-US" w:eastAsia="zh-CN" w:bidi="ar-SA"/>
        </w:rPr>
        <w:t>（</w:t>
      </w:r>
      <w:r>
        <w:rPr>
          <w:rFonts w:hint="eastAsia" w:eastAsia="楷体_GB2312" w:cs="Times New Roman"/>
          <w:bCs/>
          <w:spacing w:val="0"/>
          <w:kern w:val="2"/>
          <w:sz w:val="48"/>
          <w:szCs w:val="48"/>
          <w:lang w:val="en-US" w:eastAsia="zh-CN" w:bidi="ar-SA"/>
        </w:rPr>
        <w:t>报批稿</w:t>
      </w:r>
      <w:r>
        <w:rPr>
          <w:rFonts w:hint="eastAsia" w:ascii="Times New Roman" w:hAnsi="Times New Roman" w:eastAsia="楷体_GB2312" w:cs="Times New Roman"/>
          <w:bCs/>
          <w:spacing w:val="0"/>
          <w:kern w:val="2"/>
          <w:sz w:val="48"/>
          <w:szCs w:val="48"/>
          <w:lang w:val="en-US" w:eastAsia="zh-CN" w:bidi="ar-SA"/>
        </w:rPr>
        <w:t>）</w:t>
      </w:r>
    </w:p>
    <w:p w14:paraId="365C2C74">
      <w:pPr>
        <w:adjustRightInd w:val="0"/>
        <w:snapToGrid w:val="0"/>
        <w:spacing w:line="288" w:lineRule="auto"/>
        <w:jc w:val="center"/>
        <w:rPr>
          <w:rFonts w:eastAsia="华文仿宋"/>
          <w:color w:val="000000"/>
          <w:kern w:val="44"/>
          <w:sz w:val="44"/>
          <w:szCs w:val="44"/>
        </w:rPr>
      </w:pPr>
    </w:p>
    <w:p w14:paraId="29E9E864">
      <w:pPr>
        <w:jc w:val="center"/>
        <w:rPr>
          <w:rFonts w:eastAsia="仿宋"/>
          <w:sz w:val="52"/>
          <w:szCs w:val="52"/>
        </w:rPr>
      </w:pPr>
    </w:p>
    <w:p w14:paraId="339D04F7">
      <w:pPr>
        <w:keepNext w:val="0"/>
        <w:keepLines w:val="0"/>
        <w:pageBreakBefore w:val="0"/>
        <w:widowControl w:val="0"/>
        <w:kinsoku/>
        <w:wordWrap/>
        <w:overflowPunct/>
        <w:topLinePunct w:val="0"/>
        <w:autoSpaceDE/>
        <w:autoSpaceDN/>
        <w:bidi w:val="0"/>
        <w:adjustRightInd/>
        <w:snapToGrid/>
        <w:textAlignment w:val="auto"/>
        <w:rPr>
          <w:rFonts w:eastAsia="仿宋"/>
          <w:sz w:val="44"/>
          <w:szCs w:val="44"/>
        </w:rPr>
      </w:pPr>
    </w:p>
    <w:p w14:paraId="47A399A7">
      <w:pPr>
        <w:rPr>
          <w:rFonts w:eastAsia="仿宋"/>
          <w:sz w:val="44"/>
          <w:szCs w:val="44"/>
        </w:rPr>
      </w:pPr>
    </w:p>
    <w:p w14:paraId="198FB575">
      <w:pPr>
        <w:keepNext w:val="0"/>
        <w:keepLines w:val="0"/>
        <w:pageBreakBefore w:val="0"/>
        <w:widowControl w:val="0"/>
        <w:kinsoku/>
        <w:wordWrap/>
        <w:overflowPunct/>
        <w:topLinePunct w:val="0"/>
        <w:autoSpaceDE/>
        <w:autoSpaceDN/>
        <w:bidi w:val="0"/>
        <w:adjustRightInd w:val="0"/>
        <w:snapToGrid w:val="0"/>
        <w:spacing w:line="480" w:lineRule="auto"/>
        <w:ind w:left="0" w:hanging="1800" w:hangingChars="500"/>
        <w:textAlignment w:val="auto"/>
        <w:rPr>
          <w:rFonts w:hint="default" w:eastAsia="仿宋_GB2312"/>
          <w:sz w:val="36"/>
          <w:szCs w:val="36"/>
          <w:u w:val="single"/>
          <w:lang w:val="en-US" w:eastAsia="zh-CN"/>
        </w:rPr>
      </w:pPr>
      <w:bookmarkStart w:id="0" w:name="_Hlk57884087"/>
      <w:r>
        <w:rPr>
          <w:rFonts w:eastAsia="仿宋_GB2312"/>
          <w:sz w:val="36"/>
          <w:szCs w:val="36"/>
        </w:rPr>
        <w:t>项目名称：</w:t>
      </w:r>
      <w:r>
        <w:rPr>
          <w:rFonts w:hint="eastAsia" w:eastAsia="仿宋_GB2312"/>
          <w:sz w:val="36"/>
          <w:szCs w:val="36"/>
          <w:u w:val="single"/>
          <w:lang w:val="en-US" w:eastAsia="zh-CN"/>
        </w:rPr>
        <w:t xml:space="preserve">玉溪市大化产业园区仙福钢铁厂铁路专用线项目                              </w:t>
      </w:r>
    </w:p>
    <w:p w14:paraId="13067678">
      <w:pPr>
        <w:keepNext w:val="0"/>
        <w:keepLines w:val="0"/>
        <w:pageBreakBefore w:val="0"/>
        <w:widowControl w:val="0"/>
        <w:kinsoku/>
        <w:wordWrap/>
        <w:overflowPunct/>
        <w:topLinePunct w:val="0"/>
        <w:autoSpaceDE/>
        <w:autoSpaceDN/>
        <w:bidi w:val="0"/>
        <w:adjustRightInd w:val="0"/>
        <w:snapToGrid w:val="0"/>
        <w:spacing w:line="480" w:lineRule="auto"/>
        <w:ind w:left="3240" w:hanging="3240" w:hangingChars="900"/>
        <w:textAlignment w:val="auto"/>
        <w:rPr>
          <w:rFonts w:hint="default" w:eastAsia="仿宋_GB2312"/>
          <w:sz w:val="36"/>
          <w:szCs w:val="36"/>
          <w:u w:val="single"/>
          <w:lang w:val="en-US" w:eastAsia="zh-CN"/>
        </w:rPr>
      </w:pPr>
      <w:r>
        <w:rPr>
          <w:rFonts w:eastAsia="仿宋_GB2312"/>
          <w:sz w:val="36"/>
          <w:szCs w:val="36"/>
        </w:rPr>
        <w:t>建设单位（盖章）：</w:t>
      </w:r>
      <w:r>
        <w:rPr>
          <w:rFonts w:hint="eastAsia" w:eastAsia="仿宋_GB2312"/>
          <w:sz w:val="36"/>
          <w:szCs w:val="36"/>
          <w:u w:val="single"/>
          <w:lang w:val="en-US" w:eastAsia="zh-CN"/>
        </w:rPr>
        <w:t xml:space="preserve">云南玉溪仙福钢铁（集团）有限公司                        </w:t>
      </w:r>
    </w:p>
    <w:p w14:paraId="0E43F3AD">
      <w:pPr>
        <w:keepNext w:val="0"/>
        <w:keepLines w:val="0"/>
        <w:pageBreakBefore w:val="0"/>
        <w:widowControl w:val="0"/>
        <w:kinsoku/>
        <w:wordWrap/>
        <w:overflowPunct/>
        <w:topLinePunct w:val="0"/>
        <w:autoSpaceDE/>
        <w:autoSpaceDN/>
        <w:bidi w:val="0"/>
        <w:adjustRightInd w:val="0"/>
        <w:snapToGrid w:val="0"/>
        <w:spacing w:line="480" w:lineRule="auto"/>
        <w:ind w:left="0" w:hanging="1800" w:hangingChars="500"/>
        <w:textAlignment w:val="auto"/>
        <w:rPr>
          <w:rFonts w:hint="eastAsia" w:eastAsia="仿宋_GB2312"/>
          <w:sz w:val="36"/>
          <w:szCs w:val="36"/>
          <w:u w:val="single"/>
          <w:lang w:val="en-US" w:eastAsia="zh-CN"/>
        </w:rPr>
      </w:pPr>
      <w:r>
        <w:rPr>
          <w:rFonts w:eastAsia="仿宋_GB2312"/>
          <w:sz w:val="36"/>
          <w:szCs w:val="36"/>
        </w:rPr>
        <w:t>编制日期：</w:t>
      </w:r>
      <w:r>
        <w:rPr>
          <w:rFonts w:hint="eastAsia" w:eastAsia="仿宋_GB2312"/>
          <w:sz w:val="36"/>
          <w:szCs w:val="36"/>
          <w:u w:val="single"/>
          <w:lang w:val="en-US" w:eastAsia="zh-CN"/>
        </w:rPr>
        <w:t xml:space="preserve">        2026年4月                 </w:t>
      </w:r>
    </w:p>
    <w:p w14:paraId="62693793">
      <w:pPr>
        <w:adjustRightInd w:val="0"/>
        <w:snapToGrid w:val="0"/>
        <w:spacing w:line="288" w:lineRule="auto"/>
        <w:rPr>
          <w:rFonts w:eastAsia="仿宋_GB2312"/>
          <w:sz w:val="36"/>
          <w:szCs w:val="36"/>
        </w:rPr>
      </w:pPr>
    </w:p>
    <w:p w14:paraId="6FC34689">
      <w:pPr>
        <w:adjustRightInd w:val="0"/>
        <w:snapToGrid w:val="0"/>
        <w:spacing w:line="288" w:lineRule="auto"/>
        <w:rPr>
          <w:rFonts w:eastAsia="仿宋_GB2312"/>
          <w:sz w:val="36"/>
          <w:szCs w:val="36"/>
        </w:rPr>
      </w:pPr>
    </w:p>
    <w:bookmarkEnd w:id="0"/>
    <w:p w14:paraId="52C8418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eastAsia="楷体_GB2312"/>
          <w:sz w:val="36"/>
          <w:szCs w:val="36"/>
        </w:rPr>
      </w:pPr>
    </w:p>
    <w:p w14:paraId="6D83207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eastAsia="楷体_GB2312"/>
          <w:sz w:val="36"/>
          <w:szCs w:val="36"/>
        </w:rPr>
      </w:pPr>
    </w:p>
    <w:p w14:paraId="4B889BF9">
      <w:pPr>
        <w:ind w:left="0" w:leftChars="0" w:right="0" w:rightChars="0" w:firstLine="0" w:firstLineChars="0"/>
        <w:jc w:val="center"/>
        <w:rPr>
          <w:rFonts w:eastAsia="楷体_GB2312"/>
          <w:sz w:val="36"/>
          <w:szCs w:val="36"/>
        </w:rPr>
      </w:pPr>
      <w:r>
        <w:rPr>
          <w:rFonts w:eastAsia="楷体_GB2312"/>
          <w:sz w:val="36"/>
          <w:szCs w:val="36"/>
        </w:rPr>
        <w:t>中华人民共和国生态环境部制</w:t>
      </w:r>
    </w:p>
    <w:p w14:paraId="0F865FD7">
      <w:pPr>
        <w:ind w:left="0" w:leftChars="0" w:right="0" w:rightChars="0" w:firstLine="0" w:firstLineChars="0"/>
        <w:jc w:val="center"/>
        <w:rPr>
          <w:rFonts w:eastAsia="楷体_GB2312"/>
          <w:sz w:val="36"/>
          <w:szCs w:val="36"/>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7B2A6C4">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right="0" w:rightChars="0" w:firstLine="0" w:firstLineChars="0"/>
        <w:jc w:val="center"/>
        <w:textAlignment w:val="auto"/>
        <w:rPr>
          <w:rFonts w:hint="default"/>
          <w:b/>
          <w:bCs/>
          <w:sz w:val="32"/>
          <w:szCs w:val="32"/>
          <w:lang w:val="en-US" w:eastAsia="zh-CN"/>
        </w:rPr>
      </w:pPr>
      <w:bookmarkStart w:id="1" w:name="_Toc8017"/>
      <w:bookmarkStart w:id="2" w:name="_Toc26611"/>
      <w:bookmarkStart w:id="3" w:name="_Toc1573"/>
      <w:bookmarkStart w:id="4" w:name="_Toc15504"/>
      <w:r>
        <w:rPr>
          <w:rFonts w:hint="eastAsia"/>
          <w:b/>
          <w:bCs/>
          <w:sz w:val="32"/>
          <w:szCs w:val="32"/>
          <w:lang w:val="en-US" w:eastAsia="zh-CN"/>
        </w:rPr>
        <w:t>目录</w:t>
      </w:r>
    </w:p>
    <w:p w14:paraId="4A034A82">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rPr>
      </w:pPr>
      <w:r>
        <w:rPr>
          <w:rFonts w:hint="eastAsia"/>
          <w:lang w:eastAsia="zh-CN"/>
        </w:rPr>
        <w:fldChar w:fldCharType="begin"/>
      </w:r>
      <w:r>
        <w:rPr>
          <w:rFonts w:hint="eastAsia"/>
          <w:lang w:eastAsia="zh-CN"/>
        </w:rPr>
        <w:instrText xml:space="preserve">TOC \o "1-1" \h \u </w:instrText>
      </w:r>
      <w:r>
        <w:rPr>
          <w:rFonts w:hint="eastAsia"/>
          <w:lang w:eastAsia="zh-CN"/>
        </w:rPr>
        <w:fldChar w:fldCharType="separate"/>
      </w: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_Toc30627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lang w:eastAsia="zh-CN"/>
        </w:rPr>
        <w:t>一、建设项目基本情况</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_Toc30627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393BA78B">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_Toc32748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lang w:val="en-US" w:eastAsia="zh-CN"/>
        </w:rPr>
        <w:t>二、建设内容</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_Toc32748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32</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4F4E8FF2">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_Toc25695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highlight w:val="none"/>
          <w:lang w:val="en-US" w:eastAsia="zh-CN"/>
        </w:rPr>
        <w:t>三、生态环境现状、保护目标及评价标准</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_Toc25695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59</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7F37861B">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_Toc17103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highlight w:val="none"/>
          <w:lang w:val="en-US" w:eastAsia="zh-CN"/>
        </w:rPr>
        <w:t>四、生态环境影响分析</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_Toc17103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80</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24CDB0C0">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_Toc14615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highlight w:val="none"/>
          <w:lang w:val="en-US" w:eastAsia="zh-CN"/>
        </w:rPr>
        <w:t>五、主要生态环境保护措施</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_Toc14615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114</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269B1D05">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_Toc17067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highlight w:val="none"/>
          <w:lang w:val="en-US" w:eastAsia="zh-CN"/>
        </w:rPr>
        <w:t>六、生态环境保护措施监督检查清单</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_Toc17067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123</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22149B3D">
      <w:pPr>
        <w:pStyle w:val="1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rFonts w:hint="default" w:ascii="Times New Roman" w:hAnsi="Times New Roman" w:eastAsia="宋体" w:cs="Times New Roman"/>
          <w:b/>
          <w:bCs/>
          <w:sz w:val="28"/>
          <w:szCs w:val="28"/>
          <w:lang w:eastAsia="zh-CN"/>
        </w:rPr>
        <w:fldChar w:fldCharType="begin"/>
      </w:r>
      <w:r>
        <w:rPr>
          <w:rFonts w:hint="default" w:ascii="Times New Roman" w:hAnsi="Times New Roman" w:eastAsia="宋体" w:cs="Times New Roman"/>
          <w:b/>
          <w:bCs/>
          <w:sz w:val="28"/>
          <w:szCs w:val="28"/>
          <w:lang w:eastAsia="zh-CN"/>
        </w:rPr>
        <w:instrText xml:space="preserve"> HYPERLINK \l _Toc15642 </w:instrText>
      </w:r>
      <w:r>
        <w:rPr>
          <w:rFonts w:hint="default" w:ascii="Times New Roman" w:hAnsi="Times New Roman" w:eastAsia="宋体" w:cs="Times New Roman"/>
          <w:b/>
          <w:bCs/>
          <w:sz w:val="28"/>
          <w:szCs w:val="28"/>
          <w:lang w:eastAsia="zh-CN"/>
        </w:rPr>
        <w:fldChar w:fldCharType="separate"/>
      </w:r>
      <w:r>
        <w:rPr>
          <w:rFonts w:hint="default" w:ascii="Times New Roman" w:hAnsi="Times New Roman" w:eastAsia="宋体" w:cs="Times New Roman"/>
          <w:b/>
          <w:bCs/>
          <w:sz w:val="28"/>
          <w:szCs w:val="28"/>
          <w:highlight w:val="none"/>
          <w:lang w:val="en-US" w:eastAsia="zh-CN"/>
        </w:rPr>
        <w:t>七、结论</w:t>
      </w:r>
      <w:r>
        <w:rPr>
          <w:rFonts w:hint="default" w:ascii="Times New Roman" w:hAnsi="Times New Roman" w:eastAsia="宋体" w:cs="Times New Roman"/>
          <w:b/>
          <w:bCs/>
          <w:sz w:val="28"/>
          <w:szCs w:val="28"/>
        </w:rPr>
        <w:tab/>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PAGEREF _Toc15642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rPr>
        <w:t>127</w:t>
      </w:r>
      <w:r>
        <w:rPr>
          <w:rFonts w:hint="default" w:ascii="Times New Roman" w:hAnsi="Times New Roman" w:eastAsia="宋体" w:cs="Times New Roman"/>
          <w:b/>
          <w:bCs/>
          <w:sz w:val="28"/>
          <w:szCs w:val="28"/>
        </w:rPr>
        <w:fldChar w:fldCharType="end"/>
      </w:r>
      <w:r>
        <w:rPr>
          <w:rFonts w:hint="default" w:ascii="Times New Roman" w:hAnsi="Times New Roman" w:eastAsia="宋体" w:cs="Times New Roman"/>
          <w:b/>
          <w:bCs/>
          <w:sz w:val="28"/>
          <w:szCs w:val="28"/>
          <w:lang w:eastAsia="zh-CN"/>
        </w:rPr>
        <w:fldChar w:fldCharType="end"/>
      </w:r>
    </w:p>
    <w:p w14:paraId="0DF992FA">
      <w:pPr>
        <w:bidi w:val="0"/>
        <w:rPr>
          <w:rFonts w:hint="eastAsia"/>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eastAsia="zh-CN"/>
        </w:rPr>
        <w:fldChar w:fldCharType="end"/>
      </w:r>
    </w:p>
    <w:p w14:paraId="4CA2E582">
      <w:pPr>
        <w:bidi w:val="0"/>
        <w:rPr>
          <w:rFonts w:hint="eastAsia"/>
          <w:b/>
          <w:bCs/>
          <w:sz w:val="28"/>
          <w:szCs w:val="28"/>
          <w:lang w:val="en-US" w:eastAsia="zh-CN"/>
        </w:rPr>
      </w:pPr>
      <w:r>
        <w:rPr>
          <w:rFonts w:hint="eastAsia"/>
          <w:b/>
          <w:bCs/>
          <w:sz w:val="28"/>
          <w:szCs w:val="28"/>
          <w:lang w:val="en-US" w:eastAsia="zh-CN"/>
        </w:rPr>
        <w:t>附件：</w:t>
      </w:r>
    </w:p>
    <w:p w14:paraId="6AC285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附件1</w:t>
      </w:r>
      <w:r>
        <w:rPr>
          <w:rFonts w:hint="eastAsia" w:ascii="Times New Roman" w:hAnsi="Times New Roman" w:cs="Times New Roman"/>
          <w:b w:val="0"/>
          <w:bCs w:val="0"/>
          <w:sz w:val="24"/>
          <w:szCs w:val="24"/>
          <w:lang w:val="en-US" w:eastAsia="zh-CN"/>
        </w:rPr>
        <w:t>、委托书；</w:t>
      </w:r>
    </w:p>
    <w:p w14:paraId="6CE774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附件2、云南省发展和改革委员会关于玉溪市大化产业园区仙福钢铁厂铁路专用线项目核准的批复</w:t>
      </w:r>
      <w:r>
        <w:rPr>
          <w:rFonts w:hint="eastAsia" w:ascii="Times New Roman" w:hAnsi="Times New Roman" w:cs="Times New Roman"/>
          <w:b w:val="0"/>
          <w:bCs w:val="0"/>
          <w:sz w:val="24"/>
          <w:szCs w:val="24"/>
          <w:lang w:val="en-US" w:eastAsia="zh-CN"/>
        </w:rPr>
        <w:t>；</w:t>
      </w:r>
    </w:p>
    <w:p w14:paraId="7B8FF1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附件3、玉溪市生态环境局关于《云南新平产业园区总体规划修编（2021-2035年）环境影响报告书》审查意见的函及审查意见</w:t>
      </w:r>
      <w:r>
        <w:rPr>
          <w:rFonts w:hint="eastAsia" w:ascii="Times New Roman" w:hAnsi="Times New Roman" w:cs="Times New Roman"/>
          <w:b w:val="0"/>
          <w:bCs w:val="0"/>
          <w:sz w:val="24"/>
          <w:szCs w:val="24"/>
          <w:lang w:val="en-US" w:eastAsia="zh-CN"/>
        </w:rPr>
        <w:t>；</w:t>
      </w:r>
    </w:p>
    <w:p w14:paraId="738348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附件4、玉溪市人民政府关于《云南新平产业园区总体规划修编（2021-2035年</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的批复</w:t>
      </w:r>
      <w:r>
        <w:rPr>
          <w:rFonts w:hint="eastAsia" w:ascii="Times New Roman" w:hAnsi="Times New Roman" w:cs="Times New Roman"/>
          <w:b w:val="0"/>
          <w:bCs w:val="0"/>
          <w:sz w:val="24"/>
          <w:szCs w:val="24"/>
          <w:lang w:val="en-US" w:eastAsia="zh-CN"/>
        </w:rPr>
        <w:t>；</w:t>
      </w:r>
    </w:p>
    <w:p w14:paraId="1AFD4B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w:t>
      </w:r>
      <w:r>
        <w:rPr>
          <w:rFonts w:hint="eastAsia" w:ascii="Times New Roman" w:hAnsi="Times New Roman" w:cs="Times New Roman"/>
          <w:b w:val="0"/>
          <w:bCs w:val="0"/>
          <w:sz w:val="24"/>
          <w:szCs w:val="24"/>
          <w:lang w:val="en-US" w:eastAsia="zh-CN"/>
        </w:rPr>
        <w:t>5</w:t>
      </w:r>
      <w:r>
        <w:rPr>
          <w:rFonts w:hint="default" w:ascii="Times New Roman" w:hAnsi="Times New Roman" w:cs="Times New Roman"/>
          <w:b w:val="0"/>
          <w:bCs w:val="0"/>
          <w:sz w:val="24"/>
          <w:szCs w:val="24"/>
          <w:lang w:val="en-US" w:eastAsia="zh-CN"/>
        </w:rPr>
        <w:t>、玉溪市工业信息投资有限公司关于玉溪市大化产业园区仙福钢铁厂铁路专用线与玉溪市大化产业园区铁路专用线接轨的意见</w:t>
      </w:r>
      <w:r>
        <w:rPr>
          <w:rFonts w:hint="eastAsia" w:ascii="Times New Roman" w:hAnsi="Times New Roman" w:cs="Times New Roman"/>
          <w:b w:val="0"/>
          <w:bCs w:val="0"/>
          <w:sz w:val="24"/>
          <w:szCs w:val="24"/>
          <w:lang w:val="en-US" w:eastAsia="zh-CN"/>
        </w:rPr>
        <w:t>；</w:t>
      </w:r>
    </w:p>
    <w:p w14:paraId="074F42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附件6、中国铁路昆明局集团有限公司关于玉溪市大化产业园区仙福钢铁厂铁路专用线与中老昆万铁路接轨意见的函</w:t>
      </w:r>
      <w:r>
        <w:rPr>
          <w:rFonts w:hint="eastAsia" w:ascii="Times New Roman" w:hAnsi="Times New Roman" w:cs="Times New Roman"/>
          <w:b w:val="0"/>
          <w:bCs w:val="0"/>
          <w:sz w:val="24"/>
          <w:szCs w:val="24"/>
          <w:lang w:val="en-US" w:eastAsia="zh-CN"/>
        </w:rPr>
        <w:t>；</w:t>
      </w:r>
    </w:p>
    <w:p w14:paraId="220C51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附件7、中国铁路昆明局集团有限公司计划统计部关于玉溪市大化产业园区仙福钢铁厂铁路专用线可行性研究报告技术咨询的意见</w:t>
      </w:r>
      <w:r>
        <w:rPr>
          <w:rFonts w:hint="eastAsia" w:ascii="Times New Roman" w:hAnsi="Times New Roman" w:cs="Times New Roman"/>
          <w:b w:val="0"/>
          <w:bCs w:val="0"/>
          <w:sz w:val="24"/>
          <w:szCs w:val="24"/>
          <w:lang w:val="en-US" w:eastAsia="zh-CN"/>
        </w:rPr>
        <w:t>；</w:t>
      </w:r>
    </w:p>
    <w:p w14:paraId="1E2E36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附件8、成都铁路监督管理局关于玉溪市大化产业园区仙福钢铁厂铁路专用线项目审核意见的函；</w:t>
      </w:r>
    </w:p>
    <w:p w14:paraId="43082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附件9、新平</w:t>
      </w:r>
      <w:r>
        <w:rPr>
          <w:rFonts w:hint="eastAsia" w:cs="Times New Roman"/>
          <w:b w:val="0"/>
          <w:bCs w:val="0"/>
          <w:sz w:val="24"/>
          <w:szCs w:val="24"/>
          <w:lang w:val="en-US" w:eastAsia="zh-CN"/>
        </w:rPr>
        <w:t>彝族</w:t>
      </w:r>
      <w:r>
        <w:rPr>
          <w:rFonts w:hint="eastAsia" w:ascii="Times New Roman" w:hAnsi="Times New Roman" w:cs="Times New Roman"/>
          <w:b w:val="0"/>
          <w:bCs w:val="0"/>
          <w:sz w:val="24"/>
          <w:szCs w:val="24"/>
          <w:lang w:val="en-US" w:eastAsia="zh-CN"/>
        </w:rPr>
        <w:t>傣族自治县县委政法委关于玉溪市大化产业园区仙福钢铁厂铁路专用线重大决策事项社会稳定风险评估同意备案书；</w:t>
      </w:r>
    </w:p>
    <w:p w14:paraId="0C9012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w:t>
      </w:r>
      <w:r>
        <w:rPr>
          <w:rFonts w:hint="eastAsia" w:ascii="Times New Roman" w:hAnsi="Times New Roman" w:cs="Times New Roman"/>
          <w:b w:val="0"/>
          <w:bCs w:val="0"/>
          <w:sz w:val="24"/>
          <w:szCs w:val="24"/>
          <w:lang w:val="en-US" w:eastAsia="zh-CN"/>
        </w:rPr>
        <w:t>10</w:t>
      </w:r>
      <w:r>
        <w:rPr>
          <w:rFonts w:hint="default" w:ascii="Times New Roman" w:hAnsi="Times New Roman" w:cs="Times New Roman"/>
          <w:b w:val="0"/>
          <w:bCs w:val="0"/>
          <w:sz w:val="24"/>
          <w:szCs w:val="24"/>
          <w:lang w:val="en-US" w:eastAsia="zh-CN"/>
        </w:rPr>
        <w:t>、玉溪市交通运输局关于玉溪市大化产业园区仙福钢铁厂铁路专用线项目申请报告会审意见的函</w:t>
      </w:r>
      <w:r>
        <w:rPr>
          <w:rFonts w:hint="eastAsia" w:ascii="Times New Roman" w:hAnsi="Times New Roman" w:cs="Times New Roman"/>
          <w:b w:val="0"/>
          <w:bCs w:val="0"/>
          <w:sz w:val="24"/>
          <w:szCs w:val="24"/>
          <w:lang w:val="en-US" w:eastAsia="zh-CN"/>
        </w:rPr>
        <w:t>；</w:t>
      </w:r>
    </w:p>
    <w:p w14:paraId="59C70B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附件1</w:t>
      </w:r>
      <w:r>
        <w:rPr>
          <w:rFonts w:hint="eastAsia" w:ascii="Times New Roman" w:hAnsi="Times New Roman" w:cs="Times New Roman"/>
          <w:b w:val="0"/>
          <w:bCs w:val="0"/>
          <w:sz w:val="24"/>
          <w:szCs w:val="24"/>
          <w:lang w:val="en-US" w:eastAsia="zh-CN"/>
        </w:rPr>
        <w:t>1</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云南省人民政府投资项目评审中心关于玉溪市大化产业园区仙福钢铁厂铁路专用线项目申请报告的评估意见；</w:t>
      </w:r>
    </w:p>
    <w:p w14:paraId="1F3BC9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附件12、</w:t>
      </w:r>
      <w:r>
        <w:rPr>
          <w:rFonts w:hint="default" w:ascii="Times New Roman" w:hAnsi="Times New Roman" w:cs="Times New Roman"/>
          <w:b w:val="0"/>
          <w:bCs w:val="0"/>
          <w:sz w:val="24"/>
          <w:szCs w:val="24"/>
          <w:lang w:val="en-US" w:eastAsia="zh-CN"/>
        </w:rPr>
        <w:t>新平彝族傣族自治县自然资源局关于玉溪市大化产业园区仙福钢铁厂铁路专用线用地保障及建设的情况说明</w:t>
      </w:r>
      <w:r>
        <w:rPr>
          <w:rFonts w:hint="eastAsia" w:cs="Times New Roman"/>
          <w:b w:val="0"/>
          <w:bCs w:val="0"/>
          <w:sz w:val="24"/>
          <w:szCs w:val="24"/>
          <w:lang w:val="en-US" w:eastAsia="zh-CN"/>
        </w:rPr>
        <w:t>；</w:t>
      </w:r>
    </w:p>
    <w:p w14:paraId="286115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附件13、项目土地产权证；</w:t>
      </w:r>
    </w:p>
    <w:p w14:paraId="2BEDE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附件14、XTC（2025）38号地块成交确认书；</w:t>
      </w:r>
    </w:p>
    <w:p w14:paraId="480D21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附件15、XTC</w:t>
      </w:r>
      <w:r>
        <w:rPr>
          <w:rFonts w:hint="eastAsia" w:ascii="Times New Roman" w:hAnsi="Times New Roman" w:cs="Times New Roman"/>
          <w:b w:val="0"/>
          <w:bCs w:val="0"/>
          <w:sz w:val="24"/>
          <w:szCs w:val="24"/>
          <w:lang w:val="en-US" w:eastAsia="zh-CN"/>
        </w:rPr>
        <w:t>（2025）</w:t>
      </w:r>
      <w:r>
        <w:rPr>
          <w:rFonts w:hint="default" w:ascii="Times New Roman" w:hAnsi="Times New Roman" w:cs="Times New Roman"/>
          <w:b w:val="0"/>
          <w:bCs w:val="0"/>
          <w:sz w:val="24"/>
          <w:szCs w:val="24"/>
          <w:lang w:val="en-US" w:eastAsia="zh-CN"/>
        </w:rPr>
        <w:t>40号地块成交确认书</w:t>
      </w:r>
      <w:r>
        <w:rPr>
          <w:rFonts w:hint="eastAsia" w:ascii="Times New Roman" w:hAnsi="Times New Roman" w:cs="Times New Roman"/>
          <w:b w:val="0"/>
          <w:bCs w:val="0"/>
          <w:sz w:val="24"/>
          <w:szCs w:val="24"/>
          <w:lang w:val="en-US" w:eastAsia="zh-CN"/>
        </w:rPr>
        <w:t>；</w:t>
      </w:r>
    </w:p>
    <w:p w14:paraId="6F9282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附件16、关于玉溪大化产业园区仙福钢铁厂铁路专用线项目“分区管控”查询情况的复函；</w:t>
      </w:r>
    </w:p>
    <w:p w14:paraId="0868E3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cs="Times New Roman"/>
          <w:b w:val="0"/>
          <w:bCs w:val="0"/>
          <w:sz w:val="24"/>
          <w:szCs w:val="24"/>
          <w:lang w:val="en-US" w:eastAsia="zh-CN"/>
        </w:rPr>
        <w:t>附件17、</w:t>
      </w:r>
      <w:r>
        <w:rPr>
          <w:rFonts w:hint="eastAsia" w:ascii="Times New Roman" w:hAnsi="Times New Roman" w:cs="Times New Roman"/>
          <w:b w:val="0"/>
          <w:bCs w:val="0"/>
          <w:sz w:val="24"/>
          <w:szCs w:val="24"/>
          <w:lang w:val="en-US" w:eastAsia="zh-CN"/>
        </w:rPr>
        <w:t>建设单位营业执照；</w:t>
      </w:r>
    </w:p>
    <w:p w14:paraId="5496E3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附件</w:t>
      </w:r>
      <w:r>
        <w:rPr>
          <w:rFonts w:hint="eastAsia" w:cs="Times New Roman"/>
          <w:b w:val="0"/>
          <w:bCs w:val="0"/>
          <w:sz w:val="24"/>
          <w:szCs w:val="24"/>
          <w:lang w:val="en-US" w:eastAsia="zh-CN"/>
        </w:rPr>
        <w:t>18</w:t>
      </w:r>
      <w:r>
        <w:rPr>
          <w:rFonts w:hint="eastAsia" w:ascii="Times New Roman" w:hAnsi="Times New Roman" w:cs="Times New Roman"/>
          <w:b w:val="0"/>
          <w:bCs w:val="0"/>
          <w:sz w:val="24"/>
          <w:szCs w:val="24"/>
          <w:lang w:val="en-US" w:eastAsia="zh-CN"/>
        </w:rPr>
        <w:t>、监测报告；</w:t>
      </w:r>
    </w:p>
    <w:p w14:paraId="296203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附件19、玉溪市生态环境局关于玉溪市大化产业园区铁路专用线工程环境影响报告表批复；</w:t>
      </w:r>
    </w:p>
    <w:p w14:paraId="64A07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附件20、项目引用监测报告；</w:t>
      </w:r>
    </w:p>
    <w:p w14:paraId="35A09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附件21、项目合同；</w:t>
      </w:r>
    </w:p>
    <w:p w14:paraId="21DD7F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附件22、公司内部审核表；</w:t>
      </w:r>
    </w:p>
    <w:p w14:paraId="47AB9A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附件23、项目进度表；</w:t>
      </w:r>
    </w:p>
    <w:p w14:paraId="6B71FB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附件24、专家评审意见及签到表；</w:t>
      </w:r>
    </w:p>
    <w:p w14:paraId="145F93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附件25、专家意见修改对照表。</w:t>
      </w:r>
    </w:p>
    <w:p w14:paraId="2B5B6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5BAC5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附图：</w:t>
      </w:r>
    </w:p>
    <w:p w14:paraId="21C5A9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附图1</w:t>
      </w:r>
      <w:r>
        <w:rPr>
          <w:rFonts w:hint="eastAsia" w:ascii="Times New Roman" w:hAnsi="Times New Roman" w:eastAsia="宋体" w:cs="Times New Roman"/>
          <w:b w:val="0"/>
          <w:bCs w:val="0"/>
          <w:sz w:val="24"/>
          <w:szCs w:val="24"/>
          <w:lang w:val="en-US" w:eastAsia="zh-CN"/>
        </w:rPr>
        <w:t>、项目地理位置图；</w:t>
      </w:r>
    </w:p>
    <w:p w14:paraId="06A6C6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附图2、玉溪市大化产业园区仙福钢铁厂铁路专用线线路方案示意图；</w:t>
      </w:r>
    </w:p>
    <w:p w14:paraId="1AC670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附图3、玉溪市大化产业园区仙福钢铁厂铁路专用线平面布置方案示意图；</w:t>
      </w:r>
    </w:p>
    <w:p w14:paraId="13F36D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附图4、项目与云南省生态功能类型区划位置关系图；</w:t>
      </w:r>
    </w:p>
    <w:p w14:paraId="6332D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附图5、项目与云南省主体功能区规划位置关系图</w:t>
      </w:r>
      <w:r>
        <w:rPr>
          <w:rFonts w:hint="eastAsia" w:ascii="Times New Roman" w:hAnsi="Times New Roman" w:eastAsia="宋体" w:cs="Times New Roman"/>
          <w:b w:val="0"/>
          <w:bCs w:val="0"/>
          <w:sz w:val="24"/>
          <w:szCs w:val="24"/>
          <w:lang w:val="en-US" w:eastAsia="zh-CN"/>
        </w:rPr>
        <w:t>；</w:t>
      </w:r>
    </w:p>
    <w:p w14:paraId="720AC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附图6、项目区域水系图</w:t>
      </w:r>
      <w:r>
        <w:rPr>
          <w:rFonts w:hint="eastAsia" w:ascii="Times New Roman" w:hAnsi="Times New Roman" w:eastAsia="宋体" w:cs="Times New Roman"/>
          <w:b w:val="0"/>
          <w:bCs w:val="0"/>
          <w:sz w:val="24"/>
          <w:szCs w:val="24"/>
          <w:lang w:val="en-US" w:eastAsia="zh-CN"/>
        </w:rPr>
        <w:t>；</w:t>
      </w:r>
    </w:p>
    <w:p w14:paraId="07800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附图7、项目与云南省生物多样性保护优先区域位置关系图</w:t>
      </w:r>
      <w:r>
        <w:rPr>
          <w:rFonts w:hint="eastAsia" w:cs="Times New Roman"/>
          <w:b w:val="0"/>
          <w:bCs w:val="0"/>
          <w:sz w:val="24"/>
          <w:szCs w:val="24"/>
          <w:lang w:val="en-US" w:eastAsia="zh-CN"/>
        </w:rPr>
        <w:t>；</w:t>
      </w:r>
    </w:p>
    <w:p w14:paraId="632E2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附图8、项目周边关系图；</w:t>
      </w:r>
    </w:p>
    <w:p w14:paraId="20C1ED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附图9、项目与新平产业园区钢城片区规划范围位置关系图；</w:t>
      </w:r>
    </w:p>
    <w:p w14:paraId="4125AE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z w:val="24"/>
          <w:szCs w:val="24"/>
          <w:lang w:val="en-US" w:eastAsia="zh-CN"/>
        </w:rPr>
      </w:pPr>
      <w:r>
        <w:rPr>
          <w:rFonts w:hint="eastAsia" w:cs="Times New Roman"/>
          <w:b w:val="0"/>
          <w:bCs w:val="0"/>
          <w:sz w:val="24"/>
          <w:szCs w:val="24"/>
          <w:lang w:val="en-US" w:eastAsia="zh-CN"/>
        </w:rPr>
        <w:t>附图10、玉溪市大化产业园区仙福钢铁厂铁路专用线项目分区防渗图。</w:t>
      </w:r>
    </w:p>
    <w:p w14:paraId="7A3FF7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0EF902D">
      <w:pPr>
        <w:pStyle w:val="4"/>
        <w:keepNext w:val="0"/>
        <w:keepLines w:val="0"/>
        <w:pageBreakBefore/>
        <w:widowControl w:val="0"/>
        <w:kinsoku/>
        <w:wordWrap/>
        <w:overflowPunct/>
        <w:topLinePunct w:val="0"/>
        <w:autoSpaceDE/>
        <w:autoSpaceDN/>
        <w:bidi w:val="0"/>
        <w:adjustRightInd/>
        <w:snapToGrid/>
        <w:textAlignment w:val="auto"/>
        <w:outlineLvl w:val="0"/>
        <w:rPr>
          <w:rFonts w:hint="eastAsia"/>
          <w:lang w:eastAsia="zh-CN"/>
        </w:rPr>
      </w:pPr>
      <w:bookmarkStart w:id="5" w:name="_Toc30627"/>
      <w:r>
        <w:rPr>
          <w:rFonts w:hint="eastAsia"/>
          <w:lang w:eastAsia="zh-CN"/>
        </w:rPr>
        <w:t>一、建设项目基本情况</w:t>
      </w:r>
      <w:bookmarkEnd w:id="1"/>
      <w:bookmarkEnd w:id="2"/>
      <w:bookmarkEnd w:id="3"/>
      <w:bookmarkEnd w:id="4"/>
      <w:bookmarkEnd w:id="5"/>
    </w:p>
    <w:tbl>
      <w:tblPr>
        <w:tblStyle w:val="22"/>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34"/>
        <w:gridCol w:w="2023"/>
        <w:gridCol w:w="2029"/>
        <w:gridCol w:w="3605"/>
      </w:tblGrid>
      <w:tr w14:paraId="65BA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1234" w:type="dxa"/>
            <w:tcBorders>
              <w:tl2br w:val="nil"/>
              <w:tr2bl w:val="nil"/>
            </w:tcBorders>
            <w:shd w:val="clear" w:color="auto" w:fill="auto"/>
            <w:vAlign w:val="center"/>
          </w:tcPr>
          <w:p w14:paraId="6E1E8A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t>项目名称</w:t>
            </w:r>
          </w:p>
        </w:tc>
        <w:tc>
          <w:tcPr>
            <w:tcW w:w="7657" w:type="dxa"/>
            <w:gridSpan w:val="3"/>
            <w:tcBorders>
              <w:tl2br w:val="nil"/>
              <w:tr2bl w:val="nil"/>
            </w:tcBorders>
            <w:shd w:val="clear" w:color="auto" w:fill="auto"/>
            <w:vAlign w:val="center"/>
          </w:tcPr>
          <w:p w14:paraId="020A82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玉溪市大化产业园区仙福钢铁厂铁路专用线项目</w:t>
            </w:r>
          </w:p>
        </w:tc>
      </w:tr>
      <w:tr w14:paraId="31BF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234" w:type="dxa"/>
            <w:tcBorders>
              <w:tl2br w:val="nil"/>
              <w:tr2bl w:val="nil"/>
            </w:tcBorders>
            <w:shd w:val="clear" w:color="auto" w:fill="auto"/>
            <w:vAlign w:val="center"/>
          </w:tcPr>
          <w:p w14:paraId="387D7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项目代码</w:t>
            </w:r>
          </w:p>
        </w:tc>
        <w:tc>
          <w:tcPr>
            <w:tcW w:w="7657" w:type="dxa"/>
            <w:gridSpan w:val="3"/>
            <w:tcBorders>
              <w:tl2br w:val="nil"/>
              <w:tr2bl w:val="nil"/>
            </w:tcBorders>
            <w:shd w:val="clear" w:color="auto" w:fill="auto"/>
            <w:vAlign w:val="center"/>
          </w:tcPr>
          <w:p w14:paraId="53A96B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25</w:t>
            </w:r>
            <w:r>
              <w:rPr>
                <w:rFonts w:hint="default" w:cs="Times New Roman"/>
                <w:i w:val="0"/>
                <w:iCs w:val="0"/>
                <w:color w:val="auto"/>
                <w:sz w:val="24"/>
                <w:szCs w:val="24"/>
                <w:highlight w:val="none"/>
                <w:u w:val="none"/>
                <w:lang w:val="en-US" w:eastAsia="zh-CN"/>
              </w:rPr>
              <w:t>06-530400-04-01-709278</w:t>
            </w:r>
          </w:p>
        </w:tc>
      </w:tr>
      <w:tr w14:paraId="0888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1234" w:type="dxa"/>
            <w:tcBorders>
              <w:tl2br w:val="nil"/>
              <w:tr2bl w:val="nil"/>
            </w:tcBorders>
            <w:shd w:val="clear" w:color="auto" w:fill="auto"/>
            <w:vAlign w:val="center"/>
          </w:tcPr>
          <w:p w14:paraId="73087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建设单位联系人</w:t>
            </w:r>
          </w:p>
        </w:tc>
        <w:tc>
          <w:tcPr>
            <w:tcW w:w="2023" w:type="dxa"/>
            <w:tcBorders>
              <w:tl2br w:val="nil"/>
              <w:tr2bl w:val="nil"/>
            </w:tcBorders>
            <w:shd w:val="clear" w:color="auto" w:fill="auto"/>
            <w:vAlign w:val="center"/>
          </w:tcPr>
          <w:p w14:paraId="507999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王晓梅</w:t>
            </w:r>
          </w:p>
        </w:tc>
        <w:tc>
          <w:tcPr>
            <w:tcW w:w="2029" w:type="dxa"/>
            <w:tcBorders>
              <w:tl2br w:val="nil"/>
              <w:tr2bl w:val="nil"/>
            </w:tcBorders>
            <w:shd w:val="clear" w:color="auto" w:fill="auto"/>
            <w:vAlign w:val="center"/>
          </w:tcPr>
          <w:p w14:paraId="2269A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联系方式</w:t>
            </w:r>
          </w:p>
        </w:tc>
        <w:tc>
          <w:tcPr>
            <w:tcW w:w="3605" w:type="dxa"/>
            <w:tcBorders>
              <w:tl2br w:val="nil"/>
              <w:tr2bl w:val="nil"/>
            </w:tcBorders>
            <w:shd w:val="clear" w:color="auto" w:fill="auto"/>
            <w:vAlign w:val="center"/>
          </w:tcPr>
          <w:p w14:paraId="7644DB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18288694096</w:t>
            </w:r>
          </w:p>
        </w:tc>
      </w:tr>
      <w:tr w14:paraId="19E2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 w:hRule="atLeast"/>
          <w:jc w:val="center"/>
        </w:trPr>
        <w:tc>
          <w:tcPr>
            <w:tcW w:w="1234" w:type="dxa"/>
            <w:tcBorders>
              <w:tl2br w:val="nil"/>
              <w:tr2bl w:val="nil"/>
            </w:tcBorders>
            <w:shd w:val="clear" w:color="auto" w:fill="auto"/>
            <w:vAlign w:val="center"/>
          </w:tcPr>
          <w:p w14:paraId="1367A7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建设地点</w:t>
            </w:r>
          </w:p>
        </w:tc>
        <w:tc>
          <w:tcPr>
            <w:tcW w:w="7657" w:type="dxa"/>
            <w:gridSpan w:val="3"/>
            <w:tcBorders>
              <w:tl2br w:val="nil"/>
              <w:tr2bl w:val="nil"/>
            </w:tcBorders>
            <w:shd w:val="clear" w:color="auto" w:fill="auto"/>
            <w:vAlign w:val="center"/>
          </w:tcPr>
          <w:p w14:paraId="31723B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color w:val="auto"/>
                <w:sz w:val="24"/>
                <w:szCs w:val="24"/>
              </w:rPr>
              <w:t>云南省</w:t>
            </w:r>
            <w:r>
              <w:rPr>
                <w:rFonts w:hint="eastAsia" w:cs="Times New Roman"/>
                <w:color w:val="auto"/>
                <w:sz w:val="24"/>
                <w:szCs w:val="24"/>
                <w:lang w:val="en-US" w:eastAsia="zh-CN"/>
              </w:rPr>
              <w:t>玉溪市新平县扬武镇大开门</w:t>
            </w:r>
          </w:p>
        </w:tc>
      </w:tr>
      <w:tr w14:paraId="7B7F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1234" w:type="dxa"/>
            <w:tcBorders>
              <w:tl2br w:val="nil"/>
              <w:tr2bl w:val="nil"/>
            </w:tcBorders>
            <w:shd w:val="clear" w:color="auto" w:fill="auto"/>
            <w:vAlign w:val="center"/>
          </w:tcPr>
          <w:p w14:paraId="08F26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地理坐标</w:t>
            </w:r>
          </w:p>
        </w:tc>
        <w:tc>
          <w:tcPr>
            <w:tcW w:w="7657" w:type="dxa"/>
            <w:gridSpan w:val="3"/>
            <w:tcBorders>
              <w:tl2br w:val="nil"/>
              <w:tr2bl w:val="nil"/>
            </w:tcBorders>
            <w:shd w:val="clear" w:color="auto" w:fill="auto"/>
            <w:vAlign w:val="center"/>
          </w:tcPr>
          <w:p w14:paraId="076F5F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起点：（</w:t>
            </w:r>
            <w:r>
              <w:rPr>
                <w:rFonts w:hint="eastAsia" w:cs="Times New Roman"/>
                <w:i w:val="0"/>
                <w:iCs w:val="0"/>
                <w:color w:val="auto"/>
                <w:sz w:val="24"/>
                <w:szCs w:val="24"/>
                <w:highlight w:val="none"/>
                <w:u w:val="single"/>
                <w:lang w:val="en-US" w:eastAsia="zh-CN"/>
              </w:rPr>
              <w:t>102</w:t>
            </w:r>
            <w:r>
              <w:rPr>
                <w:rFonts w:ascii="Times New Roman" w:hAnsi="Times New Roman"/>
                <w:color w:val="auto"/>
                <w:sz w:val="24"/>
              </w:rPr>
              <w:t>度</w:t>
            </w:r>
            <w:r>
              <w:rPr>
                <w:rFonts w:hint="eastAsia" w:cs="Times New Roman"/>
                <w:i w:val="0"/>
                <w:iCs w:val="0"/>
                <w:color w:val="auto"/>
                <w:sz w:val="24"/>
                <w:szCs w:val="24"/>
                <w:highlight w:val="none"/>
                <w:u w:val="single"/>
                <w:lang w:val="en-US" w:eastAsia="zh-CN"/>
              </w:rPr>
              <w:t>10</w:t>
            </w:r>
            <w:r>
              <w:rPr>
                <w:rFonts w:ascii="Times New Roman" w:hAnsi="Times New Roman"/>
                <w:color w:val="auto"/>
                <w:sz w:val="24"/>
              </w:rPr>
              <w:t>分</w:t>
            </w:r>
            <w:r>
              <w:rPr>
                <w:rFonts w:hint="eastAsia" w:cs="Times New Roman"/>
                <w:i w:val="0"/>
                <w:iCs w:val="0"/>
                <w:color w:val="auto"/>
                <w:sz w:val="24"/>
                <w:szCs w:val="24"/>
                <w:highlight w:val="none"/>
                <w:u w:val="single"/>
                <w:lang w:val="en-US" w:eastAsia="zh-CN"/>
              </w:rPr>
              <w:t>22.781</w:t>
            </w:r>
            <w:r>
              <w:rPr>
                <w:rFonts w:ascii="Times New Roman" w:hAnsi="Times New Roman"/>
                <w:color w:val="auto"/>
                <w:sz w:val="24"/>
              </w:rPr>
              <w:t>秒</w:t>
            </w:r>
            <w:r>
              <w:rPr>
                <w:rFonts w:hint="eastAsia" w:cs="Times New Roman"/>
                <w:i w:val="0"/>
                <w:iCs w:val="0"/>
                <w:color w:val="auto"/>
                <w:sz w:val="24"/>
                <w:szCs w:val="24"/>
                <w:highlight w:val="none"/>
                <w:u w:val="none"/>
                <w:lang w:val="en-US" w:eastAsia="zh-CN"/>
              </w:rPr>
              <w:t>，</w:t>
            </w:r>
            <w:r>
              <w:rPr>
                <w:rFonts w:hint="eastAsia" w:cs="Times New Roman"/>
                <w:i w:val="0"/>
                <w:iCs w:val="0"/>
                <w:color w:val="auto"/>
                <w:sz w:val="24"/>
                <w:szCs w:val="24"/>
                <w:highlight w:val="none"/>
                <w:u w:val="single"/>
                <w:lang w:val="en-US" w:eastAsia="zh-CN"/>
              </w:rPr>
              <w:t>24</w:t>
            </w:r>
            <w:r>
              <w:rPr>
                <w:rFonts w:ascii="Times New Roman" w:hAnsi="Times New Roman"/>
                <w:color w:val="auto"/>
                <w:sz w:val="24"/>
              </w:rPr>
              <w:t>度</w:t>
            </w:r>
            <w:r>
              <w:rPr>
                <w:rFonts w:hint="eastAsia" w:cs="Times New Roman"/>
                <w:i w:val="0"/>
                <w:iCs w:val="0"/>
                <w:color w:val="auto"/>
                <w:sz w:val="24"/>
                <w:szCs w:val="24"/>
                <w:highlight w:val="none"/>
                <w:u w:val="single"/>
                <w:lang w:val="en-US" w:eastAsia="zh-CN"/>
              </w:rPr>
              <w:t>1</w:t>
            </w:r>
            <w:r>
              <w:rPr>
                <w:rFonts w:ascii="Times New Roman" w:hAnsi="Times New Roman"/>
                <w:color w:val="auto"/>
                <w:sz w:val="24"/>
              </w:rPr>
              <w:t>分</w:t>
            </w:r>
            <w:r>
              <w:rPr>
                <w:rFonts w:hint="eastAsia" w:cs="Times New Roman"/>
                <w:i w:val="0"/>
                <w:iCs w:val="0"/>
                <w:color w:val="auto"/>
                <w:sz w:val="24"/>
                <w:szCs w:val="24"/>
                <w:highlight w:val="none"/>
                <w:u w:val="single"/>
                <w:lang w:val="en-US" w:eastAsia="zh-CN"/>
              </w:rPr>
              <w:t>11.852</w:t>
            </w:r>
            <w:r>
              <w:rPr>
                <w:rFonts w:ascii="Times New Roman" w:hAnsi="Times New Roman"/>
                <w:color w:val="auto"/>
                <w:sz w:val="24"/>
              </w:rPr>
              <w:t>秒</w:t>
            </w:r>
            <w:r>
              <w:rPr>
                <w:rFonts w:hint="eastAsia" w:ascii="Times New Roman" w:hAnsi="Times New Roman"/>
                <w:color w:val="auto"/>
                <w:sz w:val="24"/>
                <w:lang w:eastAsia="zh-CN"/>
              </w:rPr>
              <w:t>）</w:t>
            </w:r>
          </w:p>
          <w:p w14:paraId="320A6B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终点：（</w:t>
            </w:r>
            <w:r>
              <w:rPr>
                <w:rFonts w:hint="eastAsia" w:cs="Times New Roman"/>
                <w:i w:val="0"/>
                <w:iCs w:val="0"/>
                <w:color w:val="auto"/>
                <w:sz w:val="24"/>
                <w:szCs w:val="24"/>
                <w:highlight w:val="none"/>
                <w:u w:val="single"/>
                <w:lang w:val="en-US" w:eastAsia="zh-CN"/>
              </w:rPr>
              <w:t>102</w:t>
            </w:r>
            <w:r>
              <w:rPr>
                <w:rFonts w:ascii="Times New Roman" w:hAnsi="Times New Roman"/>
                <w:color w:val="auto"/>
                <w:sz w:val="24"/>
              </w:rPr>
              <w:t>度</w:t>
            </w:r>
            <w:r>
              <w:rPr>
                <w:rFonts w:hint="eastAsia" w:cs="Times New Roman"/>
                <w:i w:val="0"/>
                <w:iCs w:val="0"/>
                <w:color w:val="auto"/>
                <w:sz w:val="24"/>
                <w:szCs w:val="24"/>
                <w:highlight w:val="none"/>
                <w:u w:val="single"/>
                <w:lang w:val="en-US" w:eastAsia="zh-CN"/>
              </w:rPr>
              <w:t>10</w:t>
            </w:r>
            <w:r>
              <w:rPr>
                <w:rFonts w:ascii="Times New Roman" w:hAnsi="Times New Roman"/>
                <w:color w:val="auto"/>
                <w:sz w:val="24"/>
              </w:rPr>
              <w:t>分</w:t>
            </w:r>
            <w:r>
              <w:rPr>
                <w:rFonts w:hint="eastAsia" w:cs="Times New Roman"/>
                <w:i w:val="0"/>
                <w:iCs w:val="0"/>
                <w:color w:val="auto"/>
                <w:sz w:val="24"/>
                <w:szCs w:val="24"/>
                <w:highlight w:val="none"/>
                <w:u w:val="single"/>
                <w:lang w:val="en-US" w:eastAsia="zh-CN"/>
              </w:rPr>
              <w:t>58.493</w:t>
            </w:r>
            <w:r>
              <w:rPr>
                <w:rFonts w:ascii="Times New Roman" w:hAnsi="Times New Roman"/>
                <w:color w:val="auto"/>
                <w:sz w:val="24"/>
              </w:rPr>
              <w:t>秒</w:t>
            </w:r>
            <w:r>
              <w:rPr>
                <w:rFonts w:hint="eastAsia" w:cs="Times New Roman"/>
                <w:i w:val="0"/>
                <w:iCs w:val="0"/>
                <w:color w:val="auto"/>
                <w:sz w:val="24"/>
                <w:szCs w:val="24"/>
                <w:highlight w:val="none"/>
                <w:u w:val="none"/>
                <w:lang w:val="en-US" w:eastAsia="zh-CN"/>
              </w:rPr>
              <w:t>，</w:t>
            </w:r>
            <w:r>
              <w:rPr>
                <w:rFonts w:hint="eastAsia" w:cs="Times New Roman"/>
                <w:i w:val="0"/>
                <w:iCs w:val="0"/>
                <w:color w:val="auto"/>
                <w:sz w:val="24"/>
                <w:szCs w:val="24"/>
                <w:highlight w:val="none"/>
                <w:u w:val="single"/>
                <w:lang w:val="en-US" w:eastAsia="zh-CN"/>
              </w:rPr>
              <w:t>24</w:t>
            </w:r>
            <w:r>
              <w:rPr>
                <w:rFonts w:ascii="Times New Roman" w:hAnsi="Times New Roman"/>
                <w:color w:val="auto"/>
                <w:sz w:val="24"/>
              </w:rPr>
              <w:t>度</w:t>
            </w:r>
            <w:r>
              <w:rPr>
                <w:rFonts w:hint="eastAsia" w:cs="Times New Roman"/>
                <w:i w:val="0"/>
                <w:iCs w:val="0"/>
                <w:color w:val="auto"/>
                <w:sz w:val="24"/>
                <w:szCs w:val="24"/>
                <w:highlight w:val="none"/>
                <w:u w:val="single"/>
                <w:lang w:val="en-US" w:eastAsia="zh-CN"/>
              </w:rPr>
              <w:t>0</w:t>
            </w:r>
            <w:r>
              <w:rPr>
                <w:rFonts w:ascii="Times New Roman" w:hAnsi="Times New Roman"/>
                <w:color w:val="auto"/>
                <w:sz w:val="24"/>
              </w:rPr>
              <w:t>分</w:t>
            </w:r>
            <w:r>
              <w:rPr>
                <w:rFonts w:hint="eastAsia" w:cs="Times New Roman"/>
                <w:i w:val="0"/>
                <w:iCs w:val="0"/>
                <w:color w:val="auto"/>
                <w:sz w:val="24"/>
                <w:szCs w:val="24"/>
                <w:highlight w:val="none"/>
                <w:u w:val="single"/>
                <w:lang w:val="en-US" w:eastAsia="zh-CN"/>
              </w:rPr>
              <w:t>36.192</w:t>
            </w:r>
            <w:r>
              <w:rPr>
                <w:rFonts w:ascii="Times New Roman" w:hAnsi="Times New Roman"/>
                <w:color w:val="auto"/>
                <w:sz w:val="24"/>
              </w:rPr>
              <w:t>秒</w:t>
            </w:r>
            <w:r>
              <w:rPr>
                <w:rFonts w:hint="eastAsia" w:ascii="Times New Roman" w:hAnsi="Times New Roman"/>
                <w:color w:val="auto"/>
                <w:sz w:val="24"/>
                <w:lang w:eastAsia="zh-CN"/>
              </w:rPr>
              <w:t>）</w:t>
            </w:r>
          </w:p>
        </w:tc>
      </w:tr>
      <w:tr w14:paraId="2009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jc w:val="center"/>
        </w:trPr>
        <w:tc>
          <w:tcPr>
            <w:tcW w:w="1234" w:type="dxa"/>
            <w:tcBorders>
              <w:tl2br w:val="nil"/>
              <w:tr2bl w:val="nil"/>
            </w:tcBorders>
            <w:shd w:val="clear" w:color="auto" w:fill="auto"/>
            <w:vAlign w:val="center"/>
          </w:tcPr>
          <w:p w14:paraId="0150E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sz w:val="24"/>
                <w:szCs w:val="24"/>
                <w:highlight w:val="none"/>
                <w:u w:val="none"/>
              </w:rPr>
              <w:t>建设项目行业类别</w:t>
            </w:r>
          </w:p>
        </w:tc>
        <w:tc>
          <w:tcPr>
            <w:tcW w:w="2023" w:type="dxa"/>
            <w:tcBorders>
              <w:tl2br w:val="nil"/>
              <w:tr2bl w:val="nil"/>
            </w:tcBorders>
            <w:shd w:val="clear" w:color="auto" w:fill="auto"/>
            <w:vAlign w:val="center"/>
          </w:tcPr>
          <w:p w14:paraId="464CDD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color w:val="auto"/>
                <w:sz w:val="24"/>
                <w:szCs w:val="24"/>
              </w:rPr>
              <w:t>五十二、交通运输业、管道运输业132新建、增建铁路30公里及以下铁路联络线和30公里以下铁路专用线</w:t>
            </w:r>
          </w:p>
        </w:tc>
        <w:tc>
          <w:tcPr>
            <w:tcW w:w="2029" w:type="dxa"/>
            <w:tcBorders>
              <w:tl2br w:val="nil"/>
              <w:tr2bl w:val="nil"/>
            </w:tcBorders>
            <w:shd w:val="clear" w:color="auto" w:fill="auto"/>
            <w:vAlign w:val="center"/>
          </w:tcPr>
          <w:p w14:paraId="77D17D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sz w:val="24"/>
                <w:szCs w:val="24"/>
                <w:highlight w:val="none"/>
                <w:u w:val="none"/>
                <w:lang w:val="en-US" w:eastAsia="zh-CN"/>
              </w:rPr>
              <w:t>用地（用海）面积（m</w:t>
            </w:r>
            <w:r>
              <w:rPr>
                <w:rFonts w:hint="default" w:ascii="Times New Roman" w:hAnsi="Times New Roman" w:eastAsia="宋体" w:cs="Times New Roman"/>
                <w:i w:val="0"/>
                <w:iCs w:val="0"/>
                <w:color w:val="auto"/>
                <w:sz w:val="24"/>
                <w:szCs w:val="24"/>
                <w:highlight w:val="none"/>
                <w:u w:val="none"/>
                <w:vertAlign w:val="superscript"/>
                <w:lang w:val="en-US" w:eastAsia="zh-CN"/>
              </w:rPr>
              <w:t>2</w:t>
            </w:r>
            <w:r>
              <w:rPr>
                <w:rFonts w:hint="default" w:ascii="Times New Roman" w:hAnsi="Times New Roman" w:eastAsia="宋体" w:cs="Times New Roman"/>
                <w:i w:val="0"/>
                <w:iCs w:val="0"/>
                <w:color w:val="auto"/>
                <w:sz w:val="24"/>
                <w:szCs w:val="24"/>
                <w:highlight w:val="none"/>
                <w:u w:val="none"/>
                <w:lang w:val="en-US" w:eastAsia="zh-CN"/>
              </w:rPr>
              <w:t>）/长度（km）</w:t>
            </w:r>
          </w:p>
        </w:tc>
        <w:tc>
          <w:tcPr>
            <w:tcW w:w="3605" w:type="dxa"/>
            <w:tcBorders>
              <w:tl2br w:val="nil"/>
              <w:tr2bl w:val="nil"/>
            </w:tcBorders>
            <w:shd w:val="clear" w:color="auto" w:fill="auto"/>
            <w:vAlign w:val="center"/>
          </w:tcPr>
          <w:p w14:paraId="7AFDF051">
            <w:pPr>
              <w:pStyle w:val="29"/>
              <w:rPr>
                <w:rFonts w:hint="default"/>
                <w:lang w:val="en-US" w:eastAsia="zh-CN"/>
              </w:rPr>
            </w:pPr>
            <w:r>
              <w:rPr>
                <w:rFonts w:hint="eastAsia"/>
                <w:color w:val="auto"/>
                <w:highlight w:val="none"/>
                <w:lang w:val="en-US" w:eastAsia="zh-CN"/>
              </w:rPr>
              <w:t>线路正线长1.52km，总铺轨10.053km</w:t>
            </w:r>
            <w:r>
              <w:rPr>
                <w:rFonts w:hint="eastAsia"/>
                <w:color w:val="auto"/>
                <w:lang w:val="en-US" w:eastAsia="zh-CN"/>
              </w:rPr>
              <w:t>，</w:t>
            </w:r>
            <w:r>
              <w:rPr>
                <w:rFonts w:hint="eastAsia"/>
                <w:lang w:val="en-US" w:eastAsia="zh-CN"/>
              </w:rPr>
              <w:t>项目总用地330.05亩</w:t>
            </w:r>
          </w:p>
        </w:tc>
      </w:tr>
      <w:tr w14:paraId="4A33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jc w:val="center"/>
        </w:trPr>
        <w:tc>
          <w:tcPr>
            <w:tcW w:w="1234" w:type="dxa"/>
            <w:tcBorders>
              <w:tl2br w:val="nil"/>
              <w:tr2bl w:val="nil"/>
            </w:tcBorders>
            <w:shd w:val="clear" w:color="auto" w:fill="auto"/>
            <w:vAlign w:val="center"/>
          </w:tcPr>
          <w:p w14:paraId="0FD87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建设性质</w:t>
            </w:r>
          </w:p>
        </w:tc>
        <w:tc>
          <w:tcPr>
            <w:tcW w:w="2023" w:type="dxa"/>
            <w:tcBorders>
              <w:tl2br w:val="nil"/>
              <w:tr2bl w:val="nil"/>
            </w:tcBorders>
            <w:shd w:val="clear" w:color="auto" w:fill="auto"/>
            <w:vAlign w:val="center"/>
          </w:tcPr>
          <w:p w14:paraId="53703140">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FE"/>
            </w:r>
            <w:r>
              <w:rPr>
                <w:rFonts w:hint="default" w:ascii="Times New Roman" w:hAnsi="Times New Roman" w:eastAsia="宋体" w:cs="Times New Roman"/>
                <w:i w:val="0"/>
                <w:iCs w:val="0"/>
                <w:color w:val="auto"/>
                <w:sz w:val="24"/>
                <w:szCs w:val="24"/>
                <w:highlight w:val="none"/>
                <w:u w:val="none"/>
                <w:lang w:eastAsia="zh-CN"/>
              </w:rPr>
              <w:t>新建（迁建）</w:t>
            </w:r>
          </w:p>
          <w:p w14:paraId="36DFF95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改建</w:t>
            </w:r>
          </w:p>
          <w:p w14:paraId="5CDBAE8C">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扩建</w:t>
            </w:r>
          </w:p>
          <w:p w14:paraId="06A60622">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技术改造</w:t>
            </w:r>
          </w:p>
        </w:tc>
        <w:tc>
          <w:tcPr>
            <w:tcW w:w="2029" w:type="dxa"/>
            <w:tcBorders>
              <w:tl2br w:val="nil"/>
              <w:tr2bl w:val="nil"/>
            </w:tcBorders>
            <w:shd w:val="clear" w:color="auto" w:fill="auto"/>
            <w:vAlign w:val="center"/>
          </w:tcPr>
          <w:p w14:paraId="6F2D7C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建设项目</w:t>
            </w:r>
          </w:p>
          <w:p w14:paraId="0633B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申报情形</w:t>
            </w:r>
          </w:p>
        </w:tc>
        <w:tc>
          <w:tcPr>
            <w:tcW w:w="3605" w:type="dxa"/>
            <w:tcBorders>
              <w:tl2br w:val="nil"/>
              <w:tr2bl w:val="nil"/>
            </w:tcBorders>
            <w:shd w:val="clear" w:color="auto" w:fill="auto"/>
            <w:vAlign w:val="center"/>
          </w:tcPr>
          <w:p w14:paraId="11CBB69A">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FE"/>
            </w:r>
            <w:r>
              <w:rPr>
                <w:rFonts w:hint="default" w:ascii="Times New Roman" w:hAnsi="Times New Roman" w:eastAsia="宋体" w:cs="Times New Roman"/>
                <w:i w:val="0"/>
                <w:iCs w:val="0"/>
                <w:color w:val="auto"/>
                <w:sz w:val="24"/>
                <w:szCs w:val="24"/>
                <w:highlight w:val="none"/>
                <w:u w:val="none"/>
                <w:lang w:val="en-US" w:eastAsia="zh-CN"/>
              </w:rPr>
              <w:t>首次申报项目</w:t>
            </w:r>
          </w:p>
          <w:p w14:paraId="2A3C7E98">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不予批准后再次申报项目</w:t>
            </w:r>
          </w:p>
          <w:p w14:paraId="60AC0927">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超五年重新审核项目</w:t>
            </w:r>
          </w:p>
          <w:p w14:paraId="4BFA741F">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重大变动重新报批项目</w:t>
            </w:r>
          </w:p>
        </w:tc>
      </w:tr>
      <w:tr w14:paraId="596C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1234" w:type="dxa"/>
            <w:tcBorders>
              <w:tl2br w:val="nil"/>
              <w:tr2bl w:val="nil"/>
            </w:tcBorders>
            <w:shd w:val="clear" w:color="auto" w:fill="auto"/>
            <w:vAlign w:val="center"/>
          </w:tcPr>
          <w:p w14:paraId="2B7D8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项目审批（核准/备案）部门（选填）</w:t>
            </w:r>
          </w:p>
        </w:tc>
        <w:tc>
          <w:tcPr>
            <w:tcW w:w="2023" w:type="dxa"/>
            <w:tcBorders>
              <w:tl2br w:val="nil"/>
              <w:tr2bl w:val="nil"/>
            </w:tcBorders>
            <w:shd w:val="clear" w:color="auto" w:fill="auto"/>
            <w:vAlign w:val="center"/>
          </w:tcPr>
          <w:p w14:paraId="39B30B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云南省发展和改革委员会</w:t>
            </w:r>
          </w:p>
        </w:tc>
        <w:tc>
          <w:tcPr>
            <w:tcW w:w="2029" w:type="dxa"/>
            <w:tcBorders>
              <w:tl2br w:val="nil"/>
              <w:tr2bl w:val="nil"/>
            </w:tcBorders>
            <w:shd w:val="clear" w:color="auto" w:fill="auto"/>
            <w:vAlign w:val="center"/>
          </w:tcPr>
          <w:p w14:paraId="3D3A6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项目审批（核准/备案）文号（选填）</w:t>
            </w:r>
          </w:p>
        </w:tc>
        <w:tc>
          <w:tcPr>
            <w:tcW w:w="3605" w:type="dxa"/>
            <w:tcBorders>
              <w:tl2br w:val="nil"/>
              <w:tr2bl w:val="nil"/>
            </w:tcBorders>
            <w:shd w:val="clear" w:color="auto" w:fill="auto"/>
            <w:vAlign w:val="center"/>
          </w:tcPr>
          <w:p w14:paraId="461E36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cs="Times New Roman"/>
                <w:i w:val="0"/>
                <w:iCs w:val="0"/>
                <w:color w:val="auto"/>
                <w:sz w:val="24"/>
                <w:szCs w:val="24"/>
                <w:highlight w:val="none"/>
                <w:u w:val="none"/>
                <w:lang w:val="en-US" w:eastAsia="zh-CN"/>
              </w:rPr>
            </w:pPr>
            <w:r>
              <w:rPr>
                <w:rFonts w:hint="default" w:cs="Times New Roman"/>
                <w:i w:val="0"/>
                <w:iCs w:val="0"/>
                <w:color w:val="auto"/>
                <w:sz w:val="24"/>
                <w:szCs w:val="24"/>
                <w:highlight w:val="none"/>
                <w:u w:val="none"/>
                <w:lang w:val="en-US" w:eastAsia="zh-CN"/>
              </w:rPr>
              <w:t>云发改基础〔2025〕991号</w:t>
            </w:r>
          </w:p>
        </w:tc>
      </w:tr>
      <w:tr w14:paraId="55C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1234" w:type="dxa"/>
            <w:tcBorders>
              <w:tl2br w:val="nil"/>
              <w:tr2bl w:val="nil"/>
            </w:tcBorders>
            <w:shd w:val="clear" w:color="auto" w:fill="auto"/>
            <w:vAlign w:val="center"/>
          </w:tcPr>
          <w:p w14:paraId="56006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总投资（万元）</w:t>
            </w:r>
          </w:p>
        </w:tc>
        <w:tc>
          <w:tcPr>
            <w:tcW w:w="2023" w:type="dxa"/>
            <w:tcBorders>
              <w:tl2br w:val="nil"/>
              <w:tr2bl w:val="nil"/>
            </w:tcBorders>
            <w:shd w:val="clear" w:color="auto" w:fill="auto"/>
            <w:vAlign w:val="center"/>
          </w:tcPr>
          <w:p w14:paraId="7DC75F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31301.35</w:t>
            </w:r>
          </w:p>
        </w:tc>
        <w:tc>
          <w:tcPr>
            <w:tcW w:w="2029" w:type="dxa"/>
            <w:tcBorders>
              <w:tl2br w:val="nil"/>
              <w:tr2bl w:val="nil"/>
            </w:tcBorders>
            <w:shd w:val="clear" w:color="auto" w:fill="auto"/>
            <w:vAlign w:val="center"/>
          </w:tcPr>
          <w:p w14:paraId="7FA04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环保投资（万元）</w:t>
            </w:r>
          </w:p>
        </w:tc>
        <w:tc>
          <w:tcPr>
            <w:tcW w:w="3605" w:type="dxa"/>
            <w:tcBorders>
              <w:tl2br w:val="nil"/>
              <w:tr2bl w:val="nil"/>
            </w:tcBorders>
            <w:shd w:val="clear" w:color="auto" w:fill="auto"/>
            <w:vAlign w:val="center"/>
          </w:tcPr>
          <w:p w14:paraId="4498BA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134.5</w:t>
            </w:r>
          </w:p>
        </w:tc>
      </w:tr>
      <w:tr w14:paraId="016C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jc w:val="center"/>
        </w:trPr>
        <w:tc>
          <w:tcPr>
            <w:tcW w:w="1234" w:type="dxa"/>
            <w:tcBorders>
              <w:tl2br w:val="nil"/>
              <w:tr2bl w:val="nil"/>
            </w:tcBorders>
            <w:shd w:val="clear" w:color="auto" w:fill="auto"/>
            <w:vAlign w:val="center"/>
          </w:tcPr>
          <w:p w14:paraId="1310E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环保</w:t>
            </w:r>
            <w:r>
              <w:rPr>
                <w:rFonts w:hint="default" w:ascii="Times New Roman" w:hAnsi="Times New Roman" w:cs="Times New Roman"/>
                <w:i w:val="0"/>
                <w:iCs w:val="0"/>
                <w:color w:val="auto"/>
                <w:kern w:val="0"/>
                <w:sz w:val="24"/>
                <w:szCs w:val="24"/>
                <w:highlight w:val="none"/>
                <w:u w:val="none"/>
                <w:lang w:val="en-US" w:eastAsia="zh-CN" w:bidi="ar"/>
              </w:rPr>
              <w:t>投</w:t>
            </w:r>
            <w:r>
              <w:rPr>
                <w:rFonts w:hint="default" w:ascii="Times New Roman" w:hAnsi="Times New Roman" w:eastAsia="宋体" w:cs="Times New Roman"/>
                <w:i w:val="0"/>
                <w:iCs w:val="0"/>
                <w:color w:val="auto"/>
                <w:kern w:val="0"/>
                <w:sz w:val="24"/>
                <w:szCs w:val="24"/>
                <w:highlight w:val="none"/>
                <w:u w:val="none"/>
                <w:lang w:val="en-US" w:eastAsia="zh-CN" w:bidi="ar"/>
              </w:rPr>
              <w:t>资占比（%）</w:t>
            </w:r>
          </w:p>
        </w:tc>
        <w:tc>
          <w:tcPr>
            <w:tcW w:w="2023" w:type="dxa"/>
            <w:tcBorders>
              <w:tl2br w:val="nil"/>
              <w:tr2bl w:val="nil"/>
            </w:tcBorders>
            <w:shd w:val="clear" w:color="auto" w:fill="auto"/>
            <w:vAlign w:val="center"/>
          </w:tcPr>
          <w:p w14:paraId="7BC281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0.43</w:t>
            </w:r>
          </w:p>
        </w:tc>
        <w:tc>
          <w:tcPr>
            <w:tcW w:w="2029" w:type="dxa"/>
            <w:tcBorders>
              <w:tl2br w:val="nil"/>
              <w:tr2bl w:val="nil"/>
            </w:tcBorders>
            <w:shd w:val="clear" w:color="auto" w:fill="auto"/>
            <w:vAlign w:val="center"/>
          </w:tcPr>
          <w:p w14:paraId="0E3C52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施工工期</w:t>
            </w:r>
          </w:p>
        </w:tc>
        <w:tc>
          <w:tcPr>
            <w:tcW w:w="3605" w:type="dxa"/>
            <w:tcBorders>
              <w:tl2br w:val="nil"/>
              <w:tr2bl w:val="nil"/>
            </w:tcBorders>
            <w:shd w:val="clear" w:color="auto" w:fill="auto"/>
            <w:vAlign w:val="center"/>
          </w:tcPr>
          <w:p w14:paraId="414AA8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12个月</w:t>
            </w:r>
          </w:p>
        </w:tc>
      </w:tr>
      <w:tr w14:paraId="2964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7" w:hRule="atLeast"/>
          <w:jc w:val="center"/>
        </w:trPr>
        <w:tc>
          <w:tcPr>
            <w:tcW w:w="1234" w:type="dxa"/>
            <w:tcBorders>
              <w:tl2br w:val="nil"/>
              <w:tr2bl w:val="nil"/>
            </w:tcBorders>
            <w:shd w:val="clear" w:color="auto" w:fill="auto"/>
            <w:vAlign w:val="center"/>
          </w:tcPr>
          <w:p w14:paraId="5DED9B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是否开工建设</w:t>
            </w:r>
          </w:p>
        </w:tc>
        <w:tc>
          <w:tcPr>
            <w:tcW w:w="7657" w:type="dxa"/>
            <w:gridSpan w:val="3"/>
            <w:tcBorders>
              <w:tl2br w:val="nil"/>
              <w:tr2bl w:val="nil"/>
            </w:tcBorders>
            <w:shd w:val="clear" w:color="auto" w:fill="auto"/>
            <w:vAlign w:val="center"/>
          </w:tcPr>
          <w:p w14:paraId="4AC71505">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FE"/>
            </w:r>
            <w:r>
              <w:rPr>
                <w:rFonts w:hint="default" w:ascii="Times New Roman" w:hAnsi="Times New Roman" w:eastAsia="宋体" w:cs="Times New Roman"/>
                <w:i w:val="0"/>
                <w:iCs w:val="0"/>
                <w:color w:val="auto"/>
                <w:sz w:val="24"/>
                <w:szCs w:val="24"/>
                <w:highlight w:val="none"/>
                <w:u w:val="none"/>
                <w:lang w:val="en-US" w:eastAsia="zh-CN"/>
              </w:rPr>
              <w:t>否</w:t>
            </w:r>
          </w:p>
          <w:p w14:paraId="37592560">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i w:val="0"/>
                <w:iCs w:val="0"/>
                <w:color w:val="auto"/>
                <w:sz w:val="24"/>
                <w:szCs w:val="24"/>
                <w:highlight w:val="none"/>
                <w:u w:val="singl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是：</w:t>
            </w:r>
            <w:r>
              <w:rPr>
                <w:rFonts w:hint="eastAsia" w:ascii="Times New Roman" w:hAnsi="Times New Roman" w:eastAsia="宋体" w:cs="Times New Roman"/>
                <w:i w:val="0"/>
                <w:iCs w:val="0"/>
                <w:color w:val="auto"/>
                <w:sz w:val="24"/>
                <w:szCs w:val="24"/>
                <w:highlight w:val="none"/>
                <w:u w:val="single"/>
                <w:lang w:val="en-US" w:eastAsia="zh-CN"/>
              </w:rPr>
              <w:t xml:space="preserve">                                            </w:t>
            </w:r>
          </w:p>
        </w:tc>
      </w:tr>
      <w:tr w14:paraId="134E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jc w:val="center"/>
        </w:trPr>
        <w:tc>
          <w:tcPr>
            <w:tcW w:w="1234" w:type="dxa"/>
            <w:tcBorders>
              <w:tl2br w:val="nil"/>
              <w:tr2bl w:val="nil"/>
            </w:tcBorders>
            <w:shd w:val="clear" w:color="auto" w:fill="auto"/>
            <w:vAlign w:val="center"/>
          </w:tcPr>
          <w:p w14:paraId="1E530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专项评价设置情况</w:t>
            </w:r>
          </w:p>
        </w:tc>
        <w:tc>
          <w:tcPr>
            <w:tcW w:w="7657" w:type="dxa"/>
            <w:gridSpan w:val="3"/>
            <w:tcBorders>
              <w:tl2br w:val="nil"/>
              <w:tr2bl w:val="nil"/>
            </w:tcBorders>
            <w:shd w:val="clear" w:color="auto" w:fill="auto"/>
            <w:vAlign w:val="center"/>
          </w:tcPr>
          <w:p w14:paraId="570AC4C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olor w:val="auto"/>
                <w:sz w:val="24"/>
                <w:szCs w:val="24"/>
                <w:highlight w:val="none"/>
                <w:u w:val="none"/>
                <w:lang w:val="en-US" w:eastAsia="zh-CN"/>
              </w:rPr>
              <w:t>根据《建设项目环境影响报告表编制技术指南（生态影响类）》</w:t>
            </w:r>
            <w:r>
              <w:rPr>
                <w:rFonts w:hint="eastAsia" w:cs="Times New Roman"/>
                <w:i w:val="0"/>
                <w:iCs w:val="0"/>
                <w:color w:val="auto"/>
                <w:sz w:val="24"/>
                <w:szCs w:val="24"/>
                <w:highlight w:val="none"/>
                <w:u w:val="none"/>
                <w:lang w:val="en-US" w:eastAsia="zh-CN"/>
              </w:rPr>
              <w:t>（试行），本项目专项评价设置情况如下：</w:t>
            </w:r>
          </w:p>
          <w:p w14:paraId="3597C199">
            <w:pPr>
              <w:pStyle w:val="32"/>
              <w:keepNext w:val="0"/>
              <w:keepLines w:val="0"/>
              <w:pageBreakBefore w:val="0"/>
              <w:widowControl w:val="0"/>
              <w:kinsoku/>
              <w:wordWrap/>
              <w:overflowPunct/>
              <w:topLinePunct w:val="0"/>
              <w:autoSpaceDE w:val="0"/>
              <w:autoSpaceDN w:val="0"/>
              <w:bidi w:val="0"/>
              <w:adjustRightInd w:val="0"/>
              <w:snapToGrid w:val="0"/>
              <w:rPr>
                <w:rFonts w:hint="eastAsia" w:ascii="黑体" w:hAnsi="黑体" w:eastAsia="黑体" w:cs="黑体"/>
                <w:b w:val="0"/>
                <w:bCs/>
                <w:color w:val="auto"/>
                <w:highlight w:val="none"/>
              </w:rPr>
            </w:pPr>
            <w:r>
              <w:rPr>
                <w:rFonts w:hint="eastAsia" w:ascii="黑体" w:hAnsi="黑体" w:eastAsia="黑体" w:cs="黑体"/>
                <w:b w:val="0"/>
                <w:bCs/>
                <w:color w:val="auto"/>
                <w:highlight w:val="none"/>
              </w:rPr>
              <w:t>表1-1  专项评价设置对照判别表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293"/>
              <w:gridCol w:w="2729"/>
              <w:gridCol w:w="650"/>
            </w:tblGrid>
            <w:tr w14:paraId="6E9775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2A5821B8">
                  <w:pPr>
                    <w:pStyle w:val="3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专项评价类别</w:t>
                  </w:r>
                </w:p>
              </w:tc>
              <w:tc>
                <w:tcPr>
                  <w:tcW w:w="3293" w:type="dxa"/>
                  <w:tcBorders>
                    <w:tl2br w:val="nil"/>
                    <w:tr2bl w:val="nil"/>
                  </w:tcBorders>
                  <w:noWrap w:val="0"/>
                  <w:vAlign w:val="center"/>
                </w:tcPr>
                <w:p w14:paraId="15DB4CBC">
                  <w:pPr>
                    <w:pStyle w:val="3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涉及项目类别</w:t>
                  </w:r>
                </w:p>
              </w:tc>
              <w:tc>
                <w:tcPr>
                  <w:tcW w:w="2729" w:type="dxa"/>
                  <w:tcBorders>
                    <w:tl2br w:val="nil"/>
                    <w:tr2bl w:val="nil"/>
                  </w:tcBorders>
                  <w:noWrap w:val="0"/>
                  <w:vAlign w:val="center"/>
                </w:tcPr>
                <w:p w14:paraId="6B3D512C">
                  <w:pPr>
                    <w:pStyle w:val="3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本项目专项评价判定</w:t>
                  </w:r>
                </w:p>
              </w:tc>
              <w:tc>
                <w:tcPr>
                  <w:tcW w:w="650" w:type="dxa"/>
                  <w:tcBorders>
                    <w:tl2br w:val="nil"/>
                    <w:tr2bl w:val="nil"/>
                  </w:tcBorders>
                  <w:noWrap w:val="0"/>
                  <w:vAlign w:val="center"/>
                </w:tcPr>
                <w:p w14:paraId="180C26A5">
                  <w:pPr>
                    <w:pStyle w:val="3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设置情况</w:t>
                  </w:r>
                </w:p>
              </w:tc>
            </w:tr>
            <w:tr w14:paraId="09AC3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2C04D33A">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地表水</w:t>
                  </w:r>
                </w:p>
              </w:tc>
              <w:tc>
                <w:tcPr>
                  <w:tcW w:w="3293" w:type="dxa"/>
                  <w:tcBorders>
                    <w:tl2br w:val="nil"/>
                    <w:tr2bl w:val="nil"/>
                  </w:tcBorders>
                  <w:noWrap w:val="0"/>
                  <w:vAlign w:val="center"/>
                </w:tcPr>
                <w:p w14:paraId="12D2E56A">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水力发电：引水式发电、涉及调峰发电的项目；</w:t>
                  </w:r>
                </w:p>
                <w:p w14:paraId="33439CF1">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人工湖、人工湿地：全部；</w:t>
                  </w:r>
                </w:p>
                <w:p w14:paraId="62E44A5B">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水库：全部；</w:t>
                  </w:r>
                </w:p>
                <w:p w14:paraId="357B3AF2">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引水工程：全部（配套的管线工程等除外）；</w:t>
                  </w:r>
                </w:p>
                <w:p w14:paraId="21A56750">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防洪除涝工程：包含水库的项目；</w:t>
                  </w:r>
                </w:p>
                <w:p w14:paraId="088D0345">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河湖整治：涉及清淤且底泥存在重金属污染的项目</w:t>
                  </w:r>
                </w:p>
              </w:tc>
              <w:tc>
                <w:tcPr>
                  <w:tcW w:w="2729" w:type="dxa"/>
                  <w:tcBorders>
                    <w:tl2br w:val="nil"/>
                    <w:tr2bl w:val="nil"/>
                  </w:tcBorders>
                  <w:noWrap w:val="0"/>
                  <w:vAlign w:val="center"/>
                </w:tcPr>
                <w:p w14:paraId="7D7311D2">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eastAsia"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本项目为</w:t>
                  </w:r>
                  <w:r>
                    <w:rPr>
                      <w:rFonts w:hint="eastAsia" w:cs="Times New Roman"/>
                      <w:b w:val="0"/>
                      <w:bCs/>
                      <w:color w:val="auto"/>
                      <w:sz w:val="18"/>
                      <w:szCs w:val="18"/>
                      <w:highlight w:val="none"/>
                      <w:lang w:val="en-US" w:eastAsia="zh-CN"/>
                    </w:rPr>
                    <w:t>铁路专用线工程</w:t>
                  </w:r>
                  <w:r>
                    <w:rPr>
                      <w:rFonts w:hint="default" w:ascii="Times New Roman" w:hAnsi="Times New Roman" w:eastAsia="宋体" w:cs="Times New Roman"/>
                      <w:b w:val="0"/>
                      <w:bCs/>
                      <w:color w:val="auto"/>
                      <w:sz w:val="18"/>
                      <w:szCs w:val="18"/>
                      <w:highlight w:val="none"/>
                    </w:rPr>
                    <w:t>，不属于地表水专项的项目类别</w:t>
                  </w:r>
                  <w:r>
                    <w:rPr>
                      <w:rFonts w:hint="eastAsia" w:cs="Times New Roman"/>
                      <w:b w:val="0"/>
                      <w:bCs/>
                      <w:color w:val="auto"/>
                      <w:sz w:val="18"/>
                      <w:szCs w:val="18"/>
                      <w:highlight w:val="none"/>
                      <w:lang w:eastAsia="zh-CN"/>
                    </w:rPr>
                    <w:t>。</w:t>
                  </w:r>
                </w:p>
              </w:tc>
              <w:tc>
                <w:tcPr>
                  <w:tcW w:w="650" w:type="dxa"/>
                  <w:tcBorders>
                    <w:tl2br w:val="nil"/>
                    <w:tr2bl w:val="nil"/>
                  </w:tcBorders>
                  <w:noWrap w:val="0"/>
                  <w:vAlign w:val="center"/>
                </w:tcPr>
                <w:p w14:paraId="732C56A0">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不设置</w:t>
                  </w:r>
                </w:p>
              </w:tc>
            </w:tr>
            <w:tr w14:paraId="05707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77D92760">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地下水</w:t>
                  </w:r>
                </w:p>
              </w:tc>
              <w:tc>
                <w:tcPr>
                  <w:tcW w:w="3293" w:type="dxa"/>
                  <w:tcBorders>
                    <w:tl2br w:val="nil"/>
                    <w:tr2bl w:val="nil"/>
                  </w:tcBorders>
                  <w:noWrap w:val="0"/>
                  <w:vAlign w:val="center"/>
                </w:tcPr>
                <w:p w14:paraId="05AE6544">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陆地石油和天然气开采：全部；</w:t>
                  </w:r>
                </w:p>
                <w:p w14:paraId="17D7D139">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地下水（含矿泉水）开采：全部；</w:t>
                  </w:r>
                </w:p>
                <w:p w14:paraId="2793D8D8">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水利、水电、交通等：含穿越可溶岩地层隧道的项目</w:t>
                  </w:r>
                </w:p>
              </w:tc>
              <w:tc>
                <w:tcPr>
                  <w:tcW w:w="2729" w:type="dxa"/>
                  <w:tcBorders>
                    <w:tl2br w:val="nil"/>
                    <w:tr2bl w:val="nil"/>
                  </w:tcBorders>
                  <w:noWrap w:val="0"/>
                  <w:vAlign w:val="center"/>
                </w:tcPr>
                <w:p w14:paraId="16F69343">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eastAsia"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本项目为</w:t>
                  </w:r>
                  <w:r>
                    <w:rPr>
                      <w:rFonts w:hint="eastAsia" w:cs="Times New Roman"/>
                      <w:b w:val="0"/>
                      <w:bCs/>
                      <w:color w:val="auto"/>
                      <w:sz w:val="18"/>
                      <w:szCs w:val="18"/>
                      <w:highlight w:val="none"/>
                      <w:lang w:val="en-US" w:eastAsia="zh-CN"/>
                    </w:rPr>
                    <w:t>铁路专用线工程</w:t>
                  </w:r>
                  <w:r>
                    <w:rPr>
                      <w:rFonts w:hint="default" w:ascii="Times New Roman" w:hAnsi="Times New Roman" w:eastAsia="宋体" w:cs="Times New Roman"/>
                      <w:b w:val="0"/>
                      <w:bCs/>
                      <w:color w:val="auto"/>
                      <w:sz w:val="18"/>
                      <w:szCs w:val="18"/>
                      <w:highlight w:val="none"/>
                    </w:rPr>
                    <w:t>，不属于地下水专项的项目类别</w:t>
                  </w:r>
                  <w:r>
                    <w:rPr>
                      <w:rFonts w:hint="eastAsia" w:cs="Times New Roman"/>
                      <w:b w:val="0"/>
                      <w:bCs/>
                      <w:color w:val="auto"/>
                      <w:sz w:val="18"/>
                      <w:szCs w:val="18"/>
                      <w:highlight w:val="none"/>
                      <w:lang w:eastAsia="zh-CN"/>
                    </w:rPr>
                    <w:t>。</w:t>
                  </w:r>
                </w:p>
              </w:tc>
              <w:tc>
                <w:tcPr>
                  <w:tcW w:w="650" w:type="dxa"/>
                  <w:tcBorders>
                    <w:tl2br w:val="nil"/>
                    <w:tr2bl w:val="nil"/>
                  </w:tcBorders>
                  <w:noWrap w:val="0"/>
                  <w:vAlign w:val="center"/>
                </w:tcPr>
                <w:p w14:paraId="1514992D">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不设置</w:t>
                  </w:r>
                </w:p>
              </w:tc>
            </w:tr>
            <w:tr w14:paraId="0ECB70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5F84BB03">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生态</w:t>
                  </w:r>
                </w:p>
              </w:tc>
              <w:tc>
                <w:tcPr>
                  <w:tcW w:w="3293" w:type="dxa"/>
                  <w:tcBorders>
                    <w:tl2br w:val="nil"/>
                    <w:tr2bl w:val="nil"/>
                  </w:tcBorders>
                  <w:noWrap w:val="0"/>
                  <w:vAlign w:val="center"/>
                </w:tcPr>
                <w:p w14:paraId="0723B4B3">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涉及环境敏感区（不包括饮用水水源保护区，以居住、医疗卫生、文化教育、科研、行政办公为主要功能的区域，以及文物保护单位）的项目</w:t>
                  </w:r>
                </w:p>
              </w:tc>
              <w:tc>
                <w:tcPr>
                  <w:tcW w:w="2729" w:type="dxa"/>
                  <w:tcBorders>
                    <w:tl2br w:val="nil"/>
                    <w:tr2bl w:val="nil"/>
                  </w:tcBorders>
                  <w:noWrap w:val="0"/>
                  <w:vAlign w:val="center"/>
                </w:tcPr>
                <w:p w14:paraId="0A2C1374">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本项目为</w:t>
                  </w:r>
                  <w:r>
                    <w:rPr>
                      <w:rFonts w:hint="eastAsia" w:cs="Times New Roman"/>
                      <w:b w:val="0"/>
                      <w:bCs/>
                      <w:color w:val="auto"/>
                      <w:sz w:val="18"/>
                      <w:szCs w:val="18"/>
                      <w:highlight w:val="none"/>
                      <w:lang w:val="en-US" w:eastAsia="zh-CN"/>
                    </w:rPr>
                    <w:t>铁路专用线工程</w:t>
                  </w:r>
                  <w:r>
                    <w:rPr>
                      <w:rFonts w:hint="default" w:ascii="Times New Roman" w:hAnsi="Times New Roman" w:eastAsia="宋体" w:cs="Times New Roman"/>
                      <w:b w:val="0"/>
                      <w:bCs/>
                      <w:color w:val="auto"/>
                      <w:sz w:val="18"/>
                      <w:szCs w:val="18"/>
                      <w:highlight w:val="none"/>
                    </w:rPr>
                    <w:t>，</w:t>
                  </w:r>
                  <w:r>
                    <w:rPr>
                      <w:rFonts w:hint="eastAsia" w:cs="Times New Roman"/>
                      <w:b w:val="0"/>
                      <w:bCs/>
                      <w:color w:val="auto"/>
                      <w:sz w:val="18"/>
                      <w:szCs w:val="18"/>
                      <w:highlight w:val="none"/>
                      <w:lang w:val="en-US" w:eastAsia="zh-CN"/>
                    </w:rPr>
                    <w:t>不涉及环境敏感区，</w:t>
                  </w:r>
                  <w:r>
                    <w:rPr>
                      <w:rFonts w:hint="default" w:ascii="Times New Roman" w:hAnsi="Times New Roman" w:eastAsia="宋体" w:cs="Times New Roman"/>
                      <w:b w:val="0"/>
                      <w:bCs/>
                      <w:color w:val="auto"/>
                      <w:sz w:val="18"/>
                      <w:szCs w:val="18"/>
                      <w:highlight w:val="none"/>
                    </w:rPr>
                    <w:t>不属于</w:t>
                  </w:r>
                  <w:r>
                    <w:rPr>
                      <w:rFonts w:hint="eastAsia" w:cs="Times New Roman"/>
                      <w:b w:val="0"/>
                      <w:bCs/>
                      <w:color w:val="auto"/>
                      <w:sz w:val="18"/>
                      <w:szCs w:val="18"/>
                      <w:highlight w:val="none"/>
                      <w:lang w:val="en-US" w:eastAsia="zh-CN"/>
                    </w:rPr>
                    <w:t>生态</w:t>
                  </w:r>
                  <w:r>
                    <w:rPr>
                      <w:rFonts w:hint="default" w:ascii="Times New Roman" w:hAnsi="Times New Roman" w:eastAsia="宋体" w:cs="Times New Roman"/>
                      <w:b w:val="0"/>
                      <w:bCs/>
                      <w:color w:val="auto"/>
                      <w:sz w:val="18"/>
                      <w:szCs w:val="18"/>
                      <w:highlight w:val="none"/>
                    </w:rPr>
                    <w:t>专项的项目类别</w:t>
                  </w:r>
                  <w:r>
                    <w:rPr>
                      <w:rFonts w:hint="eastAsia" w:cs="Times New Roman"/>
                      <w:b w:val="0"/>
                      <w:bCs/>
                      <w:color w:val="auto"/>
                      <w:sz w:val="18"/>
                      <w:szCs w:val="18"/>
                      <w:highlight w:val="none"/>
                      <w:lang w:eastAsia="zh-CN"/>
                    </w:rPr>
                    <w:t>。</w:t>
                  </w:r>
                </w:p>
              </w:tc>
              <w:tc>
                <w:tcPr>
                  <w:tcW w:w="650" w:type="dxa"/>
                  <w:tcBorders>
                    <w:tl2br w:val="nil"/>
                    <w:tr2bl w:val="nil"/>
                  </w:tcBorders>
                  <w:noWrap w:val="0"/>
                  <w:vAlign w:val="center"/>
                </w:tcPr>
                <w:p w14:paraId="571EB4F9">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不</w:t>
                  </w:r>
                  <w:r>
                    <w:rPr>
                      <w:rFonts w:hint="default" w:ascii="Times New Roman" w:hAnsi="Times New Roman" w:eastAsia="宋体" w:cs="Times New Roman"/>
                      <w:b w:val="0"/>
                      <w:bCs/>
                      <w:color w:val="auto"/>
                      <w:sz w:val="18"/>
                      <w:szCs w:val="18"/>
                      <w:highlight w:val="none"/>
                    </w:rPr>
                    <w:t>设置</w:t>
                  </w:r>
                </w:p>
              </w:tc>
            </w:tr>
            <w:tr w14:paraId="4422D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3209FD0F">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大气</w:t>
                  </w:r>
                </w:p>
              </w:tc>
              <w:tc>
                <w:tcPr>
                  <w:tcW w:w="3293" w:type="dxa"/>
                  <w:tcBorders>
                    <w:tl2br w:val="nil"/>
                    <w:tr2bl w:val="nil"/>
                  </w:tcBorders>
                  <w:noWrap w:val="0"/>
                  <w:vAlign w:val="center"/>
                </w:tcPr>
                <w:p w14:paraId="4D961308">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油气、液体化工码头：全部；</w:t>
                  </w:r>
                </w:p>
                <w:p w14:paraId="49A96369">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干散货（含煤炭、矿石）、件杂、多用途、通用码头：涉及粉尘、挥发性有机物排放的项目</w:t>
                  </w:r>
                </w:p>
              </w:tc>
              <w:tc>
                <w:tcPr>
                  <w:tcW w:w="2729" w:type="dxa"/>
                  <w:tcBorders>
                    <w:tl2br w:val="nil"/>
                    <w:tr2bl w:val="nil"/>
                  </w:tcBorders>
                  <w:noWrap w:val="0"/>
                  <w:vAlign w:val="center"/>
                </w:tcPr>
                <w:p w14:paraId="51D57D0F">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eastAsia"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本项目为</w:t>
                  </w:r>
                  <w:r>
                    <w:rPr>
                      <w:rFonts w:hint="eastAsia" w:cs="Times New Roman"/>
                      <w:b w:val="0"/>
                      <w:bCs/>
                      <w:color w:val="auto"/>
                      <w:sz w:val="18"/>
                      <w:szCs w:val="18"/>
                      <w:highlight w:val="none"/>
                      <w:lang w:val="en-US" w:eastAsia="zh-CN"/>
                    </w:rPr>
                    <w:t>铁路专用线工程</w:t>
                  </w:r>
                  <w:r>
                    <w:rPr>
                      <w:rFonts w:hint="default" w:ascii="Times New Roman" w:hAnsi="Times New Roman" w:eastAsia="宋体" w:cs="Times New Roman"/>
                      <w:b w:val="0"/>
                      <w:bCs/>
                      <w:color w:val="auto"/>
                      <w:sz w:val="18"/>
                      <w:szCs w:val="18"/>
                      <w:highlight w:val="none"/>
                    </w:rPr>
                    <w:t>，不属于大气专项的项目类别</w:t>
                  </w:r>
                  <w:r>
                    <w:rPr>
                      <w:rFonts w:hint="eastAsia" w:cs="Times New Roman"/>
                      <w:b w:val="0"/>
                      <w:bCs/>
                      <w:color w:val="auto"/>
                      <w:sz w:val="18"/>
                      <w:szCs w:val="18"/>
                      <w:highlight w:val="none"/>
                      <w:lang w:eastAsia="zh-CN"/>
                    </w:rPr>
                    <w:t>。</w:t>
                  </w:r>
                </w:p>
              </w:tc>
              <w:tc>
                <w:tcPr>
                  <w:tcW w:w="650" w:type="dxa"/>
                  <w:tcBorders>
                    <w:tl2br w:val="nil"/>
                    <w:tr2bl w:val="nil"/>
                  </w:tcBorders>
                  <w:noWrap w:val="0"/>
                  <w:vAlign w:val="center"/>
                </w:tcPr>
                <w:p w14:paraId="2F7621F0">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不设置</w:t>
                  </w:r>
                </w:p>
              </w:tc>
            </w:tr>
            <w:tr w14:paraId="2C118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40E2B948">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噪声</w:t>
                  </w:r>
                </w:p>
              </w:tc>
              <w:tc>
                <w:tcPr>
                  <w:tcW w:w="3293" w:type="dxa"/>
                  <w:tcBorders>
                    <w:tl2br w:val="nil"/>
                    <w:tr2bl w:val="nil"/>
                  </w:tcBorders>
                  <w:noWrap w:val="0"/>
                  <w:vAlign w:val="center"/>
                </w:tcPr>
                <w:p w14:paraId="25E32088">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公路、铁路、机场等交通运输业涉及环境敏感区（以居住、医疗卫生、文化教育、科研、行政办公为主要功能的区域）的项目；</w:t>
                  </w:r>
                </w:p>
                <w:p w14:paraId="6A5ABE03">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城市道路（不含维护，不含支路、人行天桥、人行地道）：全部</w:t>
                  </w:r>
                </w:p>
              </w:tc>
              <w:tc>
                <w:tcPr>
                  <w:tcW w:w="2729" w:type="dxa"/>
                  <w:tcBorders>
                    <w:tl2br w:val="nil"/>
                    <w:tr2bl w:val="nil"/>
                  </w:tcBorders>
                  <w:noWrap w:val="0"/>
                  <w:vAlign w:val="center"/>
                </w:tcPr>
                <w:p w14:paraId="5E3E3E24">
                  <w:pPr>
                    <w:keepNext w:val="0"/>
                    <w:keepLines w:val="0"/>
                    <w:widowControl/>
                    <w:suppressLineNumbers w:val="0"/>
                    <w:ind w:left="0" w:leftChars="0" w:right="0" w:rightChars="0" w:firstLine="0" w:firstLineChars="0"/>
                    <w:jc w:val="both"/>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color w:val="000000"/>
                      <w:kern w:val="0"/>
                      <w:sz w:val="18"/>
                      <w:szCs w:val="18"/>
                      <w:lang w:val="en-US" w:eastAsia="zh-CN" w:bidi="ar"/>
                    </w:rPr>
                    <w:t>本项目</w:t>
                  </w:r>
                  <w:r>
                    <w:rPr>
                      <w:rFonts w:hint="eastAsia" w:cs="Times New Roman"/>
                      <w:color w:val="000000"/>
                      <w:kern w:val="0"/>
                      <w:sz w:val="18"/>
                      <w:szCs w:val="18"/>
                      <w:lang w:val="en-US" w:eastAsia="zh-CN" w:bidi="ar"/>
                    </w:rPr>
                    <w:t>红线外</w:t>
                  </w:r>
                  <w:r>
                    <w:rPr>
                      <w:rFonts w:hint="default" w:ascii="Times New Roman" w:hAnsi="Times New Roman" w:eastAsia="宋体" w:cs="Times New Roman"/>
                      <w:color w:val="000000"/>
                      <w:kern w:val="0"/>
                      <w:sz w:val="18"/>
                      <w:szCs w:val="18"/>
                      <w:lang w:val="en-US" w:eastAsia="zh-CN" w:bidi="ar"/>
                    </w:rPr>
                    <w:t>200m范围内无以居住、医疗卫生、文化教育、科研、行政办公为主要功能的区域。</w:t>
                  </w:r>
                </w:p>
              </w:tc>
              <w:tc>
                <w:tcPr>
                  <w:tcW w:w="650" w:type="dxa"/>
                  <w:tcBorders>
                    <w:tl2br w:val="nil"/>
                    <w:tr2bl w:val="nil"/>
                  </w:tcBorders>
                  <w:noWrap w:val="0"/>
                  <w:vAlign w:val="center"/>
                </w:tcPr>
                <w:p w14:paraId="711442BB">
                  <w:pPr>
                    <w:pStyle w:val="33"/>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不设置</w:t>
                  </w:r>
                </w:p>
              </w:tc>
            </w:tr>
            <w:tr w14:paraId="185BF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l2br w:val="nil"/>
                    <w:tr2bl w:val="nil"/>
                  </w:tcBorders>
                  <w:noWrap w:val="0"/>
                  <w:vAlign w:val="center"/>
                </w:tcPr>
                <w:p w14:paraId="3B139D0F">
                  <w:pPr>
                    <w:pStyle w:val="33"/>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环境风险</w:t>
                  </w:r>
                </w:p>
              </w:tc>
              <w:tc>
                <w:tcPr>
                  <w:tcW w:w="3293" w:type="dxa"/>
                  <w:tcBorders>
                    <w:tl2br w:val="nil"/>
                    <w:tr2bl w:val="nil"/>
                  </w:tcBorders>
                  <w:noWrap w:val="0"/>
                  <w:vAlign w:val="center"/>
                </w:tcPr>
                <w:p w14:paraId="5C8851C9">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石油和天然气开采：全部；</w:t>
                  </w:r>
                </w:p>
                <w:p w14:paraId="6A0EBC8E">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油气、液体化工码头：全部；</w:t>
                  </w:r>
                </w:p>
                <w:p w14:paraId="7F32B686">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原油、成品油、天然气管线（不含城镇天然气管线、企业厂区内管线），危险化学品输送管线（不含企业厂区内管线）：全部</w:t>
                  </w:r>
                </w:p>
              </w:tc>
              <w:tc>
                <w:tcPr>
                  <w:tcW w:w="2729" w:type="dxa"/>
                  <w:tcBorders>
                    <w:tl2br w:val="nil"/>
                    <w:tr2bl w:val="nil"/>
                  </w:tcBorders>
                  <w:noWrap w:val="0"/>
                  <w:vAlign w:val="center"/>
                </w:tcPr>
                <w:p w14:paraId="08B3F23D">
                  <w:pPr>
                    <w:pStyle w:val="33"/>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本项目为</w:t>
                  </w:r>
                  <w:r>
                    <w:rPr>
                      <w:rFonts w:hint="eastAsia" w:cs="Times New Roman"/>
                      <w:b w:val="0"/>
                      <w:bCs/>
                      <w:color w:val="auto"/>
                      <w:sz w:val="18"/>
                      <w:szCs w:val="18"/>
                      <w:highlight w:val="none"/>
                      <w:lang w:val="en-US" w:eastAsia="zh-CN"/>
                    </w:rPr>
                    <w:t>铁路专用线工程</w:t>
                  </w:r>
                  <w:r>
                    <w:rPr>
                      <w:rFonts w:hint="default" w:ascii="Times New Roman" w:hAnsi="Times New Roman" w:eastAsia="宋体" w:cs="Times New Roman"/>
                      <w:b w:val="0"/>
                      <w:bCs/>
                      <w:color w:val="auto"/>
                      <w:sz w:val="18"/>
                      <w:szCs w:val="18"/>
                      <w:highlight w:val="none"/>
                    </w:rPr>
                    <w:t>，不属于环境风险专项的项目类别</w:t>
                  </w:r>
                  <w:r>
                    <w:rPr>
                      <w:rFonts w:hint="eastAsia" w:cs="Times New Roman"/>
                      <w:b w:val="0"/>
                      <w:bCs/>
                      <w:color w:val="auto"/>
                      <w:sz w:val="18"/>
                      <w:szCs w:val="18"/>
                      <w:highlight w:val="none"/>
                      <w:lang w:eastAsia="zh-CN"/>
                    </w:rPr>
                    <w:t>。</w:t>
                  </w:r>
                </w:p>
              </w:tc>
              <w:tc>
                <w:tcPr>
                  <w:tcW w:w="650" w:type="dxa"/>
                  <w:tcBorders>
                    <w:tl2br w:val="nil"/>
                    <w:tr2bl w:val="nil"/>
                  </w:tcBorders>
                  <w:noWrap w:val="0"/>
                  <w:vAlign w:val="center"/>
                </w:tcPr>
                <w:p w14:paraId="4C0FB110">
                  <w:pPr>
                    <w:pStyle w:val="33"/>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不设置</w:t>
                  </w:r>
                </w:p>
              </w:tc>
            </w:tr>
          </w:tbl>
          <w:p w14:paraId="6AE48641">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rPr>
              <w:t>注：</w:t>
            </w:r>
            <w:r>
              <w:rPr>
                <w:rFonts w:hint="eastAsia" w:cs="Times New Roman"/>
                <w:sz w:val="18"/>
                <w:szCs w:val="18"/>
                <w:lang w:eastAsia="zh-CN"/>
              </w:rPr>
              <w:t>“</w:t>
            </w:r>
            <w:r>
              <w:rPr>
                <w:rFonts w:hint="default" w:ascii="Times New Roman" w:hAnsi="Times New Roman" w:eastAsia="宋体" w:cs="Times New Roman"/>
                <w:sz w:val="18"/>
                <w:szCs w:val="18"/>
              </w:rPr>
              <w:t>涉及环境敏感区</w:t>
            </w:r>
            <w:r>
              <w:rPr>
                <w:rFonts w:hint="eastAsia" w:cs="Times New Roman"/>
                <w:sz w:val="18"/>
                <w:szCs w:val="18"/>
                <w:lang w:eastAsia="zh-CN"/>
              </w:rPr>
              <w:t>”</w:t>
            </w:r>
            <w:r>
              <w:rPr>
                <w:rFonts w:hint="default" w:ascii="Times New Roman" w:hAnsi="Times New Roman" w:eastAsia="宋体" w:cs="Times New Roman"/>
                <w:sz w:val="18"/>
                <w:szCs w:val="18"/>
              </w:rPr>
              <w:t>是指建设项目位于、穿（跨）越（无害化通过的除外）环境敏感区，或环境影响范围涵盖环境敏感区。环境敏感区是指《建设项目环境影响评价分类管理名录》中针对该类项目所列的敏感区。</w:t>
            </w:r>
          </w:p>
          <w:p w14:paraId="01A9F2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综上，本项目不设置以上专项评价。</w:t>
            </w:r>
          </w:p>
        </w:tc>
      </w:tr>
      <w:tr w14:paraId="7B6D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atLeast"/>
          <w:jc w:val="center"/>
        </w:trPr>
        <w:tc>
          <w:tcPr>
            <w:tcW w:w="1234" w:type="dxa"/>
            <w:tcBorders>
              <w:tl2br w:val="nil"/>
              <w:tr2bl w:val="nil"/>
            </w:tcBorders>
            <w:shd w:val="clear" w:color="auto" w:fill="auto"/>
            <w:vAlign w:val="center"/>
          </w:tcPr>
          <w:p w14:paraId="76D8F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规划情况</w:t>
            </w:r>
          </w:p>
        </w:tc>
        <w:tc>
          <w:tcPr>
            <w:tcW w:w="7657" w:type="dxa"/>
            <w:gridSpan w:val="3"/>
            <w:tcBorders>
              <w:tl2br w:val="nil"/>
              <w:tr2bl w:val="nil"/>
            </w:tcBorders>
            <w:shd w:val="clear" w:color="auto" w:fill="auto"/>
            <w:vAlign w:val="center"/>
          </w:tcPr>
          <w:p w14:paraId="5806DA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规划</w:t>
            </w:r>
            <w:r>
              <w:rPr>
                <w:rFonts w:hint="default" w:ascii="Times New Roman" w:hAnsi="Times New Roman" w:eastAsia="宋体" w:cs="Times New Roman"/>
                <w:i w:val="0"/>
                <w:iCs w:val="0"/>
                <w:color w:val="auto"/>
                <w:sz w:val="24"/>
                <w:szCs w:val="24"/>
                <w:highlight w:val="none"/>
                <w:u w:val="none"/>
                <w:lang w:val="en-US" w:eastAsia="zh-CN"/>
              </w:rPr>
              <w:t>名称：《云南新平产业园区总体规划修编（2021-2035）》；</w:t>
            </w:r>
          </w:p>
          <w:p w14:paraId="693B8B42">
            <w:pPr>
              <w:pStyle w:val="2"/>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审查机关</w:t>
            </w:r>
            <w:r>
              <w:rPr>
                <w:rFonts w:hint="default" w:ascii="Times New Roman" w:hAnsi="Times New Roman" w:eastAsia="宋体" w:cs="Times New Roman"/>
                <w:i w:val="0"/>
                <w:iCs w:val="0"/>
                <w:color w:val="auto"/>
                <w:sz w:val="24"/>
                <w:szCs w:val="24"/>
                <w:highlight w:val="none"/>
                <w:u w:val="none"/>
                <w:lang w:val="en-US" w:eastAsia="zh-CN"/>
              </w:rPr>
              <w:t>：玉溪市人民政府；</w:t>
            </w:r>
          </w:p>
          <w:p w14:paraId="6BC92F0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both"/>
              <w:textAlignment w:val="auto"/>
              <w:rPr>
                <w:rFonts w:hint="eastAsia"/>
                <w:lang w:val="en-US" w:eastAsia="zh-CN"/>
              </w:rPr>
            </w:pPr>
            <w:r>
              <w:rPr>
                <w:rFonts w:hint="default" w:ascii="Times New Roman" w:hAnsi="Times New Roman" w:eastAsia="宋体" w:cs="Times New Roman"/>
                <w:sz w:val="24"/>
                <w:szCs w:val="24"/>
                <w:lang w:val="en-US" w:eastAsia="zh-CN"/>
              </w:rPr>
              <w:t>审批文件名称及文号：</w:t>
            </w:r>
            <w:r>
              <w:rPr>
                <w:rFonts w:hint="default" w:ascii="Times New Roman" w:hAnsi="Times New Roman" w:eastAsia="宋体" w:cs="Times New Roman"/>
                <w:sz w:val="24"/>
                <w:szCs w:val="24"/>
              </w:rPr>
              <w:t>玉政复〔2023〕10</w:t>
            </w:r>
            <w:r>
              <w:rPr>
                <w:rFonts w:hint="eastAsia" w:ascii="Times New Roman" w:hAnsi="Times New Roman" w:eastAsia="宋体" w:cs="Times New Roman"/>
                <w:sz w:val="24"/>
                <w:szCs w:val="24"/>
                <w:lang w:val="en-US" w:eastAsia="zh-CN"/>
              </w:rPr>
              <w:t>号。</w:t>
            </w:r>
          </w:p>
        </w:tc>
      </w:tr>
      <w:tr w14:paraId="1D8A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234" w:type="dxa"/>
            <w:tcBorders>
              <w:tl2br w:val="nil"/>
              <w:tr2bl w:val="nil"/>
            </w:tcBorders>
            <w:shd w:val="clear" w:color="auto" w:fill="auto"/>
            <w:vAlign w:val="center"/>
          </w:tcPr>
          <w:p w14:paraId="0E0586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规划环境影响评价情况</w:t>
            </w:r>
          </w:p>
        </w:tc>
        <w:tc>
          <w:tcPr>
            <w:tcW w:w="7657" w:type="dxa"/>
            <w:gridSpan w:val="3"/>
            <w:tcBorders>
              <w:tl2br w:val="nil"/>
              <w:tr2bl w:val="nil"/>
            </w:tcBorders>
            <w:shd w:val="clear" w:color="auto" w:fill="auto"/>
            <w:vAlign w:val="center"/>
          </w:tcPr>
          <w:p w14:paraId="4AADD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规划</w:t>
            </w:r>
            <w:r>
              <w:rPr>
                <w:rFonts w:hint="default" w:ascii="Times New Roman" w:hAnsi="Times New Roman" w:eastAsia="宋体" w:cs="Times New Roman"/>
                <w:i w:val="0"/>
                <w:iCs w:val="0"/>
                <w:color w:val="auto"/>
                <w:sz w:val="24"/>
                <w:szCs w:val="24"/>
                <w:highlight w:val="none"/>
                <w:u w:val="none"/>
                <w:lang w:val="en-US" w:eastAsia="zh-CN"/>
              </w:rPr>
              <w:t>名称：《云南新平产业园区总体规划修编（2021-2035）</w:t>
            </w:r>
            <w:r>
              <w:rPr>
                <w:rFonts w:hint="eastAsia" w:ascii="Times New Roman" w:hAnsi="Times New Roman" w:eastAsia="宋体" w:cs="Times New Roman"/>
                <w:i w:val="0"/>
                <w:iCs w:val="0"/>
                <w:color w:val="auto"/>
                <w:sz w:val="24"/>
                <w:szCs w:val="24"/>
                <w:highlight w:val="none"/>
                <w:u w:val="none"/>
                <w:lang w:val="en-US" w:eastAsia="zh-CN"/>
              </w:rPr>
              <w:t>环境影响报告书</w:t>
            </w:r>
            <w:r>
              <w:rPr>
                <w:rFonts w:hint="default" w:ascii="Times New Roman" w:hAnsi="Times New Roman" w:eastAsia="宋体" w:cs="Times New Roman"/>
                <w:i w:val="0"/>
                <w:iCs w:val="0"/>
                <w:color w:val="auto"/>
                <w:sz w:val="24"/>
                <w:szCs w:val="24"/>
                <w:highlight w:val="none"/>
                <w:u w:val="none"/>
                <w:lang w:val="en-US" w:eastAsia="zh-CN"/>
              </w:rPr>
              <w:t>》；</w:t>
            </w:r>
          </w:p>
          <w:p w14:paraId="42647240">
            <w:pPr>
              <w:pStyle w:val="2"/>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eastAsia" w:ascii="Times New Roman" w:hAnsi="Times New Roman" w:eastAsia="宋体" w:cs="Times New Roman"/>
                <w:i w:val="0"/>
                <w:iCs w:val="0"/>
                <w:color w:val="auto"/>
                <w:sz w:val="24"/>
                <w:szCs w:val="24"/>
                <w:highlight w:val="none"/>
                <w:u w:val="none"/>
                <w:lang w:val="en-US" w:eastAsia="zh-CN"/>
              </w:rPr>
              <w:t>审查机关</w:t>
            </w:r>
            <w:r>
              <w:rPr>
                <w:rFonts w:hint="default" w:ascii="Times New Roman" w:hAnsi="Times New Roman" w:eastAsia="宋体" w:cs="Times New Roman"/>
                <w:i w:val="0"/>
                <w:iCs w:val="0"/>
                <w:color w:val="auto"/>
                <w:sz w:val="24"/>
                <w:szCs w:val="24"/>
                <w:highlight w:val="none"/>
                <w:u w:val="none"/>
                <w:lang w:val="en-US" w:eastAsia="zh-CN"/>
              </w:rPr>
              <w:t>：</w:t>
            </w:r>
            <w:r>
              <w:rPr>
                <w:rFonts w:hint="eastAsia" w:ascii="Times New Roman" w:hAnsi="Times New Roman" w:eastAsia="宋体" w:cs="Times New Roman"/>
                <w:i w:val="0"/>
                <w:iCs w:val="0"/>
                <w:color w:val="auto"/>
                <w:sz w:val="24"/>
                <w:szCs w:val="24"/>
                <w:highlight w:val="none"/>
                <w:u w:val="none"/>
                <w:lang w:val="en-US" w:eastAsia="zh-CN"/>
              </w:rPr>
              <w:t>玉溪市生态环境局</w:t>
            </w:r>
            <w:r>
              <w:rPr>
                <w:rFonts w:hint="default" w:ascii="Times New Roman" w:hAnsi="Times New Roman" w:eastAsia="宋体" w:cs="Times New Roman"/>
                <w:i w:val="0"/>
                <w:iCs w:val="0"/>
                <w:color w:val="auto"/>
                <w:sz w:val="24"/>
                <w:szCs w:val="24"/>
                <w:highlight w:val="none"/>
                <w:u w:val="none"/>
                <w:lang w:val="en-US" w:eastAsia="zh-CN"/>
              </w:rPr>
              <w:t>；</w:t>
            </w:r>
          </w:p>
          <w:p w14:paraId="2E6E652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sz w:val="24"/>
                <w:szCs w:val="24"/>
                <w:lang w:val="en-US" w:eastAsia="zh-CN"/>
              </w:rPr>
              <w:t>审</w:t>
            </w:r>
            <w:r>
              <w:rPr>
                <w:rFonts w:hint="eastAsia" w:ascii="Times New Roman" w:hAnsi="Times New Roman" w:eastAsia="宋体" w:cs="Times New Roman"/>
                <w:sz w:val="24"/>
                <w:szCs w:val="24"/>
                <w:lang w:val="en-US" w:eastAsia="zh-CN"/>
              </w:rPr>
              <w:t>查</w:t>
            </w:r>
            <w:r>
              <w:rPr>
                <w:rFonts w:hint="default" w:ascii="Times New Roman" w:hAnsi="Times New Roman" w:eastAsia="宋体" w:cs="Times New Roman"/>
                <w:sz w:val="24"/>
                <w:szCs w:val="24"/>
                <w:lang w:val="en-US" w:eastAsia="zh-CN"/>
              </w:rPr>
              <w:t>文件</w:t>
            </w:r>
            <w:r>
              <w:rPr>
                <w:rFonts w:hint="eastAsia" w:ascii="Times New Roman" w:hAnsi="Times New Roman" w:eastAsia="宋体" w:cs="Times New Roman"/>
                <w:sz w:val="24"/>
                <w:szCs w:val="24"/>
                <w:lang w:val="en-US" w:eastAsia="zh-CN"/>
              </w:rPr>
              <w:t>及名称：“关于云南新平产业园区总体规划修编（2021-2035）环境影响报告书审查意见的函”（玉市环函</w:t>
            </w:r>
            <w:r>
              <w:rPr>
                <w:rFonts w:hint="default" w:ascii="Times New Roman" w:hAnsi="Times New Roman" w:eastAsia="宋体" w:cs="Times New Roman"/>
                <w:sz w:val="24"/>
                <w:szCs w:val="24"/>
              </w:rPr>
              <w:t>〔2023〕</w:t>
            </w:r>
            <w:r>
              <w:rPr>
                <w:rFonts w:hint="eastAsia" w:ascii="Times New Roman" w:hAnsi="Times New Roman" w:eastAsia="宋体" w:cs="Times New Roman"/>
                <w:sz w:val="24"/>
                <w:szCs w:val="24"/>
                <w:lang w:val="en-US" w:eastAsia="zh-CN"/>
              </w:rPr>
              <w:t>23号）。</w:t>
            </w:r>
          </w:p>
        </w:tc>
      </w:tr>
      <w:tr w14:paraId="0D3E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 w:hRule="atLeast"/>
          <w:jc w:val="center"/>
        </w:trPr>
        <w:tc>
          <w:tcPr>
            <w:tcW w:w="1234" w:type="dxa"/>
            <w:tcBorders>
              <w:tl2br w:val="nil"/>
              <w:tr2bl w:val="nil"/>
            </w:tcBorders>
            <w:shd w:val="clear" w:color="auto" w:fill="auto"/>
            <w:vAlign w:val="center"/>
          </w:tcPr>
          <w:p w14:paraId="2C698C3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规划及规划环境影响评价符合性分析</w:t>
            </w:r>
          </w:p>
        </w:tc>
        <w:tc>
          <w:tcPr>
            <w:tcW w:w="7657" w:type="dxa"/>
            <w:gridSpan w:val="3"/>
            <w:tcBorders>
              <w:tl2br w:val="nil"/>
              <w:tr2bl w:val="nil"/>
            </w:tcBorders>
            <w:shd w:val="clear" w:color="auto" w:fill="auto"/>
            <w:vAlign w:val="top"/>
          </w:tcPr>
          <w:p w14:paraId="5C911F7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i w:val="0"/>
                <w:iCs w:val="0"/>
                <w:color w:val="auto"/>
                <w:sz w:val="24"/>
                <w:szCs w:val="24"/>
                <w:highlight w:val="none"/>
                <w:u w:val="none"/>
                <w:lang w:val="en-US" w:eastAsia="zh-CN"/>
              </w:rPr>
            </w:pPr>
            <w:r>
              <w:rPr>
                <w:rFonts w:hint="eastAsia"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、项目</w:t>
            </w:r>
            <w:r>
              <w:rPr>
                <w:rFonts w:hint="default" w:ascii="Times New Roman" w:hAnsi="Times New Roman" w:eastAsia="宋体" w:cs="Times New Roman"/>
                <w:b/>
                <w:bCs/>
                <w:i w:val="0"/>
                <w:iCs w:val="0"/>
                <w:color w:val="auto"/>
                <w:sz w:val="24"/>
                <w:szCs w:val="24"/>
                <w:highlight w:val="none"/>
                <w:u w:val="none"/>
                <w:lang w:val="en-US" w:eastAsia="zh-CN"/>
              </w:rPr>
              <w:t>与《云南新平产业园区总体规划修编（2021-2035）》的符合性分析</w:t>
            </w:r>
          </w:p>
          <w:p w14:paraId="594E7E4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照《云南省各类开发区优化提升总体方案》（云委（2020）287号）、《云南省开发区工作领导小组办公室关于省级以上开发区优化提升审核情况的通知》（云发改产业（2021）1070号），云南新平产业园区属于保留的省级开发区之一，根据《玉溪市开发区工作领导小组办公室关于做好有关开发区总体规划调整工作的云通知》要求，调整编制了《云南新平产业园区总体规划修编（2021-2035年）》（以下简称《规划》），云南新平产业园区规划用地总面积为2880.09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，按照</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一园三区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进行空间布局，包括绿色钢城片区2579.69hm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（其中化念地块1265.75hm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，扬武地块1313.94hm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）、桂山片区198.59hm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、夏酒片区101.81hm²，打造</w:t>
            </w:r>
            <w:r>
              <w:rPr>
                <w:rFonts w:hint="eastAsia" w:ascii="Times New Roman" w:hAnsi="Times New Roman" w:eastAsia="宋体" w:cs="Times New Roman"/>
                <w:sz w:val="24"/>
                <w:szCs w:val="24"/>
                <w:lang w:val="en-US" w:eastAsia="zh-CN"/>
              </w:rPr>
              <w:t>“一主三辅”</w:t>
            </w:r>
            <w:r>
              <w:rPr>
                <w:rFonts w:hint="default" w:ascii="Times New Roman" w:hAnsi="Times New Roman" w:eastAsia="宋体" w:cs="Times New Roman"/>
                <w:sz w:val="24"/>
                <w:szCs w:val="24"/>
                <w:lang w:val="en-US" w:eastAsia="zh-CN"/>
              </w:rPr>
              <w:t>的产业集聚阵容，以冶金新材料为主导产业，以装备制造、生物资源加工、轻工制造为辅助产业的园区产业体系。规划期限为2021-2035年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绿色钢城片区是冶金新材料联动装备制造的循环经济集群区，分为钢铁冶金新材料产业组团、装备制造组团、配套产业组团、综合物流核心组团、物流配送组团、综合生活服务组团。</w:t>
            </w:r>
          </w:p>
          <w:p w14:paraId="3710C4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云南绿色钢城总体规划（2020-2035年）关于对外交通规划章节提到：</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结合泛亚铁路化念站，建设园区铁路专用线，并设置公共场站，集中办理列车到发编组作业，便于运输组织，且公共场站预留社会物流，满足园区企业运输需求，构建基于铁路的铁路货站和货运专线的高效铁路运输体系。</w:t>
            </w:r>
            <w:r>
              <w:rPr>
                <w:rFonts w:hint="eastAsia" w:ascii="Times New Roman" w:hAnsi="Times New Roman" w:eastAsia="宋体" w:cs="Times New Roman"/>
                <w:kern w:val="2"/>
                <w:sz w:val="24"/>
                <w:szCs w:val="24"/>
                <w:lang w:val="en-US" w:eastAsia="zh-CN" w:bidi="ar-SA"/>
              </w:rPr>
              <w:t>”</w:t>
            </w:r>
          </w:p>
          <w:p w14:paraId="174B1F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本项目为</w:t>
            </w:r>
            <w:r>
              <w:rPr>
                <w:rFonts w:hint="default" w:ascii="Times New Roman" w:hAnsi="Times New Roman" w:eastAsia="宋体" w:cs="Times New Roman"/>
                <w:kern w:val="2"/>
                <w:sz w:val="24"/>
                <w:szCs w:val="24"/>
                <w:lang w:val="en-US" w:eastAsia="zh-CN" w:bidi="ar-SA"/>
              </w:rPr>
              <w:t>云南玉溪仙福钢铁（集团）有限公司</w:t>
            </w:r>
            <w:r>
              <w:rPr>
                <w:rFonts w:hint="eastAsia" w:ascii="Times New Roman" w:hAnsi="Times New Roman" w:cs="Times New Roman"/>
                <w:kern w:val="2"/>
                <w:sz w:val="24"/>
                <w:szCs w:val="24"/>
                <w:lang w:val="en-US" w:eastAsia="zh-CN" w:bidi="ar-SA"/>
              </w:rPr>
              <w:t>配套专用铁路线项目，属于</w:t>
            </w:r>
            <w:r>
              <w:rPr>
                <w:rFonts w:hint="eastAsia" w:cs="Times New Roman"/>
                <w:kern w:val="2"/>
                <w:sz w:val="24"/>
                <w:szCs w:val="24"/>
                <w:lang w:val="en-US" w:eastAsia="zh-CN" w:bidi="ar-SA"/>
              </w:rPr>
              <w:t>新建铁路专用线项目</w:t>
            </w:r>
            <w:r>
              <w:rPr>
                <w:rFonts w:hint="eastAsia" w:ascii="Times New Roman" w:hAnsi="Times New Roman" w:cs="Times New Roman"/>
                <w:kern w:val="2"/>
                <w:sz w:val="24"/>
                <w:szCs w:val="24"/>
                <w:lang w:val="en-US" w:eastAsia="zh-CN" w:bidi="ar-SA"/>
              </w:rPr>
              <w:t>，</w:t>
            </w:r>
            <w:r>
              <w:rPr>
                <w:rFonts w:hint="eastAsia" w:cs="Times New Roman"/>
                <w:kern w:val="2"/>
                <w:sz w:val="24"/>
                <w:szCs w:val="24"/>
                <w:lang w:val="en-US" w:eastAsia="zh-CN" w:bidi="ar-SA"/>
              </w:rPr>
              <w:t>建成后为仙福钢铁厂</w:t>
            </w:r>
            <w:r>
              <w:rPr>
                <w:rFonts w:hint="eastAsia" w:ascii="Times New Roman" w:hAnsi="Times New Roman" w:cs="Times New Roman"/>
                <w:kern w:val="2"/>
                <w:sz w:val="24"/>
                <w:szCs w:val="24"/>
                <w:lang w:val="en-US" w:eastAsia="zh-CN" w:bidi="ar-SA"/>
              </w:rPr>
              <w:t>提供重要的交通通道，保证园区内企业的原料、成品的运输能力。</w:t>
            </w:r>
          </w:p>
          <w:p w14:paraId="7E0A80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i w:val="0"/>
                <w:iCs w:val="0"/>
                <w:color w:val="auto"/>
                <w:sz w:val="24"/>
                <w:szCs w:val="24"/>
                <w:highlight w:val="none"/>
                <w:u w:val="none"/>
                <w:lang w:val="en-US" w:eastAsia="zh-CN"/>
              </w:rPr>
            </w:pPr>
            <w:r>
              <w:rPr>
                <w:rFonts w:hint="eastAsia" w:ascii="Times New Roman" w:hAnsi="Times New Roman" w:cs="Times New Roman"/>
                <w:kern w:val="2"/>
                <w:sz w:val="24"/>
                <w:szCs w:val="24"/>
                <w:lang w:val="en-US" w:eastAsia="zh-CN" w:bidi="ar-SA"/>
              </w:rPr>
              <w:t>因此，本项目建设符合</w:t>
            </w:r>
            <w:r>
              <w:rPr>
                <w:rFonts w:hint="default" w:ascii="Times New Roman" w:hAnsi="Times New Roman" w:eastAsia="宋体" w:cs="Times New Roman"/>
                <w:i w:val="0"/>
                <w:iCs w:val="0"/>
                <w:color w:val="auto"/>
                <w:sz w:val="24"/>
                <w:szCs w:val="24"/>
                <w:highlight w:val="none"/>
                <w:u w:val="none"/>
                <w:lang w:val="en-US" w:eastAsia="zh-CN"/>
              </w:rPr>
              <w:t>《云南新平产业园区总体规划修编（2021-2035）》</w:t>
            </w:r>
            <w:r>
              <w:rPr>
                <w:rFonts w:hint="eastAsia" w:ascii="Times New Roman" w:hAnsi="Times New Roman" w:cs="Times New Roman"/>
                <w:i w:val="0"/>
                <w:iCs w:val="0"/>
                <w:color w:val="auto"/>
                <w:sz w:val="24"/>
                <w:szCs w:val="24"/>
                <w:highlight w:val="none"/>
                <w:u w:val="none"/>
                <w:lang w:val="en-US" w:eastAsia="zh-CN"/>
              </w:rPr>
              <w:t>。</w:t>
            </w:r>
          </w:p>
          <w:p w14:paraId="746E3B3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i w:val="0"/>
                <w:iCs w:val="0"/>
                <w:color w:val="auto"/>
                <w:sz w:val="24"/>
                <w:szCs w:val="24"/>
                <w:highlight w:val="none"/>
                <w:u w:val="none"/>
                <w:lang w:val="en-US" w:eastAsia="zh-CN"/>
              </w:rPr>
            </w:pPr>
            <w:r>
              <w:rPr>
                <w:rFonts w:hint="eastAsia" w:cs="Times New Roman"/>
                <w:b/>
                <w:bCs/>
                <w:i w:val="0"/>
                <w:iCs w:val="0"/>
                <w:color w:val="auto"/>
                <w:sz w:val="24"/>
                <w:szCs w:val="24"/>
                <w:highlight w:val="none"/>
                <w:u w:val="none"/>
                <w:lang w:val="en-US" w:eastAsia="zh-CN"/>
              </w:rPr>
              <w:t>2</w:t>
            </w:r>
            <w:r>
              <w:rPr>
                <w:rFonts w:hint="eastAsia" w:ascii="Times New Roman" w:hAnsi="Times New Roman" w:cs="Times New Roman"/>
                <w:b/>
                <w:bCs/>
                <w:i w:val="0"/>
                <w:iCs w:val="0"/>
                <w:color w:val="auto"/>
                <w:sz w:val="24"/>
                <w:szCs w:val="24"/>
                <w:highlight w:val="none"/>
                <w:u w:val="none"/>
                <w:lang w:val="en-US" w:eastAsia="zh-CN"/>
              </w:rPr>
              <w:t>、</w:t>
            </w:r>
            <w:r>
              <w:rPr>
                <w:rFonts w:hint="default" w:ascii="Times New Roman" w:hAnsi="Times New Roman" w:eastAsia="宋体" w:cs="Times New Roman"/>
                <w:b/>
                <w:bCs/>
                <w:i w:val="0"/>
                <w:iCs w:val="0"/>
                <w:color w:val="auto"/>
                <w:sz w:val="24"/>
                <w:szCs w:val="24"/>
                <w:highlight w:val="none"/>
                <w:u w:val="none"/>
                <w:lang w:val="en-US" w:eastAsia="zh-CN"/>
              </w:rPr>
              <w:t>与《云南新平产业园区总体规划修编（2021-2035）</w:t>
            </w:r>
            <w:r>
              <w:rPr>
                <w:rFonts w:hint="eastAsia" w:ascii="Times New Roman" w:hAnsi="Times New Roman" w:eastAsia="宋体" w:cs="Times New Roman"/>
                <w:b/>
                <w:bCs/>
                <w:i w:val="0"/>
                <w:iCs w:val="0"/>
                <w:color w:val="auto"/>
                <w:sz w:val="24"/>
                <w:szCs w:val="24"/>
                <w:highlight w:val="none"/>
                <w:u w:val="none"/>
                <w:lang w:val="en-US" w:eastAsia="zh-CN"/>
              </w:rPr>
              <w:t>环境影响报告书</w:t>
            </w:r>
            <w:r>
              <w:rPr>
                <w:rFonts w:hint="default" w:ascii="Times New Roman" w:hAnsi="Times New Roman" w:eastAsia="宋体" w:cs="Times New Roman"/>
                <w:b/>
                <w:bCs/>
                <w:i w:val="0"/>
                <w:iCs w:val="0"/>
                <w:color w:val="auto"/>
                <w:sz w:val="24"/>
                <w:szCs w:val="24"/>
                <w:highlight w:val="none"/>
                <w:u w:val="none"/>
                <w:lang w:val="en-US" w:eastAsia="zh-CN"/>
              </w:rPr>
              <w:t>》</w:t>
            </w:r>
            <w:r>
              <w:rPr>
                <w:rFonts w:hint="eastAsia" w:ascii="Times New Roman" w:hAnsi="Times New Roman" w:eastAsia="宋体" w:cs="Times New Roman"/>
                <w:b/>
                <w:bCs/>
                <w:i w:val="0"/>
                <w:iCs w:val="0"/>
                <w:color w:val="auto"/>
                <w:sz w:val="24"/>
                <w:szCs w:val="24"/>
                <w:highlight w:val="none"/>
                <w:u w:val="none"/>
                <w:lang w:val="en-US" w:eastAsia="zh-CN"/>
              </w:rPr>
              <w:t>及审查意见</w:t>
            </w:r>
            <w:r>
              <w:rPr>
                <w:rFonts w:hint="default" w:ascii="Times New Roman" w:hAnsi="Times New Roman" w:eastAsia="宋体" w:cs="Times New Roman"/>
                <w:b/>
                <w:bCs/>
                <w:i w:val="0"/>
                <w:iCs w:val="0"/>
                <w:color w:val="auto"/>
                <w:sz w:val="24"/>
                <w:szCs w:val="24"/>
                <w:highlight w:val="none"/>
                <w:u w:val="none"/>
                <w:lang w:val="en-US" w:eastAsia="zh-CN"/>
              </w:rPr>
              <w:t>的符合性分析</w:t>
            </w:r>
          </w:p>
          <w:p w14:paraId="309FF8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2023年8月12日，《云南新平产业园区总体规划修编（2021-2035）环境影响报告书》已通过玉溪市生态环境局的审查，取得《云南新平产业园区总体规划修编（2021-2035）环境影响报告书审查意见》，玉市环函〔2023〕73号。</w:t>
            </w:r>
          </w:p>
          <w:p w14:paraId="2F7469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i w:val="0"/>
                <w:iCs w:val="0"/>
                <w:color w:val="auto"/>
                <w:sz w:val="24"/>
                <w:szCs w:val="24"/>
                <w:highlight w:val="none"/>
                <w:u w:val="none"/>
                <w:lang w:val="en-US" w:eastAsia="zh-CN"/>
              </w:rPr>
            </w:pPr>
            <w:r>
              <w:rPr>
                <w:rFonts w:hint="eastAsia" w:ascii="Times New Roman" w:hAnsi="Times New Roman" w:eastAsia="宋体" w:cs="Times New Roman"/>
                <w:b/>
                <w:bCs/>
                <w:i w:val="0"/>
                <w:iCs w:val="0"/>
                <w:color w:val="auto"/>
                <w:sz w:val="24"/>
                <w:szCs w:val="24"/>
                <w:highlight w:val="none"/>
                <w:u w:val="none"/>
                <w:lang w:val="en-US" w:eastAsia="zh-CN"/>
              </w:rPr>
              <w:t>（一）与规划环评符合性分析</w:t>
            </w:r>
          </w:p>
          <w:p w14:paraId="616D2A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与规划环评符合性分析如下：</w:t>
            </w:r>
          </w:p>
          <w:p w14:paraId="5686ADD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表1-2项目规划环评符合性分析一览表</w:t>
            </w:r>
          </w:p>
          <w:tbl>
            <w:tblPr>
              <w:tblStyle w:val="23"/>
              <w:tblW w:w="74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573"/>
              <w:gridCol w:w="3515"/>
              <w:gridCol w:w="705"/>
            </w:tblGrid>
            <w:tr w14:paraId="10559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l2br w:val="nil"/>
                    <w:tr2bl w:val="nil"/>
                  </w:tcBorders>
                  <w:vAlign w:val="center"/>
                </w:tcPr>
                <w:p w14:paraId="3AF947C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入园要求</w:t>
                  </w:r>
                </w:p>
              </w:tc>
              <w:tc>
                <w:tcPr>
                  <w:tcW w:w="2573" w:type="dxa"/>
                  <w:tcBorders>
                    <w:tl2br w:val="nil"/>
                    <w:tr2bl w:val="nil"/>
                  </w:tcBorders>
                  <w:vAlign w:val="center"/>
                </w:tcPr>
                <w:p w14:paraId="13CB65E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要求情况</w:t>
                  </w:r>
                </w:p>
              </w:tc>
              <w:tc>
                <w:tcPr>
                  <w:tcW w:w="3515" w:type="dxa"/>
                  <w:tcBorders>
                    <w:tl2br w:val="nil"/>
                    <w:tr2bl w:val="nil"/>
                  </w:tcBorders>
                  <w:vAlign w:val="center"/>
                </w:tcPr>
                <w:p w14:paraId="2003AB3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本项目情况</w:t>
                  </w:r>
                </w:p>
              </w:tc>
              <w:tc>
                <w:tcPr>
                  <w:tcW w:w="705" w:type="dxa"/>
                  <w:tcBorders>
                    <w:tl2br w:val="nil"/>
                    <w:tr2bl w:val="nil"/>
                  </w:tcBorders>
                  <w:vAlign w:val="center"/>
                </w:tcPr>
                <w:p w14:paraId="3D39FB2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符合情况</w:t>
                  </w:r>
                </w:p>
              </w:tc>
            </w:tr>
            <w:tr w14:paraId="2B86FE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restart"/>
                  <w:tcBorders>
                    <w:tl2br w:val="nil"/>
                    <w:tr2bl w:val="nil"/>
                  </w:tcBorders>
                  <w:vAlign w:val="center"/>
                </w:tcPr>
                <w:p w14:paraId="19441BD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项目入驻原则</w:t>
                  </w:r>
                </w:p>
              </w:tc>
              <w:tc>
                <w:tcPr>
                  <w:tcW w:w="2573" w:type="dxa"/>
                  <w:tcBorders>
                    <w:tl2br w:val="nil"/>
                    <w:tr2bl w:val="nil"/>
                  </w:tcBorders>
                  <w:vAlign w:val="center"/>
                </w:tcPr>
                <w:p w14:paraId="53956E7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w:t>
                  </w:r>
                  <w:r>
                    <w:rPr>
                      <w:rFonts w:hint="eastAsia" w:ascii="Times New Roman" w:hAnsi="Times New Roman" w:eastAsia="宋体" w:cs="Times New Roman"/>
                      <w:sz w:val="18"/>
                      <w:szCs w:val="18"/>
                      <w:vertAlign w:val="baseline"/>
                      <w:lang w:val="en-US" w:eastAsia="zh-CN"/>
                    </w:rPr>
                    <w:t>）符合国家及云南省相关产业政策原则：规划区引进的项目，其工艺、规模及产品应符合国家、云南省及玉溪市制定的相关产业政策要求。</w:t>
                  </w:r>
                </w:p>
              </w:tc>
              <w:tc>
                <w:tcPr>
                  <w:tcW w:w="3515" w:type="dxa"/>
                  <w:tcBorders>
                    <w:tl2br w:val="nil"/>
                    <w:tr2bl w:val="nil"/>
                  </w:tcBorders>
                  <w:vAlign w:val="center"/>
                </w:tcPr>
                <w:p w14:paraId="34D091D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eastAsia="宋体" w:cs="Times New Roman"/>
                      <w:sz w:val="18"/>
                      <w:szCs w:val="18"/>
                      <w:vertAlign w:val="baseline"/>
                      <w:lang w:val="en-US" w:eastAsia="zh-CN"/>
                    </w:rPr>
                    <w:t>依照国家</w:t>
                  </w:r>
                  <w:r>
                    <w:rPr>
                      <w:rFonts w:hint="default" w:eastAsia="宋体" w:cs="Times New Roman"/>
                      <w:sz w:val="18"/>
                      <w:szCs w:val="18"/>
                      <w:vertAlign w:val="baseline"/>
                      <w:lang w:val="en-US" w:eastAsia="zh-CN"/>
                    </w:rPr>
                    <w:t>《产业结构调整指导目录（</w:t>
                  </w:r>
                  <w:r>
                    <w:rPr>
                      <w:rFonts w:hint="eastAsia" w:eastAsia="宋体" w:cs="Times New Roman"/>
                      <w:sz w:val="18"/>
                      <w:szCs w:val="18"/>
                      <w:vertAlign w:val="baseline"/>
                      <w:lang w:val="en-US" w:eastAsia="zh-CN"/>
                    </w:rPr>
                    <w:t>2024</w:t>
                  </w:r>
                  <w:r>
                    <w:rPr>
                      <w:rFonts w:hint="default" w:eastAsia="宋体" w:cs="Times New Roman"/>
                      <w:sz w:val="18"/>
                      <w:szCs w:val="18"/>
                      <w:vertAlign w:val="baseline"/>
                      <w:lang w:val="en-US" w:eastAsia="zh-CN"/>
                    </w:rPr>
                    <w:t>年本）》</w:t>
                  </w: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本项目属于鼓励类（</w:t>
                  </w: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二十三、铁路</w:t>
                  </w: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中第1条</w:t>
                  </w: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既有铁路改扩建、铁路专用线建设</w:t>
                  </w: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），且本项目已于2025年</w:t>
                  </w:r>
                  <w:r>
                    <w:rPr>
                      <w:rFonts w:hint="eastAsia" w:eastAsia="宋体" w:cs="Times New Roman"/>
                      <w:sz w:val="18"/>
                      <w:szCs w:val="18"/>
                      <w:vertAlign w:val="baseline"/>
                      <w:lang w:val="en-US" w:eastAsia="zh-CN"/>
                    </w:rPr>
                    <w:t>12</w:t>
                  </w:r>
                  <w:r>
                    <w:rPr>
                      <w:rFonts w:hint="default" w:eastAsia="宋体" w:cs="Times New Roman"/>
                      <w:sz w:val="18"/>
                      <w:szCs w:val="18"/>
                      <w:vertAlign w:val="baseline"/>
                      <w:lang w:val="en-US" w:eastAsia="zh-CN"/>
                    </w:rPr>
                    <w:t>月6日取得</w:t>
                  </w:r>
                  <w:r>
                    <w:rPr>
                      <w:rFonts w:hint="eastAsia" w:eastAsia="宋体" w:cs="Times New Roman"/>
                      <w:sz w:val="18"/>
                      <w:szCs w:val="18"/>
                      <w:vertAlign w:val="baseline"/>
                      <w:lang w:val="en-US" w:eastAsia="zh-CN"/>
                    </w:rPr>
                    <w:t>了《</w:t>
                  </w:r>
                  <w:r>
                    <w:rPr>
                      <w:rFonts w:hint="default" w:eastAsia="宋体" w:cs="Times New Roman"/>
                      <w:sz w:val="18"/>
                      <w:szCs w:val="18"/>
                      <w:vertAlign w:val="baseline"/>
                      <w:lang w:val="en-US" w:eastAsia="zh-CN"/>
                    </w:rPr>
                    <w:t>云南省发展和改革委员会关于玉溪市大化产业园区仙福钢铁厂铁路专用线项目核准的批复</w:t>
                  </w:r>
                  <w:r>
                    <w:rPr>
                      <w:rFonts w:hint="eastAsia" w:eastAsia="宋体" w:cs="Times New Roman"/>
                      <w:sz w:val="18"/>
                      <w:szCs w:val="18"/>
                      <w:vertAlign w:val="baseline"/>
                      <w:lang w:val="en-US" w:eastAsia="zh-CN"/>
                    </w:rPr>
                    <w:t>》</w:t>
                  </w:r>
                  <w:r>
                    <w:rPr>
                      <w:rFonts w:hint="default" w:eastAsia="宋体" w:cs="Times New Roman"/>
                      <w:sz w:val="18"/>
                      <w:szCs w:val="18"/>
                      <w:vertAlign w:val="baseline"/>
                      <w:lang w:val="en-US" w:eastAsia="zh-CN"/>
                    </w:rPr>
                    <w:t>（云发改基础〔2025〕991号），项目代码：</w:t>
                  </w:r>
                  <w:r>
                    <w:rPr>
                      <w:rFonts w:hint="eastAsia" w:eastAsia="宋体" w:cs="Times New Roman"/>
                      <w:sz w:val="18"/>
                      <w:szCs w:val="18"/>
                      <w:vertAlign w:val="baseline"/>
                      <w:lang w:val="en-US" w:eastAsia="zh-CN"/>
                    </w:rPr>
                    <w:t>25</w:t>
                  </w:r>
                  <w:r>
                    <w:rPr>
                      <w:rFonts w:hint="default" w:eastAsia="宋体" w:cs="Times New Roman"/>
                      <w:sz w:val="18"/>
                      <w:szCs w:val="18"/>
                      <w:vertAlign w:val="baseline"/>
                      <w:lang w:val="en-US" w:eastAsia="zh-CN"/>
                    </w:rPr>
                    <w:t>06-530400-04-01-709278</w:t>
                  </w:r>
                  <w:r>
                    <w:rPr>
                      <w:rFonts w:hint="eastAsia" w:eastAsia="宋体" w:cs="Times New Roman"/>
                      <w:sz w:val="18"/>
                      <w:szCs w:val="18"/>
                      <w:vertAlign w:val="baseline"/>
                      <w:lang w:val="en-US" w:eastAsia="zh-CN"/>
                    </w:rPr>
                    <w:t>，本项目为玉溪市大化产业园区仙福钢铁厂铁路专用线，符合国家、云南省及玉溪市制定的相关产业政策要求。</w:t>
                  </w:r>
                </w:p>
              </w:tc>
              <w:tc>
                <w:tcPr>
                  <w:tcW w:w="705" w:type="dxa"/>
                  <w:tcBorders>
                    <w:tl2br w:val="nil"/>
                    <w:tr2bl w:val="nil"/>
                  </w:tcBorders>
                  <w:vAlign w:val="center"/>
                </w:tcPr>
                <w:p w14:paraId="3B13E36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0CC061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0EF26CB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354E5CA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w:t>
                  </w:r>
                  <w:r>
                    <w:rPr>
                      <w:rFonts w:hint="eastAsia" w:ascii="Times New Roman" w:hAnsi="Times New Roman" w:eastAsia="宋体" w:cs="Times New Roman"/>
                      <w:sz w:val="18"/>
                      <w:szCs w:val="18"/>
                      <w:vertAlign w:val="baseline"/>
                      <w:lang w:val="en-US" w:eastAsia="zh-CN"/>
                    </w:rPr>
                    <w:t>）有利于实现云南新平产业园区产业结构的原则：引进的项目，应有利于实现云南新平产业园区产业结构，有利于云南新平产业园区规划目标的达成。</w:t>
                  </w:r>
                </w:p>
              </w:tc>
              <w:tc>
                <w:tcPr>
                  <w:tcW w:w="3515" w:type="dxa"/>
                  <w:tcBorders>
                    <w:tl2br w:val="nil"/>
                    <w:tr2bl w:val="nil"/>
                  </w:tcBorders>
                  <w:vAlign w:val="center"/>
                </w:tcPr>
                <w:p w14:paraId="5D34C5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本项目为玉溪市大化产业园区仙福钢铁厂铁路专用线项目，属于</w:t>
                  </w:r>
                  <w:r>
                    <w:rPr>
                      <w:rFonts w:hint="eastAsia" w:cs="Times New Roman"/>
                      <w:sz w:val="18"/>
                      <w:szCs w:val="18"/>
                      <w:vertAlign w:val="baseline"/>
                      <w:lang w:val="en-US" w:eastAsia="zh-CN"/>
                    </w:rPr>
                    <w:t>新建铁路铁路专用线项目</w:t>
                  </w:r>
                  <w:r>
                    <w:rPr>
                      <w:rFonts w:hint="eastAsia" w:ascii="Times New Roman" w:hAnsi="Times New Roman" w:cs="Times New Roman"/>
                      <w:sz w:val="18"/>
                      <w:szCs w:val="18"/>
                      <w:vertAlign w:val="baseline"/>
                      <w:lang w:val="en-US" w:eastAsia="zh-CN"/>
                    </w:rPr>
                    <w:t>，</w:t>
                  </w:r>
                  <w:r>
                    <w:rPr>
                      <w:rFonts w:hint="eastAsia" w:cs="Times New Roman"/>
                      <w:sz w:val="18"/>
                      <w:szCs w:val="18"/>
                      <w:vertAlign w:val="baseline"/>
                      <w:lang w:val="en-US" w:eastAsia="zh-CN"/>
                    </w:rPr>
                    <w:t>建成后</w:t>
                  </w:r>
                  <w:r>
                    <w:rPr>
                      <w:rFonts w:hint="eastAsia" w:ascii="Times New Roman" w:hAnsi="Times New Roman" w:cs="Times New Roman"/>
                      <w:sz w:val="18"/>
                      <w:szCs w:val="18"/>
                      <w:vertAlign w:val="baseline"/>
                      <w:lang w:val="en-US" w:eastAsia="zh-CN"/>
                    </w:rPr>
                    <w:t>为仙福</w:t>
                  </w:r>
                  <w:r>
                    <w:rPr>
                      <w:rFonts w:hint="eastAsia" w:cs="Times New Roman"/>
                      <w:sz w:val="18"/>
                      <w:szCs w:val="18"/>
                      <w:vertAlign w:val="baseline"/>
                      <w:lang w:val="en-US" w:eastAsia="zh-CN"/>
                    </w:rPr>
                    <w:t>钢铁厂</w:t>
                  </w:r>
                  <w:r>
                    <w:rPr>
                      <w:rFonts w:hint="eastAsia" w:ascii="Times New Roman" w:hAnsi="Times New Roman" w:cs="Times New Roman"/>
                      <w:sz w:val="18"/>
                      <w:szCs w:val="18"/>
                      <w:vertAlign w:val="baseline"/>
                      <w:lang w:val="en-US" w:eastAsia="zh-CN"/>
                    </w:rPr>
                    <w:t>提供重要的交通通道，保证园区内企业的原料、成品的运输能力，</w:t>
                  </w:r>
                  <w:r>
                    <w:rPr>
                      <w:rFonts w:hint="default" w:ascii="Times New Roman" w:hAnsi="Times New Roman" w:cs="Times New Roman"/>
                      <w:sz w:val="18"/>
                      <w:szCs w:val="18"/>
                      <w:vertAlign w:val="baseline"/>
                      <w:lang w:val="en-US" w:eastAsia="zh-CN"/>
                    </w:rPr>
                    <w:t>符合园区产业</w:t>
                  </w:r>
                  <w:r>
                    <w:rPr>
                      <w:rFonts w:hint="eastAsia" w:ascii="Times New Roman" w:hAnsi="Times New Roman" w:cs="Times New Roman"/>
                      <w:sz w:val="18"/>
                      <w:szCs w:val="18"/>
                      <w:vertAlign w:val="baseline"/>
                      <w:lang w:val="en-US" w:eastAsia="zh-CN"/>
                    </w:rPr>
                    <w:t>结构，有利于云南新平产业园区规划目标的达成</w:t>
                  </w:r>
                  <w:r>
                    <w:rPr>
                      <w:rFonts w:hint="default" w:ascii="Times New Roman" w:hAnsi="Times New Roman" w:cs="Times New Roman"/>
                      <w:sz w:val="18"/>
                      <w:szCs w:val="18"/>
                      <w:vertAlign w:val="baseline"/>
                      <w:lang w:val="en-US" w:eastAsia="zh-CN"/>
                    </w:rPr>
                    <w:t>。</w:t>
                  </w:r>
                </w:p>
              </w:tc>
              <w:tc>
                <w:tcPr>
                  <w:tcW w:w="705" w:type="dxa"/>
                  <w:tcBorders>
                    <w:tl2br w:val="nil"/>
                    <w:tr2bl w:val="nil"/>
                  </w:tcBorders>
                  <w:vAlign w:val="center"/>
                </w:tcPr>
                <w:p w14:paraId="7DA090C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24319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6582576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688A8D9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w:t>
                  </w:r>
                  <w:r>
                    <w:rPr>
                      <w:rFonts w:hint="eastAsia" w:ascii="Times New Roman" w:hAnsi="Times New Roman" w:eastAsia="宋体" w:cs="Times New Roman"/>
                      <w:sz w:val="18"/>
                      <w:szCs w:val="18"/>
                      <w:vertAlign w:val="baseline"/>
                      <w:lang w:val="en-US" w:eastAsia="zh-CN"/>
                    </w:rPr>
                    <w:t>）资源节约原则：引进的项目应能够满足资源节约的原则，清洁生产水平应达到国内先进水平以上。</w:t>
                  </w:r>
                </w:p>
              </w:tc>
              <w:tc>
                <w:tcPr>
                  <w:tcW w:w="3515" w:type="dxa"/>
                  <w:tcBorders>
                    <w:tl2br w:val="nil"/>
                    <w:tr2bl w:val="nil"/>
                  </w:tcBorders>
                  <w:vAlign w:val="center"/>
                </w:tcPr>
                <w:p w14:paraId="50DD080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本项目为</w:t>
                  </w:r>
                  <w:r>
                    <w:rPr>
                      <w:rFonts w:hint="eastAsia" w:ascii="Times New Roman" w:hAnsi="Times New Roman" w:eastAsia="宋体" w:cs="Times New Roman"/>
                      <w:sz w:val="18"/>
                      <w:szCs w:val="18"/>
                      <w:vertAlign w:val="baseline"/>
                      <w:lang w:val="en-US" w:eastAsia="zh-CN"/>
                    </w:rPr>
                    <w:t>玉溪市大化产业园区仙福钢铁厂铁路专用线</w:t>
                  </w:r>
                  <w:r>
                    <w:rPr>
                      <w:rFonts w:hint="eastAsia" w:ascii="Times New Roman" w:hAnsi="Times New Roman" w:cs="Times New Roman"/>
                      <w:sz w:val="18"/>
                      <w:szCs w:val="18"/>
                      <w:vertAlign w:val="baseline"/>
                      <w:lang w:val="en-US" w:eastAsia="zh-CN"/>
                    </w:rPr>
                    <w:t>项目，本项目的建设满足资源节约的原则。</w:t>
                  </w:r>
                </w:p>
              </w:tc>
              <w:tc>
                <w:tcPr>
                  <w:tcW w:w="705" w:type="dxa"/>
                  <w:tcBorders>
                    <w:tl2br w:val="nil"/>
                    <w:tr2bl w:val="nil"/>
                  </w:tcBorders>
                  <w:vAlign w:val="center"/>
                </w:tcPr>
                <w:p w14:paraId="07AB916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2B08B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39A1DDD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477D0FB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w:t>
                  </w:r>
                  <w:r>
                    <w:rPr>
                      <w:rFonts w:hint="eastAsia" w:ascii="Times New Roman" w:hAnsi="Times New Roman" w:eastAsia="宋体" w:cs="Times New Roman"/>
                      <w:sz w:val="18"/>
                      <w:szCs w:val="18"/>
                      <w:vertAlign w:val="baseline"/>
                      <w:lang w:val="en-US" w:eastAsia="zh-CN"/>
                    </w:rPr>
                    <w:t>）环境友好原则：引进的项目应符合环境友好的原则，建设项目的新、改扩建对当地环境的影响不能导致当地环境功能的降低。</w:t>
                  </w:r>
                </w:p>
              </w:tc>
              <w:tc>
                <w:tcPr>
                  <w:tcW w:w="3515" w:type="dxa"/>
                  <w:tcBorders>
                    <w:tl2br w:val="nil"/>
                    <w:tr2bl w:val="nil"/>
                  </w:tcBorders>
                  <w:vAlign w:val="center"/>
                </w:tcPr>
                <w:p w14:paraId="76E7B4A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ascii="Times New Roman" w:hAnsi="Times New Roman" w:cs="Times New Roman"/>
                      <w:sz w:val="18"/>
                      <w:szCs w:val="18"/>
                      <w:vertAlign w:val="baseline"/>
                      <w:lang w:val="en-US" w:eastAsia="zh-CN"/>
                    </w:rPr>
                    <w:t>本项目为玉溪市大化产业园区仙福钢铁厂铁路专用线，属于</w:t>
                  </w:r>
                  <w:r>
                    <w:rPr>
                      <w:rFonts w:hint="eastAsia" w:cs="Times New Roman"/>
                      <w:sz w:val="18"/>
                      <w:szCs w:val="18"/>
                      <w:vertAlign w:val="baseline"/>
                      <w:lang w:val="en-US" w:eastAsia="zh-CN"/>
                    </w:rPr>
                    <w:t>新建铁路专用线项目</w:t>
                  </w:r>
                  <w:r>
                    <w:rPr>
                      <w:rFonts w:hint="eastAsia" w:ascii="Times New Roman" w:hAnsi="Times New Roman" w:cs="Times New Roman"/>
                      <w:sz w:val="18"/>
                      <w:szCs w:val="18"/>
                      <w:vertAlign w:val="baseline"/>
                      <w:lang w:val="en-US" w:eastAsia="zh-CN"/>
                    </w:rPr>
                    <w:t>，</w:t>
                  </w:r>
                  <w:r>
                    <w:rPr>
                      <w:rFonts w:hint="eastAsia" w:cs="Times New Roman"/>
                      <w:sz w:val="18"/>
                      <w:szCs w:val="18"/>
                      <w:vertAlign w:val="baseline"/>
                      <w:lang w:val="en-US" w:eastAsia="zh-CN"/>
                    </w:rPr>
                    <w:t>建成后</w:t>
                  </w:r>
                  <w:r>
                    <w:rPr>
                      <w:rFonts w:hint="eastAsia" w:ascii="Times New Roman" w:hAnsi="Times New Roman" w:cs="Times New Roman"/>
                      <w:sz w:val="18"/>
                      <w:szCs w:val="18"/>
                      <w:vertAlign w:val="baseline"/>
                      <w:lang w:val="en-US" w:eastAsia="zh-CN"/>
                    </w:rPr>
                    <w:t>为仙福</w:t>
                  </w:r>
                  <w:r>
                    <w:rPr>
                      <w:rFonts w:hint="eastAsia" w:cs="Times New Roman"/>
                      <w:sz w:val="18"/>
                      <w:szCs w:val="18"/>
                      <w:vertAlign w:val="baseline"/>
                      <w:lang w:val="en-US" w:eastAsia="zh-CN"/>
                    </w:rPr>
                    <w:t>钢铁厂</w:t>
                  </w:r>
                  <w:r>
                    <w:rPr>
                      <w:rFonts w:hint="eastAsia" w:ascii="Times New Roman" w:hAnsi="Times New Roman" w:cs="Times New Roman"/>
                      <w:sz w:val="18"/>
                      <w:szCs w:val="18"/>
                      <w:vertAlign w:val="baseline"/>
                      <w:lang w:val="en-US" w:eastAsia="zh-CN"/>
                    </w:rPr>
                    <w:t>提供重要的交通通道，保证园区内企业的原料、成品的运输能力，</w:t>
                  </w:r>
                  <w:r>
                    <w:rPr>
                      <w:rFonts w:hint="eastAsia" w:ascii="Times New Roman" w:hAnsi="Times New Roman" w:eastAsia="宋体" w:cs="Times New Roman"/>
                      <w:sz w:val="18"/>
                      <w:szCs w:val="18"/>
                      <w:vertAlign w:val="baseline"/>
                      <w:lang w:val="en-US" w:eastAsia="zh-CN"/>
                    </w:rPr>
                    <w:t>项目的建设不会导致当地环境功能的降低。</w:t>
                  </w:r>
                </w:p>
              </w:tc>
              <w:tc>
                <w:tcPr>
                  <w:tcW w:w="705" w:type="dxa"/>
                  <w:tcBorders>
                    <w:tl2br w:val="nil"/>
                    <w:tr2bl w:val="nil"/>
                  </w:tcBorders>
                  <w:vAlign w:val="center"/>
                </w:tcPr>
                <w:p w14:paraId="6C8B2AC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46443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557D834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4F5BC7B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w:t>
                  </w:r>
                  <w:r>
                    <w:rPr>
                      <w:rFonts w:hint="eastAsia" w:ascii="Times New Roman" w:hAnsi="Times New Roman" w:eastAsia="宋体" w:cs="Times New Roman"/>
                      <w:sz w:val="18"/>
                      <w:szCs w:val="18"/>
                      <w:vertAlign w:val="baseline"/>
                      <w:lang w:val="en-US" w:eastAsia="zh-CN"/>
                    </w:rPr>
                    <w:t>）协调发展原则：引进的项目应有利于统筹城乡协调发展，有利于改善区域环境质量。</w:t>
                  </w:r>
                </w:p>
              </w:tc>
              <w:tc>
                <w:tcPr>
                  <w:tcW w:w="3515" w:type="dxa"/>
                  <w:tcBorders>
                    <w:tl2br w:val="nil"/>
                    <w:tr2bl w:val="nil"/>
                  </w:tcBorders>
                  <w:vAlign w:val="center"/>
                </w:tcPr>
                <w:p w14:paraId="255DE81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本项目为玉溪市大化产业园区仙福钢铁厂铁路专用线项目，属于</w:t>
                  </w:r>
                  <w:r>
                    <w:rPr>
                      <w:rFonts w:hint="eastAsia" w:cs="Times New Roman"/>
                      <w:sz w:val="18"/>
                      <w:szCs w:val="18"/>
                      <w:vertAlign w:val="baseline"/>
                      <w:lang w:val="en-US" w:eastAsia="zh-CN"/>
                    </w:rPr>
                    <w:t>新建铁路专用线项目</w:t>
                  </w:r>
                  <w:r>
                    <w:rPr>
                      <w:rFonts w:hint="eastAsia" w:ascii="Times New Roman" w:hAnsi="Times New Roman" w:cs="Times New Roman"/>
                      <w:sz w:val="18"/>
                      <w:szCs w:val="18"/>
                      <w:vertAlign w:val="baseline"/>
                      <w:lang w:val="en-US" w:eastAsia="zh-CN"/>
                    </w:rPr>
                    <w:t>，</w:t>
                  </w:r>
                  <w:r>
                    <w:rPr>
                      <w:rFonts w:hint="eastAsia" w:cs="Times New Roman"/>
                      <w:sz w:val="18"/>
                      <w:szCs w:val="18"/>
                      <w:vertAlign w:val="baseline"/>
                      <w:lang w:val="en-US" w:eastAsia="zh-CN"/>
                    </w:rPr>
                    <w:t>建成后</w:t>
                  </w:r>
                  <w:r>
                    <w:rPr>
                      <w:rFonts w:hint="eastAsia" w:ascii="Times New Roman" w:hAnsi="Times New Roman" w:cs="Times New Roman"/>
                      <w:sz w:val="18"/>
                      <w:szCs w:val="18"/>
                      <w:vertAlign w:val="baseline"/>
                      <w:lang w:val="en-US" w:eastAsia="zh-CN"/>
                    </w:rPr>
                    <w:t>为仙福</w:t>
                  </w:r>
                  <w:r>
                    <w:rPr>
                      <w:rFonts w:hint="eastAsia" w:cs="Times New Roman"/>
                      <w:sz w:val="18"/>
                      <w:szCs w:val="18"/>
                      <w:vertAlign w:val="baseline"/>
                      <w:lang w:val="en-US" w:eastAsia="zh-CN"/>
                    </w:rPr>
                    <w:t>钢铁厂</w:t>
                  </w:r>
                  <w:r>
                    <w:rPr>
                      <w:rFonts w:hint="eastAsia" w:ascii="Times New Roman" w:hAnsi="Times New Roman" w:cs="Times New Roman"/>
                      <w:sz w:val="18"/>
                      <w:szCs w:val="18"/>
                      <w:vertAlign w:val="baseline"/>
                      <w:lang w:val="en-US" w:eastAsia="zh-CN"/>
                    </w:rPr>
                    <w:t>提供重要的交通通道，保证园区内企业的原料、成品的运输能力</w:t>
                  </w:r>
                  <w:r>
                    <w:rPr>
                      <w:rFonts w:hint="eastAsia" w:cs="Times New Roman"/>
                      <w:sz w:val="18"/>
                      <w:szCs w:val="18"/>
                      <w:vertAlign w:val="baseline"/>
                      <w:lang w:val="en-US" w:eastAsia="zh-CN"/>
                    </w:rPr>
                    <w:t>，本项目建设有利于改善区域环境质量。</w:t>
                  </w:r>
                </w:p>
              </w:tc>
              <w:tc>
                <w:tcPr>
                  <w:tcW w:w="705" w:type="dxa"/>
                  <w:tcBorders>
                    <w:tl2br w:val="nil"/>
                    <w:tr2bl w:val="nil"/>
                  </w:tcBorders>
                  <w:vAlign w:val="center"/>
                </w:tcPr>
                <w:p w14:paraId="25D45D2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096D2A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restart"/>
                  <w:tcBorders>
                    <w:tl2br w:val="nil"/>
                    <w:tr2bl w:val="nil"/>
                  </w:tcBorders>
                  <w:vAlign w:val="center"/>
                </w:tcPr>
                <w:p w14:paraId="4B83D6E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入驻项目环保要求</w:t>
                  </w:r>
                </w:p>
              </w:tc>
              <w:tc>
                <w:tcPr>
                  <w:tcW w:w="2573" w:type="dxa"/>
                  <w:tcBorders>
                    <w:tl2br w:val="nil"/>
                    <w:tr2bl w:val="nil"/>
                  </w:tcBorders>
                  <w:vAlign w:val="center"/>
                </w:tcPr>
                <w:p w14:paraId="6137296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eastAsia" w:ascii="Times New Roman" w:hAnsi="Times New Roman" w:eastAsia="宋体" w:cs="Times New Roman"/>
                      <w:sz w:val="18"/>
                      <w:szCs w:val="18"/>
                      <w:vertAlign w:val="baseline"/>
                      <w:lang w:val="en-US" w:eastAsia="zh-CN"/>
                    </w:rPr>
                    <w:t>1）项目必须实现达标排放，同时满足规划区总量控制要求。</w:t>
                  </w:r>
                </w:p>
              </w:tc>
              <w:tc>
                <w:tcPr>
                  <w:tcW w:w="3515" w:type="dxa"/>
                  <w:tcBorders>
                    <w:tl2br w:val="nil"/>
                    <w:tr2bl w:val="nil"/>
                  </w:tcBorders>
                  <w:vAlign w:val="center"/>
                </w:tcPr>
                <w:p w14:paraId="19D8EB4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项目</w:t>
                  </w:r>
                  <w:r>
                    <w:rPr>
                      <w:rFonts w:hint="eastAsia" w:cs="Times New Roman"/>
                      <w:sz w:val="18"/>
                      <w:szCs w:val="18"/>
                      <w:vertAlign w:val="baseline"/>
                      <w:lang w:val="en-US" w:eastAsia="zh-CN"/>
                    </w:rPr>
                    <w:t>振动</w:t>
                  </w:r>
                  <w:r>
                    <w:rPr>
                      <w:rFonts w:hint="eastAsia" w:ascii="Times New Roman" w:hAnsi="Times New Roman" w:eastAsia="宋体" w:cs="Times New Roman"/>
                      <w:sz w:val="18"/>
                      <w:szCs w:val="18"/>
                      <w:vertAlign w:val="baseline"/>
                      <w:lang w:val="en-US" w:eastAsia="zh-CN"/>
                    </w:rPr>
                    <w:t>、噪声能达标排放，满足规划区总量控制要求。</w:t>
                  </w:r>
                </w:p>
              </w:tc>
              <w:tc>
                <w:tcPr>
                  <w:tcW w:w="705" w:type="dxa"/>
                  <w:tcBorders>
                    <w:tl2br w:val="nil"/>
                    <w:tr2bl w:val="nil"/>
                  </w:tcBorders>
                  <w:vAlign w:val="center"/>
                </w:tcPr>
                <w:p w14:paraId="3934AD5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5B6671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64C0DB5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576AF15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2）入驻项目应采取满足达标排放要求、运行稳定、技术先进、经济效益好的污染治理设施、措施</w:t>
                  </w:r>
                  <w:r>
                    <w:rPr>
                      <w:rFonts w:hint="eastAsia" w:eastAsia="宋体" w:cs="Times New Roman"/>
                      <w:sz w:val="18"/>
                      <w:szCs w:val="18"/>
                      <w:vertAlign w:val="baseline"/>
                      <w:lang w:val="en-US" w:eastAsia="zh-CN"/>
                    </w:rPr>
                    <w:t>。</w:t>
                  </w:r>
                </w:p>
              </w:tc>
              <w:tc>
                <w:tcPr>
                  <w:tcW w:w="3515" w:type="dxa"/>
                  <w:tcBorders>
                    <w:tl2br w:val="nil"/>
                    <w:tr2bl w:val="nil"/>
                  </w:tcBorders>
                  <w:vAlign w:val="center"/>
                </w:tcPr>
                <w:p w14:paraId="0C3E256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eastAsia="宋体" w:cs="Times New Roman"/>
                      <w:sz w:val="18"/>
                      <w:szCs w:val="18"/>
                      <w:vertAlign w:val="baseline"/>
                      <w:lang w:val="en-US" w:eastAsia="zh-CN"/>
                    </w:rPr>
                    <w:t>项目所采取的污染治理措施能满足达标排放要求，运行稳定、技术先进</w:t>
                  </w:r>
                  <w:r>
                    <w:rPr>
                      <w:rFonts w:hint="eastAsia" w:cs="Times New Roman"/>
                      <w:sz w:val="18"/>
                      <w:szCs w:val="18"/>
                      <w:vertAlign w:val="baseline"/>
                      <w:lang w:val="en-US" w:eastAsia="zh-CN"/>
                    </w:rPr>
                    <w:t>，能满足</w:t>
                  </w:r>
                  <w:r>
                    <w:rPr>
                      <w:rFonts w:hint="eastAsia" w:eastAsia="宋体" w:cs="Times New Roman"/>
                      <w:sz w:val="18"/>
                      <w:szCs w:val="18"/>
                      <w:vertAlign w:val="baseline"/>
                      <w:lang w:val="en-US" w:eastAsia="zh-CN"/>
                    </w:rPr>
                    <w:t>要求。</w:t>
                  </w:r>
                </w:p>
              </w:tc>
              <w:tc>
                <w:tcPr>
                  <w:tcW w:w="705" w:type="dxa"/>
                  <w:tcBorders>
                    <w:tl2br w:val="nil"/>
                    <w:tr2bl w:val="nil"/>
                  </w:tcBorders>
                  <w:vAlign w:val="center"/>
                </w:tcPr>
                <w:p w14:paraId="3433513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4BC0FF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692" w:type="dxa"/>
                  <w:vMerge w:val="continue"/>
                  <w:tcBorders>
                    <w:tl2br w:val="nil"/>
                    <w:tr2bl w:val="nil"/>
                  </w:tcBorders>
                  <w:vAlign w:val="center"/>
                </w:tcPr>
                <w:p w14:paraId="0A3C438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60F92E5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3）对排放相同特征污染物的企业，应鼓励企业之间建设联合污染治理措施，以降低污染治理成本</w:t>
                  </w:r>
                  <w:r>
                    <w:rPr>
                      <w:rFonts w:hint="eastAsia" w:eastAsia="宋体" w:cs="Times New Roman"/>
                      <w:sz w:val="18"/>
                      <w:szCs w:val="18"/>
                      <w:vertAlign w:val="baseline"/>
                      <w:lang w:val="en-US" w:eastAsia="zh-CN"/>
                    </w:rPr>
                    <w:t>。</w:t>
                  </w:r>
                </w:p>
              </w:tc>
              <w:tc>
                <w:tcPr>
                  <w:tcW w:w="3515" w:type="dxa"/>
                  <w:tcBorders>
                    <w:tl2br w:val="nil"/>
                    <w:tr2bl w:val="nil"/>
                  </w:tcBorders>
                  <w:vAlign w:val="center"/>
                </w:tcPr>
                <w:p w14:paraId="20D71BA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厂区周边无排放相同污染物的企业。</w:t>
                  </w:r>
                </w:p>
              </w:tc>
              <w:tc>
                <w:tcPr>
                  <w:tcW w:w="705" w:type="dxa"/>
                  <w:tcBorders>
                    <w:tl2br w:val="nil"/>
                    <w:tr2bl w:val="nil"/>
                  </w:tcBorders>
                  <w:vAlign w:val="center"/>
                </w:tcPr>
                <w:p w14:paraId="706EC3B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5DC5E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45DE809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0BFA78C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4）入驻企业产生的各种工业固体废弃物，应满足“减量化、资源化、无害化”要求，实现废物的零排放</w:t>
                  </w:r>
                  <w:r>
                    <w:rPr>
                      <w:rFonts w:hint="eastAsia" w:eastAsia="宋体" w:cs="Times New Roman"/>
                      <w:sz w:val="18"/>
                      <w:szCs w:val="18"/>
                      <w:vertAlign w:val="baseline"/>
                      <w:lang w:val="en-US" w:eastAsia="zh-CN"/>
                    </w:rPr>
                    <w:t>。</w:t>
                  </w:r>
                </w:p>
              </w:tc>
              <w:tc>
                <w:tcPr>
                  <w:tcW w:w="3515" w:type="dxa"/>
                  <w:tcBorders>
                    <w:tl2br w:val="nil"/>
                    <w:tr2bl w:val="nil"/>
                  </w:tcBorders>
                  <w:vAlign w:val="center"/>
                </w:tcPr>
                <w:p w14:paraId="7379CF0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项目运行期产生的生活垃圾统一收集后委托环卫部门清运。</w:t>
                  </w:r>
                </w:p>
              </w:tc>
              <w:tc>
                <w:tcPr>
                  <w:tcW w:w="705" w:type="dxa"/>
                  <w:tcBorders>
                    <w:tl2br w:val="nil"/>
                    <w:tr2bl w:val="nil"/>
                  </w:tcBorders>
                  <w:vAlign w:val="center"/>
                </w:tcPr>
                <w:p w14:paraId="22420EF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456498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576D494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1DEB65B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5）限制发展高耗水、高排水产业</w:t>
                  </w:r>
                  <w:r>
                    <w:rPr>
                      <w:rFonts w:hint="eastAsia" w:ascii="Times New Roman" w:hAnsi="Times New Roman" w:eastAsia="宋体" w:cs="Times New Roman"/>
                      <w:sz w:val="18"/>
                      <w:szCs w:val="18"/>
                      <w:vertAlign w:val="baseline"/>
                      <w:lang w:val="en-US" w:eastAsia="zh-CN"/>
                    </w:rPr>
                    <w:t>。</w:t>
                  </w:r>
                </w:p>
              </w:tc>
              <w:tc>
                <w:tcPr>
                  <w:tcW w:w="3515" w:type="dxa"/>
                  <w:tcBorders>
                    <w:tl2br w:val="nil"/>
                    <w:tr2bl w:val="nil"/>
                  </w:tcBorders>
                  <w:vAlign w:val="center"/>
                </w:tcPr>
                <w:p w14:paraId="3B230B3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eastAsia="宋体" w:cs="Times New Roman"/>
                      <w:sz w:val="18"/>
                      <w:szCs w:val="18"/>
                      <w:vertAlign w:val="baseline"/>
                      <w:lang w:val="en-US" w:eastAsia="zh-CN"/>
                    </w:rPr>
                    <w:t>本项目</w:t>
                  </w:r>
                  <w:r>
                    <w:rPr>
                      <w:rFonts w:hint="eastAsia" w:cs="Times New Roman"/>
                      <w:sz w:val="18"/>
                      <w:szCs w:val="18"/>
                      <w:vertAlign w:val="baseline"/>
                      <w:lang w:val="en-US" w:eastAsia="zh-CN"/>
                    </w:rPr>
                    <w:t>运营</w:t>
                  </w:r>
                  <w:r>
                    <w:rPr>
                      <w:rFonts w:hint="eastAsia" w:eastAsia="宋体" w:cs="Times New Roman"/>
                      <w:sz w:val="18"/>
                      <w:szCs w:val="18"/>
                      <w:vertAlign w:val="baseline"/>
                      <w:lang w:val="en-US" w:eastAsia="zh-CN"/>
                    </w:rPr>
                    <w:t>过程中不涉及生产用水，不属于高耗水、高排水产业。</w:t>
                  </w:r>
                </w:p>
              </w:tc>
              <w:tc>
                <w:tcPr>
                  <w:tcW w:w="705" w:type="dxa"/>
                  <w:tcBorders>
                    <w:tl2br w:val="nil"/>
                    <w:tr2bl w:val="nil"/>
                  </w:tcBorders>
                  <w:vAlign w:val="center"/>
                </w:tcPr>
                <w:p w14:paraId="00F4DDE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7A25F1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564A66C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78CBC53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6）应鼓励各入驻企业积极参与和本企业有关的环保技术的研发，并尽快形成生产力</w:t>
                  </w:r>
                  <w:r>
                    <w:rPr>
                      <w:rFonts w:hint="eastAsia" w:ascii="Times New Roman" w:hAnsi="Times New Roman" w:eastAsia="宋体" w:cs="Times New Roman"/>
                      <w:sz w:val="18"/>
                      <w:szCs w:val="18"/>
                      <w:vertAlign w:val="baseline"/>
                      <w:lang w:val="en-US" w:eastAsia="zh-CN"/>
                    </w:rPr>
                    <w:t>。</w:t>
                  </w:r>
                </w:p>
              </w:tc>
              <w:tc>
                <w:tcPr>
                  <w:tcW w:w="3515" w:type="dxa"/>
                  <w:tcBorders>
                    <w:tl2br w:val="nil"/>
                    <w:tr2bl w:val="nil"/>
                  </w:tcBorders>
                  <w:vAlign w:val="center"/>
                </w:tcPr>
                <w:p w14:paraId="69BAA5E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sz w:val="18"/>
                      <w:szCs w:val="18"/>
                      <w:vertAlign w:val="baseline"/>
                      <w:lang w:val="en-US" w:eastAsia="zh-CN"/>
                    </w:rPr>
                  </w:pPr>
                  <w:r>
                    <w:rPr>
                      <w:rFonts w:hint="eastAsia" w:eastAsia="宋体" w:cs="Times New Roman"/>
                      <w:sz w:val="18"/>
                      <w:szCs w:val="18"/>
                      <w:vertAlign w:val="baseline"/>
                      <w:lang w:val="en-US" w:eastAsia="zh-CN"/>
                    </w:rPr>
                    <w:t>本项目采取了各项环保设施，对环境影响较小。</w:t>
                  </w:r>
                </w:p>
              </w:tc>
              <w:tc>
                <w:tcPr>
                  <w:tcW w:w="705" w:type="dxa"/>
                  <w:tcBorders>
                    <w:tl2br w:val="nil"/>
                    <w:tr2bl w:val="nil"/>
                  </w:tcBorders>
                  <w:vAlign w:val="center"/>
                </w:tcPr>
                <w:p w14:paraId="761116E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1BDEF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1B33391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0FA5BF7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7）入驻企业清洁生产水平应达到国内先进水平以上</w:t>
                  </w:r>
                  <w:r>
                    <w:rPr>
                      <w:rFonts w:hint="eastAsia" w:ascii="Times New Roman" w:hAnsi="Times New Roman" w:eastAsia="宋体" w:cs="Times New Roman"/>
                      <w:sz w:val="18"/>
                      <w:szCs w:val="18"/>
                      <w:vertAlign w:val="baseline"/>
                      <w:lang w:val="en-US" w:eastAsia="zh-CN"/>
                    </w:rPr>
                    <w:t>。</w:t>
                  </w:r>
                </w:p>
              </w:tc>
              <w:tc>
                <w:tcPr>
                  <w:tcW w:w="3515" w:type="dxa"/>
                  <w:tcBorders>
                    <w:tl2br w:val="nil"/>
                    <w:tr2bl w:val="nil"/>
                  </w:tcBorders>
                  <w:vAlign w:val="center"/>
                </w:tcPr>
                <w:p w14:paraId="08008CB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本项目属于清洁生产项目。</w:t>
                  </w:r>
                </w:p>
              </w:tc>
              <w:tc>
                <w:tcPr>
                  <w:tcW w:w="705" w:type="dxa"/>
                  <w:tcBorders>
                    <w:tl2br w:val="nil"/>
                    <w:tr2bl w:val="nil"/>
                  </w:tcBorders>
                  <w:vAlign w:val="center"/>
                </w:tcPr>
                <w:p w14:paraId="0AC0E0A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68BC7C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tcBorders>
                    <w:tl2br w:val="nil"/>
                    <w:tr2bl w:val="nil"/>
                  </w:tcBorders>
                  <w:vAlign w:val="center"/>
                </w:tcPr>
                <w:p w14:paraId="0D855AD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p>
              </w:tc>
              <w:tc>
                <w:tcPr>
                  <w:tcW w:w="2573" w:type="dxa"/>
                  <w:tcBorders>
                    <w:tl2br w:val="nil"/>
                    <w:tr2bl w:val="nil"/>
                  </w:tcBorders>
                  <w:vAlign w:val="center"/>
                </w:tcPr>
                <w:p w14:paraId="5094FAD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8）限制大气污染物排放较大企业的入驻，严格总量控制指标</w:t>
                  </w:r>
                  <w:r>
                    <w:rPr>
                      <w:rFonts w:hint="eastAsia" w:ascii="Times New Roman" w:hAnsi="Times New Roman" w:eastAsia="宋体" w:cs="Times New Roman"/>
                      <w:sz w:val="18"/>
                      <w:szCs w:val="18"/>
                      <w:vertAlign w:val="baseline"/>
                      <w:lang w:val="en-US" w:eastAsia="zh-CN"/>
                    </w:rPr>
                    <w:t>。</w:t>
                  </w:r>
                </w:p>
              </w:tc>
              <w:tc>
                <w:tcPr>
                  <w:tcW w:w="3515" w:type="dxa"/>
                  <w:tcBorders>
                    <w:tl2br w:val="nil"/>
                    <w:tr2bl w:val="nil"/>
                  </w:tcBorders>
                  <w:vAlign w:val="center"/>
                </w:tcPr>
                <w:p w14:paraId="784FDD7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本项目运营期废气产生量较少，通过洒水降尘后，对环境影响较小。</w:t>
                  </w:r>
                </w:p>
              </w:tc>
              <w:tc>
                <w:tcPr>
                  <w:tcW w:w="705" w:type="dxa"/>
                  <w:tcBorders>
                    <w:tl2br w:val="nil"/>
                    <w:tr2bl w:val="nil"/>
                  </w:tcBorders>
                  <w:vAlign w:val="center"/>
                </w:tcPr>
                <w:p w14:paraId="7F087C7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r w14:paraId="488BB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692" w:type="dxa"/>
                  <w:tcBorders>
                    <w:tl2br w:val="nil"/>
                    <w:tr2bl w:val="nil"/>
                  </w:tcBorders>
                  <w:vAlign w:val="center"/>
                </w:tcPr>
                <w:p w14:paraId="5543445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入驻企业的产业要求</w:t>
                  </w:r>
                </w:p>
              </w:tc>
              <w:tc>
                <w:tcPr>
                  <w:tcW w:w="2573" w:type="dxa"/>
                  <w:tcBorders>
                    <w:tl2br w:val="nil"/>
                    <w:tr2bl w:val="nil"/>
                  </w:tcBorders>
                  <w:vAlign w:val="center"/>
                </w:tcPr>
                <w:p w14:paraId="31EF754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1）禁止建设《产业结构调整指导目录（2019年版）》限制类和淘汰类项目；要求符合《市场准入负面清单（2018年版）》（发改经体[2018]1892号）等。</w:t>
                  </w:r>
                </w:p>
                <w:p w14:paraId="3C53887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2）符合云南省总体管控要求和重点流域管控要求。</w:t>
                  </w:r>
                </w:p>
                <w:p w14:paraId="1703A93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3）不得引入违反国家和省产业政策、不符合规划和清洁生产要求的项目。</w:t>
                  </w:r>
                </w:p>
              </w:tc>
              <w:tc>
                <w:tcPr>
                  <w:tcW w:w="3515" w:type="dxa"/>
                  <w:tcBorders>
                    <w:tl2br w:val="nil"/>
                    <w:tr2bl w:val="nil"/>
                  </w:tcBorders>
                  <w:vAlign w:val="center"/>
                </w:tcPr>
                <w:p w14:paraId="7368FC2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cs="Times New Roman"/>
                      <w:sz w:val="18"/>
                      <w:szCs w:val="18"/>
                      <w:vertAlign w:val="baseline"/>
                      <w:lang w:val="en-US" w:eastAsia="zh-CN"/>
                    </w:rPr>
                  </w:pPr>
                  <w:r>
                    <w:rPr>
                      <w:rFonts w:hint="default" w:cs="Times New Roman"/>
                      <w:sz w:val="18"/>
                      <w:szCs w:val="18"/>
                      <w:vertAlign w:val="baseline"/>
                      <w:lang w:val="en-US" w:eastAsia="zh-CN"/>
                    </w:rPr>
                    <w:t>根据《产业结构调整指导目录（2024年本）》，本项目属于鼓励类（</w:t>
                  </w:r>
                  <w:r>
                    <w:rPr>
                      <w:rFonts w:hint="eastAsia" w:cs="Times New Roman"/>
                      <w:sz w:val="18"/>
                      <w:szCs w:val="18"/>
                      <w:vertAlign w:val="baseline"/>
                      <w:lang w:val="en-US" w:eastAsia="zh-CN"/>
                    </w:rPr>
                    <w:t>“</w:t>
                  </w:r>
                  <w:r>
                    <w:rPr>
                      <w:rFonts w:hint="default" w:cs="Times New Roman"/>
                      <w:sz w:val="18"/>
                      <w:szCs w:val="18"/>
                      <w:vertAlign w:val="baseline"/>
                      <w:lang w:val="en-US" w:eastAsia="zh-CN"/>
                    </w:rPr>
                    <w:t>二十三、铁路</w:t>
                  </w:r>
                  <w:r>
                    <w:rPr>
                      <w:rFonts w:hint="eastAsia" w:cs="Times New Roman"/>
                      <w:sz w:val="18"/>
                      <w:szCs w:val="18"/>
                      <w:vertAlign w:val="baseline"/>
                      <w:lang w:val="en-US" w:eastAsia="zh-CN"/>
                    </w:rPr>
                    <w:t>”</w:t>
                  </w:r>
                  <w:r>
                    <w:rPr>
                      <w:rFonts w:hint="default" w:cs="Times New Roman"/>
                      <w:sz w:val="18"/>
                      <w:szCs w:val="18"/>
                      <w:vertAlign w:val="baseline"/>
                      <w:lang w:val="en-US" w:eastAsia="zh-CN"/>
                    </w:rPr>
                    <w:t>中第1条</w:t>
                  </w:r>
                  <w:r>
                    <w:rPr>
                      <w:rFonts w:hint="eastAsia" w:cs="Times New Roman"/>
                      <w:sz w:val="18"/>
                      <w:szCs w:val="18"/>
                      <w:vertAlign w:val="baseline"/>
                      <w:lang w:val="en-US" w:eastAsia="zh-CN"/>
                    </w:rPr>
                    <w:t>“</w:t>
                  </w:r>
                  <w:r>
                    <w:rPr>
                      <w:rFonts w:hint="default" w:cs="Times New Roman"/>
                      <w:sz w:val="18"/>
                      <w:szCs w:val="18"/>
                      <w:vertAlign w:val="baseline"/>
                      <w:lang w:val="en-US" w:eastAsia="zh-CN"/>
                    </w:rPr>
                    <w:t>既有铁路改扩建、铁路专用线建设</w:t>
                  </w:r>
                  <w:r>
                    <w:rPr>
                      <w:rFonts w:hint="eastAsia" w:cs="Times New Roman"/>
                      <w:sz w:val="18"/>
                      <w:szCs w:val="18"/>
                      <w:vertAlign w:val="baseline"/>
                      <w:lang w:val="en-US" w:eastAsia="zh-CN"/>
                    </w:rPr>
                    <w:t>”</w:t>
                  </w:r>
                  <w:r>
                    <w:rPr>
                      <w:rFonts w:hint="default" w:cs="Times New Roman"/>
                      <w:sz w:val="18"/>
                      <w:szCs w:val="18"/>
                      <w:vertAlign w:val="baseline"/>
                      <w:lang w:val="en-US" w:eastAsia="zh-CN"/>
                    </w:rPr>
                    <w:t>），符合国家产业政策。</w:t>
                  </w:r>
                </w:p>
              </w:tc>
              <w:tc>
                <w:tcPr>
                  <w:tcW w:w="705" w:type="dxa"/>
                  <w:tcBorders>
                    <w:tl2br w:val="nil"/>
                    <w:tr2bl w:val="nil"/>
                  </w:tcBorders>
                  <w:vAlign w:val="center"/>
                </w:tcPr>
                <w:p w14:paraId="7A17102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符合</w:t>
                  </w:r>
                </w:p>
              </w:tc>
            </w:tr>
          </w:tbl>
          <w:p w14:paraId="7122690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据上表分析，项目符合《云南新平产业园区总体规划修编（</w:t>
            </w:r>
            <w:r>
              <w:rPr>
                <w:rFonts w:hint="default" w:ascii="Times New Roman" w:hAnsi="Times New Roman" w:eastAsia="宋体" w:cs="Times New Roman"/>
                <w:color w:val="auto"/>
                <w:sz w:val="24"/>
                <w:szCs w:val="24"/>
                <w:highlight w:val="none"/>
                <w:lang w:val="en-US" w:eastAsia="zh-CN"/>
              </w:rPr>
              <w:t>2021~2035</w:t>
            </w:r>
            <w:r>
              <w:rPr>
                <w:rFonts w:hint="eastAsia" w:ascii="Times New Roman" w:hAnsi="Times New Roman" w:eastAsia="宋体" w:cs="Times New Roman"/>
                <w:color w:val="auto"/>
                <w:sz w:val="24"/>
                <w:szCs w:val="24"/>
                <w:highlight w:val="none"/>
                <w:lang w:val="en-US" w:eastAsia="zh-CN"/>
              </w:rPr>
              <w:t>）环境影响报告书》要求。</w:t>
            </w:r>
          </w:p>
          <w:p w14:paraId="546DABE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（二）与审查意见符合性分析</w:t>
            </w:r>
          </w:p>
          <w:p w14:paraId="2892638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本项目与园区规划环评审查意见的符合性分析见表</w:t>
            </w:r>
            <w:r>
              <w:rPr>
                <w:rFonts w:hint="default" w:ascii="Times New Roman" w:hAnsi="Times New Roman" w:eastAsia="宋体"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lang w:val="en-US" w:eastAsia="zh-CN"/>
              </w:rPr>
              <w:t>。</w:t>
            </w:r>
          </w:p>
          <w:p w14:paraId="4588B5D1">
            <w:pPr>
              <w:ind w:left="0" w:leftChars="0" w:right="0" w:rightChars="0" w:firstLine="0" w:firstLineChars="0"/>
              <w:jc w:val="center"/>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表1-3 本项目与园区规划环评审查意见的符合性分析</w:t>
            </w:r>
          </w:p>
          <w:tbl>
            <w:tblPr>
              <w:tblStyle w:val="23"/>
              <w:tblW w:w="751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6"/>
              <w:gridCol w:w="3064"/>
              <w:gridCol w:w="2916"/>
              <w:gridCol w:w="987"/>
            </w:tblGrid>
            <w:tr w14:paraId="511D8B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414434DD">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序号</w:t>
                  </w:r>
                </w:p>
              </w:tc>
              <w:tc>
                <w:tcPr>
                  <w:tcW w:w="3064" w:type="dxa"/>
                  <w:tcBorders>
                    <w:tl2br w:val="nil"/>
                    <w:tr2bl w:val="nil"/>
                  </w:tcBorders>
                  <w:vAlign w:val="center"/>
                </w:tcPr>
                <w:p w14:paraId="4D34BB66">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规划环评审查意见内容</w:t>
                  </w:r>
                </w:p>
              </w:tc>
              <w:tc>
                <w:tcPr>
                  <w:tcW w:w="2916" w:type="dxa"/>
                  <w:tcBorders>
                    <w:tl2br w:val="nil"/>
                    <w:tr2bl w:val="nil"/>
                  </w:tcBorders>
                  <w:vAlign w:val="center"/>
                </w:tcPr>
                <w:p w14:paraId="0691134D">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本项目情况</w:t>
                  </w:r>
                </w:p>
              </w:tc>
              <w:tc>
                <w:tcPr>
                  <w:tcW w:w="987" w:type="dxa"/>
                  <w:tcBorders>
                    <w:tl2br w:val="nil"/>
                    <w:tr2bl w:val="nil"/>
                  </w:tcBorders>
                  <w:vAlign w:val="center"/>
                </w:tcPr>
                <w:p w14:paraId="069BFF6A">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符合性</w:t>
                  </w:r>
                </w:p>
              </w:tc>
            </w:tr>
            <w:tr w14:paraId="28DF31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57DD69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w:t>
                  </w:r>
                </w:p>
              </w:tc>
              <w:tc>
                <w:tcPr>
                  <w:tcW w:w="3064" w:type="dxa"/>
                  <w:tcBorders>
                    <w:tl2br w:val="nil"/>
                    <w:tr2bl w:val="nil"/>
                  </w:tcBorders>
                  <w:vAlign w:val="center"/>
                </w:tcPr>
                <w:p w14:paraId="412DD10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加强规划引导，坚持绿色低碳高质量发展理念，结合生态环境分区管控要求，区域统筹保护好生态空间。落实国家区域发展战略，坚持生态优先、集约高效，以生态环境质量改善为核心，做好与国土空间规划和“三线一单”（生态保护红线、环境质量底线、资源利用上线、生态环境准入清单）生态环境分区管控体系的协调衔接，产业园区应与新平、峨山县“三区三线”充分衔接，符合“三区三线”规划管控要求。按国家生态工业示范园区标准推进《规划》实施，进一步优化《规划》的布局和发展规模。</w:t>
                  </w:r>
                </w:p>
              </w:tc>
              <w:tc>
                <w:tcPr>
                  <w:tcW w:w="2916" w:type="dxa"/>
                  <w:tcBorders>
                    <w:tl2br w:val="nil"/>
                    <w:tr2bl w:val="nil"/>
                  </w:tcBorders>
                  <w:vAlign w:val="center"/>
                </w:tcPr>
                <w:p w14:paraId="095080F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本项目为玉溪市大化产业园区仙福钢铁厂铁路专用线项目，本项目建设不会对区域生态环境造成影响，属于钢铁厂的配套项目，与园区功能定位相符。本项目位于新平产业园区绿色钢城片区，位于新平产业园区</w:t>
                  </w:r>
                  <w:r>
                    <w:rPr>
                      <w:rFonts w:hint="default" w:ascii="Times New Roman" w:hAnsi="Times New Roman" w:eastAsia="宋体" w:cs="Times New Roman"/>
                      <w:sz w:val="18"/>
                      <w:szCs w:val="18"/>
                      <w:highlight w:val="none"/>
                      <w:vertAlign w:val="baseline"/>
                      <w:lang w:val="en-US" w:eastAsia="zh-CN"/>
                    </w:rPr>
                    <w:t>重点管控单元。</w:t>
                  </w:r>
                  <w:r>
                    <w:rPr>
                      <w:rFonts w:hint="default" w:ascii="Times New Roman" w:hAnsi="Times New Roman" w:eastAsia="宋体" w:cs="Times New Roman"/>
                      <w:sz w:val="18"/>
                      <w:szCs w:val="18"/>
                      <w:vertAlign w:val="baseline"/>
                      <w:lang w:val="en-US" w:eastAsia="zh-CN"/>
                    </w:rPr>
                    <w:t>根据分析，本项目符合玉溪市生态环境分区管控动态更新调整方案（2023年）中生态环境管控要求。</w:t>
                  </w:r>
                </w:p>
              </w:tc>
              <w:tc>
                <w:tcPr>
                  <w:tcW w:w="987" w:type="dxa"/>
                  <w:tcBorders>
                    <w:tl2br w:val="nil"/>
                    <w:tr2bl w:val="nil"/>
                  </w:tcBorders>
                  <w:vAlign w:val="center"/>
                </w:tcPr>
                <w:p w14:paraId="48C4A80B">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7BC18D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7BA88E8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w:t>
                  </w:r>
                </w:p>
              </w:tc>
              <w:tc>
                <w:tcPr>
                  <w:tcW w:w="3064" w:type="dxa"/>
                  <w:tcBorders>
                    <w:tl2br w:val="nil"/>
                    <w:tr2bl w:val="nil"/>
                  </w:tcBorders>
                  <w:vAlign w:val="center"/>
                </w:tcPr>
                <w:p w14:paraId="31D5796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根据国家及地方碳减排和碳达峰行动方案及其他专项规划要求，推进园区绿色低碳发展。优化能源结构、产业结构等规划内容，推动钢铁冶炼、钢铁压延、建材制造等重点碳排放行业的燃料和原料替代、能源利用效率提升、绿色清洁能源利用、废弃物资源化利用等技术革新，促进减污降碳协同增效。</w:t>
                  </w:r>
                </w:p>
              </w:tc>
              <w:tc>
                <w:tcPr>
                  <w:tcW w:w="2916" w:type="dxa"/>
                  <w:tcBorders>
                    <w:tl2br w:val="nil"/>
                    <w:tr2bl w:val="nil"/>
                  </w:tcBorders>
                  <w:vAlign w:val="center"/>
                </w:tcPr>
                <w:p w14:paraId="4E5AD9B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本项目为玉溪市大化产业园区仙福钢铁厂铁路专用线项目，属于新建铁路专用线项目，不属于钢铁冶炼、钢铁压延、建材制造等重点碳排放行业。</w:t>
                  </w:r>
                </w:p>
              </w:tc>
              <w:tc>
                <w:tcPr>
                  <w:tcW w:w="987" w:type="dxa"/>
                  <w:tcBorders>
                    <w:tl2br w:val="nil"/>
                    <w:tr2bl w:val="nil"/>
                  </w:tcBorders>
                  <w:vAlign w:val="center"/>
                </w:tcPr>
                <w:p w14:paraId="3ECAC6C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0C5B5F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2FE69C5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w:t>
                  </w:r>
                </w:p>
              </w:tc>
              <w:tc>
                <w:tcPr>
                  <w:tcW w:w="3064" w:type="dxa"/>
                  <w:tcBorders>
                    <w:tl2br w:val="nil"/>
                    <w:tr2bl w:val="nil"/>
                  </w:tcBorders>
                  <w:vAlign w:val="center"/>
                </w:tcPr>
                <w:p w14:paraId="0AD4E5E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严格控制发展规模，合理安排开发时序。实施“雨污分流”，加强建设初期雨水收集处理系统，加强园区企业废水的梯级利用，平甸河等河流水环境质量未达到水质目标前，除城镇污水处理厂入河排污口外，严格控制新设、改设或者扩大排污口，结合水污染防治方案等实施相应的水环境质量改善工程，切实削减COD、氨氮等污染物，配合新平县、峨山县相关政府部门，加强平甸河、化念河等河道的水环境综合整治与生态修复工程，切实改善地表水环境质量。</w:t>
                  </w:r>
                </w:p>
              </w:tc>
              <w:tc>
                <w:tcPr>
                  <w:tcW w:w="2916" w:type="dxa"/>
                  <w:tcBorders>
                    <w:tl2br w:val="nil"/>
                    <w:tr2bl w:val="nil"/>
                  </w:tcBorders>
                  <w:vAlign w:val="center"/>
                </w:tcPr>
                <w:p w14:paraId="1A1D156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项目实施“雨污分流”，项目无生产废水产生，生活污水</w:t>
                  </w:r>
                  <w:r>
                    <w:rPr>
                      <w:rFonts w:hint="eastAsia" w:cs="Times New Roman"/>
                      <w:sz w:val="18"/>
                      <w:szCs w:val="18"/>
                      <w:vertAlign w:val="baseline"/>
                      <w:lang w:val="en-US" w:eastAsia="zh-CN"/>
                    </w:rPr>
                    <w:t>通过化粪池预处理后，排入新建的一体化污水处理设施</w:t>
                  </w:r>
                  <w:r>
                    <w:rPr>
                      <w:rFonts w:hint="default" w:ascii="Times New Roman" w:hAnsi="Times New Roman" w:eastAsia="宋体" w:cs="Times New Roman"/>
                      <w:sz w:val="18"/>
                      <w:szCs w:val="18"/>
                      <w:vertAlign w:val="baseline"/>
                      <w:lang w:val="en-US" w:eastAsia="zh-CN"/>
                    </w:rPr>
                    <w:t>，处理能力为10m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d</w:t>
                  </w:r>
                  <w:r>
                    <w:rPr>
                      <w:rFonts w:hint="default" w:ascii="Times New Roman" w:hAnsi="Times New Roman" w:eastAsia="宋体" w:cs="Times New Roman"/>
                      <w:sz w:val="18"/>
                      <w:szCs w:val="18"/>
                      <w:vertAlign w:val="baseline"/>
                      <w:lang w:val="en-US" w:eastAsia="zh-CN"/>
                    </w:rPr>
                    <w:t>，处理</w:t>
                  </w:r>
                  <w:r>
                    <w:rPr>
                      <w:rFonts w:hint="eastAsia" w:cs="Times New Roman"/>
                      <w:sz w:val="18"/>
                      <w:szCs w:val="18"/>
                      <w:vertAlign w:val="baseline"/>
                      <w:lang w:val="en-US" w:eastAsia="zh-CN"/>
                    </w:rPr>
                    <w:t>达标</w:t>
                  </w:r>
                  <w:r>
                    <w:rPr>
                      <w:rFonts w:hint="default" w:ascii="Times New Roman" w:hAnsi="Times New Roman" w:eastAsia="宋体" w:cs="Times New Roman"/>
                      <w:sz w:val="18"/>
                      <w:szCs w:val="18"/>
                      <w:vertAlign w:val="baseline"/>
                      <w:lang w:val="en-US" w:eastAsia="zh-CN"/>
                    </w:rPr>
                    <w:t>后回用于厂区绿化</w:t>
                  </w:r>
                  <w:r>
                    <w:rPr>
                      <w:rFonts w:hint="eastAsia" w:cs="Times New Roman"/>
                      <w:sz w:val="18"/>
                      <w:szCs w:val="18"/>
                      <w:vertAlign w:val="baseline"/>
                      <w:lang w:val="en-US" w:eastAsia="zh-CN"/>
                    </w:rPr>
                    <w:t>或洒水降尘</w:t>
                  </w:r>
                  <w:r>
                    <w:rPr>
                      <w:rFonts w:hint="default" w:ascii="Times New Roman" w:hAnsi="Times New Roman" w:eastAsia="宋体" w:cs="Times New Roman"/>
                      <w:sz w:val="18"/>
                      <w:szCs w:val="18"/>
                      <w:vertAlign w:val="baseline"/>
                      <w:lang w:val="en-US" w:eastAsia="zh-CN"/>
                    </w:rPr>
                    <w:t>，不外排</w:t>
                  </w:r>
                  <w:r>
                    <w:rPr>
                      <w:rFonts w:hint="eastAsia" w:cs="Times New Roman"/>
                      <w:sz w:val="18"/>
                      <w:szCs w:val="18"/>
                      <w:vertAlign w:val="baseline"/>
                      <w:lang w:val="en-US" w:eastAsia="zh-CN"/>
                    </w:rPr>
                    <w:t>；初期雨水经收集沉淀后回用于货场洒水降尘，不外排。</w:t>
                  </w:r>
                </w:p>
              </w:tc>
              <w:tc>
                <w:tcPr>
                  <w:tcW w:w="987" w:type="dxa"/>
                  <w:tcBorders>
                    <w:tl2br w:val="nil"/>
                    <w:tr2bl w:val="nil"/>
                  </w:tcBorders>
                  <w:vAlign w:val="center"/>
                </w:tcPr>
                <w:p w14:paraId="44D64A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25149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70D48E3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w:t>
                  </w:r>
                </w:p>
              </w:tc>
              <w:tc>
                <w:tcPr>
                  <w:tcW w:w="3064" w:type="dxa"/>
                  <w:tcBorders>
                    <w:tl2br w:val="nil"/>
                    <w:tr2bl w:val="nil"/>
                  </w:tcBorders>
                  <w:vAlign w:val="center"/>
                </w:tcPr>
                <w:p w14:paraId="62B02F7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进一步优化园区空间布局，加强空间管控，加大对环境敏感区的保护力度，严禁不符合管控要求的各类开发和建设活动。《规划》范围内的一般生态空间等敏感区域，严格进行保护，原则上不进行开发建设，绿色钢城片区不得建设有色金属冶炼产业，并按要求设置大气环境防护距离。园区按《云南省人民政府办公厅关于推动落后和低端低效产能退出的实施意见》（云政办发（2022）17号）相关要求，依法依规关停退出能耗、环保、质量、安全不达标和落后、过剩产能，分行业有序退出“限制类”产能；现有重污染企业要开展技术升级改造和环保设施的提标改造，钢铁、焦化等行业应达到超低排放要求；绿色钢城片区、桂山片区、夏洒片区应设置隔离带，按园区绿化美化要求，留出必要的防护距离，加强对各片区内及周边集中居住区等生活空间防护，确保园区产业布局与生态环境保护、人居环境安全相协调。</w:t>
                  </w:r>
                </w:p>
              </w:tc>
              <w:tc>
                <w:tcPr>
                  <w:tcW w:w="2916" w:type="dxa"/>
                  <w:tcBorders>
                    <w:tl2br w:val="nil"/>
                    <w:tr2bl w:val="nil"/>
                  </w:tcBorders>
                  <w:vAlign w:val="center"/>
                </w:tcPr>
                <w:p w14:paraId="1C5E316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本项目为玉溪市大化产业园区仙福钢铁厂铁路专用线项目，属于新建铁路专用线项目，不属于矿石采选、有色金属冶炼产业，不属于不达标和落后、过剩产能。</w:t>
                  </w:r>
                </w:p>
              </w:tc>
              <w:tc>
                <w:tcPr>
                  <w:tcW w:w="987" w:type="dxa"/>
                  <w:tcBorders>
                    <w:tl2br w:val="nil"/>
                    <w:tr2bl w:val="nil"/>
                  </w:tcBorders>
                  <w:vAlign w:val="center"/>
                </w:tcPr>
                <w:p w14:paraId="47FCC8D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5AC6B0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16025A7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5</w:t>
                  </w:r>
                </w:p>
              </w:tc>
              <w:tc>
                <w:tcPr>
                  <w:tcW w:w="3064" w:type="dxa"/>
                  <w:tcBorders>
                    <w:tl2br w:val="nil"/>
                    <w:tr2bl w:val="nil"/>
                  </w:tcBorders>
                  <w:vAlign w:val="center"/>
                </w:tcPr>
                <w:p w14:paraId="624D2AD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强化污染物排放总量管控。根据国家和云南省污染防治规划和区域“三线一单”生态环境分区管控相关要求，落实园区污染减排措施和要求，采取有效措施减少重金属、颗粒物和挥发性有机物等特征污染物的排放量。推进挥发性有机物和氮氧化物协同治理，促进产业发展与生态环境保护相协调。新建钢铁、焦化等重点行业建设项目应执行国家超低排放限值、实行主要污染物区域削减。</w:t>
                  </w:r>
                </w:p>
              </w:tc>
              <w:tc>
                <w:tcPr>
                  <w:tcW w:w="2916" w:type="dxa"/>
                  <w:tcBorders>
                    <w:tl2br w:val="nil"/>
                    <w:tr2bl w:val="nil"/>
                  </w:tcBorders>
                  <w:vAlign w:val="center"/>
                </w:tcPr>
                <w:p w14:paraId="09D1D32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根据分析，项目符合“三线一单”生态环境分区管控相关要求，运行过程中废气生产量较小，呈无组织排放；生活污水</w:t>
                  </w:r>
                  <w:r>
                    <w:rPr>
                      <w:rFonts w:hint="eastAsia" w:cs="Times New Roman"/>
                      <w:sz w:val="18"/>
                      <w:szCs w:val="18"/>
                      <w:vertAlign w:val="baseline"/>
                      <w:lang w:val="en-US" w:eastAsia="zh-CN"/>
                    </w:rPr>
                    <w:t>通过化粪池预处理后，排入新建的一体化污水处理设施</w:t>
                  </w:r>
                  <w:r>
                    <w:rPr>
                      <w:rFonts w:hint="default" w:ascii="Times New Roman" w:hAnsi="Times New Roman" w:eastAsia="宋体" w:cs="Times New Roman"/>
                      <w:sz w:val="18"/>
                      <w:szCs w:val="18"/>
                      <w:vertAlign w:val="baseline"/>
                      <w:lang w:val="en-US" w:eastAsia="zh-CN"/>
                    </w:rPr>
                    <w:t>，处理能力为10m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d</w:t>
                  </w:r>
                  <w:r>
                    <w:rPr>
                      <w:rFonts w:hint="default" w:ascii="Times New Roman" w:hAnsi="Times New Roman" w:eastAsia="宋体" w:cs="Times New Roman"/>
                      <w:sz w:val="18"/>
                      <w:szCs w:val="18"/>
                      <w:vertAlign w:val="baseline"/>
                      <w:lang w:val="en-US" w:eastAsia="zh-CN"/>
                    </w:rPr>
                    <w:t>，处理</w:t>
                  </w:r>
                  <w:r>
                    <w:rPr>
                      <w:rFonts w:hint="eastAsia" w:cs="Times New Roman"/>
                      <w:sz w:val="18"/>
                      <w:szCs w:val="18"/>
                      <w:vertAlign w:val="baseline"/>
                      <w:lang w:val="en-US" w:eastAsia="zh-CN"/>
                    </w:rPr>
                    <w:t>达标</w:t>
                  </w:r>
                  <w:r>
                    <w:rPr>
                      <w:rFonts w:hint="default" w:ascii="Times New Roman" w:hAnsi="Times New Roman" w:eastAsia="宋体" w:cs="Times New Roman"/>
                      <w:sz w:val="18"/>
                      <w:szCs w:val="18"/>
                      <w:vertAlign w:val="baseline"/>
                      <w:lang w:val="en-US" w:eastAsia="zh-CN"/>
                    </w:rPr>
                    <w:t>后回用于厂区绿化</w:t>
                  </w:r>
                  <w:r>
                    <w:rPr>
                      <w:rFonts w:hint="eastAsia" w:cs="Times New Roman"/>
                      <w:sz w:val="18"/>
                      <w:szCs w:val="18"/>
                      <w:vertAlign w:val="baseline"/>
                      <w:lang w:val="en-US" w:eastAsia="zh-CN"/>
                    </w:rPr>
                    <w:t>或洒水降尘</w:t>
                  </w:r>
                  <w:r>
                    <w:rPr>
                      <w:rFonts w:hint="default" w:ascii="Times New Roman" w:hAnsi="Times New Roman" w:eastAsia="宋体" w:cs="Times New Roman"/>
                      <w:sz w:val="18"/>
                      <w:szCs w:val="18"/>
                      <w:vertAlign w:val="baseline"/>
                      <w:lang w:val="en-US" w:eastAsia="zh-CN"/>
                    </w:rPr>
                    <w:t>，不外排，不设总量控制指标。</w:t>
                  </w:r>
                </w:p>
              </w:tc>
              <w:tc>
                <w:tcPr>
                  <w:tcW w:w="987" w:type="dxa"/>
                  <w:tcBorders>
                    <w:tl2br w:val="nil"/>
                    <w:tr2bl w:val="nil"/>
                  </w:tcBorders>
                  <w:vAlign w:val="center"/>
                </w:tcPr>
                <w:p w14:paraId="0A65618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1866F4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3C4FA97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w:t>
                  </w:r>
                </w:p>
              </w:tc>
              <w:tc>
                <w:tcPr>
                  <w:tcW w:w="3064" w:type="dxa"/>
                  <w:tcBorders>
                    <w:tl2br w:val="nil"/>
                    <w:tr2bl w:val="nil"/>
                  </w:tcBorders>
                  <w:vAlign w:val="center"/>
                </w:tcPr>
                <w:p w14:paraId="3A03503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w:t>
                  </w:r>
                </w:p>
                <w:p w14:paraId="4C1BFB3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高度重视园区废水收集、处理、回用、排放的环境管理，实施“雨污分流”，加快各片区污水管网、回用管网的建设，结合区域的建设时序适时建设污水处理厂、再生水处理设施，区域河流纳污容量有限，应严格控制废水外排量，确保受纳水体水质满足环境功能要求。</w:t>
                  </w:r>
                </w:p>
                <w:p w14:paraId="378D0A3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严格执行《地下水管理条例》中相关规定，在泉域保护范围以及岩溶强发育、存在较多落水洞和岩溶漏斗的区域内，不得新建、改建、扩建可能造成地下水污染的建设项目。</w:t>
                  </w:r>
                </w:p>
                <w:p w14:paraId="505E013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将土壤污染防治工作纳入园区规划及相关环境保护规划，采取有效预防措施，防止、减少土壤污染，确保满足土壤环境管控要求。入园企业产生的危险废物按照规定严格管控，积极推进工业固体废物综合利用。</w:t>
                  </w:r>
                </w:p>
              </w:tc>
              <w:tc>
                <w:tcPr>
                  <w:tcW w:w="2916" w:type="dxa"/>
                  <w:tcBorders>
                    <w:tl2br w:val="nil"/>
                    <w:tr2bl w:val="nil"/>
                  </w:tcBorders>
                  <w:vAlign w:val="center"/>
                </w:tcPr>
                <w:p w14:paraId="5AE39EF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本项目为玉溪市大化产业园区仙福钢铁厂铁路专用线项目，运行过程中废气产生量较少，呈无组织排放；生活污水</w:t>
                  </w:r>
                  <w:r>
                    <w:rPr>
                      <w:rFonts w:hint="eastAsia" w:cs="Times New Roman"/>
                      <w:sz w:val="18"/>
                      <w:szCs w:val="18"/>
                      <w:vertAlign w:val="baseline"/>
                      <w:lang w:val="en-US" w:eastAsia="zh-CN"/>
                    </w:rPr>
                    <w:t>通过化粪池预处理后，排入新建的一体化污水处理设施</w:t>
                  </w:r>
                  <w:r>
                    <w:rPr>
                      <w:rFonts w:hint="default" w:ascii="Times New Roman" w:hAnsi="Times New Roman" w:eastAsia="宋体" w:cs="Times New Roman"/>
                      <w:sz w:val="18"/>
                      <w:szCs w:val="18"/>
                      <w:vertAlign w:val="baseline"/>
                      <w:lang w:val="en-US" w:eastAsia="zh-CN"/>
                    </w:rPr>
                    <w:t>，处理能力为10m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d</w:t>
                  </w:r>
                  <w:r>
                    <w:rPr>
                      <w:rFonts w:hint="default" w:ascii="Times New Roman" w:hAnsi="Times New Roman" w:eastAsia="宋体" w:cs="Times New Roman"/>
                      <w:sz w:val="18"/>
                      <w:szCs w:val="18"/>
                      <w:vertAlign w:val="baseline"/>
                      <w:lang w:val="en-US" w:eastAsia="zh-CN"/>
                    </w:rPr>
                    <w:t>，处理后回用于厂区绿化，不外排；生活垃圾站内收集后委托环卫部门清运。</w:t>
                  </w:r>
                </w:p>
              </w:tc>
              <w:tc>
                <w:tcPr>
                  <w:tcW w:w="987" w:type="dxa"/>
                  <w:tcBorders>
                    <w:tl2br w:val="nil"/>
                    <w:tr2bl w:val="nil"/>
                  </w:tcBorders>
                  <w:vAlign w:val="center"/>
                </w:tcPr>
                <w:p w14:paraId="7FB94BB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41A23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45C4FD7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w:t>
                  </w:r>
                </w:p>
              </w:tc>
              <w:tc>
                <w:tcPr>
                  <w:tcW w:w="3064" w:type="dxa"/>
                  <w:tcBorders>
                    <w:tl2br w:val="nil"/>
                    <w:tr2bl w:val="nil"/>
                  </w:tcBorders>
                  <w:vAlign w:val="center"/>
                </w:tcPr>
                <w:p w14:paraId="7F60797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严格执行环境准入要求，加强入园项目生态环境准入管理。落实蓝天、碧水、净土保卫战有关管控要求，加强“两高”行业生态环境源头防控，引进项目的生产工艺、设备、污染物排放和资源利用等，应达到清洁生产国内先进水平；推进技术研发型、创新型产业发展，提升产业的技术水平和园区的绿色低碳化水平；园区招商引资、入园项目环评审批应严格执行生态环境准入要求，要以园区的资源环境承载能力为基础，充分论证、有序发展，严禁引进工艺装备落后，不符合污染物排放总量控制要求的企业。</w:t>
                  </w:r>
                </w:p>
              </w:tc>
              <w:tc>
                <w:tcPr>
                  <w:tcW w:w="2916" w:type="dxa"/>
                  <w:tcBorders>
                    <w:tl2br w:val="nil"/>
                    <w:tr2bl w:val="nil"/>
                  </w:tcBorders>
                  <w:vAlign w:val="center"/>
                </w:tcPr>
                <w:p w14:paraId="193A6DE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本项目为玉溪市大化产业园区仙福钢铁厂铁路专用线项目，不属于“两高”行业，不涉及工艺装备落后企业。</w:t>
                  </w:r>
                </w:p>
              </w:tc>
              <w:tc>
                <w:tcPr>
                  <w:tcW w:w="987" w:type="dxa"/>
                  <w:tcBorders>
                    <w:tl2br w:val="nil"/>
                    <w:tr2bl w:val="nil"/>
                  </w:tcBorders>
                  <w:vAlign w:val="center"/>
                </w:tcPr>
                <w:p w14:paraId="5C50001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73353E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596BFE1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8</w:t>
                  </w:r>
                </w:p>
              </w:tc>
              <w:tc>
                <w:tcPr>
                  <w:tcW w:w="3064" w:type="dxa"/>
                  <w:tcBorders>
                    <w:tl2br w:val="nil"/>
                    <w:tr2bl w:val="nil"/>
                  </w:tcBorders>
                  <w:vAlign w:val="center"/>
                </w:tcPr>
                <w:p w14:paraId="1B6532D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2916" w:type="dxa"/>
                  <w:tcBorders>
                    <w:tl2br w:val="nil"/>
                    <w:tr2bl w:val="nil"/>
                  </w:tcBorders>
                  <w:vAlign w:val="center"/>
                </w:tcPr>
                <w:p w14:paraId="4E67BD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项目建成后，企业将及时编制应急预案，并严格按照突发环境事件应急预案中相关要求，成立突发环境事件应急救援指挥中心，明确应急指挥部组成及职责，配备应急救援物资，建立应急防控体系。</w:t>
                  </w:r>
                </w:p>
              </w:tc>
              <w:tc>
                <w:tcPr>
                  <w:tcW w:w="987" w:type="dxa"/>
                  <w:tcBorders>
                    <w:tl2br w:val="nil"/>
                    <w:tr2bl w:val="nil"/>
                  </w:tcBorders>
                  <w:vAlign w:val="center"/>
                </w:tcPr>
                <w:p w14:paraId="74ABDD2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4C465F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5B24261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9</w:t>
                  </w:r>
                </w:p>
              </w:tc>
              <w:tc>
                <w:tcPr>
                  <w:tcW w:w="3064" w:type="dxa"/>
                  <w:tcBorders>
                    <w:tl2br w:val="nil"/>
                    <w:tr2bl w:val="nil"/>
                  </w:tcBorders>
                  <w:vAlign w:val="center"/>
                </w:tcPr>
                <w:p w14:paraId="0A39425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加快园区环保基础设施建设，促进区域环境质量持续改善。各片区应根据用地规模、开发程度、产业聚集程度及排水条件，因地制宜规划建设污水集中处理设施及中水回用设施，并同步建设污水管网、雨水管网及中水回用管网，确保各片区污水得到有效收集和处理；积极推进集中供热的建设，督促园区企业加强废气、废水、噪声、固废等环保设施建设和运行管理。</w:t>
                  </w:r>
                </w:p>
              </w:tc>
              <w:tc>
                <w:tcPr>
                  <w:tcW w:w="2916" w:type="dxa"/>
                  <w:tcBorders>
                    <w:tl2br w:val="nil"/>
                    <w:tr2bl w:val="nil"/>
                  </w:tcBorders>
                  <w:vAlign w:val="center"/>
                </w:tcPr>
                <w:p w14:paraId="1F94A6A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本项目运营期废气产生量较小，呈无组织排放；生活污水</w:t>
                  </w:r>
                  <w:r>
                    <w:rPr>
                      <w:rFonts w:hint="eastAsia" w:cs="Times New Roman"/>
                      <w:sz w:val="18"/>
                      <w:szCs w:val="18"/>
                      <w:vertAlign w:val="baseline"/>
                      <w:lang w:val="en-US" w:eastAsia="zh-CN"/>
                    </w:rPr>
                    <w:t>通过化粪池预处理后，排入新建的一体化污水处理设施</w:t>
                  </w:r>
                  <w:r>
                    <w:rPr>
                      <w:rFonts w:hint="default" w:ascii="Times New Roman" w:hAnsi="Times New Roman" w:eastAsia="宋体" w:cs="Times New Roman"/>
                      <w:sz w:val="18"/>
                      <w:szCs w:val="18"/>
                      <w:vertAlign w:val="baseline"/>
                      <w:lang w:val="en-US" w:eastAsia="zh-CN"/>
                    </w:rPr>
                    <w:t>，处理能力为10m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d</w:t>
                  </w:r>
                  <w:r>
                    <w:rPr>
                      <w:rFonts w:hint="default" w:ascii="Times New Roman" w:hAnsi="Times New Roman" w:eastAsia="宋体" w:cs="Times New Roman"/>
                      <w:sz w:val="18"/>
                      <w:szCs w:val="18"/>
                      <w:vertAlign w:val="baseline"/>
                      <w:lang w:val="en-US" w:eastAsia="zh-CN"/>
                    </w:rPr>
                    <w:t>，处理后回用于厂区绿化</w:t>
                  </w:r>
                  <w:r>
                    <w:rPr>
                      <w:rFonts w:hint="eastAsia" w:cs="Times New Roman"/>
                      <w:sz w:val="18"/>
                      <w:szCs w:val="18"/>
                      <w:vertAlign w:val="baseline"/>
                      <w:lang w:val="en-US" w:eastAsia="zh-CN"/>
                    </w:rPr>
                    <w:t>或洒水降尘</w:t>
                  </w:r>
                  <w:r>
                    <w:rPr>
                      <w:rFonts w:hint="default" w:ascii="Times New Roman" w:hAnsi="Times New Roman" w:eastAsia="宋体" w:cs="Times New Roman"/>
                      <w:sz w:val="18"/>
                      <w:szCs w:val="18"/>
                      <w:vertAlign w:val="baseline"/>
                      <w:lang w:val="en-US" w:eastAsia="zh-CN"/>
                    </w:rPr>
                    <w:t>，不外排；生活垃圾站内收集后委托环卫部门清运。</w:t>
                  </w:r>
                </w:p>
              </w:tc>
              <w:tc>
                <w:tcPr>
                  <w:tcW w:w="987" w:type="dxa"/>
                  <w:tcBorders>
                    <w:tl2br w:val="nil"/>
                    <w:tr2bl w:val="nil"/>
                  </w:tcBorders>
                  <w:vAlign w:val="center"/>
                </w:tcPr>
                <w:p w14:paraId="68C59D4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52898D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21352F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3064" w:type="dxa"/>
                  <w:tcBorders>
                    <w:tl2br w:val="nil"/>
                    <w:tr2bl w:val="nil"/>
                  </w:tcBorders>
                  <w:vAlign w:val="center"/>
                </w:tcPr>
                <w:p w14:paraId="50AB890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定期发布环境信息，建立畅通的公众参与平台。加强与周边公众的沟通，主动接受社会监督，妥善处理好园区建设与周边居民的关系，及时解决公众关心的环境问题，满足公众合理的环境诉求。</w:t>
                  </w:r>
                </w:p>
              </w:tc>
              <w:tc>
                <w:tcPr>
                  <w:tcW w:w="2916" w:type="dxa"/>
                  <w:tcBorders>
                    <w:tl2br w:val="nil"/>
                    <w:tr2bl w:val="nil"/>
                  </w:tcBorders>
                  <w:vAlign w:val="center"/>
                </w:tcPr>
                <w:p w14:paraId="66FB898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本项目建设运营后会按要求执行。</w:t>
                  </w:r>
                </w:p>
              </w:tc>
              <w:tc>
                <w:tcPr>
                  <w:tcW w:w="987" w:type="dxa"/>
                  <w:tcBorders>
                    <w:tl2br w:val="nil"/>
                    <w:tr2bl w:val="nil"/>
                  </w:tcBorders>
                  <w:vAlign w:val="center"/>
                </w:tcPr>
                <w:p w14:paraId="60F250A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155A5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30F7440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11</w:t>
                  </w:r>
                </w:p>
              </w:tc>
              <w:tc>
                <w:tcPr>
                  <w:tcW w:w="3064" w:type="dxa"/>
                  <w:tcBorders>
                    <w:tl2br w:val="nil"/>
                    <w:tr2bl w:val="nil"/>
                  </w:tcBorders>
                  <w:vAlign w:val="center"/>
                </w:tcPr>
                <w:p w14:paraId="311A904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《规划》在实施范围、适用期限、规模、结构和布局等方面进行重大调整或修订时，应重新编制环境影响报告书。</w:t>
                  </w:r>
                </w:p>
              </w:tc>
              <w:tc>
                <w:tcPr>
                  <w:tcW w:w="2916" w:type="dxa"/>
                  <w:tcBorders>
                    <w:tl2br w:val="nil"/>
                    <w:tr2bl w:val="nil"/>
                  </w:tcBorders>
                  <w:vAlign w:val="center"/>
                </w:tcPr>
                <w:p w14:paraId="2B5263C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本项目不涉及。</w:t>
                  </w:r>
                </w:p>
              </w:tc>
              <w:tc>
                <w:tcPr>
                  <w:tcW w:w="987" w:type="dxa"/>
                  <w:tcBorders>
                    <w:tl2br w:val="nil"/>
                    <w:tr2bl w:val="nil"/>
                  </w:tcBorders>
                  <w:vAlign w:val="center"/>
                </w:tcPr>
                <w:p w14:paraId="3DE0E94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r w14:paraId="1E0468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dxa"/>
                  <w:tcBorders>
                    <w:tl2br w:val="nil"/>
                    <w:tr2bl w:val="nil"/>
                  </w:tcBorders>
                  <w:vAlign w:val="center"/>
                </w:tcPr>
                <w:p w14:paraId="7CA2D40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12</w:t>
                  </w:r>
                </w:p>
              </w:tc>
              <w:tc>
                <w:tcPr>
                  <w:tcW w:w="3064" w:type="dxa"/>
                  <w:tcBorders>
                    <w:tl2br w:val="nil"/>
                    <w:tr2bl w:val="nil"/>
                  </w:tcBorders>
                  <w:vAlign w:val="center"/>
                </w:tcPr>
                <w:p w14:paraId="6D40F5E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拟入园建设项目，应结合规划环评提出的指导意见做好环境影响评价工作，落实相关要求，加强与规划环评的联动，严格项目生态环境准入条件，重点开展工程分析、污染物允许排放量测算和环保措施、固体废物综合利用途径及危险废物处理处置措施的可行性论证等工作，强化环境保护相关措施的落实；规划环评中协调性分析、环境现状、污染源调查等符合要求的资料可供建设项目环评共享，项目环评相应评价内容可结合实际情况予以简化。</w:t>
                  </w:r>
                </w:p>
              </w:tc>
              <w:tc>
                <w:tcPr>
                  <w:tcW w:w="2916" w:type="dxa"/>
                  <w:tcBorders>
                    <w:tl2br w:val="nil"/>
                    <w:tr2bl w:val="nil"/>
                  </w:tcBorders>
                  <w:vAlign w:val="center"/>
                </w:tcPr>
                <w:p w14:paraId="5A6FDB9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本项目运行过程中产生的废气较少，呈无组织排放；生活污水</w:t>
                  </w:r>
                  <w:r>
                    <w:rPr>
                      <w:rFonts w:hint="eastAsia" w:cs="Times New Roman"/>
                      <w:sz w:val="18"/>
                      <w:szCs w:val="18"/>
                      <w:vertAlign w:val="baseline"/>
                      <w:lang w:val="en-US" w:eastAsia="zh-CN"/>
                    </w:rPr>
                    <w:t>通过化粪池预处理后，排入新建的一体化污水处理设施</w:t>
                  </w:r>
                  <w:r>
                    <w:rPr>
                      <w:rFonts w:hint="default" w:ascii="Times New Roman" w:hAnsi="Times New Roman" w:eastAsia="宋体" w:cs="Times New Roman"/>
                      <w:sz w:val="18"/>
                      <w:szCs w:val="18"/>
                      <w:vertAlign w:val="baseline"/>
                      <w:lang w:val="en-US" w:eastAsia="zh-CN"/>
                    </w:rPr>
                    <w:t>，处理能力为10m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vertAlign w:val="baseline"/>
                      <w:lang w:val="en-US" w:eastAsia="zh-CN"/>
                    </w:rPr>
                    <w:t>/</w:t>
                  </w:r>
                  <w:r>
                    <w:rPr>
                      <w:rFonts w:hint="eastAsia" w:cs="Times New Roman"/>
                      <w:sz w:val="18"/>
                      <w:szCs w:val="18"/>
                      <w:vertAlign w:val="baseline"/>
                      <w:lang w:val="en-US" w:eastAsia="zh-CN"/>
                    </w:rPr>
                    <w:t>d</w:t>
                  </w:r>
                  <w:r>
                    <w:rPr>
                      <w:rFonts w:hint="default" w:ascii="Times New Roman" w:hAnsi="Times New Roman" w:eastAsia="宋体" w:cs="Times New Roman"/>
                      <w:sz w:val="18"/>
                      <w:szCs w:val="18"/>
                      <w:vertAlign w:val="baseline"/>
                      <w:lang w:val="en-US" w:eastAsia="zh-CN"/>
                    </w:rPr>
                    <w:t>，处理</w:t>
                  </w:r>
                  <w:r>
                    <w:rPr>
                      <w:rFonts w:hint="eastAsia" w:cs="Times New Roman"/>
                      <w:sz w:val="18"/>
                      <w:szCs w:val="18"/>
                      <w:vertAlign w:val="baseline"/>
                      <w:lang w:val="en-US" w:eastAsia="zh-CN"/>
                    </w:rPr>
                    <w:t>达标</w:t>
                  </w:r>
                  <w:r>
                    <w:rPr>
                      <w:rFonts w:hint="default" w:ascii="Times New Roman" w:hAnsi="Times New Roman" w:eastAsia="宋体" w:cs="Times New Roman"/>
                      <w:sz w:val="18"/>
                      <w:szCs w:val="18"/>
                      <w:vertAlign w:val="baseline"/>
                      <w:lang w:val="en-US" w:eastAsia="zh-CN"/>
                    </w:rPr>
                    <w:t>后回用于厂区绿化</w:t>
                  </w:r>
                  <w:r>
                    <w:rPr>
                      <w:rFonts w:hint="eastAsia" w:cs="Times New Roman"/>
                      <w:sz w:val="18"/>
                      <w:szCs w:val="18"/>
                      <w:vertAlign w:val="baseline"/>
                      <w:lang w:val="en-US" w:eastAsia="zh-CN"/>
                    </w:rPr>
                    <w:t>或洒水降尘</w:t>
                  </w:r>
                  <w:r>
                    <w:rPr>
                      <w:rFonts w:hint="default" w:ascii="Times New Roman" w:hAnsi="Times New Roman" w:eastAsia="宋体" w:cs="Times New Roman"/>
                      <w:sz w:val="18"/>
                      <w:szCs w:val="18"/>
                      <w:vertAlign w:val="baseline"/>
                      <w:lang w:val="en-US" w:eastAsia="zh-CN"/>
                    </w:rPr>
                    <w:t>，不外排；生活垃圾统一收集后委托环卫部门清运，处置率达到了100%。</w:t>
                  </w:r>
                </w:p>
              </w:tc>
              <w:tc>
                <w:tcPr>
                  <w:tcW w:w="987" w:type="dxa"/>
                  <w:tcBorders>
                    <w:tl2br w:val="nil"/>
                    <w:tr2bl w:val="nil"/>
                  </w:tcBorders>
                  <w:vAlign w:val="center"/>
                </w:tcPr>
                <w:p w14:paraId="4CEB520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符合</w:t>
                  </w:r>
                </w:p>
              </w:tc>
            </w:tr>
          </w:tbl>
          <w:p w14:paraId="26D4B31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黑体" w:hAnsi="黑体" w:eastAsia="黑体" w:cs="黑体"/>
                <w:b w:val="0"/>
                <w:bCs w:val="0"/>
                <w:color w:val="000000"/>
                <w:kern w:val="0"/>
                <w:sz w:val="21"/>
                <w:szCs w:val="21"/>
                <w:lang w:val="en-US" w:eastAsia="zh-CN" w:bidi="ar"/>
              </w:rPr>
            </w:pPr>
            <w:r>
              <w:rPr>
                <w:rFonts w:hint="eastAsia" w:ascii="Times New Roman" w:hAnsi="Times New Roman" w:eastAsia="宋体" w:cs="Times New Roman"/>
                <w:color w:val="auto"/>
                <w:sz w:val="24"/>
                <w:szCs w:val="24"/>
                <w:highlight w:val="none"/>
                <w:lang w:val="en-US" w:eastAsia="zh-CN"/>
              </w:rPr>
              <w:t>据上表分析可知，本项目建设符合《云南新平产业园区总体规划修编（</w:t>
            </w:r>
            <w:r>
              <w:rPr>
                <w:rFonts w:hint="default" w:ascii="Times New Roman" w:hAnsi="Times New Roman" w:eastAsia="宋体" w:cs="Times New Roman"/>
                <w:color w:val="auto"/>
                <w:sz w:val="24"/>
                <w:szCs w:val="24"/>
                <w:highlight w:val="none"/>
                <w:lang w:val="en-US" w:eastAsia="zh-CN"/>
              </w:rPr>
              <w:t>2021-2035</w:t>
            </w:r>
            <w:r>
              <w:rPr>
                <w:rFonts w:hint="eastAsia" w:ascii="Times New Roman" w:hAnsi="Times New Roman" w:eastAsia="宋体" w:cs="Times New Roman"/>
                <w:color w:val="auto"/>
                <w:sz w:val="24"/>
                <w:szCs w:val="24"/>
                <w:highlight w:val="none"/>
                <w:lang w:val="en-US" w:eastAsia="zh-CN"/>
              </w:rPr>
              <w:t>）环境影响报告书审查意见》的要求。</w:t>
            </w:r>
          </w:p>
        </w:tc>
      </w:tr>
      <w:tr w14:paraId="79A8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 w:hRule="atLeast"/>
          <w:jc w:val="center"/>
        </w:trPr>
        <w:tc>
          <w:tcPr>
            <w:tcW w:w="1234" w:type="dxa"/>
            <w:tcBorders>
              <w:tl2br w:val="nil"/>
              <w:tr2bl w:val="nil"/>
            </w:tcBorders>
            <w:shd w:val="clear" w:color="auto" w:fill="auto"/>
            <w:vAlign w:val="center"/>
          </w:tcPr>
          <w:p w14:paraId="4728C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其他符合性分析</w:t>
            </w:r>
          </w:p>
        </w:tc>
        <w:tc>
          <w:tcPr>
            <w:tcW w:w="7657" w:type="dxa"/>
            <w:gridSpan w:val="3"/>
            <w:tcBorders>
              <w:tl2br w:val="nil"/>
              <w:tr2bl w:val="nil"/>
            </w:tcBorders>
            <w:shd w:val="clear" w:color="auto" w:fill="auto"/>
            <w:vAlign w:val="top"/>
          </w:tcPr>
          <w:p w14:paraId="389BF58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1、产业政策符合性分析</w:t>
            </w:r>
          </w:p>
          <w:p w14:paraId="15DBA8D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①与国家运输结构调整政策相符合</w:t>
            </w:r>
          </w:p>
          <w:p w14:paraId="21D5BB2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《交通强国建设纲要》（国务院公报</w:t>
            </w:r>
            <w:r>
              <w:rPr>
                <w:rFonts w:hint="default" w:ascii="Times New Roman" w:hAnsi="Times New Roman" w:eastAsia="宋体" w:cs="Times New Roman"/>
                <w:color w:val="auto"/>
                <w:sz w:val="24"/>
                <w:szCs w:val="24"/>
                <w:highlight w:val="none"/>
                <w:lang w:val="en-US" w:eastAsia="zh-CN"/>
              </w:rPr>
              <w:t>2019</w:t>
            </w:r>
            <w:r>
              <w:rPr>
                <w:rFonts w:hint="eastAsia" w:ascii="Times New Roman" w:hAnsi="Times New Roman" w:eastAsia="宋体" w:cs="Times New Roman"/>
                <w:color w:val="auto"/>
                <w:sz w:val="24"/>
                <w:szCs w:val="24"/>
                <w:highlight w:val="none"/>
                <w:lang w:val="en-US" w:eastAsia="zh-CN"/>
              </w:rPr>
              <w:t>年第</w:t>
            </w:r>
            <w:r>
              <w:rPr>
                <w:rFonts w:hint="default" w:ascii="Times New Roman" w:hAnsi="Times New Roman" w:eastAsia="宋体" w:cs="Times New Roman"/>
                <w:color w:val="auto"/>
                <w:sz w:val="24"/>
                <w:szCs w:val="24"/>
                <w:highlight w:val="none"/>
                <w:lang w:val="en-US" w:eastAsia="zh-CN"/>
              </w:rPr>
              <w:t>28</w:t>
            </w:r>
            <w:r>
              <w:rPr>
                <w:rFonts w:hint="eastAsia" w:ascii="Times New Roman" w:hAnsi="Times New Roman" w:eastAsia="宋体" w:cs="Times New Roman"/>
                <w:color w:val="auto"/>
                <w:sz w:val="24"/>
                <w:szCs w:val="24"/>
                <w:highlight w:val="none"/>
                <w:lang w:val="en-US" w:eastAsia="zh-CN"/>
              </w:rPr>
              <w:t>号）指出：“打造以绿色高效为主的现代物流系统”。《纲要》指出：“优化运输结构，加快推进港口集疏运铁路、物流园区及大型工矿企业铁路专用线等“公转铁”重点项目建设，推进大宗货物及中长距离货物运输向铁路和水运有序转移。”</w:t>
            </w:r>
          </w:p>
          <w:p w14:paraId="0FB5C49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因此，本铁路专用线项目的建设，与国家运输结构调整政策相符合。</w:t>
            </w:r>
          </w:p>
          <w:p w14:paraId="12394D5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②与国家产业结构调整政策相符合</w:t>
            </w:r>
          </w:p>
          <w:p w14:paraId="7854E52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本项目对照《产业结构调整指导目录（2024年本）》（中华人民共和国国家发展和改革委员会令第7号），本项目属于鼓励类（“二十三、铁路”中第1条</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既有铁路改扩建、铁路专用线建设</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符合国家产业政策。项目建设符合2019年国家先后出台的《交通强国建设纲要》和《关于加快推进铁路专用线建设的指导意见》两个重要文件，其中均涉及铁路专用线建设，有针对性地提出意见措施，有效提高了相关企业接入铁路专用线的积极性</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且本项目</w:t>
            </w:r>
            <w:r>
              <w:rPr>
                <w:rFonts w:hint="default" w:ascii="Times New Roman" w:hAnsi="Times New Roman" w:eastAsia="宋体" w:cs="Times New Roman"/>
                <w:color w:val="auto"/>
                <w:kern w:val="0"/>
                <w:sz w:val="24"/>
                <w:szCs w:val="24"/>
              </w:rPr>
              <w:t>已于202</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年</w:t>
            </w:r>
            <w:r>
              <w:rPr>
                <w:rFonts w:hint="eastAsia" w:cs="Times New Roman"/>
                <w:color w:val="auto"/>
                <w:kern w:val="0"/>
                <w:sz w:val="24"/>
                <w:szCs w:val="24"/>
                <w:lang w:val="en-US" w:eastAsia="zh-CN"/>
              </w:rPr>
              <w:t>12</w:t>
            </w:r>
            <w:r>
              <w:rPr>
                <w:rFonts w:hint="default" w:ascii="Times New Roman" w:hAnsi="Times New Roman" w:eastAsia="宋体" w:cs="Times New Roman"/>
                <w:color w:val="auto"/>
                <w:kern w:val="0"/>
                <w:sz w:val="24"/>
                <w:szCs w:val="24"/>
              </w:rPr>
              <w:t>月</w:t>
            </w:r>
            <w:r>
              <w:rPr>
                <w:rFonts w:hint="default"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日取得</w:t>
            </w:r>
            <w:r>
              <w:rPr>
                <w:rFonts w:hint="eastAsia" w:cs="Times New Roman"/>
                <w:color w:val="auto"/>
                <w:kern w:val="0"/>
                <w:sz w:val="24"/>
                <w:szCs w:val="24"/>
                <w:lang w:eastAsia="zh-CN"/>
              </w:rPr>
              <w:t>了</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云南省发展和改革委员会关于玉溪市大化产业园区仙福钢铁厂铁路专用线项目核准的批复</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云发改基础〔2025〕991号</w:t>
            </w:r>
            <w:r>
              <w:rPr>
                <w:rFonts w:hint="default"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详</w:t>
            </w:r>
            <w:r>
              <w:rPr>
                <w:rFonts w:hint="default" w:ascii="Times New Roman" w:hAnsi="Times New Roman" w:eastAsia="宋体" w:cs="Times New Roman"/>
                <w:color w:val="auto"/>
                <w:kern w:val="0"/>
                <w:sz w:val="24"/>
                <w:szCs w:val="24"/>
                <w:lang w:eastAsia="zh-CN"/>
              </w:rPr>
              <w:t>见附件</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，项目代码：</w:t>
            </w:r>
            <w:r>
              <w:rPr>
                <w:rFonts w:hint="eastAsia" w:cs="Times New Roman"/>
                <w:i w:val="0"/>
                <w:iCs w:val="0"/>
                <w:color w:val="auto"/>
                <w:sz w:val="24"/>
                <w:szCs w:val="24"/>
                <w:highlight w:val="none"/>
                <w:u w:val="none"/>
                <w:lang w:val="en-US" w:eastAsia="zh-CN"/>
              </w:rPr>
              <w:t>25</w:t>
            </w:r>
            <w:r>
              <w:rPr>
                <w:rFonts w:hint="default" w:cs="Times New Roman"/>
                <w:i w:val="0"/>
                <w:iCs w:val="0"/>
                <w:color w:val="auto"/>
                <w:sz w:val="24"/>
                <w:szCs w:val="24"/>
                <w:highlight w:val="none"/>
                <w:u w:val="none"/>
                <w:lang w:val="en-US" w:eastAsia="zh-CN"/>
              </w:rPr>
              <w:t>06-530400-04-01-709278</w:t>
            </w:r>
            <w:r>
              <w:rPr>
                <w:rFonts w:hint="default" w:ascii="Times New Roman" w:hAnsi="Times New Roman" w:eastAsia="宋体" w:cs="Times New Roman"/>
                <w:color w:val="auto"/>
                <w:kern w:val="0"/>
                <w:sz w:val="24"/>
                <w:szCs w:val="24"/>
                <w:lang w:eastAsia="zh-CN"/>
              </w:rPr>
              <w:t>。</w:t>
            </w:r>
          </w:p>
          <w:p w14:paraId="1ED4825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因此，项目符合国家及地方现行的产业政策要求。</w:t>
            </w:r>
          </w:p>
          <w:p w14:paraId="1E97898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w:t>
            </w:r>
            <w:r>
              <w:rPr>
                <w:rFonts w:hint="eastAsia" w:cs="Times New Roman"/>
                <w:b/>
                <w:bCs/>
                <w:color w:val="auto"/>
                <w:kern w:val="0"/>
                <w:sz w:val="24"/>
                <w:szCs w:val="24"/>
                <w:lang w:val="en-US" w:eastAsia="zh-CN"/>
              </w:rPr>
              <w:t>土地利用及规划符合性分析</w:t>
            </w:r>
          </w:p>
          <w:p w14:paraId="790BEA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w:t>
            </w:r>
            <w:r>
              <w:rPr>
                <w:rFonts w:hint="eastAsia" w:cs="Times New Roman"/>
                <w:color w:val="auto"/>
                <w:kern w:val="0"/>
                <w:sz w:val="24"/>
                <w:szCs w:val="24"/>
                <w:lang w:val="en-US" w:eastAsia="zh-CN"/>
              </w:rPr>
              <w:t>新平彝族傣族自治县自然资源局关于玉溪市大化产业园区仙福钢铁厂铁路专用线用地保障及建设情况的说明，本铁路专用线项目总占地330.05亩，占地均为三类工业用地，由已办理不动产权的存量用地及已竞得成交的土地组成，具体情况如下：</w:t>
            </w:r>
          </w:p>
          <w:p w14:paraId="705C361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存量用地占71.07亩，其中：占XTC（2020）28号地块〔云（2020）新平县不动产权第0001570号〕2.43亩；占XTC（2020）29号地块〔云（2020）新平县不动产权第0001244号〕67.46亩；占XTC（2020）30号地块〔云（2020）新平县不动产权第0001571号〕1.18亩。以上国有建设用地土地使用权人均为云南玉溪仙福钢铁（集团）有限公司，土地用途均为工业用地。</w:t>
            </w:r>
          </w:p>
          <w:p w14:paraId="5F89C9C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已竞得成交土地258.98亩，云南玉溪仙福钢铁（集团）有限公司于2025年10月21日以拍卖方式竞得成交两宗国有建设用地使用权，其中：XTC（2025）38号地块122.71亩；XTC（2025）40号地块136.27亩。两宗土地用途均为交通场站用地。</w:t>
            </w:r>
          </w:p>
          <w:p w14:paraId="3B3D0DE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highlight w:val="none"/>
                <w:lang w:val="en-US" w:eastAsia="zh-CN"/>
              </w:rPr>
              <w:t>与</w:t>
            </w:r>
            <w:r>
              <w:rPr>
                <w:rFonts w:hint="eastAsia" w:cs="Times New Roman"/>
                <w:b/>
                <w:bCs/>
                <w:color w:val="auto"/>
                <w:sz w:val="24"/>
                <w:szCs w:val="24"/>
                <w:highlight w:val="none"/>
                <w:lang w:val="en-US" w:eastAsia="zh-CN"/>
              </w:rPr>
              <w:t>玉溪市“三线一单”分区管控符合性分析</w:t>
            </w:r>
          </w:p>
          <w:p w14:paraId="6293852F">
            <w:pPr>
              <w:keepNext w:val="0"/>
              <w:keepLines w:val="0"/>
              <w:pageBreakBefore w:val="0"/>
              <w:widowControl w:val="0"/>
              <w:kinsoku/>
              <w:wordWrap/>
              <w:overflowPunct w:val="0"/>
              <w:topLinePunct/>
              <w:autoSpaceDE/>
              <w:autoSpaceDN/>
              <w:bidi w:val="0"/>
              <w:adjustRightInd/>
              <w:snapToGrid/>
              <w:spacing w:line="360" w:lineRule="auto"/>
              <w:ind w:firstLine="480" w:firstLineChars="200"/>
              <w:textAlignment w:val="auto"/>
              <w:rPr>
                <w:rFonts w:hint="eastAsia" w:cs="Times New Roman"/>
                <w:b w:val="0"/>
                <w:bCs w:val="0"/>
                <w:color w:val="auto"/>
                <w:kern w:val="2"/>
                <w:sz w:val="24"/>
                <w:szCs w:val="24"/>
                <w:highlight w:val="none"/>
                <w:lang w:val="en-US" w:eastAsia="zh-CN"/>
              </w:rPr>
            </w:pPr>
            <w:r>
              <w:rPr>
                <w:rFonts w:hint="eastAsia"/>
                <w:color w:val="auto"/>
                <w:kern w:val="0"/>
                <w:sz w:val="24"/>
                <w:szCs w:val="22"/>
                <w:highlight w:val="none"/>
              </w:rPr>
              <w:t>2021年12月6日玉溪市人民政府印发了《玉溪市“三线一单”生态环境分区管控实施意见的通知》</w:t>
            </w:r>
            <w:r>
              <w:rPr>
                <w:rFonts w:hint="eastAsia"/>
                <w:color w:val="auto"/>
                <w:kern w:val="0"/>
                <w:sz w:val="24"/>
                <w:szCs w:val="22"/>
                <w:highlight w:val="none"/>
                <w:lang w:eastAsia="zh-CN"/>
              </w:rPr>
              <w:t>（</w:t>
            </w:r>
            <w:r>
              <w:rPr>
                <w:rFonts w:hint="eastAsia"/>
                <w:color w:val="auto"/>
                <w:kern w:val="0"/>
                <w:sz w:val="24"/>
                <w:szCs w:val="22"/>
                <w:highlight w:val="none"/>
              </w:rPr>
              <w:t>玉政发</w:t>
            </w:r>
            <w:r>
              <w:rPr>
                <w:rFonts w:hint="eastAsia"/>
                <w:color w:val="auto"/>
                <w:highlight w:val="none"/>
                <w:lang w:eastAsia="zh-CN"/>
              </w:rPr>
              <w:t>〔</w:t>
            </w:r>
            <w:r>
              <w:rPr>
                <w:rFonts w:hint="eastAsia"/>
                <w:color w:val="auto"/>
                <w:kern w:val="0"/>
                <w:sz w:val="24"/>
                <w:szCs w:val="22"/>
                <w:highlight w:val="none"/>
              </w:rPr>
              <w:t>2021</w:t>
            </w:r>
            <w:r>
              <w:rPr>
                <w:rFonts w:hint="eastAsia"/>
                <w:color w:val="auto"/>
                <w:highlight w:val="none"/>
                <w:lang w:eastAsia="zh-CN"/>
              </w:rPr>
              <w:t>〕</w:t>
            </w:r>
            <w:r>
              <w:rPr>
                <w:rFonts w:hint="eastAsia"/>
                <w:color w:val="auto"/>
                <w:kern w:val="0"/>
                <w:sz w:val="24"/>
                <w:szCs w:val="22"/>
                <w:highlight w:val="none"/>
              </w:rPr>
              <w:t>15号</w:t>
            </w:r>
            <w:r>
              <w:rPr>
                <w:rFonts w:hint="eastAsia"/>
                <w:color w:val="auto"/>
                <w:kern w:val="0"/>
                <w:sz w:val="24"/>
                <w:szCs w:val="22"/>
                <w:highlight w:val="none"/>
                <w:lang w:eastAsia="zh-CN"/>
              </w:rPr>
              <w:t>）（</w:t>
            </w:r>
            <w:r>
              <w:rPr>
                <w:rFonts w:hint="eastAsia"/>
                <w:color w:val="auto"/>
                <w:kern w:val="0"/>
                <w:sz w:val="24"/>
                <w:szCs w:val="22"/>
                <w:highlight w:val="none"/>
                <w:lang w:val="en-US" w:eastAsia="zh-CN"/>
              </w:rPr>
              <w:t>以下简称通知</w:t>
            </w:r>
            <w:r>
              <w:rPr>
                <w:rFonts w:hint="eastAsia"/>
                <w:color w:val="auto"/>
                <w:kern w:val="0"/>
                <w:sz w:val="24"/>
                <w:szCs w:val="22"/>
                <w:highlight w:val="none"/>
                <w:lang w:eastAsia="zh-CN"/>
              </w:rPr>
              <w:t>），</w:t>
            </w:r>
            <w:r>
              <w:rPr>
                <w:rFonts w:hint="eastAsia"/>
                <w:color w:val="auto"/>
                <w:kern w:val="0"/>
                <w:sz w:val="24"/>
                <w:szCs w:val="22"/>
                <w:highlight w:val="none"/>
              </w:rPr>
              <w:t>项目与玉溪市“三线一单”相关要求相符性分析详见下表</w:t>
            </w:r>
          </w:p>
          <w:p w14:paraId="37E3EE43">
            <w:pPr>
              <w:keepNext w:val="0"/>
              <w:keepLines w:val="0"/>
              <w:pageBreakBefore w:val="0"/>
              <w:widowControl w:val="0"/>
              <w:kinsoku/>
              <w:wordWrap/>
              <w:overflowPunct w:val="0"/>
              <w:topLinePunct/>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pacing w:val="-3"/>
                <w:lang w:eastAsia="zh-CN"/>
              </w:rPr>
            </w:pPr>
            <w:r>
              <w:rPr>
                <w:rFonts w:hint="eastAsia" w:ascii="黑体" w:hAnsi="黑体" w:eastAsia="黑体" w:cs="黑体"/>
                <w:b w:val="0"/>
                <w:bCs w:val="0"/>
                <w:color w:val="auto"/>
                <w:sz w:val="21"/>
                <w:szCs w:val="21"/>
                <w:highlight w:val="none"/>
                <w:lang w:val="en-US" w:eastAsia="zh-CN"/>
              </w:rPr>
              <w:t>表1-4 与玉溪市“三线一单”符合性分析</w:t>
            </w:r>
          </w:p>
          <w:tbl>
            <w:tblPr>
              <w:tblStyle w:val="23"/>
              <w:tblW w:w="755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0"/>
              <w:gridCol w:w="3530"/>
              <w:gridCol w:w="2241"/>
              <w:gridCol w:w="852"/>
            </w:tblGrid>
            <w:tr w14:paraId="38552E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 w:type="dxa"/>
                  <w:gridSpan w:val="2"/>
                  <w:tcBorders>
                    <w:tl2br w:val="nil"/>
                    <w:tr2bl w:val="nil"/>
                  </w:tcBorders>
                  <w:vAlign w:val="center"/>
                </w:tcPr>
                <w:p w14:paraId="7777A6A0">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序号</w:t>
                  </w:r>
                </w:p>
              </w:tc>
              <w:tc>
                <w:tcPr>
                  <w:tcW w:w="3530" w:type="dxa"/>
                  <w:tcBorders>
                    <w:tl2br w:val="nil"/>
                    <w:tr2bl w:val="nil"/>
                  </w:tcBorders>
                  <w:vAlign w:val="center"/>
                </w:tcPr>
                <w:p w14:paraId="27828226">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《通知》要求</w:t>
                  </w:r>
                </w:p>
              </w:tc>
              <w:tc>
                <w:tcPr>
                  <w:tcW w:w="2241" w:type="dxa"/>
                  <w:tcBorders>
                    <w:tl2br w:val="nil"/>
                    <w:tr2bl w:val="nil"/>
                  </w:tcBorders>
                  <w:vAlign w:val="center"/>
                </w:tcPr>
                <w:p w14:paraId="2EF2269C">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项目情况</w:t>
                  </w:r>
                </w:p>
              </w:tc>
              <w:tc>
                <w:tcPr>
                  <w:tcW w:w="852" w:type="dxa"/>
                  <w:tcBorders>
                    <w:tl2br w:val="nil"/>
                    <w:tr2bl w:val="nil"/>
                  </w:tcBorders>
                  <w:vAlign w:val="center"/>
                </w:tcPr>
                <w:p w14:paraId="51396475">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符合性</w:t>
                  </w:r>
                </w:p>
              </w:tc>
            </w:tr>
            <w:tr w14:paraId="41BCBC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59" w:type="dxa"/>
                  <w:gridSpan w:val="5"/>
                  <w:tcBorders>
                    <w:tl2br w:val="nil"/>
                    <w:tr2bl w:val="nil"/>
                  </w:tcBorders>
                  <w:vAlign w:val="center"/>
                </w:tcPr>
                <w:p w14:paraId="5ABF4AF9">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一、生态保护红线和一般生态空间</w:t>
                  </w:r>
                </w:p>
              </w:tc>
            </w:tr>
            <w:tr w14:paraId="4726C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 w:type="dxa"/>
                  <w:gridSpan w:val="2"/>
                  <w:tcBorders>
                    <w:tl2br w:val="nil"/>
                    <w:tr2bl w:val="nil"/>
                  </w:tcBorders>
                  <w:vAlign w:val="center"/>
                </w:tcPr>
                <w:p w14:paraId="654BDE23">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w:t>
                  </w:r>
                </w:p>
              </w:tc>
              <w:tc>
                <w:tcPr>
                  <w:tcW w:w="3530" w:type="dxa"/>
                  <w:tcBorders>
                    <w:tl2br w:val="nil"/>
                    <w:tr2bl w:val="nil"/>
                  </w:tcBorders>
                  <w:vAlign w:val="center"/>
                </w:tcPr>
                <w:p w14:paraId="769FE3CC">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2241" w:type="dxa"/>
                  <w:tcBorders>
                    <w:tl2br w:val="nil"/>
                    <w:tr2bl w:val="nil"/>
                  </w:tcBorders>
                  <w:shd w:val="clear" w:color="auto" w:fill="auto"/>
                  <w:vAlign w:val="center"/>
                </w:tcPr>
                <w:p w14:paraId="360E2AC3">
                  <w:pPr>
                    <w:pStyle w:val="2"/>
                    <w:ind w:left="0" w:leftChars="0" w:right="0" w:rightChars="0" w:firstLine="0" w:firstLineChars="0"/>
                    <w:jc w:val="center"/>
                    <w:rPr>
                      <w:rFonts w:hint="eastAsia" w:ascii="Times New Roman" w:hAnsi="Times New Roman" w:eastAsia="宋体" w:cs="Times New Roman"/>
                      <w:kern w:val="2"/>
                      <w:sz w:val="18"/>
                      <w:szCs w:val="18"/>
                      <w:vertAlign w:val="baseline"/>
                      <w:lang w:val="en-US" w:eastAsia="zh-CN" w:bidi="ar-SA"/>
                    </w:rPr>
                  </w:pPr>
                  <w:r>
                    <w:rPr>
                      <w:rFonts w:hint="eastAsia" w:ascii="Times New Roman" w:hAnsi="Times New Roman" w:cs="Times New Roman"/>
                      <w:sz w:val="18"/>
                      <w:szCs w:val="18"/>
                      <w:vertAlign w:val="baseline"/>
                      <w:lang w:val="en-US" w:eastAsia="zh-CN"/>
                    </w:rPr>
                    <w:t>根据《云南新平产业园区总体规划修编（2021—2035）环境影响报告书》</w:t>
                  </w:r>
                  <w:r>
                    <w:rPr>
                      <w:rFonts w:hint="default" w:ascii="Times New Roman" w:hAnsi="Times New Roman" w:eastAsia="宋体" w:cs="Times New Roman"/>
                      <w:sz w:val="18"/>
                      <w:szCs w:val="18"/>
                      <w:vertAlign w:val="baseline"/>
                      <w:lang w:val="en-US" w:eastAsia="zh-CN"/>
                    </w:rPr>
                    <w:t>云南新平产业园区绿色钢城片区</w:t>
                  </w:r>
                  <w:r>
                    <w:rPr>
                      <w:rFonts w:hint="eastAsia" w:ascii="Times New Roman" w:hAnsi="Times New Roman" w:cs="Times New Roman"/>
                      <w:sz w:val="18"/>
                      <w:szCs w:val="18"/>
                      <w:vertAlign w:val="baseline"/>
                      <w:lang w:val="en-US" w:eastAsia="zh-CN"/>
                    </w:rPr>
                    <w:t>不涉及生态保护红线，</w:t>
                  </w:r>
                  <w:r>
                    <w:rPr>
                      <w:rFonts w:hint="eastAsia"/>
                      <w:b w:val="0"/>
                      <w:bCs w:val="0"/>
                      <w:color w:val="auto"/>
                      <w:sz w:val="18"/>
                      <w:szCs w:val="18"/>
                      <w:highlight w:val="none"/>
                    </w:rPr>
                    <w:t>不涉及自然保护地、饮用水水源保护区、重要湿地、基本草原、生态公益林、天然林等区域</w:t>
                  </w:r>
                  <w:r>
                    <w:rPr>
                      <w:rFonts w:hint="eastAsia" w:ascii="Times New Roman" w:hAnsi="Times New Roman" w:cs="Times New Roman"/>
                      <w:sz w:val="18"/>
                      <w:szCs w:val="18"/>
                      <w:vertAlign w:val="baseline"/>
                      <w:lang w:val="en-US" w:eastAsia="zh-CN"/>
                    </w:rPr>
                    <w:t>；根据本项目与新平产业园区规划范围叠图，本项目铁路专用线全部位于新平产业园区钢城片区内</w:t>
                  </w:r>
                  <w:r>
                    <w:rPr>
                      <w:rFonts w:hint="eastAsia" w:ascii="Times New Roman" w:hAnsi="Times New Roman" w:eastAsia="宋体"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因此，本</w:t>
                  </w:r>
                  <w:r>
                    <w:rPr>
                      <w:rFonts w:hint="eastAsia" w:ascii="Times New Roman" w:hAnsi="Times New Roman" w:eastAsia="宋体" w:cs="Times New Roman"/>
                      <w:sz w:val="18"/>
                      <w:szCs w:val="18"/>
                      <w:vertAlign w:val="baseline"/>
                      <w:lang w:val="en-US" w:eastAsia="zh-CN"/>
                    </w:rPr>
                    <w:t>项目</w:t>
                  </w:r>
                  <w:r>
                    <w:rPr>
                      <w:rFonts w:hint="eastAsia"/>
                      <w:b w:val="0"/>
                      <w:bCs w:val="0"/>
                      <w:color w:val="auto"/>
                      <w:sz w:val="18"/>
                      <w:szCs w:val="18"/>
                      <w:highlight w:val="none"/>
                    </w:rPr>
                    <w:t>不涉及新平县生态保护红线</w:t>
                  </w:r>
                  <w:r>
                    <w:rPr>
                      <w:rFonts w:hint="eastAsia"/>
                      <w:b w:val="0"/>
                      <w:bCs w:val="0"/>
                      <w:color w:val="auto"/>
                      <w:sz w:val="18"/>
                      <w:szCs w:val="18"/>
                      <w:highlight w:val="none"/>
                      <w:lang w:eastAsia="zh-CN"/>
                    </w:rPr>
                    <w:t>，</w:t>
                  </w:r>
                  <w:r>
                    <w:rPr>
                      <w:rFonts w:hint="eastAsia"/>
                      <w:b w:val="0"/>
                      <w:bCs w:val="0"/>
                      <w:color w:val="auto"/>
                      <w:sz w:val="18"/>
                      <w:szCs w:val="18"/>
                      <w:highlight w:val="none"/>
                    </w:rPr>
                    <w:t>不涉及自然保护地、饮用水水源保护区、重要湿地、基本草原、生态公益林、天然林等区域</w:t>
                  </w:r>
                  <w:r>
                    <w:rPr>
                      <w:rFonts w:hint="eastAsia"/>
                      <w:b w:val="0"/>
                      <w:bCs w:val="0"/>
                      <w:color w:val="auto"/>
                      <w:sz w:val="18"/>
                      <w:szCs w:val="18"/>
                      <w:highlight w:val="none"/>
                      <w:lang w:eastAsia="zh-CN"/>
                    </w:rPr>
                    <w:t>。</w:t>
                  </w:r>
                </w:p>
              </w:tc>
              <w:tc>
                <w:tcPr>
                  <w:tcW w:w="852" w:type="dxa"/>
                  <w:tcBorders>
                    <w:tl2br w:val="nil"/>
                    <w:tr2bl w:val="nil"/>
                  </w:tcBorders>
                  <w:vAlign w:val="center"/>
                </w:tcPr>
                <w:p w14:paraId="770F5FD5">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67357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59" w:type="dxa"/>
                  <w:gridSpan w:val="5"/>
                  <w:tcBorders>
                    <w:tl2br w:val="nil"/>
                    <w:tr2bl w:val="nil"/>
                  </w:tcBorders>
                  <w:vAlign w:val="center"/>
                </w:tcPr>
                <w:p w14:paraId="4BE116E7">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二、环境质量底线</w:t>
                  </w:r>
                </w:p>
              </w:tc>
            </w:tr>
            <w:tr w14:paraId="7C85B5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 w:type="dxa"/>
                  <w:gridSpan w:val="2"/>
                  <w:tcBorders>
                    <w:tl2br w:val="nil"/>
                    <w:tr2bl w:val="nil"/>
                  </w:tcBorders>
                  <w:vAlign w:val="center"/>
                </w:tcPr>
                <w:p w14:paraId="744C001F">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w:t>
                  </w:r>
                </w:p>
              </w:tc>
              <w:tc>
                <w:tcPr>
                  <w:tcW w:w="3530" w:type="dxa"/>
                  <w:tcBorders>
                    <w:tl2br w:val="nil"/>
                    <w:tr2bl w:val="nil"/>
                  </w:tcBorders>
                  <w:vAlign w:val="center"/>
                </w:tcPr>
                <w:p w14:paraId="531E2A0A">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2241" w:type="dxa"/>
                  <w:tcBorders>
                    <w:tl2br w:val="nil"/>
                    <w:tr2bl w:val="nil"/>
                  </w:tcBorders>
                  <w:shd w:val="clear" w:color="auto" w:fill="auto"/>
                  <w:vAlign w:val="center"/>
                </w:tcPr>
                <w:p w14:paraId="3628372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kern w:val="2"/>
                      <w:sz w:val="18"/>
                      <w:szCs w:val="18"/>
                      <w:vertAlign w:val="baseline"/>
                      <w:lang w:val="en-US" w:eastAsia="zh-CN" w:bidi="ar-SA"/>
                    </w:rPr>
                    <w:t>项目区最近地表水体为</w:t>
                  </w:r>
                  <w:r>
                    <w:rPr>
                      <w:rFonts w:hint="eastAsia" w:cs="Times New Roman"/>
                      <w:kern w:val="2"/>
                      <w:sz w:val="18"/>
                      <w:szCs w:val="18"/>
                      <w:vertAlign w:val="baseline"/>
                      <w:lang w:val="en-US" w:eastAsia="zh-CN" w:bidi="ar-SA"/>
                    </w:rPr>
                    <w:t>东南侧470</w:t>
                  </w:r>
                  <w:r>
                    <w:rPr>
                      <w:rFonts w:hint="eastAsia" w:ascii="Times New Roman" w:hAnsi="Times New Roman" w:eastAsia="宋体" w:cs="Times New Roman"/>
                      <w:kern w:val="2"/>
                      <w:sz w:val="18"/>
                      <w:szCs w:val="18"/>
                      <w:vertAlign w:val="baseline"/>
                      <w:lang w:val="en-US" w:eastAsia="zh-CN" w:bidi="ar-SA"/>
                    </w:rPr>
                    <w:t>m处为</w:t>
                  </w:r>
                  <w:r>
                    <w:rPr>
                      <w:rFonts w:hint="default" w:ascii="Times New Roman" w:hAnsi="Times New Roman" w:eastAsia="宋体" w:cs="Times New Roman"/>
                      <w:kern w:val="2"/>
                      <w:sz w:val="18"/>
                      <w:szCs w:val="18"/>
                      <w:vertAlign w:val="baseline"/>
                      <w:lang w:val="en-US" w:eastAsia="zh-CN" w:bidi="ar-SA"/>
                    </w:rPr>
                    <w:t>平甸河（大开门段），根据《云南省水功能区划（2014年修订）》，该段属于平甸河新平保留区，范围为平甸河水库坝址—入小河底河口，用水功能为农业、工业、景观用水，水环境功能类别为Ⅲ类</w:t>
                  </w:r>
                  <w:r>
                    <w:rPr>
                      <w:rFonts w:hint="eastAsia" w:ascii="Times New Roman" w:hAnsi="Times New Roman" w:eastAsia="宋体" w:cs="Times New Roman"/>
                      <w:kern w:val="2"/>
                      <w:sz w:val="18"/>
                      <w:szCs w:val="18"/>
                      <w:vertAlign w:val="baseline"/>
                      <w:lang w:val="en-US" w:eastAsia="zh-CN" w:bidi="ar-SA"/>
                    </w:rPr>
                    <w:t>。</w:t>
                  </w:r>
                  <w:r>
                    <w:rPr>
                      <w:rFonts w:hint="default" w:eastAsia="宋体"/>
                      <w:sz w:val="18"/>
                      <w:szCs w:val="18"/>
                      <w:vertAlign w:val="baseline"/>
                      <w:lang w:val="en-US" w:eastAsia="zh-CN"/>
                    </w:rPr>
                    <w:t>项目实施</w:t>
                  </w:r>
                  <w:r>
                    <w:rPr>
                      <w:rFonts w:hint="eastAsia"/>
                      <w:sz w:val="18"/>
                      <w:szCs w:val="18"/>
                      <w:vertAlign w:val="baseline"/>
                      <w:lang w:val="en-US" w:eastAsia="zh-CN"/>
                    </w:rPr>
                    <w:t>“雨污分流”</w:t>
                  </w:r>
                  <w:r>
                    <w:rPr>
                      <w:rFonts w:hint="default" w:eastAsia="宋体"/>
                      <w:sz w:val="18"/>
                      <w:szCs w:val="18"/>
                      <w:vertAlign w:val="baseline"/>
                      <w:lang w:val="en-US" w:eastAsia="zh-CN"/>
                    </w:rPr>
                    <w:t>，项目无生产废水产生，</w:t>
                  </w:r>
                  <w:r>
                    <w:rPr>
                      <w:rFonts w:hint="eastAsia"/>
                      <w:sz w:val="18"/>
                      <w:szCs w:val="18"/>
                      <w:vertAlign w:val="baseline"/>
                      <w:lang w:val="en-US" w:eastAsia="zh-CN"/>
                    </w:rPr>
                    <w:t>生活污水通过化粪池预处理后，排入新建的一体化污水处理设施，处理能力为10m</w:t>
                  </w:r>
                  <w:r>
                    <w:rPr>
                      <w:rFonts w:hint="eastAsia"/>
                      <w:sz w:val="18"/>
                      <w:szCs w:val="18"/>
                      <w:vertAlign w:val="superscript"/>
                      <w:lang w:val="en-US" w:eastAsia="zh-CN"/>
                    </w:rPr>
                    <w:t>3</w:t>
                  </w:r>
                  <w:r>
                    <w:rPr>
                      <w:rFonts w:hint="eastAsia"/>
                      <w:sz w:val="18"/>
                      <w:szCs w:val="18"/>
                      <w:vertAlign w:val="baseline"/>
                      <w:lang w:val="en-US" w:eastAsia="zh-CN"/>
                    </w:rPr>
                    <w:t>/d，处理后回用于厂区绿化或洒水降尘，不外排；</w:t>
                  </w:r>
                  <w:r>
                    <w:rPr>
                      <w:rFonts w:hint="eastAsia" w:ascii="Times New Roman" w:hAnsi="Times New Roman" w:eastAsia="宋体" w:cs="Times New Roman"/>
                      <w:kern w:val="2"/>
                      <w:sz w:val="18"/>
                      <w:szCs w:val="18"/>
                      <w:vertAlign w:val="baseline"/>
                      <w:lang w:val="en-US" w:eastAsia="zh-CN" w:bidi="ar-SA"/>
                    </w:rPr>
                    <w:t>因此，项目运营期</w:t>
                  </w:r>
                  <w:r>
                    <w:rPr>
                      <w:rFonts w:hint="default" w:ascii="Times New Roman" w:hAnsi="Times New Roman" w:eastAsia="宋体" w:cs="Times New Roman"/>
                      <w:kern w:val="2"/>
                      <w:sz w:val="18"/>
                      <w:szCs w:val="18"/>
                      <w:vertAlign w:val="baseline"/>
                      <w:lang w:val="en-US" w:eastAsia="zh-CN" w:bidi="ar-SA"/>
                    </w:rPr>
                    <w:t>对周边地表水水质影响小，</w:t>
                  </w:r>
                  <w:r>
                    <w:rPr>
                      <w:rFonts w:hint="eastAsia" w:ascii="Times New Roman" w:hAnsi="Times New Roman" w:eastAsia="宋体" w:cs="Times New Roman"/>
                      <w:kern w:val="2"/>
                      <w:sz w:val="18"/>
                      <w:szCs w:val="18"/>
                      <w:vertAlign w:val="baseline"/>
                      <w:lang w:val="en-US" w:eastAsia="zh-CN" w:bidi="ar-SA"/>
                    </w:rPr>
                    <w:t>不会降低当地环境质量现状等级。</w:t>
                  </w:r>
                </w:p>
              </w:tc>
              <w:tc>
                <w:tcPr>
                  <w:tcW w:w="852" w:type="dxa"/>
                  <w:tcBorders>
                    <w:tl2br w:val="nil"/>
                    <w:tr2bl w:val="nil"/>
                  </w:tcBorders>
                  <w:vAlign w:val="center"/>
                </w:tcPr>
                <w:p w14:paraId="3FCAA090">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612FDA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 w:type="dxa"/>
                  <w:gridSpan w:val="2"/>
                  <w:tcBorders>
                    <w:tl2br w:val="nil"/>
                    <w:tr2bl w:val="nil"/>
                  </w:tcBorders>
                  <w:vAlign w:val="center"/>
                </w:tcPr>
                <w:p w14:paraId="2E3F3D25">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w:t>
                  </w:r>
                </w:p>
              </w:tc>
              <w:tc>
                <w:tcPr>
                  <w:tcW w:w="3530" w:type="dxa"/>
                  <w:tcBorders>
                    <w:tl2br w:val="nil"/>
                    <w:tr2bl w:val="nil"/>
                  </w:tcBorders>
                  <w:vAlign w:val="center"/>
                </w:tcPr>
                <w:p w14:paraId="069A1F4E">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2241" w:type="dxa"/>
                  <w:tcBorders>
                    <w:tl2br w:val="nil"/>
                    <w:tr2bl w:val="nil"/>
                  </w:tcBorders>
                  <w:shd w:val="clear" w:color="auto" w:fill="auto"/>
                  <w:vAlign w:val="center"/>
                </w:tcPr>
                <w:p w14:paraId="588EAEF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本项目选址区域为环境空气功能区二类区，新平县环境空气质量自动监测站位于新平县一小</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根据2023年新平县一小环境空气质量统计结果可知，202</w:t>
                  </w: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年区域环境空气质量能够达到《环境空气质量标准》（GB3095-</w:t>
                  </w:r>
                  <w:r>
                    <w:rPr>
                      <w:rFonts w:hint="eastAsia" w:cs="Times New Roman"/>
                      <w:color w:val="auto"/>
                      <w:sz w:val="18"/>
                      <w:szCs w:val="18"/>
                      <w:highlight w:val="none"/>
                      <w:lang w:val="en-US" w:eastAsia="zh-CN"/>
                    </w:rPr>
                    <w:t>2026</w:t>
                  </w:r>
                  <w:r>
                    <w:rPr>
                      <w:rFonts w:hint="default" w:ascii="Times New Roman" w:hAnsi="Times New Roman" w:cs="Times New Roman"/>
                      <w:color w:val="auto"/>
                      <w:sz w:val="18"/>
                      <w:szCs w:val="18"/>
                      <w:highlight w:val="none"/>
                    </w:rPr>
                    <w:t>）二级标准要求，项目运营期</w:t>
                  </w:r>
                  <w:r>
                    <w:rPr>
                      <w:rFonts w:hint="eastAsia" w:cs="Times New Roman"/>
                      <w:color w:val="auto"/>
                      <w:sz w:val="18"/>
                      <w:szCs w:val="18"/>
                      <w:highlight w:val="none"/>
                      <w:lang w:val="en-US" w:eastAsia="zh-CN"/>
                    </w:rPr>
                    <w:t>废气产生量较少</w:t>
                  </w:r>
                  <w:r>
                    <w:rPr>
                      <w:rFonts w:hint="default" w:ascii="Times New Roman" w:hAnsi="Times New Roman" w:cs="Times New Roman"/>
                      <w:color w:val="auto"/>
                      <w:sz w:val="18"/>
                      <w:szCs w:val="18"/>
                      <w:highlight w:val="none"/>
                    </w:rPr>
                    <w:t>，不会改变区域环境空气质量功能。</w:t>
                  </w:r>
                </w:p>
              </w:tc>
              <w:tc>
                <w:tcPr>
                  <w:tcW w:w="852" w:type="dxa"/>
                  <w:tcBorders>
                    <w:tl2br w:val="nil"/>
                    <w:tr2bl w:val="nil"/>
                  </w:tcBorders>
                  <w:vAlign w:val="center"/>
                </w:tcPr>
                <w:p w14:paraId="59FA6D76">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618B2E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 w:type="dxa"/>
                  <w:gridSpan w:val="2"/>
                  <w:tcBorders>
                    <w:tl2br w:val="nil"/>
                    <w:tr2bl w:val="nil"/>
                  </w:tcBorders>
                  <w:vAlign w:val="center"/>
                </w:tcPr>
                <w:p w14:paraId="03613944">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w:t>
                  </w:r>
                </w:p>
              </w:tc>
              <w:tc>
                <w:tcPr>
                  <w:tcW w:w="3530" w:type="dxa"/>
                  <w:tcBorders>
                    <w:tl2br w:val="nil"/>
                    <w:tr2bl w:val="nil"/>
                  </w:tcBorders>
                  <w:vAlign w:val="center"/>
                </w:tcPr>
                <w:p w14:paraId="2145C5BD">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2241" w:type="dxa"/>
                  <w:tcBorders>
                    <w:tl2br w:val="nil"/>
                    <w:tr2bl w:val="nil"/>
                  </w:tcBorders>
                  <w:shd w:val="clear" w:color="auto" w:fill="auto"/>
                  <w:vAlign w:val="center"/>
                </w:tcPr>
                <w:p w14:paraId="7C5841D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本项目</w:t>
                  </w:r>
                  <w:r>
                    <w:rPr>
                      <w:rFonts w:hint="eastAsia" w:cs="Times New Roman"/>
                      <w:color w:val="auto"/>
                      <w:sz w:val="18"/>
                      <w:szCs w:val="18"/>
                      <w:highlight w:val="none"/>
                      <w:lang w:val="en-US" w:eastAsia="zh-CN"/>
                    </w:rPr>
                    <w:t>为玉溪大化产业园区仙福钢铁厂铁路专用线项目</w:t>
                  </w:r>
                  <w:r>
                    <w:rPr>
                      <w:rFonts w:hint="default" w:ascii="Times New Roman" w:hAnsi="Times New Roman" w:eastAsia="宋体" w:cs="Times New Roman"/>
                      <w:color w:val="auto"/>
                      <w:sz w:val="18"/>
                      <w:szCs w:val="18"/>
                      <w:highlight w:val="none"/>
                    </w:rPr>
                    <w:t>，运营过程中不涉及有毒有害物质，污染物产生量小，对土壤的影响较小。</w:t>
                  </w:r>
                </w:p>
              </w:tc>
              <w:tc>
                <w:tcPr>
                  <w:tcW w:w="852" w:type="dxa"/>
                  <w:tcBorders>
                    <w:tl2br w:val="nil"/>
                    <w:tr2bl w:val="nil"/>
                  </w:tcBorders>
                  <w:vAlign w:val="center"/>
                </w:tcPr>
                <w:p w14:paraId="242D93E4">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2352C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59" w:type="dxa"/>
                  <w:gridSpan w:val="5"/>
                  <w:tcBorders>
                    <w:tl2br w:val="nil"/>
                    <w:tr2bl w:val="nil"/>
                  </w:tcBorders>
                  <w:vAlign w:val="center"/>
                </w:tcPr>
                <w:p w14:paraId="697A68B6">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三、资源利用上线</w:t>
                  </w:r>
                </w:p>
              </w:tc>
            </w:tr>
            <w:tr w14:paraId="1C89F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6" w:type="dxa"/>
                  <w:tcBorders>
                    <w:tl2br w:val="nil"/>
                    <w:tr2bl w:val="nil"/>
                  </w:tcBorders>
                  <w:vAlign w:val="center"/>
                </w:tcPr>
                <w:p w14:paraId="0CD7E2C4">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w:t>
                  </w:r>
                </w:p>
              </w:tc>
              <w:tc>
                <w:tcPr>
                  <w:tcW w:w="3550" w:type="dxa"/>
                  <w:gridSpan w:val="2"/>
                  <w:tcBorders>
                    <w:tl2br w:val="nil"/>
                    <w:tr2bl w:val="nil"/>
                  </w:tcBorders>
                  <w:vAlign w:val="center"/>
                </w:tcPr>
                <w:p w14:paraId="71FDB14F">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强化资源能源节约集约利用，持续提升资源能源利用效率，水资源、土地资源、能源消耗等达到或优于省下达的总量和强度控制目标。</w:t>
                  </w:r>
                </w:p>
              </w:tc>
              <w:tc>
                <w:tcPr>
                  <w:tcW w:w="2241" w:type="dxa"/>
                  <w:tcBorders>
                    <w:tl2br w:val="nil"/>
                    <w:tr2bl w:val="nil"/>
                  </w:tcBorders>
                  <w:shd w:val="clear" w:color="auto" w:fill="auto"/>
                  <w:vAlign w:val="center"/>
                </w:tcPr>
                <w:p w14:paraId="5E78A31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项目建成投产后将消耗一定量的电、水等资源，所消耗资源量相对整个区域而言占比较小，不会突破区域的资源利用上线。</w:t>
                  </w:r>
                </w:p>
              </w:tc>
              <w:tc>
                <w:tcPr>
                  <w:tcW w:w="852" w:type="dxa"/>
                  <w:tcBorders>
                    <w:tl2br w:val="nil"/>
                    <w:tr2bl w:val="nil"/>
                  </w:tcBorders>
                  <w:vAlign w:val="center"/>
                </w:tcPr>
                <w:p w14:paraId="3C71B4E7">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bl>
          <w:p w14:paraId="33FA8E63">
            <w:pPr>
              <w:keepNext w:val="0"/>
              <w:keepLines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由上表可知，本项目的建设符合《玉溪市“三线一单”生态环境分区管控</w:t>
            </w:r>
            <w:r>
              <w:rPr>
                <w:rFonts w:hint="eastAsia" w:ascii="Times New Roman" w:hAnsi="Times New Roman" w:eastAsia="宋体" w:cs="Times New Roman"/>
                <w:color w:val="auto"/>
                <w:sz w:val="24"/>
                <w:highlight w:val="none"/>
              </w:rPr>
              <w:t>实施意见</w:t>
            </w:r>
            <w:r>
              <w:rPr>
                <w:rFonts w:hint="default" w:ascii="Times New Roman" w:hAnsi="Times New Roman" w:eastAsia="宋体" w:cs="Times New Roman"/>
                <w:color w:val="auto"/>
                <w:sz w:val="24"/>
                <w:highlight w:val="none"/>
              </w:rPr>
              <w:t>》的</w:t>
            </w:r>
            <w:r>
              <w:rPr>
                <w:rFonts w:hint="eastAsia" w:ascii="Times New Roman" w:hAnsi="Times New Roman" w:eastAsia="宋体" w:cs="Times New Roman"/>
                <w:color w:val="auto"/>
                <w:sz w:val="24"/>
                <w:highlight w:val="none"/>
              </w:rPr>
              <w:t>相关</w:t>
            </w:r>
            <w:r>
              <w:rPr>
                <w:rFonts w:hint="default" w:ascii="Times New Roman" w:hAnsi="Times New Roman" w:eastAsia="宋体" w:cs="Times New Roman"/>
                <w:color w:val="auto"/>
                <w:sz w:val="24"/>
                <w:highlight w:val="none"/>
              </w:rPr>
              <w:t>要求。</w:t>
            </w:r>
          </w:p>
          <w:p w14:paraId="2012CF05">
            <w:pPr>
              <w:keepNext w:val="0"/>
              <w:keepLines w:val="0"/>
              <w:suppressLineNumbers w:val="0"/>
              <w:bidi w:val="0"/>
              <w:spacing w:before="0" w:beforeAutospacing="0" w:after="0" w:afterAutospacing="0" w:line="360" w:lineRule="auto"/>
              <w:ind w:left="0" w:right="0" w:firstLine="480" w:firstLineChars="200"/>
              <w:jc w:val="both"/>
              <w:rPr>
                <w:rFonts w:hint="eastAsia" w:ascii="黑体" w:hAnsi="黑体" w:eastAsia="黑体" w:cs="黑体"/>
                <w:b w:val="0"/>
                <w:bCs w:val="0"/>
                <w:color w:val="auto"/>
                <w:sz w:val="21"/>
                <w:szCs w:val="21"/>
              </w:rPr>
            </w:pPr>
            <w:r>
              <w:rPr>
                <w:rFonts w:hint="default" w:ascii="Times New Roman" w:hAnsi="Times New Roman" w:eastAsia="宋体" w:cs="Times New Roman"/>
                <w:color w:val="auto"/>
                <w:sz w:val="24"/>
                <w:highlight w:val="none"/>
                <w:lang w:val="en-US" w:eastAsia="zh-CN"/>
              </w:rPr>
              <w:t>2024年6月7日玉溪市生态环境局印发了《玉溪市生态环境局关于印发玉溪市生态环境分区管控动态更新调整方案（2023年）的通知》（玉市环[2024]40号）。</w:t>
            </w:r>
            <w:r>
              <w:rPr>
                <w:rFonts w:hint="eastAsia" w:cs="Times New Roman"/>
                <w:color w:val="auto"/>
                <w:sz w:val="24"/>
                <w:highlight w:val="none"/>
                <w:lang w:val="en-US" w:eastAsia="zh-CN"/>
              </w:rPr>
              <w:t>玉溪市生态环境局新平分局关于玉溪大化产业园区仙福钢铁厂铁路专用线项目“分区管控”查询情况的复函</w:t>
            </w: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位于新平县产业园区重点管控单元</w:t>
            </w:r>
            <w:r>
              <w:rPr>
                <w:rFonts w:hint="eastAsia" w:ascii="Times New Roman" w:hAnsi="Times New Roman" w:eastAsia="宋体" w:cs="Times New Roman"/>
                <w:color w:val="auto"/>
                <w:sz w:val="24"/>
                <w:highlight w:val="none"/>
                <w:lang w:val="en-US" w:eastAsia="zh-CN"/>
              </w:rPr>
              <w:t>（ZH53042720001），项目不涉及经批准的新平县已划定的饮用水水源保护区、自然保护区、国家森林公园等环境敏感区，</w:t>
            </w:r>
            <w:r>
              <w:rPr>
                <w:rFonts w:hint="default" w:ascii="Times New Roman" w:hAnsi="Times New Roman" w:eastAsia="宋体" w:cs="Times New Roman"/>
                <w:color w:val="auto"/>
                <w:sz w:val="24"/>
                <w:highlight w:val="none"/>
                <w:lang w:val="en-US" w:eastAsia="zh-CN"/>
              </w:rPr>
              <w:t>本项目与生态环境分区管控符合性分析如下表。</w:t>
            </w:r>
          </w:p>
          <w:p w14:paraId="3317A13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color w:val="auto"/>
                <w:sz w:val="21"/>
                <w:szCs w:val="21"/>
                <w:highlight w:val="none"/>
                <w:lang w:val="en-US" w:eastAsia="zh-CN"/>
              </w:rPr>
              <w:t>表1-5 与玉溪市“分区管控动态更新调整方案”符合性分析</w:t>
            </w:r>
          </w:p>
          <w:tbl>
            <w:tblPr>
              <w:tblStyle w:val="23"/>
              <w:tblW w:w="722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550"/>
              <w:gridCol w:w="3749"/>
              <w:gridCol w:w="1580"/>
              <w:gridCol w:w="705"/>
            </w:tblGrid>
            <w:tr w14:paraId="44A7E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tl2br w:val="nil"/>
                    <w:tr2bl w:val="nil"/>
                  </w:tcBorders>
                  <w:vAlign w:val="center"/>
                </w:tcPr>
                <w:p w14:paraId="18E1F1E8">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管控单元</w:t>
                  </w:r>
                </w:p>
              </w:tc>
              <w:tc>
                <w:tcPr>
                  <w:tcW w:w="4299" w:type="dxa"/>
                  <w:gridSpan w:val="2"/>
                  <w:tcBorders>
                    <w:tl2br w:val="nil"/>
                    <w:tr2bl w:val="nil"/>
                  </w:tcBorders>
                  <w:vAlign w:val="center"/>
                </w:tcPr>
                <w:p w14:paraId="0250365B">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《通知》要求</w:t>
                  </w:r>
                </w:p>
              </w:tc>
              <w:tc>
                <w:tcPr>
                  <w:tcW w:w="1580" w:type="dxa"/>
                  <w:tcBorders>
                    <w:tl2br w:val="nil"/>
                    <w:tr2bl w:val="nil"/>
                  </w:tcBorders>
                  <w:vAlign w:val="center"/>
                </w:tcPr>
                <w:p w14:paraId="134AC3D3">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项目情况</w:t>
                  </w:r>
                </w:p>
              </w:tc>
              <w:tc>
                <w:tcPr>
                  <w:tcW w:w="705" w:type="dxa"/>
                  <w:tcBorders>
                    <w:tl2br w:val="nil"/>
                    <w:tr2bl w:val="nil"/>
                  </w:tcBorders>
                  <w:vAlign w:val="center"/>
                </w:tcPr>
                <w:p w14:paraId="62EA84EB">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符合性</w:t>
                  </w:r>
                </w:p>
              </w:tc>
            </w:tr>
            <w:tr w14:paraId="4D299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vMerge w:val="restart"/>
                  <w:tcBorders>
                    <w:tl2br w:val="nil"/>
                    <w:tr2bl w:val="nil"/>
                  </w:tcBorders>
                  <w:vAlign w:val="center"/>
                </w:tcPr>
                <w:p w14:paraId="1D9ACB1A">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新平县产业园区重点管控单元</w:t>
                  </w:r>
                </w:p>
              </w:tc>
              <w:tc>
                <w:tcPr>
                  <w:tcW w:w="550" w:type="dxa"/>
                  <w:tcBorders>
                    <w:tl2br w:val="nil"/>
                    <w:tr2bl w:val="nil"/>
                  </w:tcBorders>
                  <w:vAlign w:val="center"/>
                </w:tcPr>
                <w:p w14:paraId="207E5A37">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空间布局约束</w:t>
                  </w:r>
                </w:p>
              </w:tc>
              <w:tc>
                <w:tcPr>
                  <w:tcW w:w="3749" w:type="dxa"/>
                  <w:tcBorders>
                    <w:tl2br w:val="nil"/>
                    <w:tr2bl w:val="nil"/>
                  </w:tcBorders>
                  <w:vAlign w:val="center"/>
                </w:tcPr>
                <w:p w14:paraId="2F22DAFB">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合理规划产业分区和功能定位，禁止不符合产业政策、产业结构调整指导目录和园区规划要求的项目入园区。钢铁产业禁止新增产能，严格执行产能置换，大力推进非高炉炼铁技术示范，提升废钢资源回收利用水平，推行全废钢电炉工艺。推广高温高压干熄焦、干法除尘、煤气余热余压回收利用、烧结烟气脱硫等循环经济和节能减排新技术新工艺，加强和完善废钢铁综合利用，鼓励发展短流程炼钢。</w:t>
                  </w:r>
                </w:p>
                <w:p w14:paraId="39D5CAF3">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2.扬武地块主要布设钢铁产业及其下游产业链，取消矿石采选、有色金属冶炼行业，应对他克冲水库及后期拟划定的水源保护区予以避让。</w:t>
                  </w:r>
                </w:p>
                <w:p w14:paraId="255F32E3">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3.扬武地块、戛洒片区涉及村庄用地，村庄逐步搬迁，降低片区发展对其产生的影响</w:t>
                  </w:r>
                  <w:r>
                    <w:rPr>
                      <w:rFonts w:hint="eastAsia" w:ascii="Times New Roman" w:hAnsi="Times New Roman" w:eastAsia="宋体" w:cs="Times New Roman"/>
                      <w:sz w:val="18"/>
                      <w:szCs w:val="18"/>
                      <w:vertAlign w:val="baseline"/>
                      <w:lang w:val="en-US" w:eastAsia="zh-CN"/>
                    </w:rPr>
                    <w:t>。</w:t>
                  </w:r>
                </w:p>
                <w:p w14:paraId="37D4E819">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4.戛洒片区白糯格地块根据受纳水体环境容量控制制糖及造纸项目等发展规模。</w:t>
                  </w:r>
                </w:p>
                <w:p w14:paraId="7F712648">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5.桂山片区属于产城融合区，逐步取消三类工业用地。</w:t>
                  </w:r>
                </w:p>
                <w:p w14:paraId="093F4ED3">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6.桂山片区西侧临新平县城，扬武片区地块东临扬武镇，靠近县城及集镇一侧布局污染较小的行业，并设置隔离带。</w:t>
                  </w:r>
                </w:p>
              </w:tc>
              <w:tc>
                <w:tcPr>
                  <w:tcW w:w="1580" w:type="dxa"/>
                  <w:tcBorders>
                    <w:tl2br w:val="nil"/>
                    <w:tr2bl w:val="nil"/>
                  </w:tcBorders>
                  <w:shd w:val="clear" w:color="auto" w:fill="auto"/>
                  <w:vAlign w:val="center"/>
                </w:tcPr>
                <w:p w14:paraId="1B41BB34">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本项目</w:t>
                  </w:r>
                  <w:r>
                    <w:rPr>
                      <w:rFonts w:hint="default" w:ascii="Times New Roman" w:hAnsi="Times New Roman" w:eastAsia="宋体" w:cs="Times New Roman"/>
                      <w:sz w:val="18"/>
                      <w:szCs w:val="18"/>
                      <w:vertAlign w:val="baseline"/>
                      <w:lang w:val="en-US" w:eastAsia="zh-CN"/>
                    </w:rPr>
                    <w:t>位于云南新平产业园区绿色钢城片区</w:t>
                  </w:r>
                  <w:r>
                    <w:rPr>
                      <w:rFonts w:hint="eastAsia" w:ascii="Times New Roman" w:hAnsi="Times New Roman" w:eastAsia="宋体" w:cs="Times New Roman"/>
                      <w:sz w:val="18"/>
                      <w:szCs w:val="18"/>
                      <w:vertAlign w:val="baseline"/>
                      <w:lang w:val="en-US" w:eastAsia="zh-CN"/>
                    </w:rPr>
                    <w:t>，属于</w:t>
                  </w:r>
                  <w:r>
                    <w:rPr>
                      <w:rFonts w:hint="eastAsia" w:ascii="Times New Roman" w:hAnsi="Times New Roman" w:cs="Times New Roman"/>
                      <w:sz w:val="18"/>
                      <w:szCs w:val="18"/>
                      <w:vertAlign w:val="baseline"/>
                      <w:lang w:val="en-US" w:eastAsia="zh-CN"/>
                    </w:rPr>
                    <w:t>新建铁路项目</w:t>
                  </w:r>
                  <w:r>
                    <w:rPr>
                      <w:rFonts w:hint="eastAsia" w:ascii="Times New Roman" w:hAnsi="Times New Roman" w:eastAsia="宋体" w:cs="Times New Roman"/>
                      <w:sz w:val="18"/>
                      <w:szCs w:val="18"/>
                      <w:vertAlign w:val="baseline"/>
                      <w:lang w:val="en-US" w:eastAsia="zh-CN"/>
                    </w:rPr>
                    <w:t>，</w:t>
                  </w:r>
                </w:p>
                <w:p w14:paraId="2FF403FF">
                  <w:pPr>
                    <w:pStyle w:val="2"/>
                    <w:ind w:left="0" w:leftChars="0" w:right="0" w:rightChars="0" w:firstLine="0" w:firstLineChars="0"/>
                    <w:jc w:val="center"/>
                    <w:rPr>
                      <w:rFonts w:hint="eastAsia"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sz w:val="18"/>
                      <w:szCs w:val="18"/>
                      <w:vertAlign w:val="baseline"/>
                      <w:lang w:val="en-US" w:eastAsia="zh-CN"/>
                    </w:rPr>
                    <w:t>依照国家</w:t>
                  </w:r>
                  <w:r>
                    <w:rPr>
                      <w:rFonts w:hint="default" w:ascii="Times New Roman" w:hAnsi="Times New Roman" w:eastAsia="宋体" w:cs="Times New Roman"/>
                      <w:sz w:val="18"/>
                      <w:szCs w:val="18"/>
                      <w:vertAlign w:val="baseline"/>
                      <w:lang w:val="en-US" w:eastAsia="zh-CN"/>
                    </w:rPr>
                    <w:t>《产业结构调整指导目录（</w:t>
                  </w:r>
                  <w:r>
                    <w:rPr>
                      <w:rFonts w:hint="eastAsia" w:ascii="Times New Roman" w:hAnsi="Times New Roman" w:eastAsia="宋体" w:cs="Times New Roman"/>
                      <w:sz w:val="18"/>
                      <w:szCs w:val="18"/>
                      <w:vertAlign w:val="baseline"/>
                      <w:lang w:val="en-US" w:eastAsia="zh-CN"/>
                    </w:rPr>
                    <w:t>2024</w:t>
                  </w:r>
                  <w:r>
                    <w:rPr>
                      <w:rFonts w:hint="default" w:ascii="Times New Roman" w:hAnsi="Times New Roman" w:eastAsia="宋体" w:cs="Times New Roman"/>
                      <w:sz w:val="18"/>
                      <w:szCs w:val="18"/>
                      <w:vertAlign w:val="baseline"/>
                      <w:lang w:val="en-US" w:eastAsia="zh-CN"/>
                    </w:rPr>
                    <w:t>年本）》</w:t>
                  </w:r>
                  <w:r>
                    <w:rPr>
                      <w:rFonts w:hint="eastAsia" w:ascii="Times New Roman" w:hAnsi="Times New Roman" w:eastAsia="宋体"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本项目属于鼓励类（</w:t>
                  </w:r>
                  <w:r>
                    <w:rPr>
                      <w:rFonts w:hint="eastAsia" w:ascii="Times New Roman" w:hAnsi="Times New Roman"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二十三、铁路</w:t>
                  </w:r>
                  <w:r>
                    <w:rPr>
                      <w:rFonts w:hint="eastAsia" w:ascii="Times New Roman" w:hAnsi="Times New Roman"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中第1条</w:t>
                  </w:r>
                  <w:r>
                    <w:rPr>
                      <w:rFonts w:hint="eastAsia" w:ascii="Times New Roman" w:hAnsi="Times New Roman"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既有铁路改扩建、铁路专用线建设</w:t>
                  </w:r>
                  <w:r>
                    <w:rPr>
                      <w:rFonts w:hint="eastAsia" w:ascii="Times New Roman" w:hAnsi="Times New Roman"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w:t>
                  </w:r>
                  <w:r>
                    <w:rPr>
                      <w:rFonts w:hint="eastAsia" w:ascii="Times New Roman" w:hAnsi="Times New Roman" w:eastAsia="宋体" w:cs="Times New Roman"/>
                      <w:sz w:val="18"/>
                      <w:szCs w:val="18"/>
                      <w:vertAlign w:val="baseline"/>
                      <w:lang w:val="en-US" w:eastAsia="zh-CN"/>
                    </w:rPr>
                    <w:t>，符合国家产业政策，</w:t>
                  </w:r>
                  <w:r>
                    <w:rPr>
                      <w:rFonts w:hint="eastAsia" w:ascii="Times New Roman" w:hAnsi="Times New Roman" w:cs="Times New Roman"/>
                      <w:sz w:val="18"/>
                      <w:szCs w:val="18"/>
                      <w:vertAlign w:val="baseline"/>
                      <w:lang w:val="en-US" w:eastAsia="zh-CN"/>
                    </w:rPr>
                    <w:t>本项目</w:t>
                  </w:r>
                  <w:r>
                    <w:rPr>
                      <w:rFonts w:hint="eastAsia" w:ascii="Times New Roman" w:hAnsi="Times New Roman" w:eastAsia="宋体" w:cs="Times New Roman"/>
                      <w:sz w:val="18"/>
                      <w:szCs w:val="18"/>
                      <w:vertAlign w:val="baseline"/>
                      <w:lang w:val="en-US" w:eastAsia="zh-CN"/>
                    </w:rPr>
                    <w:t>属于</w:t>
                  </w:r>
                  <w:r>
                    <w:rPr>
                      <w:rFonts w:hint="eastAsia" w:ascii="Times New Roman" w:hAnsi="Times New Roman" w:cs="Times New Roman"/>
                      <w:sz w:val="18"/>
                      <w:szCs w:val="18"/>
                      <w:vertAlign w:val="baseline"/>
                      <w:lang w:val="en-US" w:eastAsia="zh-CN"/>
                    </w:rPr>
                    <w:t>仙福钢铁厂专用线项目</w:t>
                  </w:r>
                  <w:r>
                    <w:rPr>
                      <w:rFonts w:hint="eastAsia" w:ascii="Times New Roman" w:hAnsi="Times New Roman" w:eastAsia="宋体"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钢铁厂</w:t>
                  </w:r>
                  <w:r>
                    <w:rPr>
                      <w:rFonts w:hint="eastAsia" w:ascii="Times New Roman" w:hAnsi="Times New Roman" w:eastAsia="宋体" w:cs="Times New Roman"/>
                      <w:sz w:val="18"/>
                      <w:szCs w:val="18"/>
                      <w:vertAlign w:val="baseline"/>
                      <w:lang w:val="en-US" w:eastAsia="zh-CN"/>
                    </w:rPr>
                    <w:t>符合园区产业定位</w:t>
                  </w:r>
                  <w:r>
                    <w:rPr>
                      <w:rFonts w:hint="default" w:ascii="Times New Roman" w:hAnsi="Times New Roman" w:eastAsia="宋体" w:cs="Times New Roman"/>
                      <w:sz w:val="18"/>
                      <w:szCs w:val="18"/>
                      <w:vertAlign w:val="baseline"/>
                      <w:lang w:val="en-US" w:eastAsia="zh-CN"/>
                    </w:rPr>
                    <w:t>。</w:t>
                  </w:r>
                </w:p>
              </w:tc>
              <w:tc>
                <w:tcPr>
                  <w:tcW w:w="705" w:type="dxa"/>
                  <w:tcBorders>
                    <w:tl2br w:val="nil"/>
                    <w:tr2bl w:val="nil"/>
                  </w:tcBorders>
                  <w:vAlign w:val="center"/>
                </w:tcPr>
                <w:p w14:paraId="1F1B936F">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2F8C9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vMerge w:val="continue"/>
                  <w:tcBorders>
                    <w:tl2br w:val="nil"/>
                    <w:tr2bl w:val="nil"/>
                  </w:tcBorders>
                  <w:vAlign w:val="center"/>
                </w:tcPr>
                <w:p w14:paraId="477DBC0F">
                  <w:pPr>
                    <w:pStyle w:val="2"/>
                    <w:ind w:left="0" w:leftChars="0" w:right="0" w:rightChars="0" w:firstLine="0" w:firstLineChars="0"/>
                    <w:jc w:val="center"/>
                    <w:rPr>
                      <w:rFonts w:hint="eastAsia"/>
                      <w:sz w:val="18"/>
                      <w:szCs w:val="18"/>
                      <w:vertAlign w:val="baseline"/>
                      <w:lang w:val="en-US" w:eastAsia="zh-CN"/>
                    </w:rPr>
                  </w:pPr>
                </w:p>
              </w:tc>
              <w:tc>
                <w:tcPr>
                  <w:tcW w:w="550" w:type="dxa"/>
                  <w:tcBorders>
                    <w:tl2br w:val="nil"/>
                    <w:tr2bl w:val="nil"/>
                  </w:tcBorders>
                  <w:vAlign w:val="center"/>
                </w:tcPr>
                <w:p w14:paraId="49E60699">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污染物排放管控</w:t>
                  </w:r>
                </w:p>
              </w:tc>
              <w:tc>
                <w:tcPr>
                  <w:tcW w:w="3749" w:type="dxa"/>
                  <w:tcBorders>
                    <w:tl2br w:val="nil"/>
                    <w:tr2bl w:val="nil"/>
                  </w:tcBorders>
                  <w:vAlign w:val="center"/>
                </w:tcPr>
                <w:p w14:paraId="5F7C4836">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新建“两高”项目依据区域环境质量改善目标，制定配套区域污染物削减方案，采取有效的污染物区域削减措施，腾出足够的环境容量。新建、扩建（转型升级）的“两高”项目应采用先进适用的工艺技术和装备，单位产品物耗、能耗、水耗等达到清洁生产先进水平，依法制定并严格落实防治土壤与地下水污染的措施。已出台超低排放要求的“两高”行业建设项目应满足超低排放要求。</w:t>
                  </w:r>
                </w:p>
                <w:p w14:paraId="4A5CEECA">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2.使用电能、天然气、生物质燃料等清洁能源为主要能源，利用工厂余热、电厂热力等进行替代，逐步降低煤炭等高污染燃料的使用，降低大气污染物以及温室气体的排放。</w:t>
                  </w:r>
                </w:p>
                <w:p w14:paraId="789C9748">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3.采用低（无）VOCs含量、低反应活性的原辅材料，加快对芳香烃、含卤素有机化合物的绿色替代，加强无组织排放控制，合理选择治理技术，有效降低VOCs的排放量。</w:t>
                  </w:r>
                </w:p>
                <w:p w14:paraId="5A82C8F5">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4.大气污染排放量较大的钢铁冶炼、现代矿冶等企业，工业用地与居住用地的交界处设置20~30米宽的绿化隔离带。</w:t>
                  </w:r>
                </w:p>
                <w:p w14:paraId="4DF432B0">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5.扬武片区大开门地块须采取有效措施减少主要污染物和二噁英、苯并[q]芘等特征污染物的排放量。</w:t>
                  </w:r>
                </w:p>
                <w:p w14:paraId="213CC7D8">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生产废水由企业自建污水处理站处理达标后回用，剩余排至片区污水处理厂；桂山片区生产废水和生活污水经处理达标后在片区内循环利用，剩余部分引至绿色钢城片区，作为绿色钢城片区工业用水，片区实现废水不外排。</w:t>
                  </w:r>
                </w:p>
                <w:p w14:paraId="112F31DF">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7.园区应加快环保基础设施建设，各片区生活污水必须处理达到《城镇污水处理厂污染物排放标准》（GB18918—2002）一级A标。</w:t>
                  </w:r>
                </w:p>
                <w:p w14:paraId="0CFD60CA">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8.戛洒片区白糯格地块制浆造纸产业采取先进的工艺及严格的污染防治措施，避免废水排放对区域环境质量造成污染影响。</w:t>
                  </w:r>
                </w:p>
              </w:tc>
              <w:tc>
                <w:tcPr>
                  <w:tcW w:w="1580" w:type="dxa"/>
                  <w:tcBorders>
                    <w:tl2br w:val="nil"/>
                    <w:tr2bl w:val="nil"/>
                  </w:tcBorders>
                  <w:shd w:val="clear" w:color="auto" w:fill="auto"/>
                  <w:vAlign w:val="center"/>
                </w:tcPr>
                <w:p w14:paraId="73772448">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1、本项目属于</w:t>
                  </w:r>
                  <w:r>
                    <w:rPr>
                      <w:rFonts w:hint="eastAsia" w:ascii="Times New Roman" w:hAnsi="Times New Roman" w:cs="Times New Roman"/>
                      <w:sz w:val="18"/>
                      <w:szCs w:val="18"/>
                      <w:vertAlign w:val="baseline"/>
                      <w:lang w:val="en-US" w:eastAsia="zh-CN"/>
                    </w:rPr>
                    <w:t>铁路专用线项目</w:t>
                  </w:r>
                  <w:r>
                    <w:rPr>
                      <w:rFonts w:hint="eastAsia" w:ascii="Times New Roman" w:hAnsi="Times New Roman" w:eastAsia="宋体" w:cs="Times New Roman"/>
                      <w:sz w:val="18"/>
                      <w:szCs w:val="18"/>
                      <w:vertAlign w:val="baseline"/>
                      <w:lang w:val="en-US" w:eastAsia="zh-CN"/>
                    </w:rPr>
                    <w:t>，不属于“两高”项目；</w:t>
                  </w:r>
                </w:p>
                <w:p w14:paraId="20A1E2F3">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2、本项目</w:t>
                  </w:r>
                  <w:r>
                    <w:rPr>
                      <w:rFonts w:hint="eastAsia" w:ascii="Times New Roman" w:hAnsi="Times New Roman" w:cs="Times New Roman"/>
                      <w:sz w:val="18"/>
                      <w:szCs w:val="18"/>
                      <w:vertAlign w:val="baseline"/>
                      <w:lang w:val="en-US" w:eastAsia="zh-CN"/>
                    </w:rPr>
                    <w:t>运营期废气产生量较少</w:t>
                  </w:r>
                  <w:r>
                    <w:rPr>
                      <w:rFonts w:hint="eastAsia" w:ascii="Times New Roman" w:hAnsi="Times New Roman" w:eastAsia="宋体" w:cs="Times New Roman"/>
                      <w:sz w:val="18"/>
                      <w:szCs w:val="18"/>
                      <w:vertAlign w:val="baseline"/>
                      <w:lang w:val="en-US" w:eastAsia="zh-CN"/>
                    </w:rPr>
                    <w:t>；</w:t>
                  </w:r>
                </w:p>
                <w:p w14:paraId="69891EAD">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3、本项目不使用含</w:t>
                  </w:r>
                  <w:r>
                    <w:rPr>
                      <w:rFonts w:hint="default" w:ascii="Times New Roman" w:hAnsi="Times New Roman" w:eastAsia="宋体" w:cs="Times New Roman"/>
                      <w:sz w:val="18"/>
                      <w:szCs w:val="18"/>
                      <w:vertAlign w:val="baseline"/>
                      <w:lang w:val="en-US" w:eastAsia="zh-CN"/>
                    </w:rPr>
                    <w:t>VOCs的原辅材料</w:t>
                  </w:r>
                  <w:r>
                    <w:rPr>
                      <w:rFonts w:hint="eastAsia" w:ascii="Times New Roman" w:hAnsi="Times New Roman" w:eastAsia="宋体" w:cs="Times New Roman"/>
                      <w:sz w:val="18"/>
                      <w:szCs w:val="18"/>
                      <w:vertAlign w:val="baseline"/>
                      <w:lang w:val="en-US" w:eastAsia="zh-CN"/>
                    </w:rPr>
                    <w:t>；</w:t>
                  </w:r>
                </w:p>
                <w:p w14:paraId="7773DBFF">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4-5、本项目属于</w:t>
                  </w:r>
                  <w:r>
                    <w:rPr>
                      <w:rFonts w:hint="eastAsia" w:ascii="Times New Roman" w:hAnsi="Times New Roman" w:cs="Times New Roman"/>
                      <w:sz w:val="18"/>
                      <w:szCs w:val="18"/>
                      <w:vertAlign w:val="baseline"/>
                      <w:lang w:val="en-US" w:eastAsia="zh-CN"/>
                    </w:rPr>
                    <w:t>铁路专用线项目</w:t>
                  </w:r>
                  <w:r>
                    <w:rPr>
                      <w:rFonts w:hint="eastAsia" w:ascii="Times New Roman" w:hAnsi="Times New Roman" w:eastAsia="宋体" w:cs="Times New Roman"/>
                      <w:sz w:val="18"/>
                      <w:szCs w:val="18"/>
                      <w:vertAlign w:val="baseline"/>
                      <w:lang w:val="en-US" w:eastAsia="zh-CN"/>
                    </w:rPr>
                    <w:t>，运营期</w:t>
                  </w:r>
                  <w:r>
                    <w:rPr>
                      <w:rFonts w:hint="eastAsia" w:ascii="Times New Roman" w:hAnsi="Times New Roman" w:cs="Times New Roman"/>
                      <w:sz w:val="18"/>
                      <w:szCs w:val="18"/>
                      <w:vertAlign w:val="baseline"/>
                      <w:lang w:val="en-US" w:eastAsia="zh-CN"/>
                    </w:rPr>
                    <w:t>大气污染物排放量较少，对环境影响较小</w:t>
                  </w:r>
                  <w:r>
                    <w:rPr>
                      <w:rFonts w:hint="eastAsia" w:ascii="Times New Roman" w:hAnsi="Times New Roman" w:eastAsia="宋体" w:cs="Times New Roman"/>
                      <w:sz w:val="18"/>
                      <w:szCs w:val="18"/>
                      <w:vertAlign w:val="baseline"/>
                      <w:lang w:val="en-US" w:eastAsia="zh-CN"/>
                    </w:rPr>
                    <w:t>；</w:t>
                  </w:r>
                </w:p>
                <w:p w14:paraId="6C2467ED">
                  <w:pPr>
                    <w:pStyle w:val="2"/>
                    <w:ind w:left="0" w:leftChars="0" w:right="0" w:rightChars="0" w:firstLine="0" w:firstLineChars="0"/>
                    <w:jc w:val="center"/>
                    <w:rPr>
                      <w:rFonts w:hint="eastAsia" w:eastAsia="宋体"/>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6-7、</w:t>
                  </w:r>
                  <w:r>
                    <w:rPr>
                      <w:rFonts w:hint="eastAsia" w:ascii="Times New Roman" w:hAnsi="Times New Roman" w:cs="Times New Roman"/>
                      <w:sz w:val="18"/>
                      <w:szCs w:val="18"/>
                      <w:vertAlign w:val="baseline"/>
                      <w:lang w:val="en-US" w:eastAsia="zh-CN"/>
                    </w:rPr>
                    <w:t>铁路</w:t>
                  </w:r>
                  <w:r>
                    <w:rPr>
                      <w:rFonts w:hint="eastAsia" w:ascii="Times New Roman" w:hAnsi="Times New Roman" w:eastAsia="宋体" w:cs="Times New Roman"/>
                      <w:sz w:val="18"/>
                      <w:szCs w:val="18"/>
                      <w:vertAlign w:val="baseline"/>
                      <w:lang w:val="en-US" w:eastAsia="zh-CN"/>
                    </w:rPr>
                    <w:t>运行过程中无生产废水产生，</w:t>
                  </w:r>
                  <w:r>
                    <w:rPr>
                      <w:rFonts w:hint="default" w:ascii="Times New Roman" w:hAnsi="Times New Roman" w:eastAsia="宋体" w:cs="Times New Roman"/>
                      <w:color w:val="auto"/>
                      <w:sz w:val="18"/>
                      <w:szCs w:val="18"/>
                      <w:vertAlign w:val="baseline"/>
                      <w:lang w:val="en-US" w:eastAsia="zh-CN"/>
                    </w:rPr>
                    <w:t>生活污水含有COD、氨氮等污染物，</w:t>
                  </w:r>
                  <w:r>
                    <w:rPr>
                      <w:rFonts w:hint="eastAsia"/>
                      <w:sz w:val="18"/>
                      <w:szCs w:val="18"/>
                      <w:vertAlign w:val="baseline"/>
                      <w:lang w:val="en-US" w:eastAsia="zh-CN"/>
                    </w:rPr>
                    <w:t>生活污水通过化粪池预处理后，排入新建的一体化污水处理设施，处理能力为</w:t>
                  </w:r>
                  <w:r>
                    <w:rPr>
                      <w:rFonts w:hint="default" w:ascii="Times New Roman" w:hAnsi="Times New Roman" w:cs="Times New Roman"/>
                      <w:sz w:val="18"/>
                      <w:szCs w:val="18"/>
                      <w:vertAlign w:val="baseline"/>
                      <w:lang w:val="en-US" w:eastAsia="zh-CN"/>
                    </w:rPr>
                    <w:t>10m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d</w:t>
                  </w:r>
                  <w:r>
                    <w:rPr>
                      <w:rFonts w:hint="default" w:ascii="Times New Roman" w:hAnsi="Times New Roman" w:cs="Times New Roman"/>
                      <w:sz w:val="18"/>
                      <w:szCs w:val="18"/>
                      <w:vertAlign w:val="baseline"/>
                      <w:lang w:val="en-US" w:eastAsia="zh-CN"/>
                    </w:rPr>
                    <w:t>，处理后回用于厂区</w:t>
                  </w:r>
                  <w:r>
                    <w:rPr>
                      <w:rFonts w:hint="eastAsia"/>
                      <w:sz w:val="18"/>
                      <w:szCs w:val="18"/>
                      <w:vertAlign w:val="baseline"/>
                      <w:lang w:val="en-US" w:eastAsia="zh-CN"/>
                    </w:rPr>
                    <w:t>绿化或洒水降尘，不外排</w:t>
                  </w:r>
                  <w:r>
                    <w:rPr>
                      <w:rFonts w:hint="eastAsia"/>
                      <w:color w:val="auto"/>
                      <w:sz w:val="18"/>
                      <w:szCs w:val="18"/>
                      <w:vertAlign w:val="baseline"/>
                      <w:lang w:val="en-US" w:eastAsia="zh-CN"/>
                    </w:rPr>
                    <w:t>；</w:t>
                  </w:r>
                </w:p>
                <w:p w14:paraId="6A09AEFA">
                  <w:pPr>
                    <w:rPr>
                      <w:rFonts w:hint="default" w:ascii="Times New Roman" w:hAnsi="Times New Roman" w:eastAsia="宋体" w:cs="Times New Roman"/>
                      <w:kern w:val="2"/>
                      <w:sz w:val="21"/>
                      <w:szCs w:val="24"/>
                      <w:lang w:val="en-US" w:eastAsia="zh-CN" w:bidi="ar-SA"/>
                    </w:rPr>
                  </w:pPr>
                  <w:r>
                    <w:rPr>
                      <w:rFonts w:hint="eastAsia" w:eastAsia="宋体"/>
                      <w:sz w:val="18"/>
                      <w:szCs w:val="18"/>
                      <w:vertAlign w:val="baseline"/>
                      <w:lang w:val="en-US" w:eastAsia="zh-CN"/>
                    </w:rPr>
                    <w:t>8、本项目</w:t>
                  </w:r>
                  <w:r>
                    <w:rPr>
                      <w:rFonts w:hint="eastAsia"/>
                      <w:sz w:val="18"/>
                      <w:szCs w:val="18"/>
                      <w:vertAlign w:val="baseline"/>
                      <w:lang w:val="en-US" w:eastAsia="zh-CN"/>
                    </w:rPr>
                    <w:t>位于</w:t>
                  </w:r>
                  <w:r>
                    <w:rPr>
                      <w:rFonts w:hint="default" w:ascii="Times New Roman" w:hAnsi="Times New Roman" w:eastAsia="宋体" w:cs="Times New Roman"/>
                      <w:sz w:val="18"/>
                      <w:szCs w:val="18"/>
                      <w:vertAlign w:val="baseline"/>
                      <w:lang w:val="en-US" w:eastAsia="zh-CN"/>
                    </w:rPr>
                    <w:t>新平产业园区绿色钢城片区</w:t>
                  </w:r>
                  <w:r>
                    <w:rPr>
                      <w:rFonts w:hint="eastAsia" w:eastAsia="宋体" w:cs="Times New Roman"/>
                      <w:sz w:val="18"/>
                      <w:szCs w:val="18"/>
                      <w:vertAlign w:val="baseline"/>
                      <w:lang w:val="en-US" w:eastAsia="zh-CN"/>
                    </w:rPr>
                    <w:t>，不属于制浆造纸行业。</w:t>
                  </w:r>
                </w:p>
              </w:tc>
              <w:tc>
                <w:tcPr>
                  <w:tcW w:w="705" w:type="dxa"/>
                  <w:tcBorders>
                    <w:tl2br w:val="nil"/>
                    <w:tr2bl w:val="nil"/>
                  </w:tcBorders>
                  <w:vAlign w:val="center"/>
                </w:tcPr>
                <w:p w14:paraId="5C8B8216">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612FD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vMerge w:val="continue"/>
                  <w:tcBorders>
                    <w:tl2br w:val="nil"/>
                    <w:tr2bl w:val="nil"/>
                  </w:tcBorders>
                  <w:vAlign w:val="center"/>
                </w:tcPr>
                <w:p w14:paraId="0BD709FA">
                  <w:pPr>
                    <w:pStyle w:val="2"/>
                    <w:ind w:left="0" w:leftChars="0" w:right="0" w:rightChars="0" w:firstLine="0" w:firstLineChars="0"/>
                    <w:jc w:val="center"/>
                    <w:rPr>
                      <w:rFonts w:hint="eastAsia"/>
                      <w:sz w:val="18"/>
                      <w:szCs w:val="18"/>
                      <w:vertAlign w:val="baseline"/>
                      <w:lang w:val="en-US" w:eastAsia="zh-CN"/>
                    </w:rPr>
                  </w:pPr>
                </w:p>
              </w:tc>
              <w:tc>
                <w:tcPr>
                  <w:tcW w:w="550" w:type="dxa"/>
                  <w:tcBorders>
                    <w:tl2br w:val="nil"/>
                    <w:tr2bl w:val="nil"/>
                  </w:tcBorders>
                  <w:vAlign w:val="center"/>
                </w:tcPr>
                <w:p w14:paraId="066FAA05">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环境风险防控</w:t>
                  </w:r>
                </w:p>
              </w:tc>
              <w:tc>
                <w:tcPr>
                  <w:tcW w:w="3749" w:type="dxa"/>
                  <w:tcBorders>
                    <w:tl2br w:val="nil"/>
                    <w:tr2bl w:val="nil"/>
                  </w:tcBorders>
                  <w:vAlign w:val="center"/>
                </w:tcPr>
                <w:p w14:paraId="710D8F37">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1.地质灾害点和居民分布密集区周边区域不宜布置日常储量构成重大危险源的使用危险化学品的项目。</w:t>
                  </w:r>
                </w:p>
                <w:p w14:paraId="75556D5B">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2.工业企业应有完善的风险防范措施，其最大可信事故半致死浓度范围内不得有居民点存在。</w:t>
                  </w:r>
                </w:p>
                <w:p w14:paraId="411D6BA7">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3.重污染企业周边合理设置环境防护距离，保障居民生活环境的安全，及时完成重污染企业周边环境防护距离内居民的搬迁工作。</w:t>
                  </w:r>
                </w:p>
                <w:p w14:paraId="5B8D6D85">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4.制定突发环境事件应急预案，完善风险管理机制，加强风险控制防范。建立区域环境监测制度，加强规划实施的跟踪监测与管理。</w:t>
                  </w:r>
                </w:p>
              </w:tc>
              <w:tc>
                <w:tcPr>
                  <w:tcW w:w="1580" w:type="dxa"/>
                  <w:tcBorders>
                    <w:tl2br w:val="nil"/>
                    <w:tr2bl w:val="nil"/>
                  </w:tcBorders>
                  <w:shd w:val="clear" w:color="auto" w:fill="auto"/>
                  <w:vAlign w:val="center"/>
                </w:tcPr>
                <w:p w14:paraId="030C9895">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1、项目不涉及重大危险源的危险化学品项目；</w:t>
                  </w:r>
                </w:p>
                <w:p w14:paraId="6AB1CBC6">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2、企业设置风险防范措施，经预测，各风险事故情景下，最大可信事故半致死浓度范围内均无居民点；</w:t>
                  </w:r>
                </w:p>
                <w:p w14:paraId="2C32AF70">
                  <w:pPr>
                    <w:pStyle w:val="2"/>
                    <w:ind w:left="0" w:leftChars="0" w:right="0" w:rightChars="0" w:firstLine="0" w:firstLineChars="0"/>
                    <w:jc w:val="center"/>
                    <w:rPr>
                      <w:rFonts w:hint="default" w:ascii="Times New Roman" w:hAnsi="Times New Roman" w:eastAsia="宋体" w:cs="Times New Roman"/>
                      <w:sz w:val="18"/>
                      <w:szCs w:val="18"/>
                      <w:vertAlign w:val="baseline"/>
                      <w:lang w:val="en-US" w:eastAsia="zh-CN"/>
                    </w:rPr>
                  </w:pPr>
                  <w:r>
                    <w:rPr>
                      <w:rFonts w:hint="eastAsia" w:ascii="Times New Roman" w:hAnsi="Times New Roman" w:eastAsia="宋体" w:cs="Times New Roman"/>
                      <w:sz w:val="18"/>
                      <w:szCs w:val="18"/>
                      <w:vertAlign w:val="baseline"/>
                      <w:lang w:val="en-US" w:eastAsia="zh-CN"/>
                    </w:rPr>
                    <w:t>3、本项目不属于重污染企业；</w:t>
                  </w:r>
                </w:p>
                <w:p w14:paraId="734A9A12">
                  <w:pPr>
                    <w:pStyle w:val="2"/>
                    <w:ind w:left="0" w:leftChars="0" w:right="0" w:rightChars="0" w:firstLine="0" w:firstLineChars="0"/>
                    <w:jc w:val="center"/>
                    <w:rPr>
                      <w:rFonts w:hint="default"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sz w:val="18"/>
                      <w:szCs w:val="18"/>
                      <w:vertAlign w:val="baseline"/>
                      <w:lang w:val="en-US" w:eastAsia="zh-CN"/>
                    </w:rPr>
                    <w:t>4、后期企业会按要求编制突发环境事件应急预案，按要求制定自行监测方案，定期对污染源进行监测，定期对环境质量进行跟踪监测。</w:t>
                  </w:r>
                </w:p>
              </w:tc>
              <w:tc>
                <w:tcPr>
                  <w:tcW w:w="705" w:type="dxa"/>
                  <w:tcBorders>
                    <w:tl2br w:val="nil"/>
                    <w:tr2bl w:val="nil"/>
                  </w:tcBorders>
                  <w:vAlign w:val="center"/>
                </w:tcPr>
                <w:p w14:paraId="0AF6A705">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38204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vMerge w:val="continue"/>
                  <w:tcBorders>
                    <w:tl2br w:val="nil"/>
                    <w:tr2bl w:val="nil"/>
                  </w:tcBorders>
                  <w:vAlign w:val="center"/>
                </w:tcPr>
                <w:p w14:paraId="23574AED">
                  <w:pPr>
                    <w:pStyle w:val="2"/>
                    <w:ind w:left="0" w:leftChars="0" w:right="0" w:rightChars="0" w:firstLine="0" w:firstLineChars="0"/>
                    <w:jc w:val="center"/>
                    <w:rPr>
                      <w:rFonts w:hint="eastAsia"/>
                      <w:sz w:val="18"/>
                      <w:szCs w:val="18"/>
                      <w:vertAlign w:val="baseline"/>
                      <w:lang w:val="en-US" w:eastAsia="zh-CN"/>
                    </w:rPr>
                  </w:pPr>
                </w:p>
              </w:tc>
              <w:tc>
                <w:tcPr>
                  <w:tcW w:w="550" w:type="dxa"/>
                  <w:tcBorders>
                    <w:tl2br w:val="nil"/>
                    <w:tr2bl w:val="nil"/>
                  </w:tcBorders>
                  <w:vAlign w:val="center"/>
                </w:tcPr>
                <w:p w14:paraId="51B6888E">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资源开发效率要求</w:t>
                  </w:r>
                </w:p>
              </w:tc>
              <w:tc>
                <w:tcPr>
                  <w:tcW w:w="3749" w:type="dxa"/>
                  <w:tcBorders>
                    <w:tl2br w:val="nil"/>
                    <w:tr2bl w:val="nil"/>
                  </w:tcBorders>
                  <w:vAlign w:val="center"/>
                </w:tcPr>
                <w:p w14:paraId="0D1E05DA">
                  <w:pPr>
                    <w:pStyle w:val="2"/>
                    <w:ind w:left="0" w:leftChars="0" w:right="0" w:rightChars="0" w:firstLine="0" w:firstLineChars="0"/>
                    <w:jc w:val="center"/>
                    <w:rPr>
                      <w:rFonts w:hint="eastAsia"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工业水循环利用率必须大于80%，中水回用率大于30%，入驻项目水耗指标必须优于行业水平。</w:t>
                  </w:r>
                </w:p>
              </w:tc>
              <w:tc>
                <w:tcPr>
                  <w:tcW w:w="1580" w:type="dxa"/>
                  <w:tcBorders>
                    <w:tl2br w:val="nil"/>
                    <w:tr2bl w:val="nil"/>
                  </w:tcBorders>
                  <w:shd w:val="clear" w:color="auto" w:fill="auto"/>
                  <w:vAlign w:val="center"/>
                </w:tcPr>
                <w:p w14:paraId="5CC3D4E2">
                  <w:pPr>
                    <w:pStyle w:val="2"/>
                    <w:ind w:left="0" w:leftChars="0" w:right="0" w:rightChars="0" w:firstLine="0" w:firstLineChars="0"/>
                    <w:jc w:val="center"/>
                    <w:rPr>
                      <w:rFonts w:hint="eastAsia" w:ascii="Times New Roman" w:hAnsi="Times New Roman" w:eastAsia="宋体" w:cs="Times New Roman"/>
                      <w:kern w:val="2"/>
                      <w:sz w:val="18"/>
                      <w:szCs w:val="18"/>
                      <w:vertAlign w:val="baseline"/>
                      <w:lang w:val="en-US" w:eastAsia="zh-CN" w:bidi="ar-SA"/>
                    </w:rPr>
                  </w:pPr>
                  <w:r>
                    <w:rPr>
                      <w:rFonts w:hint="eastAsia" w:ascii="Times New Roman" w:hAnsi="Times New Roman" w:eastAsia="宋体" w:cs="Times New Roman"/>
                      <w:sz w:val="18"/>
                      <w:szCs w:val="18"/>
                      <w:vertAlign w:val="baseline"/>
                      <w:lang w:val="en-US" w:eastAsia="zh-CN"/>
                    </w:rPr>
                    <w:t>本项目运营过程中无生产废水，</w:t>
                  </w:r>
                  <w:r>
                    <w:rPr>
                      <w:rFonts w:hint="eastAsia"/>
                      <w:sz w:val="18"/>
                      <w:szCs w:val="18"/>
                      <w:vertAlign w:val="baseline"/>
                      <w:lang w:val="en-US" w:eastAsia="zh-CN"/>
                    </w:rPr>
                    <w:t>生活污水通过化粪池预处理后，排入新建的一体化污水处理设施</w:t>
                  </w:r>
                  <w:r>
                    <w:rPr>
                      <w:rFonts w:hint="default" w:ascii="Times New Roman" w:hAnsi="Times New Roman" w:cs="Times New Roman"/>
                      <w:sz w:val="18"/>
                      <w:szCs w:val="18"/>
                      <w:vertAlign w:val="baseline"/>
                      <w:lang w:val="en-US" w:eastAsia="zh-CN"/>
                    </w:rPr>
                    <w:t>，处理能力为10m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d</w:t>
                  </w:r>
                  <w:r>
                    <w:rPr>
                      <w:rFonts w:hint="default" w:ascii="Times New Roman" w:hAnsi="Times New Roman" w:cs="Times New Roman"/>
                      <w:sz w:val="18"/>
                      <w:szCs w:val="18"/>
                      <w:vertAlign w:val="baseline"/>
                      <w:lang w:val="en-US" w:eastAsia="zh-CN"/>
                    </w:rPr>
                    <w:t>，处理后回用于厂</w:t>
                  </w:r>
                  <w:r>
                    <w:rPr>
                      <w:rFonts w:hint="eastAsia"/>
                      <w:sz w:val="18"/>
                      <w:szCs w:val="18"/>
                      <w:vertAlign w:val="baseline"/>
                      <w:lang w:val="en-US" w:eastAsia="zh-CN"/>
                    </w:rPr>
                    <w:t>区绿化或洒水降尘，不外排。</w:t>
                  </w:r>
                </w:p>
              </w:tc>
              <w:tc>
                <w:tcPr>
                  <w:tcW w:w="705" w:type="dxa"/>
                  <w:tcBorders>
                    <w:tl2br w:val="nil"/>
                    <w:tr2bl w:val="nil"/>
                  </w:tcBorders>
                  <w:vAlign w:val="center"/>
                </w:tcPr>
                <w:p w14:paraId="10A549D7">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bl>
          <w:p w14:paraId="66A5117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黑体" w:hAnsi="黑体" w:eastAsia="黑体" w:cs="黑体"/>
                <w:b w:val="0"/>
                <w:bCs w:val="0"/>
                <w:color w:val="auto"/>
                <w:sz w:val="21"/>
                <w:szCs w:val="21"/>
              </w:rPr>
            </w:pPr>
            <w:r>
              <w:rPr>
                <w:rFonts w:hint="default" w:ascii="Times New Roman" w:hAnsi="Times New Roman" w:eastAsia="宋体" w:cs="Times New Roman"/>
                <w:color w:val="000000"/>
                <w:kern w:val="0"/>
                <w:sz w:val="24"/>
                <w:szCs w:val="24"/>
                <w:lang w:val="en-US" w:eastAsia="zh-CN" w:bidi="ar"/>
              </w:rPr>
              <w:t>综上，本项目符合《玉溪市生态环境分区管控动态更新调整方案（2023年）》的相关要求</w:t>
            </w:r>
            <w:r>
              <w:rPr>
                <w:rFonts w:hint="eastAsia" w:cs="Times New Roman"/>
                <w:color w:val="000000"/>
                <w:kern w:val="0"/>
                <w:sz w:val="24"/>
                <w:szCs w:val="24"/>
                <w:lang w:val="en-US" w:eastAsia="zh-CN" w:bidi="ar"/>
              </w:rPr>
              <w:t>。</w:t>
            </w:r>
          </w:p>
          <w:p w14:paraId="37217029">
            <w:pPr>
              <w:keepNext w:val="0"/>
              <w:keepLines w:val="0"/>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4、</w:t>
            </w:r>
            <w:r>
              <w:rPr>
                <w:rFonts w:hint="default" w:cs="Times New Roman"/>
                <w:b/>
                <w:bCs/>
                <w:color w:val="auto"/>
                <w:sz w:val="24"/>
                <w:szCs w:val="24"/>
                <w:lang w:val="en-US" w:eastAsia="zh-CN"/>
              </w:rPr>
              <w:t>项目与</w:t>
            </w:r>
            <w:r>
              <w:rPr>
                <w:rFonts w:hint="eastAsia" w:cs="Times New Roman"/>
                <w:b/>
                <w:bCs/>
                <w:color w:val="auto"/>
                <w:sz w:val="24"/>
                <w:szCs w:val="24"/>
                <w:lang w:val="en-US" w:eastAsia="zh-CN"/>
              </w:rPr>
              <w:t>《“十四五”现代综合交通运输体系发展规划》的符合性分析</w:t>
            </w:r>
          </w:p>
          <w:p w14:paraId="04C1C95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、规划概述</w:t>
            </w:r>
          </w:p>
          <w:p w14:paraId="1F151B6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十四五”现代综合交通运输体系发展规划》提出：“深入推进运输结构调整，逐步构建以铁路、船舶为主的中长途货运系统。加快铁路专用线建设，推动大宗货物和中长途货物运输“公转铁”、“公转水”。优化“门到门”物流服务网络，鼓励发展城乡物流共同配送、统一配送、集中配送、分时配送等集约化配送模式，提高工矿企业绿色运输比例，扩大城市生产生活物资公铁联运服务供给”。</w:t>
            </w:r>
          </w:p>
          <w:p w14:paraId="4FDB7B3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、符合性分析</w:t>
            </w:r>
          </w:p>
          <w:p w14:paraId="4997152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本铁路专用线位于玉溪市新平县境内，接轨于玉溪市大化产业园区铁路专用线化念南至仙福段设计终点。本铁路专用线作为</w:t>
            </w:r>
            <w:r>
              <w:rPr>
                <w:rFonts w:hint="eastAsia" w:cs="Times New Roman"/>
                <w:color w:val="000000"/>
                <w:kern w:val="0"/>
                <w:sz w:val="24"/>
                <w:szCs w:val="24"/>
                <w:lang w:val="en-US" w:eastAsia="zh-CN" w:bidi="ar"/>
              </w:rPr>
              <w:t>仙福钢铁厂</w:t>
            </w:r>
            <w:r>
              <w:rPr>
                <w:rFonts w:hint="eastAsia" w:ascii="Times New Roman" w:hAnsi="Times New Roman" w:eastAsia="宋体" w:cs="Times New Roman"/>
                <w:color w:val="000000"/>
                <w:kern w:val="0"/>
                <w:sz w:val="24"/>
                <w:szCs w:val="24"/>
                <w:lang w:val="en-US" w:eastAsia="zh-CN" w:bidi="ar"/>
              </w:rPr>
              <w:t>的重要交通配套工程，是进一步完善</w:t>
            </w:r>
            <w:r>
              <w:rPr>
                <w:rFonts w:hint="eastAsia" w:cs="Times New Roman"/>
                <w:color w:val="000000"/>
                <w:kern w:val="0"/>
                <w:sz w:val="24"/>
                <w:szCs w:val="24"/>
                <w:lang w:val="en-US" w:eastAsia="zh-CN" w:bidi="ar"/>
              </w:rPr>
              <w:t>仙福钢铁厂</w:t>
            </w:r>
            <w:r>
              <w:rPr>
                <w:rFonts w:hint="eastAsia" w:ascii="Times New Roman" w:hAnsi="Times New Roman" w:eastAsia="宋体" w:cs="Times New Roman"/>
                <w:color w:val="000000"/>
                <w:kern w:val="0"/>
                <w:sz w:val="24"/>
                <w:szCs w:val="24"/>
                <w:lang w:val="en-US" w:eastAsia="zh-CN" w:bidi="ar"/>
              </w:rPr>
              <w:t>对外货运通道，进一步带动</w:t>
            </w:r>
            <w:r>
              <w:rPr>
                <w:rFonts w:hint="eastAsia" w:cs="Times New Roman"/>
                <w:color w:val="000000"/>
                <w:kern w:val="0"/>
                <w:sz w:val="24"/>
                <w:szCs w:val="24"/>
                <w:lang w:val="en-US" w:eastAsia="zh-CN" w:bidi="ar"/>
              </w:rPr>
              <w:t>仙福钢铁厂</w:t>
            </w:r>
            <w:r>
              <w:rPr>
                <w:rFonts w:hint="eastAsia" w:ascii="Times New Roman" w:hAnsi="Times New Roman" w:eastAsia="宋体" w:cs="Times New Roman"/>
                <w:color w:val="000000"/>
                <w:kern w:val="0"/>
                <w:sz w:val="24"/>
                <w:szCs w:val="24"/>
                <w:lang w:val="en-US" w:eastAsia="zh-CN" w:bidi="ar"/>
              </w:rPr>
              <w:t>综合交通运输体系建成的重要举措，减少园区内企业在运输过程中的材料损耗，提升企业市场竞争力的重要措施，可推进区域大宗货物运输“公转铁”，符合《“十四五”现代综合交通运输体系发展规划》的相关要求。</w:t>
            </w:r>
          </w:p>
          <w:p w14:paraId="4C0AA44B">
            <w:pPr>
              <w:keepNext w:val="0"/>
              <w:keepLines w:val="0"/>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5、</w:t>
            </w:r>
            <w:r>
              <w:rPr>
                <w:rFonts w:hint="default" w:cs="Times New Roman"/>
                <w:b/>
                <w:bCs/>
                <w:color w:val="auto"/>
                <w:sz w:val="24"/>
                <w:szCs w:val="24"/>
                <w:lang w:val="en-US" w:eastAsia="zh-CN"/>
              </w:rPr>
              <w:t>项目与</w:t>
            </w:r>
            <w:r>
              <w:rPr>
                <w:rFonts w:hint="eastAsia" w:cs="Times New Roman"/>
                <w:b/>
                <w:bCs/>
                <w:color w:val="auto"/>
                <w:sz w:val="24"/>
                <w:szCs w:val="24"/>
                <w:lang w:val="en-US" w:eastAsia="zh-CN"/>
              </w:rPr>
              <w:t>《“十四五”铁路发展规划》的符合性分析</w:t>
            </w:r>
          </w:p>
          <w:p w14:paraId="7876A71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、规划概述</w:t>
            </w:r>
          </w:p>
          <w:p w14:paraId="5A4494F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国家“十四五”铁路发展规划指出，有序拓展普速铁路网覆盖。统筹推进中西部地区铁路网建设，加强边疆地区铁路网，提高革命老区、民族地区和欠发达地区铁路网络密度，提升沿江等重点区域铁路货运能力，支持资源丰富、人口密集区域的地方开发性铁路建设，提高普速铁路网通达深度；同时继续支持加快铁路物流基地、专用线和集疏运体系等补短板项目建设，加快畅通大宗货运“公转铁”、多式联运“前后一公里”，增强铁路集疏运能力。</w:t>
            </w:r>
          </w:p>
          <w:p w14:paraId="5E92E9F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、符合性分析</w:t>
            </w:r>
          </w:p>
          <w:p w14:paraId="34806D3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本铁路专用线为</w:t>
            </w:r>
            <w:r>
              <w:rPr>
                <w:rFonts w:hint="eastAsia" w:cs="Times New Roman"/>
                <w:color w:val="000000"/>
                <w:kern w:val="0"/>
                <w:sz w:val="24"/>
                <w:szCs w:val="24"/>
                <w:lang w:val="en-US" w:eastAsia="zh-CN" w:bidi="ar"/>
              </w:rPr>
              <w:t>仙福钢铁厂</w:t>
            </w:r>
            <w:r>
              <w:rPr>
                <w:rFonts w:hint="eastAsia" w:ascii="Times New Roman" w:hAnsi="Times New Roman" w:eastAsia="宋体" w:cs="Times New Roman"/>
                <w:color w:val="000000"/>
                <w:kern w:val="0"/>
                <w:sz w:val="24"/>
                <w:szCs w:val="24"/>
                <w:lang w:val="en-US" w:eastAsia="zh-CN" w:bidi="ar"/>
              </w:rPr>
              <w:t>重要交通配套工程，主要承担企业物流量与昆明及昆明以远地区的货物交流。本铁路专用线的建设是贯彻落实习近平总书记重要讲话精神，维护好、运营好中老昆万铁路，把中老昆万铁路沿线开发好、建设好的需要；是解决好铁路运输“最后一公里”问题，促进货运降本增效，打造绿色物流体系的需要；是贯彻落实党中央、国务院关于统筹疫情防控和经济社会发展的决策部署，进一步降低物流成本、提升物流效率，加快恢复生产生活秩序的需要；是响应“打赢蓝天保卫战”号召，建立健全绿色低碳循环发展经济体系，促进经济社会发展全面绿色转型，解决我国资源环境生态问题的需要；是改善园区交通运输条件，降低园区内企业货物运输成本、增强市场竞争力的需要，可推进区域大宗货运“公转铁”，符合《“十四五”铁路发展规划》的相关要求。</w:t>
            </w:r>
          </w:p>
          <w:p w14:paraId="6AFD0FC2">
            <w:pPr>
              <w:keepNext w:val="0"/>
              <w:keepLines w:val="0"/>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lang w:val="en-US"/>
              </w:rPr>
            </w:pP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、项目与</w:t>
            </w:r>
            <w:r>
              <w:rPr>
                <w:rFonts w:hint="eastAsia" w:ascii="Times New Roman" w:hAnsi="Times New Roman" w:eastAsia="宋体" w:cs="Times New Roman"/>
                <w:b/>
                <w:bCs/>
                <w:color w:val="auto"/>
                <w:sz w:val="24"/>
                <w:szCs w:val="24"/>
                <w:lang w:val="en-US" w:eastAsia="zh-CN"/>
              </w:rPr>
              <w:t>《云南省“十四五”综合交通运输发展规划》</w:t>
            </w:r>
            <w:r>
              <w:rPr>
                <w:rFonts w:hint="eastAsia" w:cs="Times New Roman"/>
                <w:b/>
                <w:bCs/>
                <w:color w:val="auto"/>
                <w:sz w:val="24"/>
                <w:szCs w:val="24"/>
                <w:lang w:val="en-US" w:eastAsia="zh-CN"/>
              </w:rPr>
              <w:t>符合性分析</w:t>
            </w:r>
          </w:p>
          <w:p w14:paraId="5B9BFC1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lang w:val="en-US" w:eastAsia="zh-CN"/>
              </w:rPr>
              <w:t>《</w:t>
            </w:r>
            <w:r>
              <w:rPr>
                <w:rFonts w:hint="eastAsia" w:ascii="Times New Roman" w:hAnsi="Times New Roman" w:eastAsia="宋体" w:cs="Times New Roman"/>
                <w:i w:val="0"/>
                <w:iCs w:val="0"/>
                <w:color w:val="auto"/>
                <w:kern w:val="2"/>
                <w:sz w:val="24"/>
                <w:szCs w:val="24"/>
                <w:highlight w:val="none"/>
                <w:u w:val="none"/>
                <w:lang w:val="en-US" w:eastAsia="zh-CN" w:bidi="ar-SA"/>
              </w:rPr>
              <w:t>云南省“十四五”综合交通运输发展规划》专栏10“十四五”期间货运服务发展重点，1、货运结构调整行动，实施老昆玉铁路电气化扩能改造，支持煤炭、钢铁、水电铝、电力、焦化、汽车制造等大型工矿企业以及大型物流园区新建或改扩建铁路专用线，有效推进煤炭、矿石、焦炭、钢材等大宗物资“公转铁”、“公转水”。本项目为玉溪市大化产业园区仙福钢铁厂铁路专用线</w:t>
            </w:r>
            <w:r>
              <w:rPr>
                <w:rFonts w:hint="eastAsia" w:ascii="Times New Roman" w:hAnsi="Times New Roman" w:cs="Times New Roman"/>
                <w:i w:val="0"/>
                <w:iCs w:val="0"/>
                <w:color w:val="auto"/>
                <w:kern w:val="2"/>
                <w:sz w:val="24"/>
                <w:szCs w:val="24"/>
                <w:highlight w:val="none"/>
                <w:u w:val="none"/>
                <w:lang w:val="en-US" w:eastAsia="zh-CN" w:bidi="ar-SA"/>
              </w:rPr>
              <w:t>工程，因此，本项目的建设与</w:t>
            </w:r>
            <w:r>
              <w:rPr>
                <w:rFonts w:hint="eastAsia"/>
                <w:lang w:val="en-US" w:eastAsia="zh-CN"/>
              </w:rPr>
              <w:t>《</w:t>
            </w:r>
            <w:r>
              <w:rPr>
                <w:rFonts w:hint="eastAsia" w:ascii="Times New Roman" w:hAnsi="Times New Roman" w:eastAsia="宋体" w:cs="Times New Roman"/>
                <w:i w:val="0"/>
                <w:iCs w:val="0"/>
                <w:color w:val="auto"/>
                <w:kern w:val="2"/>
                <w:sz w:val="24"/>
                <w:szCs w:val="24"/>
                <w:highlight w:val="none"/>
                <w:u w:val="none"/>
                <w:lang w:val="en-US" w:eastAsia="zh-CN" w:bidi="ar-SA"/>
              </w:rPr>
              <w:t>云南省“十四五”综合交通运输发展规划》</w:t>
            </w:r>
            <w:r>
              <w:rPr>
                <w:rFonts w:hint="eastAsia" w:ascii="Times New Roman" w:hAnsi="Times New Roman" w:cs="Times New Roman"/>
                <w:i w:val="0"/>
                <w:iCs w:val="0"/>
                <w:color w:val="auto"/>
                <w:kern w:val="2"/>
                <w:sz w:val="24"/>
                <w:szCs w:val="24"/>
                <w:highlight w:val="none"/>
                <w:u w:val="none"/>
                <w:lang w:val="en-US" w:eastAsia="zh-CN" w:bidi="ar-SA"/>
              </w:rPr>
              <w:t>相符。</w:t>
            </w:r>
          </w:p>
          <w:p w14:paraId="719E85E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、项目与</w:t>
            </w:r>
            <w:r>
              <w:rPr>
                <w:rFonts w:hint="eastAsia"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玉溪市</w:t>
            </w:r>
            <w:r>
              <w:rPr>
                <w:rFonts w:hint="eastAsia" w:ascii="Times New Roman" w:hAnsi="Times New Roman" w:eastAsia="宋体" w:cs="Times New Roman"/>
                <w:b/>
                <w:bCs/>
                <w:color w:val="auto"/>
                <w:sz w:val="24"/>
                <w:szCs w:val="24"/>
                <w:lang w:val="en-US" w:eastAsia="zh-CN"/>
              </w:rPr>
              <w:t>“十四五”综合交通运输发展规划》</w:t>
            </w:r>
            <w:r>
              <w:rPr>
                <w:rFonts w:hint="eastAsia" w:cs="Times New Roman"/>
                <w:b/>
                <w:bCs/>
                <w:color w:val="auto"/>
                <w:sz w:val="24"/>
                <w:szCs w:val="24"/>
                <w:lang w:val="en-US" w:eastAsia="zh-CN"/>
              </w:rPr>
              <w:t>符合性分析</w:t>
            </w:r>
          </w:p>
          <w:p w14:paraId="004423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i w:val="0"/>
                <w:iCs w:val="0"/>
                <w:color w:val="auto"/>
                <w:kern w:val="2"/>
                <w:sz w:val="24"/>
                <w:szCs w:val="24"/>
                <w:highlight w:val="none"/>
                <w:u w:val="none"/>
                <w:lang w:val="en-US" w:eastAsia="zh-CN" w:bidi="ar-SA"/>
              </w:rPr>
            </w:pPr>
            <w:r>
              <w:rPr>
                <w:rFonts w:hint="default" w:ascii="Times New Roman" w:hAnsi="Times New Roman" w:eastAsia="宋体" w:cs="Times New Roman"/>
                <w:i w:val="0"/>
                <w:iCs w:val="0"/>
                <w:color w:val="auto"/>
                <w:kern w:val="2"/>
                <w:sz w:val="24"/>
                <w:szCs w:val="24"/>
                <w:highlight w:val="none"/>
                <w:u w:val="none"/>
                <w:lang w:val="en-US" w:eastAsia="zh-CN" w:bidi="ar-SA"/>
              </w:rPr>
              <w:t>《玉溪市“十四五”综合交通运输发展规划》</w:t>
            </w:r>
            <w:r>
              <w:rPr>
                <w:rFonts w:hint="eastAsia" w:ascii="Times New Roman" w:hAnsi="Times New Roman" w:cs="Times New Roman"/>
                <w:i w:val="0"/>
                <w:iCs w:val="0"/>
                <w:color w:val="auto"/>
                <w:kern w:val="2"/>
                <w:sz w:val="24"/>
                <w:szCs w:val="24"/>
                <w:highlight w:val="none"/>
                <w:u w:val="none"/>
                <w:lang w:val="en-US" w:eastAsia="zh-CN" w:bidi="ar-SA"/>
              </w:rPr>
              <w:t>发展目标，</w:t>
            </w:r>
            <w:r>
              <w:rPr>
                <w:rFonts w:hint="default" w:ascii="Times New Roman" w:hAnsi="Times New Roman" w:eastAsia="宋体" w:cs="Times New Roman"/>
                <w:i w:val="0"/>
                <w:iCs w:val="0"/>
                <w:color w:val="auto"/>
                <w:kern w:val="2"/>
                <w:sz w:val="24"/>
                <w:szCs w:val="24"/>
                <w:highlight w:val="none"/>
                <w:u w:val="none"/>
                <w:lang w:val="en-US" w:eastAsia="zh-CN" w:bidi="ar-SA"/>
              </w:rPr>
              <w:t>推进互联互通基础设施网络建设借助国家</w:t>
            </w:r>
            <w:r>
              <w:rPr>
                <w:rFonts w:hint="eastAsia" w:ascii="Times New Roman" w:hAnsi="Times New Roman" w:cs="Times New Roman"/>
                <w:i w:val="0"/>
                <w:iCs w:val="0"/>
                <w:color w:val="auto"/>
                <w:kern w:val="2"/>
                <w:sz w:val="24"/>
                <w:szCs w:val="24"/>
                <w:highlight w:val="none"/>
                <w:u w:val="none"/>
                <w:lang w:val="en-US" w:eastAsia="zh-CN" w:bidi="ar-SA"/>
              </w:rPr>
              <w:t>“</w:t>
            </w:r>
            <w:r>
              <w:rPr>
                <w:rFonts w:hint="default" w:ascii="Times New Roman" w:hAnsi="Times New Roman" w:eastAsia="宋体" w:cs="Times New Roman"/>
                <w:i w:val="0"/>
                <w:iCs w:val="0"/>
                <w:color w:val="auto"/>
                <w:kern w:val="2"/>
                <w:sz w:val="24"/>
                <w:szCs w:val="24"/>
                <w:highlight w:val="none"/>
                <w:u w:val="none"/>
                <w:lang w:val="en-US" w:eastAsia="zh-CN" w:bidi="ar-SA"/>
              </w:rPr>
              <w:t>一带一路</w:t>
            </w:r>
            <w:r>
              <w:rPr>
                <w:rFonts w:hint="eastAsia" w:ascii="Times New Roman" w:hAnsi="Times New Roman" w:cs="Times New Roman"/>
                <w:i w:val="0"/>
                <w:iCs w:val="0"/>
                <w:color w:val="auto"/>
                <w:kern w:val="2"/>
                <w:sz w:val="24"/>
                <w:szCs w:val="24"/>
                <w:highlight w:val="none"/>
                <w:u w:val="none"/>
                <w:lang w:val="en-US" w:eastAsia="zh-CN" w:bidi="ar-SA"/>
              </w:rPr>
              <w:t>”</w:t>
            </w:r>
            <w:r>
              <w:rPr>
                <w:rFonts w:hint="default" w:ascii="Times New Roman" w:hAnsi="Times New Roman" w:eastAsia="宋体" w:cs="Times New Roman"/>
                <w:i w:val="0"/>
                <w:iCs w:val="0"/>
                <w:color w:val="auto"/>
                <w:kern w:val="2"/>
                <w:sz w:val="24"/>
                <w:szCs w:val="24"/>
                <w:highlight w:val="none"/>
                <w:u w:val="none"/>
                <w:lang w:val="en-US" w:eastAsia="zh-CN" w:bidi="ar-SA"/>
              </w:rPr>
              <w:t>、长江经济带建设、建设西部新陆海通道及云南省建设交通强国省域示范区的有利契机，并结合玉溪未来</w:t>
            </w:r>
            <w:r>
              <w:rPr>
                <w:rFonts w:hint="eastAsia" w:ascii="Times New Roman" w:hAnsi="Times New Roman" w:cs="Times New Roman"/>
                <w:i w:val="0"/>
                <w:iCs w:val="0"/>
                <w:color w:val="auto"/>
                <w:kern w:val="2"/>
                <w:sz w:val="24"/>
                <w:szCs w:val="24"/>
                <w:highlight w:val="none"/>
                <w:u w:val="none"/>
                <w:lang w:val="en-US" w:eastAsia="zh-CN" w:bidi="ar-SA"/>
              </w:rPr>
              <w:t>“十四五”</w:t>
            </w:r>
            <w:r>
              <w:rPr>
                <w:rFonts w:hint="default" w:ascii="Times New Roman" w:hAnsi="Times New Roman" w:eastAsia="宋体" w:cs="Times New Roman"/>
                <w:i w:val="0"/>
                <w:iCs w:val="0"/>
                <w:color w:val="auto"/>
                <w:kern w:val="2"/>
                <w:sz w:val="24"/>
                <w:szCs w:val="24"/>
                <w:highlight w:val="none"/>
                <w:u w:val="none"/>
                <w:lang w:val="en-US" w:eastAsia="zh-CN" w:bidi="ar-SA"/>
              </w:rPr>
              <w:t>期</w:t>
            </w:r>
            <w:r>
              <w:rPr>
                <w:rFonts w:hint="eastAsia" w:cs="Times New Roman"/>
                <w:i w:val="0"/>
                <w:iCs w:val="0"/>
                <w:color w:val="auto"/>
                <w:kern w:val="2"/>
                <w:sz w:val="24"/>
                <w:szCs w:val="24"/>
                <w:highlight w:val="none"/>
                <w:u w:val="none"/>
                <w:lang w:val="en-US" w:eastAsia="zh-CN" w:bidi="ar-SA"/>
              </w:rPr>
              <w:t>间</w:t>
            </w:r>
            <w:r>
              <w:rPr>
                <w:rFonts w:hint="default" w:ascii="Times New Roman" w:hAnsi="Times New Roman" w:eastAsia="宋体" w:cs="Times New Roman"/>
                <w:i w:val="0"/>
                <w:iCs w:val="0"/>
                <w:color w:val="auto"/>
                <w:kern w:val="2"/>
                <w:sz w:val="24"/>
                <w:szCs w:val="24"/>
                <w:highlight w:val="none"/>
                <w:u w:val="none"/>
                <w:lang w:val="en-US" w:eastAsia="zh-CN" w:bidi="ar-SA"/>
              </w:rPr>
              <w:t>的交通运输发展需求，全面推进全市综合交通基础设施网络建设，提高运输服务水平，确定发展方向。</w:t>
            </w:r>
            <w:r>
              <w:rPr>
                <w:rFonts w:hint="eastAsia" w:ascii="Times New Roman" w:hAnsi="Times New Roman" w:cs="Times New Roman"/>
                <w:i w:val="0"/>
                <w:iCs w:val="0"/>
                <w:color w:val="auto"/>
                <w:kern w:val="2"/>
                <w:sz w:val="24"/>
                <w:szCs w:val="24"/>
                <w:highlight w:val="none"/>
                <w:u w:val="none"/>
                <w:lang w:val="en-US" w:eastAsia="zh-CN" w:bidi="ar-SA"/>
              </w:rPr>
              <w:t>本项目为</w:t>
            </w:r>
            <w:r>
              <w:rPr>
                <w:rFonts w:hint="eastAsia" w:ascii="Times New Roman" w:hAnsi="Times New Roman" w:eastAsia="宋体" w:cs="Times New Roman"/>
                <w:i w:val="0"/>
                <w:iCs w:val="0"/>
                <w:color w:val="auto"/>
                <w:kern w:val="2"/>
                <w:sz w:val="24"/>
                <w:szCs w:val="24"/>
                <w:highlight w:val="none"/>
                <w:u w:val="none"/>
                <w:lang w:val="en-US" w:eastAsia="zh-CN" w:bidi="ar-SA"/>
              </w:rPr>
              <w:t>玉溪市大化产业园区仙福钢铁厂铁路专用线</w:t>
            </w:r>
            <w:r>
              <w:rPr>
                <w:rFonts w:hint="eastAsia" w:ascii="Times New Roman" w:hAnsi="Times New Roman" w:cs="Times New Roman"/>
                <w:i w:val="0"/>
                <w:iCs w:val="0"/>
                <w:color w:val="auto"/>
                <w:kern w:val="2"/>
                <w:sz w:val="24"/>
                <w:szCs w:val="24"/>
                <w:highlight w:val="none"/>
                <w:u w:val="none"/>
                <w:lang w:val="en-US" w:eastAsia="zh-CN" w:bidi="ar-SA"/>
              </w:rPr>
              <w:t>，本项目的建设有利于提高运输服务水平，因此本项目的建设符合</w:t>
            </w:r>
            <w:r>
              <w:rPr>
                <w:rFonts w:hint="default" w:ascii="Times New Roman" w:hAnsi="Times New Roman" w:eastAsia="宋体" w:cs="Times New Roman"/>
                <w:i w:val="0"/>
                <w:iCs w:val="0"/>
                <w:color w:val="auto"/>
                <w:kern w:val="2"/>
                <w:sz w:val="24"/>
                <w:szCs w:val="24"/>
                <w:highlight w:val="none"/>
                <w:u w:val="none"/>
                <w:lang w:val="en-US" w:eastAsia="zh-CN" w:bidi="ar-SA"/>
              </w:rPr>
              <w:t>《玉溪市“十四五”综合交通运输发展规划》</w:t>
            </w:r>
            <w:r>
              <w:rPr>
                <w:rFonts w:hint="eastAsia" w:ascii="Times New Roman" w:hAnsi="Times New Roman" w:cs="Times New Roman"/>
                <w:i w:val="0"/>
                <w:iCs w:val="0"/>
                <w:color w:val="auto"/>
                <w:kern w:val="2"/>
                <w:sz w:val="24"/>
                <w:szCs w:val="24"/>
                <w:highlight w:val="none"/>
                <w:u w:val="none"/>
                <w:lang w:val="en-US" w:eastAsia="zh-CN" w:bidi="ar-SA"/>
              </w:rPr>
              <w:t>。</w:t>
            </w:r>
          </w:p>
          <w:p w14:paraId="3EF553C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8</w:t>
            </w:r>
            <w:r>
              <w:rPr>
                <w:rFonts w:hint="default" w:cs="Times New Roman"/>
                <w:b/>
                <w:bCs/>
                <w:color w:val="auto"/>
                <w:sz w:val="24"/>
                <w:szCs w:val="24"/>
                <w:lang w:val="en-US" w:eastAsia="zh-CN"/>
              </w:rPr>
              <w:t>、项目与</w:t>
            </w:r>
            <w:r>
              <w:rPr>
                <w:rFonts w:hint="eastAsia" w:cs="Times New Roman"/>
                <w:b/>
                <w:bCs/>
                <w:color w:val="auto"/>
                <w:sz w:val="24"/>
                <w:szCs w:val="24"/>
                <w:lang w:val="en-US" w:eastAsia="zh-CN"/>
              </w:rPr>
              <w:t>《云南省“十四五”生态环境保护规划》符合性分析</w:t>
            </w:r>
          </w:p>
          <w:p w14:paraId="508EE6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default" w:ascii="Times New Roman" w:hAnsi="Times New Roman" w:eastAsia="宋体" w:cs="Times New Roman"/>
                <w:i w:val="0"/>
                <w:iCs w:val="0"/>
                <w:color w:val="auto"/>
                <w:kern w:val="2"/>
                <w:sz w:val="24"/>
                <w:szCs w:val="24"/>
                <w:highlight w:val="none"/>
                <w:u w:val="none"/>
                <w:lang w:val="en-US" w:eastAsia="zh-CN" w:bidi="ar-SA"/>
              </w:rPr>
              <w:t>1</w:t>
            </w:r>
            <w:r>
              <w:rPr>
                <w:rFonts w:hint="eastAsia" w:ascii="Times New Roman" w:hAnsi="Times New Roman" w:eastAsia="宋体" w:cs="Times New Roman"/>
                <w:i w:val="0"/>
                <w:iCs w:val="0"/>
                <w:color w:val="auto"/>
                <w:kern w:val="2"/>
                <w:sz w:val="24"/>
                <w:szCs w:val="24"/>
                <w:highlight w:val="none"/>
                <w:u w:val="none"/>
                <w:lang w:val="en-US" w:eastAsia="zh-CN" w:bidi="ar-SA"/>
              </w:rPr>
              <w:t>、政策文件概述</w:t>
            </w:r>
          </w:p>
          <w:p w14:paraId="594355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ascii="Times New Roman" w:hAnsi="Times New Roman" w:eastAsia="宋体" w:cs="Times New Roman"/>
                <w:i w:val="0"/>
                <w:iCs w:val="0"/>
                <w:color w:val="auto"/>
                <w:kern w:val="2"/>
                <w:sz w:val="24"/>
                <w:szCs w:val="24"/>
                <w:highlight w:val="none"/>
                <w:u w:val="none"/>
                <w:lang w:val="en-US" w:eastAsia="zh-CN" w:bidi="ar-SA"/>
              </w:rPr>
              <w:t>云南省生态环境厅于</w:t>
            </w:r>
            <w:r>
              <w:rPr>
                <w:rFonts w:hint="default" w:ascii="Times New Roman" w:hAnsi="Times New Roman" w:eastAsia="宋体" w:cs="Times New Roman"/>
                <w:i w:val="0"/>
                <w:iCs w:val="0"/>
                <w:color w:val="auto"/>
                <w:kern w:val="2"/>
                <w:sz w:val="24"/>
                <w:szCs w:val="24"/>
                <w:highlight w:val="none"/>
                <w:u w:val="none"/>
                <w:lang w:val="en-US" w:eastAsia="zh-CN" w:bidi="ar-SA"/>
              </w:rPr>
              <w:t>2022</w:t>
            </w:r>
            <w:r>
              <w:rPr>
                <w:rFonts w:hint="eastAsia" w:ascii="Times New Roman" w:hAnsi="Times New Roman" w:eastAsia="宋体" w:cs="Times New Roman"/>
                <w:i w:val="0"/>
                <w:iCs w:val="0"/>
                <w:color w:val="auto"/>
                <w:kern w:val="2"/>
                <w:sz w:val="24"/>
                <w:szCs w:val="24"/>
                <w:highlight w:val="none"/>
                <w:u w:val="none"/>
                <w:lang w:val="en-US" w:eastAsia="zh-CN" w:bidi="ar-SA"/>
              </w:rPr>
              <w:t>年</w:t>
            </w:r>
            <w:r>
              <w:rPr>
                <w:rFonts w:hint="default" w:ascii="Times New Roman" w:hAnsi="Times New Roman" w:eastAsia="宋体" w:cs="Times New Roman"/>
                <w:i w:val="0"/>
                <w:iCs w:val="0"/>
                <w:color w:val="auto"/>
                <w:kern w:val="2"/>
                <w:sz w:val="24"/>
                <w:szCs w:val="24"/>
                <w:highlight w:val="none"/>
                <w:u w:val="none"/>
                <w:lang w:val="en-US" w:eastAsia="zh-CN" w:bidi="ar-SA"/>
              </w:rPr>
              <w:t>4</w:t>
            </w:r>
            <w:r>
              <w:rPr>
                <w:rFonts w:hint="eastAsia" w:ascii="Times New Roman" w:hAnsi="Times New Roman" w:eastAsia="宋体" w:cs="Times New Roman"/>
                <w:i w:val="0"/>
                <w:iCs w:val="0"/>
                <w:color w:val="auto"/>
                <w:kern w:val="2"/>
                <w:sz w:val="24"/>
                <w:szCs w:val="24"/>
                <w:highlight w:val="none"/>
                <w:u w:val="none"/>
                <w:lang w:val="en-US" w:eastAsia="zh-CN" w:bidi="ar-SA"/>
              </w:rPr>
              <w:t>月</w:t>
            </w:r>
            <w:r>
              <w:rPr>
                <w:rFonts w:hint="default" w:ascii="Times New Roman" w:hAnsi="Times New Roman" w:eastAsia="宋体" w:cs="Times New Roman"/>
                <w:i w:val="0"/>
                <w:iCs w:val="0"/>
                <w:color w:val="auto"/>
                <w:kern w:val="2"/>
                <w:sz w:val="24"/>
                <w:szCs w:val="24"/>
                <w:highlight w:val="none"/>
                <w:u w:val="none"/>
                <w:lang w:val="en-US" w:eastAsia="zh-CN" w:bidi="ar-SA"/>
              </w:rPr>
              <w:t>8</w:t>
            </w:r>
            <w:r>
              <w:rPr>
                <w:rFonts w:hint="eastAsia" w:ascii="Times New Roman" w:hAnsi="Times New Roman" w:eastAsia="宋体" w:cs="Times New Roman"/>
                <w:i w:val="0"/>
                <w:iCs w:val="0"/>
                <w:color w:val="auto"/>
                <w:kern w:val="2"/>
                <w:sz w:val="24"/>
                <w:szCs w:val="24"/>
                <w:highlight w:val="none"/>
                <w:u w:val="none"/>
                <w:lang w:val="en-US" w:eastAsia="zh-CN" w:bidi="ar-SA"/>
              </w:rPr>
              <w:t>日印发《云南省“十四五”生态环境保护规划》，规划第六章提出“加强协同控制，改善大气环境”，推进重要物流通道干线铁路建设工程、铁路专用线建设，推动煤炭、焦炭、铁矿石、电解铝、砂石骨料等重点货品运输“公转铁”。</w:t>
            </w:r>
          </w:p>
          <w:p w14:paraId="05019F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default" w:ascii="Times New Roman" w:hAnsi="Times New Roman" w:eastAsia="宋体" w:cs="Times New Roman"/>
                <w:i w:val="0"/>
                <w:iCs w:val="0"/>
                <w:color w:val="auto"/>
                <w:kern w:val="2"/>
                <w:sz w:val="24"/>
                <w:szCs w:val="24"/>
                <w:highlight w:val="none"/>
                <w:u w:val="none"/>
                <w:lang w:val="en-US" w:eastAsia="zh-CN" w:bidi="ar-SA"/>
              </w:rPr>
              <w:t>2</w:t>
            </w:r>
            <w:r>
              <w:rPr>
                <w:rFonts w:hint="eastAsia" w:ascii="Times New Roman" w:hAnsi="Times New Roman" w:eastAsia="宋体" w:cs="Times New Roman"/>
                <w:i w:val="0"/>
                <w:iCs w:val="0"/>
                <w:color w:val="auto"/>
                <w:kern w:val="2"/>
                <w:sz w:val="24"/>
                <w:szCs w:val="24"/>
                <w:highlight w:val="none"/>
                <w:u w:val="none"/>
                <w:lang w:val="en-US" w:eastAsia="zh-CN" w:bidi="ar-SA"/>
              </w:rPr>
              <w:t>、符合性分析</w:t>
            </w:r>
          </w:p>
          <w:p w14:paraId="7CA056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ascii="Times New Roman" w:hAnsi="Times New Roman" w:eastAsia="宋体" w:cs="Times New Roman"/>
                <w:i w:val="0"/>
                <w:iCs w:val="0"/>
                <w:color w:val="auto"/>
                <w:kern w:val="2"/>
                <w:sz w:val="24"/>
                <w:szCs w:val="24"/>
                <w:highlight w:val="none"/>
                <w:u w:val="none"/>
                <w:lang w:val="en-US" w:eastAsia="zh-CN" w:bidi="ar-SA"/>
              </w:rPr>
              <w:t>本铁路专用线为</w:t>
            </w:r>
            <w:r>
              <w:rPr>
                <w:rFonts w:hint="eastAsia" w:cs="Times New Roman"/>
                <w:i w:val="0"/>
                <w:iCs w:val="0"/>
                <w:color w:val="auto"/>
                <w:kern w:val="2"/>
                <w:sz w:val="24"/>
                <w:szCs w:val="24"/>
                <w:highlight w:val="none"/>
                <w:u w:val="none"/>
                <w:lang w:val="en-US" w:eastAsia="zh-CN" w:bidi="ar-SA"/>
              </w:rPr>
              <w:t>仙福钢铁厂</w:t>
            </w:r>
            <w:r>
              <w:rPr>
                <w:rFonts w:hint="eastAsia" w:ascii="Times New Roman" w:hAnsi="Times New Roman" w:eastAsia="宋体" w:cs="Times New Roman"/>
                <w:i w:val="0"/>
                <w:iCs w:val="0"/>
                <w:color w:val="auto"/>
                <w:kern w:val="2"/>
                <w:sz w:val="24"/>
                <w:szCs w:val="24"/>
                <w:highlight w:val="none"/>
                <w:u w:val="none"/>
                <w:lang w:val="en-US" w:eastAsia="zh-CN" w:bidi="ar-SA"/>
              </w:rPr>
              <w:t>的重要交通配套工程，主要承担企业的物流量与昆明及昆明以远地区的货物交流，项目建成可推动运输“公转铁”，故项目建设符合《云南省“十四五”生态环境保护规划》要求。</w:t>
            </w:r>
          </w:p>
          <w:p w14:paraId="5C22153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与</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铁路建设项目环境影响评价文件审批原则（试行）</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符合性分析</w:t>
            </w:r>
          </w:p>
          <w:p w14:paraId="5BA07BB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本项目与《关于印发水泥制造等七个行业建设项目环境影响评价文件审批原则的通知》（环办环评（2016）114号）中</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铁路建设项目环境影响评价文件审批原则（试行）</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的符合性分析见下表：</w:t>
            </w:r>
          </w:p>
          <w:p w14:paraId="10A4F2A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 w:val="21"/>
                <w:szCs w:val="21"/>
                <w:lang w:val="en-US" w:eastAsia="zh-CN"/>
              </w:rPr>
              <w:t>表1-6 本项目与环发[2007]184号文符合情况</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122"/>
              <w:gridCol w:w="2974"/>
              <w:gridCol w:w="792"/>
            </w:tblGrid>
            <w:tr w14:paraId="0FBA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1763C335">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序号</w:t>
                  </w:r>
                </w:p>
              </w:tc>
              <w:tc>
                <w:tcPr>
                  <w:tcW w:w="3122" w:type="dxa"/>
                  <w:vAlign w:val="center"/>
                </w:tcPr>
                <w:p w14:paraId="07C308D9">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文件要求</w:t>
                  </w:r>
                </w:p>
              </w:tc>
              <w:tc>
                <w:tcPr>
                  <w:tcW w:w="2974" w:type="dxa"/>
                  <w:vAlign w:val="center"/>
                </w:tcPr>
                <w:p w14:paraId="13CE520C">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项目情况</w:t>
                  </w:r>
                </w:p>
              </w:tc>
              <w:tc>
                <w:tcPr>
                  <w:tcW w:w="792" w:type="dxa"/>
                  <w:tcBorders>
                    <w:right w:val="nil"/>
                  </w:tcBorders>
                  <w:vAlign w:val="center"/>
                </w:tcPr>
                <w:p w14:paraId="0DDE4C37">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符合性</w:t>
                  </w:r>
                </w:p>
              </w:tc>
            </w:tr>
            <w:tr w14:paraId="605C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6D634611">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w:t>
                  </w:r>
                </w:p>
              </w:tc>
              <w:tc>
                <w:tcPr>
                  <w:tcW w:w="3122" w:type="dxa"/>
                  <w:vAlign w:val="center"/>
                </w:tcPr>
                <w:p w14:paraId="3344DD6C">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第一条 本原则适用于标准轨距的I级及以上新建、改建铁路建设项目环境影响评价文件的审批。其他类型铁路建设项目可参照执行。</w:t>
                  </w:r>
                </w:p>
              </w:tc>
              <w:tc>
                <w:tcPr>
                  <w:tcW w:w="2974" w:type="dxa"/>
                  <w:vAlign w:val="center"/>
                </w:tcPr>
                <w:p w14:paraId="5F91161C">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本项目属于铁路专用线建设项目，参照此文件执行。</w:t>
                  </w:r>
                </w:p>
              </w:tc>
              <w:tc>
                <w:tcPr>
                  <w:tcW w:w="792" w:type="dxa"/>
                  <w:tcBorders>
                    <w:right w:val="nil"/>
                  </w:tcBorders>
                  <w:vAlign w:val="center"/>
                </w:tcPr>
                <w:p w14:paraId="1E9B1292">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6869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043EFD94">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w:t>
                  </w:r>
                </w:p>
              </w:tc>
              <w:tc>
                <w:tcPr>
                  <w:tcW w:w="3122" w:type="dxa"/>
                  <w:vAlign w:val="center"/>
                </w:tcPr>
                <w:p w14:paraId="77434552">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第二条 项目符合环境保护相关法律法规和政策要求，符合国家和地方铁路发展规划、铁路网规划、相关规划环评及其审查意见要求。</w:t>
                  </w:r>
                </w:p>
              </w:tc>
              <w:tc>
                <w:tcPr>
                  <w:tcW w:w="2974" w:type="dxa"/>
                  <w:vAlign w:val="center"/>
                </w:tcPr>
                <w:p w14:paraId="011C9C4E">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本项目建设符合环境保护相关法律法规和政策，符合国家产业政策，符合《云南省“十四五”综合交通运输发展规划》和《玉溪市“十四五”生态环境保护规划》</w:t>
                  </w:r>
                </w:p>
              </w:tc>
              <w:tc>
                <w:tcPr>
                  <w:tcW w:w="792" w:type="dxa"/>
                  <w:tcBorders>
                    <w:right w:val="nil"/>
                  </w:tcBorders>
                  <w:vAlign w:val="center"/>
                </w:tcPr>
                <w:p w14:paraId="575ABE21">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7346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4CE54D94">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3</w:t>
                  </w:r>
                </w:p>
              </w:tc>
              <w:tc>
                <w:tcPr>
                  <w:tcW w:w="3122" w:type="dxa"/>
                  <w:vAlign w:val="center"/>
                </w:tcPr>
                <w:p w14:paraId="0954686F">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第三条 坚持“保护优先”原则，选址选线符合国家和地方的环境保护规划、环境功能区划、生态保护红线、生物多样性保护优先区域规划等的相关要求，与沿线城镇总体规划等相协调。</w:t>
                  </w:r>
                </w:p>
                <w:p w14:paraId="6EEEEFBA">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项目选址选线及施工布置不得占用自然保护区、风景名胜区、饮用水水源保护区、永久基本农田等法律法规禁止开发建设的区域。项目经过环境敏感区路段应优化选线选址，采取有效措施，降低不利环境影响。</w:t>
                  </w:r>
                </w:p>
              </w:tc>
              <w:tc>
                <w:tcPr>
                  <w:tcW w:w="2974" w:type="dxa"/>
                  <w:vAlign w:val="center"/>
                </w:tcPr>
                <w:p w14:paraId="2815D246">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（1）本项目选址选线符合国家和地方的环境保护规划、环境功能区划等的相关要求，不涉及生态保护红线和生物多样性保护优先区域，</w:t>
                  </w:r>
                </w:p>
                <w:p w14:paraId="7F3F5473">
                  <w:pPr>
                    <w:pStyle w:val="2"/>
                    <w:ind w:left="0" w:leftChars="0" w:right="0" w:rightChars="0" w:firstLine="0" w:firstLineChars="0"/>
                    <w:jc w:val="center"/>
                    <w:rPr>
                      <w:rFonts w:hint="eastAsia"/>
                      <w:sz w:val="18"/>
                      <w:szCs w:val="18"/>
                      <w:vertAlign w:val="baseline"/>
                      <w:lang w:val="en-US" w:eastAsia="zh-CN"/>
                    </w:rPr>
                  </w:pPr>
                  <w:r>
                    <w:rPr>
                      <w:rFonts w:hint="default" w:ascii="Times New Roman" w:hAnsi="Times New Roman" w:cs="Times New Roman"/>
                      <w:sz w:val="18"/>
                      <w:szCs w:val="18"/>
                      <w:vertAlign w:val="baseline"/>
                      <w:lang w:val="en-US" w:eastAsia="zh-CN"/>
                    </w:rPr>
                    <w:t>（2）项目选址选线和施工布置不涉及自然</w:t>
                  </w:r>
                  <w:r>
                    <w:rPr>
                      <w:rFonts w:hint="eastAsia"/>
                      <w:sz w:val="18"/>
                      <w:szCs w:val="18"/>
                      <w:vertAlign w:val="baseline"/>
                      <w:lang w:val="en-US" w:eastAsia="zh-CN"/>
                    </w:rPr>
                    <w:t>保护区、风景名胜区、饮用水水源保护区、永久基本农田等法律法规禁止开发建设的区域。项目采取本环评提出的各项污染防治措施后，对环境影响较小。</w:t>
                  </w:r>
                </w:p>
              </w:tc>
              <w:tc>
                <w:tcPr>
                  <w:tcW w:w="792" w:type="dxa"/>
                  <w:tcBorders>
                    <w:right w:val="nil"/>
                  </w:tcBorders>
                  <w:vAlign w:val="center"/>
                </w:tcPr>
                <w:p w14:paraId="56516FC0">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1F6D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0407C51F">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4</w:t>
                  </w:r>
                </w:p>
              </w:tc>
              <w:tc>
                <w:tcPr>
                  <w:tcW w:w="3122" w:type="dxa"/>
                  <w:vAlign w:val="center"/>
                </w:tcPr>
                <w:p w14:paraId="1E584EA0">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第四条</w:t>
                  </w:r>
                  <w:r>
                    <w:rPr>
                      <w:rFonts w:hint="eastAsia" w:ascii="Times New Roman" w:hAnsi="Times New Roman" w:cs="Times New Roman"/>
                      <w:sz w:val="18"/>
                      <w:szCs w:val="18"/>
                      <w:vertAlign w:val="baseline"/>
                      <w:lang w:val="en-US" w:eastAsia="zh-CN"/>
                    </w:rPr>
                    <w:t xml:space="preserve"> </w:t>
                  </w:r>
                  <w:r>
                    <w:rPr>
                      <w:rFonts w:hint="default" w:ascii="Times New Roman" w:hAnsi="Times New Roman" w:cs="Times New Roman"/>
                      <w:sz w:val="18"/>
                      <w:szCs w:val="18"/>
                      <w:vertAlign w:val="baseline"/>
                      <w:lang w:val="en-US" w:eastAsia="zh-CN"/>
                    </w:rPr>
                    <w:t>坚持预防为主原则，优先考虑对噪声源、振动源和传播途径采取工程技术措施，有效降低噪声和振动对环境的不利影响。应结合项目沿线受影响情况采取优化线位和工程形式、设置声屏障、搬迁或功能置换等措施，有效防治噪声污染。建筑隔声措施可作为辅助手段保障敏感目标满足室内声环境质量要求。</w:t>
                  </w:r>
                </w:p>
                <w:p w14:paraId="0B9B3C80">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运营期铁路边界噪声排放限值需满足标准要求。现状声环境质量达标的，项目实施后沿线声环境敏感目标仍满足声环境质量标准要求。现状声环境质量不达标的，须强化噪声防治措施，项目实施后敏感目标满足声环境质量标准要求或不恶化。运营期铁路沿线振动环境敏感目标满足相应环境振动标准要求。项目经过城乡规划的医院、学校、科研单位、住宅等噪声和振动敏感建筑物用地路段，应明确噪声和振动防护距离要求，对后续城市规划控制和建设布局提出调整优化建议，同时预留声屏障等隔声降噪措施和振动污染防治措施的实施条件。施工期应合理安排施工时段，优选低噪声施工机械和施工工艺，临近敏感目标施工时，采取合理的隔声降噪与减振措施，避免噪声和振动污染扰民。</w:t>
                  </w:r>
                </w:p>
              </w:tc>
              <w:tc>
                <w:tcPr>
                  <w:tcW w:w="2974" w:type="dxa"/>
                  <w:vAlign w:val="center"/>
                </w:tcPr>
                <w:p w14:paraId="10B35AA8">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（1）本项目优先对噪声源、振动源和传播途径采取工程技术措施，降低噪声和振动对环境的不利影响。</w:t>
                  </w:r>
                </w:p>
                <w:p w14:paraId="2B33BD06">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（2）本项目运营期铁路边界噪声排放限值满足标准要求。现状声环境质量昼间、夜间均达标，根据预测结果，</w:t>
                  </w:r>
                  <w:r>
                    <w:rPr>
                      <w:rFonts w:hint="eastAsia" w:ascii="Times New Roman" w:hAnsi="Times New Roman" w:cs="Times New Roman"/>
                      <w:sz w:val="18"/>
                      <w:szCs w:val="18"/>
                      <w:vertAlign w:val="baseline"/>
                      <w:lang w:val="en-US" w:eastAsia="zh-CN"/>
                    </w:rPr>
                    <w:t>运营期噪声能达标排放。</w:t>
                  </w:r>
                </w:p>
                <w:p w14:paraId="6225A4DE">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（3）本项目沿线未规划有医院、学校、科研单位、住宅区，本环评对后续城市规划提出了调整优化建议、并提出了明确的防护距离要求，同时预留有声屏障等隔声降噪措施和振动污染防治措施的实施条件。</w:t>
                  </w:r>
                </w:p>
                <w:p w14:paraId="6BBDE462">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（4）本项目合理安排施工时段，通过选用低噪声施工机械和施工工艺，施工过程中对周围敏感目标影响不大。</w:t>
                  </w:r>
                </w:p>
              </w:tc>
              <w:tc>
                <w:tcPr>
                  <w:tcW w:w="792" w:type="dxa"/>
                  <w:tcBorders>
                    <w:right w:val="nil"/>
                  </w:tcBorders>
                  <w:vAlign w:val="center"/>
                </w:tcPr>
                <w:p w14:paraId="091F1BCD">
                  <w:pPr>
                    <w:pStyle w:val="2"/>
                    <w:ind w:left="0" w:leftChars="0" w:right="0" w:rightChars="0" w:firstLine="0" w:firstLineChars="0"/>
                    <w:jc w:val="center"/>
                    <w:rPr>
                      <w:rFonts w:hint="eastAsia"/>
                      <w:sz w:val="18"/>
                      <w:szCs w:val="18"/>
                      <w:vertAlign w:val="baseline"/>
                      <w:lang w:val="en-US" w:eastAsia="zh-CN"/>
                    </w:rPr>
                  </w:pPr>
                </w:p>
              </w:tc>
            </w:tr>
            <w:tr w14:paraId="2B05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6D28DB60">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5</w:t>
                  </w:r>
                </w:p>
              </w:tc>
              <w:tc>
                <w:tcPr>
                  <w:tcW w:w="3122" w:type="dxa"/>
                  <w:vAlign w:val="center"/>
                </w:tcPr>
                <w:p w14:paraId="3467FEE2">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第五条 项目涉及自然保护区、世界文化和自然遗产地等特殊和重要生态敏感区的，应专题论证对敏感区的环境影响。结合涉及保护目标的类型、保护对象及保护要求，从优化设计线位、工程形式和施工方案等方面采取有针对性的保护措施，减轻不利生态影响。重视对野生动、植物的保护。对重点保护及珍稀濒危野生动物重要生境、迁徙行为造成不利影响的，应优先采取避让措施，采取优化设计和施工方案、合理安排工期、设置野生动物通道、运营期灯光和噪声控制以及栖息地恢复和补偿等保护措施；对古树名木、重点保护及珍稀濒危植物造成影响的，应采取避让、工程防护、异地移栽等保护措施。</w:t>
                  </w:r>
                </w:p>
                <w:p w14:paraId="5BA8C358">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项目经过耕地、天然林地集中路段，结合工程技术条件采取增加桥隧比、降低路基高度、优化临时用地选址等措施，减少占地和植被破坏。对施工临时用地采取防止水土流失和生态恢复措施。</w:t>
                  </w:r>
                </w:p>
                <w:p w14:paraId="11177081">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对于实际环境影响程度和范围较大，且主要环境影响在项目建成运行一定时期后逐步显现的项目，以及穿越重要生态环境敏感区的项目，按照相关规定提出了开展后评价工作的要求。</w:t>
                  </w:r>
                </w:p>
              </w:tc>
              <w:tc>
                <w:tcPr>
                  <w:tcW w:w="2974" w:type="dxa"/>
                  <w:vAlign w:val="center"/>
                </w:tcPr>
                <w:p w14:paraId="04B616B4">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（1）本项目不涉及自然保护区、世界文化和自然遗产地等特殊和重要生态敏感区。</w:t>
                  </w:r>
                </w:p>
                <w:p w14:paraId="008BD5D7">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（2）本项目不涉及珍稀濒危、特有动物，项目区无古树名木，无国家级和省级重点保护野生植物及其生境。</w:t>
                  </w:r>
                </w:p>
                <w:p w14:paraId="44DD7E3E">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3）本项目无经过耕地、天然林地集中路段。施工临时用地全部位于永久占地范围内，不新增临时用地；在施工现场设置护坡、挡土墙、临时排水沟、沉砂池等措施，防治水土流失；施工结束后，根据工程扰动地表面积和可绿化区域的分布采取适宜的绿化措施，以恢复植被。</w:t>
                  </w:r>
                </w:p>
              </w:tc>
              <w:tc>
                <w:tcPr>
                  <w:tcW w:w="792" w:type="dxa"/>
                  <w:tcBorders>
                    <w:right w:val="nil"/>
                  </w:tcBorders>
                  <w:vAlign w:val="center"/>
                </w:tcPr>
                <w:p w14:paraId="025B7D2B">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3ADC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33F85E3D">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6</w:t>
                  </w:r>
                </w:p>
              </w:tc>
              <w:tc>
                <w:tcPr>
                  <w:tcW w:w="3122" w:type="dxa"/>
                  <w:vAlign w:val="center"/>
                </w:tcPr>
                <w:p w14:paraId="3A05D24B">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第六条</w:t>
                  </w:r>
                  <w:r>
                    <w:rPr>
                      <w:rFonts w:hint="eastAsia" w:ascii="Times New Roman" w:hAnsi="Times New Roman" w:cs="Times New Roman"/>
                      <w:sz w:val="18"/>
                      <w:szCs w:val="18"/>
                      <w:vertAlign w:val="baseline"/>
                      <w:lang w:val="en-US" w:eastAsia="zh-CN"/>
                    </w:rPr>
                    <w:t xml:space="preserve"> </w:t>
                  </w:r>
                  <w:r>
                    <w:rPr>
                      <w:rFonts w:hint="default" w:ascii="Times New Roman" w:hAnsi="Times New Roman" w:cs="Times New Roman"/>
                      <w:sz w:val="18"/>
                      <w:szCs w:val="18"/>
                      <w:vertAlign w:val="baseline"/>
                      <w:lang w:val="en-US" w:eastAsia="zh-CN"/>
                    </w:rPr>
                    <w:t>项目涉及饮用水水源保护区或I类、</w:t>
                  </w:r>
                  <w:r>
                    <w:rPr>
                      <w:rFonts w:hint="default" w:ascii="Times New Roman" w:hAnsi="Times New Roman" w:eastAsia="宋体" w:cs="Times New Roman"/>
                      <w:sz w:val="18"/>
                      <w:szCs w:val="18"/>
                      <w:vertAlign w:val="baseline"/>
                      <w:lang w:val="en-US" w:eastAsia="zh-CN"/>
                    </w:rPr>
                    <w:t>Ⅱ</w:t>
                  </w:r>
                  <w:r>
                    <w:rPr>
                      <w:rFonts w:hint="default" w:ascii="Times New Roman" w:hAnsi="Times New Roman" w:cs="Times New Roman"/>
                      <w:sz w:val="18"/>
                      <w:szCs w:val="18"/>
                      <w:vertAlign w:val="baseline"/>
                      <w:lang w:val="en-US" w:eastAsia="zh-CN"/>
                    </w:rPr>
                    <w:t>类敏感水体时，在满足水污染防治相关法律法规要求前提下，应优化工程设计和施工方案，废水、污水尽量回收利用，废渣妥善处置，不得向上述敏感水体排污。落实《水污染防治行动计划》等国家和地方水环境管理及污染防治相关要求。</w:t>
                  </w:r>
                </w:p>
                <w:p w14:paraId="258E7F00">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隧道工程涉及生态敏感目标、居民饮用水取水井、泉和暗河的，采取优化设计和施工工艺、控制辅助坑道设置数量和位置、开展地下水环境监控、制定应急预案等措施，减轻对地表植被、居民饮用水水质的不利影响。桥梁工程涉及水环境敏感目标的，应优化设计和施工工艺，合理设置桥面径流收集系统和事故应急池，统筹安排施工工期，控制桩基施工及桥面径流污染</w:t>
                  </w:r>
                  <w:r>
                    <w:rPr>
                      <w:rFonts w:hint="eastAsia" w:ascii="Times New Roman" w:hAnsi="Times New Roman" w:cs="Times New Roman"/>
                      <w:sz w:val="18"/>
                      <w:szCs w:val="18"/>
                      <w:vertAlign w:val="baseline"/>
                      <w:lang w:val="en-US" w:eastAsia="zh-CN"/>
                    </w:rPr>
                    <w:t>。</w:t>
                  </w:r>
                </w:p>
              </w:tc>
              <w:tc>
                <w:tcPr>
                  <w:tcW w:w="2974" w:type="dxa"/>
                  <w:vAlign w:val="center"/>
                </w:tcPr>
                <w:p w14:paraId="6587F705">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（1）本项目不涉及饮用水水源保护区或I类、</w:t>
                  </w:r>
                  <w:r>
                    <w:rPr>
                      <w:rFonts w:hint="default" w:ascii="Times New Roman" w:hAnsi="Times New Roman" w:eastAsia="宋体" w:cs="Times New Roman"/>
                      <w:sz w:val="18"/>
                      <w:szCs w:val="18"/>
                      <w:vertAlign w:val="baseline"/>
                      <w:lang w:val="en-US" w:eastAsia="zh-CN"/>
                    </w:rPr>
                    <w:t>Ⅱ</w:t>
                  </w:r>
                  <w:r>
                    <w:rPr>
                      <w:rFonts w:hint="default" w:ascii="Times New Roman" w:hAnsi="Times New Roman" w:cs="Times New Roman"/>
                      <w:sz w:val="18"/>
                      <w:szCs w:val="18"/>
                      <w:vertAlign w:val="baseline"/>
                      <w:lang w:val="en-US" w:eastAsia="zh-CN"/>
                    </w:rPr>
                    <w:t>类敏感水体。项目运营期仅产生少量生活污水，</w:t>
                  </w:r>
                  <w:r>
                    <w:rPr>
                      <w:rFonts w:hint="eastAsia"/>
                      <w:sz w:val="18"/>
                      <w:szCs w:val="18"/>
                      <w:vertAlign w:val="baseline"/>
                      <w:lang w:val="en-US" w:eastAsia="zh-CN"/>
                    </w:rPr>
                    <w:t>生活污水通过化粪池预处理后，排入新建的一体化污水处理设施</w:t>
                  </w:r>
                  <w:r>
                    <w:rPr>
                      <w:rFonts w:hint="default" w:ascii="Times New Roman" w:hAnsi="Times New Roman" w:cs="Times New Roman"/>
                      <w:sz w:val="18"/>
                      <w:szCs w:val="18"/>
                      <w:vertAlign w:val="baseline"/>
                      <w:lang w:val="en-US" w:eastAsia="zh-CN"/>
                    </w:rPr>
                    <w:t>，处理能力为10m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d</w:t>
                  </w:r>
                  <w:r>
                    <w:rPr>
                      <w:rFonts w:hint="default" w:ascii="Times New Roman" w:hAnsi="Times New Roman" w:cs="Times New Roman"/>
                      <w:sz w:val="18"/>
                      <w:szCs w:val="18"/>
                      <w:vertAlign w:val="baseline"/>
                      <w:lang w:val="en-US" w:eastAsia="zh-CN"/>
                    </w:rPr>
                    <w:t>，处理后回用于厂区绿化</w:t>
                  </w:r>
                  <w:r>
                    <w:rPr>
                      <w:rFonts w:hint="eastAsia" w:ascii="Times New Roman" w:hAnsi="Times New Roman" w:cs="Times New Roman"/>
                      <w:sz w:val="18"/>
                      <w:szCs w:val="18"/>
                      <w:vertAlign w:val="baseline"/>
                      <w:lang w:val="en-US" w:eastAsia="zh-CN"/>
                    </w:rPr>
                    <w:t>或洒水降尘</w:t>
                  </w:r>
                  <w:r>
                    <w:rPr>
                      <w:rFonts w:hint="default" w:ascii="Times New Roman" w:hAnsi="Times New Roman" w:cs="Times New Roman"/>
                      <w:sz w:val="18"/>
                      <w:szCs w:val="18"/>
                      <w:vertAlign w:val="baseline"/>
                      <w:lang w:val="en-US" w:eastAsia="zh-CN"/>
                    </w:rPr>
                    <w:t>，不外排。</w:t>
                  </w:r>
                </w:p>
                <w:p w14:paraId="4C0B51EA">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（2）本项目不涉及隧道工程工程。</w:t>
                  </w:r>
                </w:p>
              </w:tc>
              <w:tc>
                <w:tcPr>
                  <w:tcW w:w="792" w:type="dxa"/>
                  <w:tcBorders>
                    <w:right w:val="nil"/>
                  </w:tcBorders>
                  <w:vAlign w:val="center"/>
                </w:tcPr>
                <w:p w14:paraId="521758BD">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2BC1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6816B192">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7</w:t>
                  </w:r>
                </w:p>
              </w:tc>
              <w:tc>
                <w:tcPr>
                  <w:tcW w:w="3122" w:type="dxa"/>
                  <w:vAlign w:val="center"/>
                </w:tcPr>
                <w:p w14:paraId="4E121355">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第七条 根据项目特点提出针对性的施工期大气污染防范措施。沿线供暖设备的建设应满足《大气污染防治行动计划》等国家和地方大气环境管理及污染防治相关要求，排放大气污染物的，应采取污染防治措施，确保各项污染物达标排放。运煤铁路沿线涉及有煤炭集运站或煤堆场的，应强化防风抑尘等大气污染防治措施，煤炭装卸及煤堆场应尽量封闭设置，并结合环境防护距离的要求提出场址周围规划控制建议。对装运煤炭的列车，转运、卸载、储存等易产尘环节应有抑尘等措施，减轻运营过程中的扬尘影响。隧道进出口临近居民区或其他环境空气敏感区，应优化布局或采取大气污染治理措施，减轻不利环境影响。</w:t>
                  </w:r>
                </w:p>
              </w:tc>
              <w:tc>
                <w:tcPr>
                  <w:tcW w:w="2974" w:type="dxa"/>
                  <w:vAlign w:val="center"/>
                </w:tcPr>
                <w:p w14:paraId="5B1AC3C2">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（1）本次评价根据项目特点和地方环境管理要求，针对性提出了施工期大气污染防治措施，详见“施工期大气环境污染防治措施”章节。营运期废气主要为牵引机车（内燃机车）、叉车等装卸设备燃油废气</w:t>
                  </w:r>
                  <w:r>
                    <w:rPr>
                      <w:rFonts w:hint="eastAsia" w:ascii="Times New Roman" w:hAnsi="Times New Roman" w:cs="Times New Roman"/>
                      <w:sz w:val="18"/>
                      <w:szCs w:val="18"/>
                      <w:vertAlign w:val="baseline"/>
                      <w:lang w:val="en-US" w:eastAsia="zh-CN"/>
                    </w:rPr>
                    <w:t>、装卸粉尘、汽车尾气</w:t>
                  </w:r>
                  <w:r>
                    <w:rPr>
                      <w:rFonts w:hint="default" w:ascii="Times New Roman" w:hAnsi="Times New Roman" w:cs="Times New Roman"/>
                      <w:sz w:val="18"/>
                      <w:szCs w:val="18"/>
                      <w:vertAlign w:val="baseline"/>
                      <w:lang w:val="en-US" w:eastAsia="zh-CN"/>
                    </w:rPr>
                    <w:t>，车流量较少，排放属于间隙式排放，行驶期间污染物排放量较小，对铁路沿线周边的环境空气质量的影响较小。</w:t>
                  </w:r>
                </w:p>
                <w:p w14:paraId="3E364110">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（2）本项目设施有封闭的储存仓库并按照防风抑尘网，营运期对站区周围环境空气影响不大。</w:t>
                  </w:r>
                </w:p>
              </w:tc>
              <w:tc>
                <w:tcPr>
                  <w:tcW w:w="792" w:type="dxa"/>
                  <w:tcBorders>
                    <w:right w:val="nil"/>
                  </w:tcBorders>
                  <w:vAlign w:val="center"/>
                </w:tcPr>
                <w:p w14:paraId="7D5E42B0">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21F6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07E0855C">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8</w:t>
                  </w:r>
                </w:p>
              </w:tc>
              <w:tc>
                <w:tcPr>
                  <w:tcW w:w="3122" w:type="dxa"/>
                  <w:vAlign w:val="center"/>
                </w:tcPr>
                <w:p w14:paraId="15CA1FC0">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第八条 牵引变电所、基站合理选址，确保周围环境敏感目标满足有关电磁环境标准要求。采取有效措施并加强监测，妥善解决列车运行电磁干扰影响沿线无线电视用户接收信号的问题。</w:t>
                  </w:r>
                </w:p>
              </w:tc>
              <w:tc>
                <w:tcPr>
                  <w:tcW w:w="2974" w:type="dxa"/>
                  <w:vAlign w:val="center"/>
                </w:tcPr>
                <w:p w14:paraId="232AC56E">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eastAsia"/>
                      <w:sz w:val="18"/>
                      <w:szCs w:val="18"/>
                      <w:vertAlign w:val="baseline"/>
                      <w:lang w:val="en-US" w:eastAsia="zh-CN"/>
                    </w:rPr>
                    <w:t>本项目不涉及牵引变电所、基站建设。</w:t>
                  </w:r>
                </w:p>
              </w:tc>
              <w:tc>
                <w:tcPr>
                  <w:tcW w:w="792" w:type="dxa"/>
                  <w:tcBorders>
                    <w:right w:val="nil"/>
                  </w:tcBorders>
                  <w:vAlign w:val="center"/>
                </w:tcPr>
                <w:p w14:paraId="6EF43433">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符合</w:t>
                  </w:r>
                </w:p>
              </w:tc>
            </w:tr>
            <w:tr w14:paraId="2455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652F597C">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9</w:t>
                  </w:r>
                </w:p>
              </w:tc>
              <w:tc>
                <w:tcPr>
                  <w:tcW w:w="3122" w:type="dxa"/>
                  <w:vAlign w:val="center"/>
                </w:tcPr>
                <w:p w14:paraId="39F62B43">
                  <w:pPr>
                    <w:pStyle w:val="2"/>
                    <w:ind w:left="0" w:leftChars="0" w:right="0" w:rightChars="0" w:firstLine="0" w:firstLineChars="0"/>
                    <w:jc w:val="center"/>
                    <w:rPr>
                      <w:rFonts w:hint="eastAsia"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第九条 按照</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减量化、资源化、无害化</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的原则，对固体废物进行分类收集和处理处置。涉及危险废物的，按照相关规定提出了贮存、运输和处理处置要求。</w:t>
                  </w:r>
                </w:p>
              </w:tc>
              <w:tc>
                <w:tcPr>
                  <w:tcW w:w="2974" w:type="dxa"/>
                  <w:vAlign w:val="center"/>
                </w:tcPr>
                <w:p w14:paraId="66B152CA">
                  <w:pPr>
                    <w:pStyle w:val="2"/>
                    <w:ind w:left="0" w:leftChars="0" w:right="0" w:rightChars="0" w:firstLine="0" w:firstLineChars="0"/>
                    <w:jc w:val="center"/>
                    <w:rPr>
                      <w:rFonts w:hint="eastAsia"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项目</w:t>
                  </w:r>
                  <w:r>
                    <w:rPr>
                      <w:rFonts w:hint="eastAsia"/>
                      <w:sz w:val="18"/>
                      <w:szCs w:val="18"/>
                      <w:vertAlign w:val="baseline"/>
                      <w:lang w:val="en-US" w:eastAsia="zh-CN"/>
                    </w:rPr>
                    <w:t>运营期生活垃圾分类收集后委托环卫部门清运，废机油依托“</w:t>
                  </w:r>
                  <w:r>
                    <w:rPr>
                      <w:rFonts w:hint="default"/>
                      <w:sz w:val="18"/>
                      <w:szCs w:val="18"/>
                      <w:vertAlign w:val="baseline"/>
                      <w:lang w:val="en-US" w:eastAsia="zh-CN"/>
                    </w:rPr>
                    <w:t>云南玉</w:t>
                  </w:r>
                  <w:r>
                    <w:rPr>
                      <w:rFonts w:hint="default" w:ascii="Times New Roman" w:hAnsi="Times New Roman" w:cs="Times New Roman"/>
                      <w:sz w:val="18"/>
                      <w:szCs w:val="18"/>
                      <w:vertAlign w:val="baseline"/>
                      <w:lang w:val="en-US" w:eastAsia="zh-CN"/>
                    </w:rPr>
                    <w:t>溪仙福钢铁（集团）有限公司年产260万吨/年铁钢材项目”配套危险废物</w:t>
                  </w:r>
                  <w:r>
                    <w:rPr>
                      <w:rFonts w:hint="eastAsia" w:ascii="Times New Roman" w:hAnsi="Times New Roman" w:cs="Times New Roman"/>
                      <w:sz w:val="18"/>
                      <w:szCs w:val="18"/>
                      <w:vertAlign w:val="baseline"/>
                      <w:lang w:val="en-US" w:eastAsia="zh-CN"/>
                    </w:rPr>
                    <w:t>贮</w:t>
                  </w:r>
                  <w:r>
                    <w:rPr>
                      <w:rFonts w:hint="default" w:ascii="Times New Roman" w:hAnsi="Times New Roman" w:cs="Times New Roman"/>
                      <w:sz w:val="18"/>
                      <w:szCs w:val="18"/>
                      <w:vertAlign w:val="baseline"/>
                      <w:lang w:val="en-US" w:eastAsia="zh-CN"/>
                    </w:rPr>
                    <w:t>存库，委托</w:t>
                  </w:r>
                  <w:r>
                    <w:rPr>
                      <w:rFonts w:hint="eastAsia" w:ascii="Times New Roman" w:hAnsi="Times New Roman" w:cs="Times New Roman"/>
                      <w:sz w:val="18"/>
                      <w:szCs w:val="18"/>
                      <w:vertAlign w:val="baseline"/>
                      <w:lang w:val="en-US" w:eastAsia="zh-CN"/>
                    </w:rPr>
                    <w:t>云南绿力环保科技有限公司</w:t>
                  </w:r>
                  <w:r>
                    <w:rPr>
                      <w:rFonts w:hint="default" w:ascii="Times New Roman" w:hAnsi="Times New Roman" w:cs="Times New Roman"/>
                      <w:sz w:val="18"/>
                      <w:szCs w:val="18"/>
                      <w:vertAlign w:val="baseline"/>
                      <w:lang w:val="en-US" w:eastAsia="zh-CN"/>
                    </w:rPr>
                    <w:t>清运处置</w:t>
                  </w:r>
                  <w:r>
                    <w:rPr>
                      <w:rFonts w:hint="eastAsia"/>
                      <w:sz w:val="18"/>
                      <w:szCs w:val="18"/>
                      <w:vertAlign w:val="baseline"/>
                      <w:lang w:val="en-US" w:eastAsia="zh-CN"/>
                    </w:rPr>
                    <w:t>。</w:t>
                  </w:r>
                </w:p>
              </w:tc>
              <w:tc>
                <w:tcPr>
                  <w:tcW w:w="792" w:type="dxa"/>
                  <w:tcBorders>
                    <w:right w:val="nil"/>
                  </w:tcBorders>
                  <w:vAlign w:val="center"/>
                </w:tcPr>
                <w:p w14:paraId="6CE7AB9F">
                  <w:pPr>
                    <w:pStyle w:val="2"/>
                    <w:ind w:left="0" w:leftChars="0" w:right="0" w:rightChars="0" w:firstLine="0" w:firstLineChars="0"/>
                    <w:jc w:val="center"/>
                    <w:rPr>
                      <w:rFonts w:hint="eastAsia"/>
                      <w:sz w:val="18"/>
                      <w:szCs w:val="18"/>
                      <w:vertAlign w:val="baseline"/>
                      <w:lang w:val="en-US" w:eastAsia="zh-CN"/>
                    </w:rPr>
                  </w:pPr>
                </w:p>
              </w:tc>
            </w:tr>
            <w:tr w14:paraId="465A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022535AE">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10</w:t>
                  </w:r>
                </w:p>
              </w:tc>
              <w:tc>
                <w:tcPr>
                  <w:tcW w:w="3122" w:type="dxa"/>
                  <w:vAlign w:val="center"/>
                </w:tcPr>
                <w:p w14:paraId="71C1B522">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第十条对可能存在环境风险的项目，应强化风险污染路段和站场的环境风险防范措施，提出了突发环境与当地人民政府相关部门和受影响单位的应急联动机制。</w:t>
                  </w:r>
                </w:p>
              </w:tc>
              <w:tc>
                <w:tcPr>
                  <w:tcW w:w="2974" w:type="dxa"/>
                  <w:vAlign w:val="center"/>
                </w:tcPr>
                <w:p w14:paraId="0B10143D">
                  <w:pPr>
                    <w:pStyle w:val="2"/>
                    <w:ind w:left="0" w:leftChars="0" w:right="0" w:rightChars="0" w:firstLine="0" w:firstLineChars="0"/>
                    <w:jc w:val="center"/>
                    <w:rPr>
                      <w:rFonts w:hint="eastAsia"/>
                      <w:sz w:val="18"/>
                      <w:szCs w:val="18"/>
                      <w:vertAlign w:val="baseline"/>
                      <w:lang w:val="en-US" w:eastAsia="zh-CN"/>
                    </w:rPr>
                  </w:pPr>
                  <w:r>
                    <w:rPr>
                      <w:rFonts w:hint="eastAsia" w:eastAsia="宋体"/>
                      <w:sz w:val="18"/>
                      <w:szCs w:val="18"/>
                      <w:vertAlign w:val="baseline"/>
                      <w:lang w:val="en-US" w:eastAsia="zh-CN"/>
                    </w:rPr>
                    <w:t>项目建成后，企业将及时</w:t>
                  </w:r>
                  <w:r>
                    <w:rPr>
                      <w:rFonts w:hint="eastAsia"/>
                      <w:sz w:val="18"/>
                      <w:szCs w:val="18"/>
                      <w:vertAlign w:val="baseline"/>
                      <w:lang w:val="en-US" w:eastAsia="zh-CN"/>
                    </w:rPr>
                    <w:t>编制</w:t>
                  </w:r>
                  <w:r>
                    <w:rPr>
                      <w:rFonts w:hint="eastAsia" w:eastAsia="宋体"/>
                      <w:sz w:val="18"/>
                      <w:szCs w:val="18"/>
                      <w:vertAlign w:val="baseline"/>
                      <w:lang w:val="en-US" w:eastAsia="zh-CN"/>
                    </w:rPr>
                    <w:t>应急预案</w:t>
                  </w:r>
                  <w:r>
                    <w:rPr>
                      <w:rFonts w:hint="eastAsia"/>
                      <w:sz w:val="18"/>
                      <w:szCs w:val="18"/>
                      <w:vertAlign w:val="baseline"/>
                      <w:lang w:val="en-US" w:eastAsia="zh-CN"/>
                    </w:rPr>
                    <w:t>，建立事件应急预案并备案。</w:t>
                  </w:r>
                </w:p>
              </w:tc>
              <w:tc>
                <w:tcPr>
                  <w:tcW w:w="792" w:type="dxa"/>
                  <w:tcBorders>
                    <w:right w:val="nil"/>
                  </w:tcBorders>
                  <w:vAlign w:val="center"/>
                </w:tcPr>
                <w:p w14:paraId="32CE0702">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4405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3448EB49">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11</w:t>
                  </w:r>
                </w:p>
              </w:tc>
              <w:tc>
                <w:tcPr>
                  <w:tcW w:w="3122" w:type="dxa"/>
                  <w:vAlign w:val="center"/>
                </w:tcPr>
                <w:p w14:paraId="7AAC64FD">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第十一条 改、扩建项目应全面梳理现有工程存在的环保问题，提出“以新带老”整改方案。</w:t>
                  </w:r>
                </w:p>
              </w:tc>
              <w:tc>
                <w:tcPr>
                  <w:tcW w:w="2974" w:type="dxa"/>
                  <w:vAlign w:val="center"/>
                </w:tcPr>
                <w:p w14:paraId="0275B532">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本项目为新建项目。</w:t>
                  </w:r>
                </w:p>
              </w:tc>
              <w:tc>
                <w:tcPr>
                  <w:tcW w:w="792" w:type="dxa"/>
                  <w:tcBorders>
                    <w:right w:val="nil"/>
                  </w:tcBorders>
                  <w:vAlign w:val="center"/>
                </w:tcPr>
                <w:p w14:paraId="5FDCF19A">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2B2A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54971DC5">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12</w:t>
                  </w:r>
                </w:p>
              </w:tc>
              <w:tc>
                <w:tcPr>
                  <w:tcW w:w="3122" w:type="dxa"/>
                  <w:vAlign w:val="center"/>
                </w:tcPr>
                <w:p w14:paraId="78971B65">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第十二条 按环境影响评价技术导则明确监测的网点布设、监测因子、的监测点位布设、监测因子、监测频次和信息公开等有关要求。监测频次和信息公开等有关提出了项目施工期和运营期的环境要求。提出了项目施工期和运营期管理要求。</w:t>
                  </w:r>
                </w:p>
              </w:tc>
              <w:tc>
                <w:tcPr>
                  <w:tcW w:w="2974" w:type="dxa"/>
                  <w:vAlign w:val="center"/>
                </w:tcPr>
                <w:p w14:paraId="2BC73104">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本项目按环境影响评价技术导则及相关规定制定了环境监测及相关规定制定了环境监测计划，计划，明确了施工期和营运期的监测点位布设、监测因子、监测频次和信息公开等有关要求。</w:t>
                  </w:r>
                </w:p>
              </w:tc>
              <w:tc>
                <w:tcPr>
                  <w:tcW w:w="792" w:type="dxa"/>
                  <w:tcBorders>
                    <w:right w:val="nil"/>
                  </w:tcBorders>
                  <w:vAlign w:val="center"/>
                </w:tcPr>
                <w:p w14:paraId="210F1C6E">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r w14:paraId="39CF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left w:val="nil"/>
                  </w:tcBorders>
                  <w:vAlign w:val="center"/>
                </w:tcPr>
                <w:p w14:paraId="4751AB6A">
                  <w:pPr>
                    <w:pStyle w:val="2"/>
                    <w:ind w:left="0" w:leftChars="0" w:right="0" w:rightChars="0" w:firstLine="0" w:firstLineChars="0"/>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13</w:t>
                  </w:r>
                </w:p>
              </w:tc>
              <w:tc>
                <w:tcPr>
                  <w:tcW w:w="3122" w:type="dxa"/>
                  <w:vAlign w:val="center"/>
                </w:tcPr>
                <w:p w14:paraId="42206B39">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第十三条 对环境保护措施技术、经济、环境可行性等进行深入论证，合理估算环保投资并纳入投资概算，明确措施实施的责任主体、实施时间、实施效果等，确保其科学有效、安全可行、绿色协调。</w:t>
                  </w:r>
                </w:p>
              </w:tc>
              <w:tc>
                <w:tcPr>
                  <w:tcW w:w="2974" w:type="dxa"/>
                  <w:vAlign w:val="center"/>
                </w:tcPr>
                <w:p w14:paraId="765BB3D9">
                  <w:pPr>
                    <w:pStyle w:val="2"/>
                    <w:ind w:left="0" w:leftChars="0" w:right="0" w:righ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本次评价估算了项目的环保投资，明确了各项污染防治措施实施的责任主体、实施时间、实施效果等内容。</w:t>
                  </w:r>
                </w:p>
              </w:tc>
              <w:tc>
                <w:tcPr>
                  <w:tcW w:w="792" w:type="dxa"/>
                  <w:tcBorders>
                    <w:right w:val="nil"/>
                  </w:tcBorders>
                  <w:vAlign w:val="center"/>
                </w:tcPr>
                <w:p w14:paraId="2B1D1771">
                  <w:pPr>
                    <w:pStyle w:val="2"/>
                    <w:ind w:left="0" w:leftChars="0" w:right="0" w:rightChars="0" w:firstLine="0" w:firstLineChars="0"/>
                    <w:jc w:val="center"/>
                    <w:rPr>
                      <w:rFonts w:hint="default"/>
                      <w:sz w:val="18"/>
                      <w:szCs w:val="18"/>
                      <w:vertAlign w:val="baseline"/>
                      <w:lang w:val="en-US" w:eastAsia="zh-CN"/>
                    </w:rPr>
                  </w:pPr>
                  <w:r>
                    <w:rPr>
                      <w:rFonts w:hint="eastAsia"/>
                      <w:sz w:val="18"/>
                      <w:szCs w:val="18"/>
                      <w:vertAlign w:val="baseline"/>
                      <w:lang w:val="en-US" w:eastAsia="zh-CN"/>
                    </w:rPr>
                    <w:t>符合</w:t>
                  </w:r>
                </w:p>
              </w:tc>
            </w:tr>
          </w:tbl>
          <w:p w14:paraId="56469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综上，本项目与《关于印发水泥制造等七个行业建设项目环境影响评价文件审批原则的通知》（环办环评（2016）114号）中“铁路建设项目环境影响评价文件审批原则（试行）”的要求相符。</w:t>
            </w:r>
          </w:p>
          <w:p w14:paraId="5E2830F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宋体" w:cs="Times New Roman"/>
                <w:b/>
                <w:bCs/>
                <w:color w:val="auto"/>
                <w:kern w:val="0"/>
                <w:sz w:val="24"/>
                <w:lang w:val="en-US" w:eastAsia="zh-CN"/>
              </w:rPr>
            </w:pPr>
            <w:r>
              <w:rPr>
                <w:rFonts w:hint="eastAsia" w:cs="Times New Roman"/>
                <w:b/>
                <w:bCs/>
                <w:color w:val="auto"/>
                <w:kern w:val="0"/>
                <w:sz w:val="24"/>
                <w:lang w:val="en-US" w:eastAsia="zh-CN"/>
              </w:rPr>
              <w:t>10</w:t>
            </w:r>
            <w:r>
              <w:rPr>
                <w:rFonts w:hint="default" w:ascii="Times New Roman" w:hAnsi="Times New Roman" w:eastAsia="宋体" w:cs="Times New Roman"/>
                <w:b/>
                <w:bCs/>
                <w:color w:val="auto"/>
                <w:kern w:val="0"/>
                <w:sz w:val="24"/>
              </w:rPr>
              <w:t>、</w:t>
            </w:r>
            <w:r>
              <w:rPr>
                <w:rFonts w:hint="eastAsia" w:ascii="Times New Roman" w:hAnsi="Times New Roman" w:cs="Times New Roman"/>
                <w:b/>
                <w:bCs/>
                <w:color w:val="auto"/>
                <w:kern w:val="0"/>
                <w:sz w:val="24"/>
                <w:lang w:val="en-US" w:eastAsia="zh-CN"/>
              </w:rPr>
              <w:t>与铁路部门相关政策符合性分析</w:t>
            </w:r>
          </w:p>
          <w:p w14:paraId="2C131F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 w:val="21"/>
                <w:szCs w:val="21"/>
                <w:lang w:val="en-US" w:eastAsia="zh-CN"/>
              </w:rPr>
              <w:t>表1-7 与铁路部门相关政策符合性分析</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2461"/>
              <w:gridCol w:w="2084"/>
              <w:gridCol w:w="1094"/>
            </w:tblGrid>
            <w:tr w14:paraId="0C2A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tcBorders>
                    <w:left w:val="nil"/>
                  </w:tcBorders>
                  <w:vAlign w:val="center"/>
                </w:tcPr>
                <w:p w14:paraId="0530122D">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文件</w:t>
                  </w:r>
                </w:p>
              </w:tc>
              <w:tc>
                <w:tcPr>
                  <w:tcW w:w="2461" w:type="dxa"/>
                  <w:vAlign w:val="center"/>
                </w:tcPr>
                <w:p w14:paraId="1E7593EA">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政策要求</w:t>
                  </w:r>
                </w:p>
              </w:tc>
              <w:tc>
                <w:tcPr>
                  <w:tcW w:w="2084" w:type="dxa"/>
                  <w:vAlign w:val="center"/>
                </w:tcPr>
                <w:p w14:paraId="3999FF94">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本项目情况</w:t>
                  </w:r>
                </w:p>
              </w:tc>
              <w:tc>
                <w:tcPr>
                  <w:tcW w:w="1094" w:type="dxa"/>
                  <w:tcBorders>
                    <w:right w:val="nil"/>
                  </w:tcBorders>
                  <w:vAlign w:val="center"/>
                </w:tcPr>
                <w:p w14:paraId="2AA946BD">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符合性</w:t>
                  </w:r>
                </w:p>
              </w:tc>
            </w:tr>
            <w:tr w14:paraId="5D8E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Merge w:val="restart"/>
                  <w:tcBorders>
                    <w:left w:val="nil"/>
                  </w:tcBorders>
                  <w:vAlign w:val="center"/>
                </w:tcPr>
                <w:p w14:paraId="28A7D9DE">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铁运函［2007]714号“关于进一步做好铁路专用线接轨有关工作的意见”</w:t>
                  </w:r>
                </w:p>
              </w:tc>
              <w:tc>
                <w:tcPr>
                  <w:tcW w:w="2461" w:type="dxa"/>
                  <w:vAlign w:val="center"/>
                </w:tcPr>
                <w:p w14:paraId="267F10A9">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线原则上不设路企交接场</w:t>
                  </w:r>
                  <w:r>
                    <w:rPr>
                      <w:rFonts w:hint="eastAsia" w:ascii="Times New Roman" w:hAnsi="Times New Roman" w:cs="Times New Roman"/>
                      <w:strike w:val="0"/>
                      <w:dstrike w:val="0"/>
                      <w:sz w:val="18"/>
                      <w:szCs w:val="18"/>
                      <w:vertAlign w:val="baseline"/>
                      <w:lang w:val="en-US" w:eastAsia="zh-CN"/>
                    </w:rPr>
                    <w:t>（站）</w:t>
                  </w:r>
                  <w:r>
                    <w:rPr>
                      <w:rFonts w:hint="default" w:ascii="Times New Roman" w:hAnsi="Times New Roman" w:eastAsia="宋体" w:cs="Times New Roman"/>
                      <w:strike w:val="0"/>
                      <w:dstrike w:val="0"/>
                      <w:sz w:val="18"/>
                      <w:szCs w:val="18"/>
                      <w:vertAlign w:val="baseline"/>
                      <w:lang w:val="en-US" w:eastAsia="zh-CN"/>
                    </w:rPr>
                    <w:t>，减少中间作业环节，加速车辆周转，提高运输效率</w:t>
                  </w:r>
                </w:p>
              </w:tc>
              <w:tc>
                <w:tcPr>
                  <w:tcW w:w="2084" w:type="dxa"/>
                  <w:vAlign w:val="center"/>
                </w:tcPr>
                <w:p w14:paraId="47A32D24">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采用路企直通运输</w:t>
                  </w:r>
                </w:p>
              </w:tc>
              <w:tc>
                <w:tcPr>
                  <w:tcW w:w="1094" w:type="dxa"/>
                  <w:tcBorders>
                    <w:right w:val="nil"/>
                  </w:tcBorders>
                  <w:vAlign w:val="center"/>
                </w:tcPr>
                <w:p w14:paraId="4F44B071">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符合</w:t>
                  </w:r>
                </w:p>
              </w:tc>
            </w:tr>
            <w:tr w14:paraId="4DEB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Merge w:val="continue"/>
                  <w:tcBorders>
                    <w:left w:val="nil"/>
                  </w:tcBorders>
                  <w:vAlign w:val="center"/>
                </w:tcPr>
                <w:p w14:paraId="5F8FA225">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p>
              </w:tc>
              <w:tc>
                <w:tcPr>
                  <w:tcW w:w="2461" w:type="dxa"/>
                  <w:vAlign w:val="center"/>
                </w:tcPr>
                <w:p w14:paraId="7F3B81E1">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年运量100万吨及以上、品种单一的新建铁路专用线，其装卸线应设计为贯通式，并具备整列装卸、整列到发的技术条件，采用机械化、自动化装卸机具</w:t>
                  </w:r>
                </w:p>
              </w:tc>
              <w:tc>
                <w:tcPr>
                  <w:tcW w:w="2084" w:type="dxa"/>
                  <w:vAlign w:val="center"/>
                </w:tcPr>
                <w:p w14:paraId="3FE6B944">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本项目年运量</w:t>
                  </w:r>
                  <w:r>
                    <w:rPr>
                      <w:rFonts w:hint="default" w:ascii="Times New Roman" w:hAnsi="Times New Roman" w:eastAsia="宋体" w:cs="Times New Roman"/>
                      <w:strike w:val="0"/>
                      <w:dstrike w:val="0"/>
                      <w:sz w:val="18"/>
                      <w:szCs w:val="18"/>
                      <w:vertAlign w:val="baseline"/>
                      <w:lang w:val="en-US" w:eastAsia="zh-CN"/>
                    </w:rPr>
                    <w:t>700</w:t>
                  </w:r>
                  <w:r>
                    <w:rPr>
                      <w:rFonts w:hint="eastAsia" w:ascii="Times New Roman" w:hAnsi="Times New Roman" w:eastAsia="宋体" w:cs="Times New Roman"/>
                      <w:strike w:val="0"/>
                      <w:dstrike w:val="0"/>
                      <w:sz w:val="18"/>
                      <w:szCs w:val="18"/>
                      <w:vertAlign w:val="baseline"/>
                      <w:lang w:val="en-US" w:eastAsia="zh-CN"/>
                    </w:rPr>
                    <w:t>万吨</w:t>
                  </w:r>
                  <w:r>
                    <w:rPr>
                      <w:rFonts w:hint="default" w:ascii="Times New Roman" w:hAnsi="Times New Roman" w:eastAsia="宋体" w:cs="Times New Roman"/>
                      <w:strike w:val="0"/>
                      <w:dstrike w:val="0"/>
                      <w:sz w:val="18"/>
                      <w:szCs w:val="18"/>
                      <w:vertAlign w:val="baseline"/>
                      <w:lang w:val="en-US" w:eastAsia="zh-CN"/>
                    </w:rPr>
                    <w:t>/</w:t>
                  </w:r>
                  <w:r>
                    <w:rPr>
                      <w:rFonts w:hint="eastAsia" w:ascii="Times New Roman" w:hAnsi="Times New Roman" w:eastAsia="宋体" w:cs="Times New Roman"/>
                      <w:strike w:val="0"/>
                      <w:dstrike w:val="0"/>
                      <w:sz w:val="18"/>
                      <w:szCs w:val="18"/>
                      <w:vertAlign w:val="baseline"/>
                      <w:lang w:val="en-US" w:eastAsia="zh-CN"/>
                    </w:rPr>
                    <w:t>年</w:t>
                  </w:r>
                  <w:r>
                    <w:rPr>
                      <w:rFonts w:hint="eastAsia" w:ascii="Times New Roman" w:hAnsi="Times New Roman" w:cs="Times New Roman"/>
                      <w:strike w:val="0"/>
                      <w:dstrike w:val="0"/>
                      <w:sz w:val="18"/>
                      <w:szCs w:val="18"/>
                      <w:vertAlign w:val="baseline"/>
                      <w:lang w:val="en-US" w:eastAsia="zh-CN"/>
                    </w:rPr>
                    <w:t>，装卸线设计为贯通式，具备整列装卸、整列到发的技术条件，采用机械化、自动化装卸机具。</w:t>
                  </w:r>
                </w:p>
              </w:tc>
              <w:tc>
                <w:tcPr>
                  <w:tcW w:w="1094" w:type="dxa"/>
                  <w:tcBorders>
                    <w:right w:val="nil"/>
                  </w:tcBorders>
                  <w:vAlign w:val="center"/>
                </w:tcPr>
                <w:p w14:paraId="3B898DFC">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符合</w:t>
                  </w:r>
                </w:p>
              </w:tc>
            </w:tr>
            <w:tr w14:paraId="1872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Merge w:val="restart"/>
                  <w:tcBorders>
                    <w:left w:val="nil"/>
                  </w:tcBorders>
                  <w:vAlign w:val="center"/>
                </w:tcPr>
                <w:p w14:paraId="58B94EA7">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铁道部令第21号《铁路专用线与国铁接轨审批办法》</w:t>
                  </w:r>
                </w:p>
              </w:tc>
              <w:tc>
                <w:tcPr>
                  <w:tcW w:w="2461" w:type="dxa"/>
                  <w:vAlign w:val="center"/>
                </w:tcPr>
                <w:p w14:paraId="0E2EC253">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专用线近期到、发运量一般不低于30万吨/年</w:t>
                  </w:r>
                </w:p>
              </w:tc>
              <w:tc>
                <w:tcPr>
                  <w:tcW w:w="2084" w:type="dxa"/>
                  <w:vAlign w:val="center"/>
                </w:tcPr>
                <w:p w14:paraId="01F9DE69">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本项目近期</w:t>
                  </w:r>
                  <w:r>
                    <w:rPr>
                      <w:rFonts w:hint="eastAsia" w:ascii="Times New Roman" w:hAnsi="Times New Roman" w:cs="Times New Roman"/>
                      <w:strike w:val="0"/>
                      <w:dstrike w:val="0"/>
                      <w:sz w:val="18"/>
                      <w:szCs w:val="18"/>
                      <w:vertAlign w:val="baseline"/>
                      <w:lang w:val="en-US" w:eastAsia="zh-CN"/>
                    </w:rPr>
                    <w:t>到、发运</w:t>
                  </w:r>
                  <w:r>
                    <w:rPr>
                      <w:rFonts w:hint="eastAsia" w:ascii="Times New Roman" w:hAnsi="Times New Roman" w:eastAsia="宋体" w:cs="Times New Roman"/>
                      <w:strike w:val="0"/>
                      <w:dstrike w:val="0"/>
                      <w:sz w:val="18"/>
                      <w:szCs w:val="18"/>
                      <w:vertAlign w:val="baseline"/>
                      <w:lang w:val="en-US" w:eastAsia="zh-CN"/>
                    </w:rPr>
                    <w:t>量为</w:t>
                  </w:r>
                  <w:r>
                    <w:rPr>
                      <w:rFonts w:hint="eastAsia" w:ascii="Times New Roman" w:hAnsi="Times New Roman" w:cs="Times New Roman"/>
                      <w:strike w:val="0"/>
                      <w:dstrike w:val="0"/>
                      <w:sz w:val="18"/>
                      <w:szCs w:val="18"/>
                      <w:vertAlign w:val="baseline"/>
                      <w:lang w:val="en-US" w:eastAsia="zh-CN"/>
                    </w:rPr>
                    <w:t>7</w:t>
                  </w:r>
                  <w:r>
                    <w:rPr>
                      <w:rFonts w:hint="default" w:ascii="Times New Roman" w:hAnsi="Times New Roman" w:eastAsia="宋体" w:cs="Times New Roman"/>
                      <w:strike w:val="0"/>
                      <w:dstrike w:val="0"/>
                      <w:sz w:val="18"/>
                      <w:szCs w:val="18"/>
                      <w:vertAlign w:val="baseline"/>
                      <w:lang w:val="en-US" w:eastAsia="zh-CN"/>
                    </w:rPr>
                    <w:t>00</w:t>
                  </w:r>
                  <w:r>
                    <w:rPr>
                      <w:rFonts w:hint="eastAsia" w:ascii="Times New Roman" w:hAnsi="Times New Roman" w:eastAsia="宋体" w:cs="Times New Roman"/>
                      <w:strike w:val="0"/>
                      <w:dstrike w:val="0"/>
                      <w:sz w:val="18"/>
                      <w:szCs w:val="18"/>
                      <w:vertAlign w:val="baseline"/>
                      <w:lang w:val="en-US" w:eastAsia="zh-CN"/>
                    </w:rPr>
                    <w:t>万吨</w:t>
                  </w:r>
                  <w:r>
                    <w:rPr>
                      <w:rFonts w:hint="default" w:ascii="Times New Roman" w:hAnsi="Times New Roman" w:eastAsia="宋体" w:cs="Times New Roman"/>
                      <w:strike w:val="0"/>
                      <w:dstrike w:val="0"/>
                      <w:sz w:val="18"/>
                      <w:szCs w:val="18"/>
                      <w:vertAlign w:val="baseline"/>
                      <w:lang w:val="en-US" w:eastAsia="zh-CN"/>
                    </w:rPr>
                    <w:t>/</w:t>
                  </w:r>
                  <w:r>
                    <w:rPr>
                      <w:rFonts w:hint="eastAsia" w:ascii="Times New Roman" w:hAnsi="Times New Roman" w:eastAsia="宋体" w:cs="Times New Roman"/>
                      <w:strike w:val="0"/>
                      <w:dstrike w:val="0"/>
                      <w:sz w:val="18"/>
                      <w:szCs w:val="18"/>
                      <w:vertAlign w:val="baseline"/>
                      <w:lang w:val="en-US" w:eastAsia="zh-CN"/>
                    </w:rPr>
                    <w:t>年</w:t>
                  </w:r>
                  <w:r>
                    <w:rPr>
                      <w:rFonts w:hint="eastAsia" w:ascii="Times New Roman" w:hAnsi="Times New Roman" w:cs="Times New Roman"/>
                      <w:strike w:val="0"/>
                      <w:dstrike w:val="0"/>
                      <w:sz w:val="18"/>
                      <w:szCs w:val="18"/>
                      <w:vertAlign w:val="baseline"/>
                      <w:lang w:val="en-US" w:eastAsia="zh-CN"/>
                    </w:rPr>
                    <w:t>，</w:t>
                  </w:r>
                  <w:r>
                    <w:rPr>
                      <w:rFonts w:hint="default" w:ascii="Times New Roman" w:hAnsi="Times New Roman" w:eastAsia="宋体" w:cs="Times New Roman"/>
                      <w:strike w:val="0"/>
                      <w:dstrike w:val="0"/>
                      <w:sz w:val="18"/>
                      <w:szCs w:val="18"/>
                      <w:vertAlign w:val="baseline"/>
                      <w:lang w:val="en-US" w:eastAsia="zh-CN"/>
                    </w:rPr>
                    <w:t>不低于30万吨/年</w:t>
                  </w:r>
                  <w:r>
                    <w:rPr>
                      <w:rFonts w:hint="eastAsia" w:ascii="Times New Roman" w:hAnsi="Times New Roman" w:cs="Times New Roman"/>
                      <w:strike w:val="0"/>
                      <w:dstrike w:val="0"/>
                      <w:sz w:val="18"/>
                      <w:szCs w:val="18"/>
                      <w:vertAlign w:val="baseline"/>
                      <w:lang w:val="en-US" w:eastAsia="zh-CN"/>
                    </w:rPr>
                    <w:t>。</w:t>
                  </w:r>
                </w:p>
              </w:tc>
              <w:tc>
                <w:tcPr>
                  <w:tcW w:w="1094" w:type="dxa"/>
                  <w:tcBorders>
                    <w:right w:val="nil"/>
                  </w:tcBorders>
                  <w:vAlign w:val="center"/>
                </w:tcPr>
                <w:p w14:paraId="6D5586A4">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符合</w:t>
                  </w:r>
                </w:p>
              </w:tc>
            </w:tr>
            <w:tr w14:paraId="31C6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Merge w:val="continue"/>
                  <w:tcBorders>
                    <w:left w:val="nil"/>
                  </w:tcBorders>
                  <w:vAlign w:val="center"/>
                </w:tcPr>
                <w:p w14:paraId="66FF3467">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p>
              </w:tc>
              <w:tc>
                <w:tcPr>
                  <w:tcW w:w="2461" w:type="dxa"/>
                  <w:vAlign w:val="center"/>
                </w:tcPr>
                <w:p w14:paraId="2F9F1E5B">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相关线路、车站的运输能力和技术设备等运输条件能够满足专用线的运输需求。</w:t>
                  </w:r>
                </w:p>
              </w:tc>
              <w:tc>
                <w:tcPr>
                  <w:tcW w:w="2084" w:type="dxa"/>
                  <w:vAlign w:val="center"/>
                </w:tcPr>
                <w:p w14:paraId="25079241">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已建设完成的</w:t>
                  </w:r>
                  <w:r>
                    <w:rPr>
                      <w:rFonts w:hint="eastAsia" w:ascii="Times New Roman" w:hAnsi="Times New Roman" w:eastAsia="宋体" w:cs="Times New Roman"/>
                      <w:strike w:val="0"/>
                      <w:dstrike w:val="0"/>
                      <w:sz w:val="18"/>
                      <w:szCs w:val="18"/>
                      <w:vertAlign w:val="baseline"/>
                      <w:lang w:val="en-US" w:eastAsia="zh-CN"/>
                    </w:rPr>
                    <w:t>中老</w:t>
                  </w:r>
                  <w:r>
                    <w:rPr>
                      <w:rFonts w:hint="eastAsia" w:ascii="Times New Roman" w:hAnsi="Times New Roman" w:cs="Times New Roman"/>
                      <w:strike w:val="0"/>
                      <w:dstrike w:val="0"/>
                      <w:sz w:val="18"/>
                      <w:szCs w:val="18"/>
                      <w:vertAlign w:val="baseline"/>
                      <w:lang w:val="en-US" w:eastAsia="zh-CN"/>
                    </w:rPr>
                    <w:t>昆万</w:t>
                  </w:r>
                  <w:r>
                    <w:rPr>
                      <w:rFonts w:hint="eastAsia" w:ascii="Times New Roman" w:hAnsi="Times New Roman" w:eastAsia="宋体" w:cs="Times New Roman"/>
                      <w:strike w:val="0"/>
                      <w:dstrike w:val="0"/>
                      <w:sz w:val="18"/>
                      <w:szCs w:val="18"/>
                      <w:vertAlign w:val="baseline"/>
                      <w:lang w:val="en-US" w:eastAsia="zh-CN"/>
                    </w:rPr>
                    <w:t>铁路运输能力运输能力满足本项目运输要求。</w:t>
                  </w:r>
                </w:p>
              </w:tc>
              <w:tc>
                <w:tcPr>
                  <w:tcW w:w="1094" w:type="dxa"/>
                  <w:tcBorders>
                    <w:right w:val="nil"/>
                  </w:tcBorders>
                  <w:vAlign w:val="center"/>
                </w:tcPr>
                <w:p w14:paraId="708AA39C">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符合</w:t>
                  </w:r>
                </w:p>
              </w:tc>
            </w:tr>
            <w:tr w14:paraId="49EB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Merge w:val="restart"/>
                  <w:tcBorders>
                    <w:left w:val="nil"/>
                  </w:tcBorders>
                  <w:vAlign w:val="center"/>
                </w:tcPr>
                <w:p w14:paraId="5DD35F26">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铁路专用线专用铁路管理办法（试行）</w:t>
                  </w:r>
                </w:p>
              </w:tc>
              <w:tc>
                <w:tcPr>
                  <w:tcW w:w="2461" w:type="dxa"/>
                  <w:vAlign w:val="center"/>
                </w:tcPr>
                <w:p w14:paraId="1254A55C">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企业新建专用线的铁路运量，一般不低于每年30万吨</w:t>
                  </w:r>
                </w:p>
              </w:tc>
              <w:tc>
                <w:tcPr>
                  <w:tcW w:w="2084" w:type="dxa"/>
                  <w:vAlign w:val="center"/>
                </w:tcPr>
                <w:p w14:paraId="72698306">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本项目</w:t>
                  </w:r>
                  <w:r>
                    <w:rPr>
                      <w:rFonts w:hint="eastAsia" w:ascii="Times New Roman" w:hAnsi="Times New Roman" w:eastAsia="宋体" w:cs="Times New Roman"/>
                      <w:strike w:val="0"/>
                      <w:dstrike w:val="0"/>
                      <w:sz w:val="18"/>
                      <w:szCs w:val="18"/>
                      <w:vertAlign w:val="baseline"/>
                      <w:lang w:val="en-US" w:eastAsia="zh-CN"/>
                    </w:rPr>
                    <w:t>近、远期</w:t>
                  </w:r>
                  <w:r>
                    <w:rPr>
                      <w:rFonts w:hint="eastAsia" w:ascii="Times New Roman" w:hAnsi="Times New Roman" w:cs="Times New Roman"/>
                      <w:strike w:val="0"/>
                      <w:dstrike w:val="0"/>
                      <w:sz w:val="18"/>
                      <w:szCs w:val="18"/>
                      <w:vertAlign w:val="baseline"/>
                      <w:lang w:val="en-US" w:eastAsia="zh-CN"/>
                    </w:rPr>
                    <w:t>到、发运</w:t>
                  </w:r>
                  <w:r>
                    <w:rPr>
                      <w:rFonts w:hint="eastAsia" w:ascii="Times New Roman" w:hAnsi="Times New Roman" w:eastAsia="宋体" w:cs="Times New Roman"/>
                      <w:strike w:val="0"/>
                      <w:dstrike w:val="0"/>
                      <w:sz w:val="18"/>
                      <w:szCs w:val="18"/>
                      <w:vertAlign w:val="baseline"/>
                      <w:lang w:val="en-US" w:eastAsia="zh-CN"/>
                    </w:rPr>
                    <w:t>量为</w:t>
                  </w:r>
                  <w:r>
                    <w:rPr>
                      <w:rFonts w:hint="eastAsia" w:ascii="Times New Roman" w:hAnsi="Times New Roman" w:cs="Times New Roman"/>
                      <w:strike w:val="0"/>
                      <w:dstrike w:val="0"/>
                      <w:sz w:val="18"/>
                      <w:szCs w:val="18"/>
                      <w:vertAlign w:val="baseline"/>
                      <w:lang w:val="en-US" w:eastAsia="zh-CN"/>
                    </w:rPr>
                    <w:t>7</w:t>
                  </w:r>
                  <w:r>
                    <w:rPr>
                      <w:rFonts w:hint="default" w:ascii="Times New Roman" w:hAnsi="Times New Roman" w:eastAsia="宋体" w:cs="Times New Roman"/>
                      <w:strike w:val="0"/>
                      <w:dstrike w:val="0"/>
                      <w:sz w:val="18"/>
                      <w:szCs w:val="18"/>
                      <w:vertAlign w:val="baseline"/>
                      <w:lang w:val="en-US" w:eastAsia="zh-CN"/>
                    </w:rPr>
                    <w:t>00</w:t>
                  </w:r>
                  <w:r>
                    <w:rPr>
                      <w:rFonts w:hint="eastAsia" w:ascii="Times New Roman" w:hAnsi="Times New Roman" w:eastAsia="宋体" w:cs="Times New Roman"/>
                      <w:strike w:val="0"/>
                      <w:dstrike w:val="0"/>
                      <w:sz w:val="18"/>
                      <w:szCs w:val="18"/>
                      <w:vertAlign w:val="baseline"/>
                      <w:lang w:val="en-US" w:eastAsia="zh-CN"/>
                    </w:rPr>
                    <w:t>万吨</w:t>
                  </w:r>
                  <w:r>
                    <w:rPr>
                      <w:rFonts w:hint="default" w:ascii="Times New Roman" w:hAnsi="Times New Roman" w:eastAsia="宋体" w:cs="Times New Roman"/>
                      <w:strike w:val="0"/>
                      <w:dstrike w:val="0"/>
                      <w:sz w:val="18"/>
                      <w:szCs w:val="18"/>
                      <w:vertAlign w:val="baseline"/>
                      <w:lang w:val="en-US" w:eastAsia="zh-CN"/>
                    </w:rPr>
                    <w:t>/</w:t>
                  </w:r>
                  <w:r>
                    <w:rPr>
                      <w:rFonts w:hint="eastAsia" w:ascii="Times New Roman" w:hAnsi="Times New Roman" w:eastAsia="宋体" w:cs="Times New Roman"/>
                      <w:strike w:val="0"/>
                      <w:dstrike w:val="0"/>
                      <w:sz w:val="18"/>
                      <w:szCs w:val="18"/>
                      <w:vertAlign w:val="baseline"/>
                      <w:lang w:val="en-US" w:eastAsia="zh-CN"/>
                    </w:rPr>
                    <w:t>年；发送货物以钢材生产为主，近、远期发送总量均为</w:t>
                  </w:r>
                  <w:r>
                    <w:rPr>
                      <w:rFonts w:hint="default" w:ascii="Times New Roman" w:hAnsi="Times New Roman" w:eastAsia="宋体" w:cs="Times New Roman"/>
                      <w:strike w:val="0"/>
                      <w:dstrike w:val="0"/>
                      <w:sz w:val="18"/>
                      <w:szCs w:val="18"/>
                      <w:vertAlign w:val="baseline"/>
                      <w:lang w:val="en-US" w:eastAsia="zh-CN"/>
                    </w:rPr>
                    <w:t>100</w:t>
                  </w:r>
                  <w:r>
                    <w:rPr>
                      <w:rFonts w:hint="eastAsia" w:ascii="Times New Roman" w:hAnsi="Times New Roman" w:eastAsia="宋体" w:cs="Times New Roman"/>
                      <w:strike w:val="0"/>
                      <w:dstrike w:val="0"/>
                      <w:sz w:val="18"/>
                      <w:szCs w:val="18"/>
                      <w:vertAlign w:val="baseline"/>
                      <w:lang w:val="en-US" w:eastAsia="zh-CN"/>
                    </w:rPr>
                    <w:t>万吨</w:t>
                  </w:r>
                  <w:r>
                    <w:rPr>
                      <w:rFonts w:hint="default" w:ascii="Times New Roman" w:hAnsi="Times New Roman" w:eastAsia="宋体" w:cs="Times New Roman"/>
                      <w:strike w:val="0"/>
                      <w:dstrike w:val="0"/>
                      <w:sz w:val="18"/>
                      <w:szCs w:val="18"/>
                      <w:vertAlign w:val="baseline"/>
                      <w:lang w:val="en-US" w:eastAsia="zh-CN"/>
                    </w:rPr>
                    <w:t>/</w:t>
                  </w:r>
                  <w:r>
                    <w:rPr>
                      <w:rFonts w:hint="eastAsia" w:ascii="Times New Roman" w:hAnsi="Times New Roman" w:eastAsia="宋体" w:cs="Times New Roman"/>
                      <w:strike w:val="0"/>
                      <w:dstrike w:val="0"/>
                      <w:sz w:val="18"/>
                      <w:szCs w:val="18"/>
                      <w:vertAlign w:val="baseline"/>
                      <w:lang w:val="en-US" w:eastAsia="zh-CN"/>
                    </w:rPr>
                    <w:t>年；到发合计</w:t>
                  </w:r>
                  <w:r>
                    <w:rPr>
                      <w:rFonts w:hint="default" w:ascii="Times New Roman" w:hAnsi="Times New Roman" w:eastAsia="宋体" w:cs="Times New Roman"/>
                      <w:strike w:val="0"/>
                      <w:dstrike w:val="0"/>
                      <w:sz w:val="18"/>
                      <w:szCs w:val="18"/>
                      <w:vertAlign w:val="baseline"/>
                      <w:lang w:val="en-US" w:eastAsia="zh-CN"/>
                    </w:rPr>
                    <w:t>700</w:t>
                  </w:r>
                  <w:r>
                    <w:rPr>
                      <w:rFonts w:hint="eastAsia" w:ascii="Times New Roman" w:hAnsi="Times New Roman" w:eastAsia="宋体" w:cs="Times New Roman"/>
                      <w:strike w:val="0"/>
                      <w:dstrike w:val="0"/>
                      <w:sz w:val="18"/>
                      <w:szCs w:val="18"/>
                      <w:vertAlign w:val="baseline"/>
                      <w:lang w:val="en-US" w:eastAsia="zh-CN"/>
                    </w:rPr>
                    <w:t>万吨</w:t>
                  </w:r>
                  <w:r>
                    <w:rPr>
                      <w:rFonts w:hint="default" w:ascii="Times New Roman" w:hAnsi="Times New Roman" w:eastAsia="宋体" w:cs="Times New Roman"/>
                      <w:strike w:val="0"/>
                      <w:dstrike w:val="0"/>
                      <w:sz w:val="18"/>
                      <w:szCs w:val="18"/>
                      <w:vertAlign w:val="baseline"/>
                      <w:lang w:val="en-US" w:eastAsia="zh-CN"/>
                    </w:rPr>
                    <w:t>/</w:t>
                  </w:r>
                  <w:r>
                    <w:rPr>
                      <w:rFonts w:hint="eastAsia" w:ascii="Times New Roman" w:hAnsi="Times New Roman" w:eastAsia="宋体" w:cs="Times New Roman"/>
                      <w:strike w:val="0"/>
                      <w:dstrike w:val="0"/>
                      <w:sz w:val="18"/>
                      <w:szCs w:val="18"/>
                      <w:vertAlign w:val="baseline"/>
                      <w:lang w:val="en-US" w:eastAsia="zh-CN"/>
                    </w:rPr>
                    <w:t>年</w:t>
                  </w:r>
                  <w:r>
                    <w:rPr>
                      <w:rFonts w:hint="eastAsia" w:ascii="Times New Roman" w:hAnsi="Times New Roman" w:cs="Times New Roman"/>
                      <w:strike w:val="0"/>
                      <w:dstrike w:val="0"/>
                      <w:sz w:val="18"/>
                      <w:szCs w:val="18"/>
                      <w:vertAlign w:val="baseline"/>
                      <w:lang w:val="en-US" w:eastAsia="zh-CN"/>
                    </w:rPr>
                    <w:t>。</w:t>
                  </w:r>
                </w:p>
              </w:tc>
              <w:tc>
                <w:tcPr>
                  <w:tcW w:w="1094" w:type="dxa"/>
                  <w:tcBorders>
                    <w:right w:val="nil"/>
                  </w:tcBorders>
                  <w:vAlign w:val="center"/>
                </w:tcPr>
                <w:p w14:paraId="3E1C1D63">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符合</w:t>
                  </w:r>
                </w:p>
              </w:tc>
            </w:tr>
            <w:tr w14:paraId="30BD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vMerge w:val="continue"/>
                  <w:tcBorders>
                    <w:left w:val="nil"/>
                  </w:tcBorders>
                  <w:vAlign w:val="center"/>
                </w:tcPr>
                <w:p w14:paraId="7724B9F6">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p>
              </w:tc>
              <w:tc>
                <w:tcPr>
                  <w:tcW w:w="2461" w:type="dxa"/>
                  <w:vAlign w:val="center"/>
                </w:tcPr>
                <w:p w14:paraId="41EA1749">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专用线的铁路运输设备，应符合《铁路技术管理规程》和《工业企业标准轨距铁路设计规范》的要求。</w:t>
                  </w:r>
                </w:p>
              </w:tc>
              <w:tc>
                <w:tcPr>
                  <w:tcW w:w="2084" w:type="dxa"/>
                  <w:vAlign w:val="center"/>
                </w:tcPr>
                <w:p w14:paraId="4349C03C">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专用线的铁路运输设备，符合《铁路技术管理规程》和《工业企业标准轨距铁路设计规范》的要求。</w:t>
                  </w:r>
                </w:p>
              </w:tc>
              <w:tc>
                <w:tcPr>
                  <w:tcW w:w="1094" w:type="dxa"/>
                  <w:tcBorders>
                    <w:right w:val="nil"/>
                  </w:tcBorders>
                  <w:vAlign w:val="center"/>
                </w:tcPr>
                <w:p w14:paraId="290000BA">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符合</w:t>
                  </w:r>
                </w:p>
              </w:tc>
            </w:tr>
            <w:tr w14:paraId="7D50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tcBorders>
                    <w:left w:val="nil"/>
                  </w:tcBorders>
                  <w:vAlign w:val="center"/>
                </w:tcPr>
                <w:p w14:paraId="7FC40FCA">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《关于全面加强生态环境保护坚决打好污染防治攻坚战的意见》</w:t>
                  </w:r>
                  <w:r>
                    <w:rPr>
                      <w:rFonts w:hint="eastAsia" w:ascii="Times New Roman" w:hAnsi="Times New Roman" w:eastAsia="宋体" w:cs="Times New Roman"/>
                      <w:strike w:val="0"/>
                      <w:dstrike w:val="0"/>
                      <w:sz w:val="18"/>
                      <w:szCs w:val="18"/>
                      <w:vertAlign w:val="baseline"/>
                      <w:lang w:val="en-US" w:eastAsia="zh-CN"/>
                    </w:rPr>
                    <w:t>（</w:t>
                  </w:r>
                  <w:r>
                    <w:rPr>
                      <w:rFonts w:hint="default" w:ascii="Times New Roman" w:hAnsi="Times New Roman" w:eastAsia="宋体" w:cs="Times New Roman"/>
                      <w:strike w:val="0"/>
                      <w:dstrike w:val="0"/>
                      <w:sz w:val="18"/>
                      <w:szCs w:val="18"/>
                      <w:vertAlign w:val="baseline"/>
                      <w:lang w:val="en-US" w:eastAsia="zh-CN"/>
                    </w:rPr>
                    <w:t>中发</w:t>
                  </w:r>
                  <w:r>
                    <w:rPr>
                      <w:rFonts w:hint="eastAsia" w:ascii="Times New Roman" w:hAnsi="Times New Roman" w:eastAsia="宋体" w:cs="Times New Roman"/>
                      <w:strike w:val="0"/>
                      <w:dstrike w:val="0"/>
                      <w:sz w:val="18"/>
                      <w:szCs w:val="18"/>
                      <w:vertAlign w:val="baseline"/>
                      <w:lang w:val="en-US" w:eastAsia="zh-CN"/>
                    </w:rPr>
                    <w:t>〔</w:t>
                  </w:r>
                  <w:r>
                    <w:rPr>
                      <w:rFonts w:hint="default" w:ascii="Times New Roman" w:hAnsi="Times New Roman" w:eastAsia="宋体" w:cs="Times New Roman"/>
                      <w:strike w:val="0"/>
                      <w:dstrike w:val="0"/>
                      <w:sz w:val="18"/>
                      <w:szCs w:val="18"/>
                      <w:vertAlign w:val="baseline"/>
                      <w:lang w:val="en-US" w:eastAsia="zh-CN"/>
                    </w:rPr>
                    <w:t>2018</w:t>
                  </w:r>
                  <w:r>
                    <w:rPr>
                      <w:rFonts w:hint="eastAsia" w:ascii="Times New Roman" w:hAnsi="Times New Roman" w:eastAsia="宋体" w:cs="Times New Roman"/>
                      <w:strike w:val="0"/>
                      <w:dstrike w:val="0"/>
                      <w:sz w:val="18"/>
                      <w:szCs w:val="18"/>
                      <w:vertAlign w:val="baseline"/>
                      <w:lang w:val="en-US" w:eastAsia="zh-CN"/>
                    </w:rPr>
                    <w:t>〕</w:t>
                  </w:r>
                  <w:r>
                    <w:rPr>
                      <w:rFonts w:hint="default" w:ascii="Times New Roman" w:hAnsi="Times New Roman" w:eastAsia="宋体" w:cs="Times New Roman"/>
                      <w:strike w:val="0"/>
                      <w:dstrike w:val="0"/>
                      <w:sz w:val="18"/>
                      <w:szCs w:val="18"/>
                      <w:vertAlign w:val="baseline"/>
                      <w:lang w:val="en-US" w:eastAsia="zh-CN"/>
                    </w:rPr>
                    <w:t>17号</w:t>
                  </w:r>
                  <w:r>
                    <w:rPr>
                      <w:rFonts w:hint="eastAsia" w:ascii="Times New Roman" w:hAnsi="Times New Roman" w:eastAsia="宋体" w:cs="Times New Roman"/>
                      <w:strike w:val="0"/>
                      <w:dstrike w:val="0"/>
                      <w:sz w:val="18"/>
                      <w:szCs w:val="18"/>
                      <w:vertAlign w:val="baseline"/>
                      <w:lang w:val="en-US" w:eastAsia="zh-CN"/>
                    </w:rPr>
                    <w:t>）</w:t>
                  </w:r>
                </w:p>
              </w:tc>
              <w:tc>
                <w:tcPr>
                  <w:tcW w:w="2461" w:type="dxa"/>
                  <w:vAlign w:val="center"/>
                </w:tcPr>
                <w:p w14:paraId="27584B97">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打好柴油货车污染治理攻坚</w:t>
                  </w:r>
                  <w:r>
                    <w:rPr>
                      <w:rFonts w:hint="eastAsia" w:ascii="Times New Roman" w:hAnsi="Times New Roman" w:cs="Times New Roman"/>
                      <w:strike w:val="0"/>
                      <w:dstrike w:val="0"/>
                      <w:sz w:val="18"/>
                      <w:szCs w:val="18"/>
                      <w:vertAlign w:val="baseline"/>
                      <w:lang w:val="en-US" w:eastAsia="zh-CN"/>
                    </w:rPr>
                    <w:t>战，显著提高重点区域大宗货物铁路水路货运比例</w:t>
                  </w:r>
                </w:p>
              </w:tc>
              <w:tc>
                <w:tcPr>
                  <w:tcW w:w="2084" w:type="dxa"/>
                  <w:vAlign w:val="center"/>
                </w:tcPr>
                <w:p w14:paraId="1D249DD9">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本项目为铁路运输，项目建设完成后，减少了区域煤、焦炭、矿石、钢材以及其他材料公路运输比例，显著提高了铁路运输比例。</w:t>
                  </w:r>
                </w:p>
              </w:tc>
              <w:tc>
                <w:tcPr>
                  <w:tcW w:w="1094" w:type="dxa"/>
                  <w:tcBorders>
                    <w:right w:val="nil"/>
                  </w:tcBorders>
                  <w:vAlign w:val="center"/>
                </w:tcPr>
                <w:p w14:paraId="02047D90">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符合</w:t>
                  </w:r>
                </w:p>
              </w:tc>
            </w:tr>
            <w:tr w14:paraId="39F4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8" w:type="dxa"/>
                  <w:tcBorders>
                    <w:left w:val="nil"/>
                  </w:tcBorders>
                  <w:vAlign w:val="center"/>
                </w:tcPr>
                <w:p w14:paraId="571DEE8D">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《关于加快推进铁路专用线建设的指导意见》（发改基础（2019〕1445号</w:t>
                  </w:r>
                  <w:r>
                    <w:rPr>
                      <w:rFonts w:hint="eastAsia" w:ascii="Times New Roman" w:hAnsi="Times New Roman" w:eastAsia="宋体" w:cs="Times New Roman"/>
                      <w:strike w:val="0"/>
                      <w:dstrike w:val="0"/>
                      <w:sz w:val="18"/>
                      <w:szCs w:val="18"/>
                      <w:vertAlign w:val="baseline"/>
                      <w:lang w:val="en-US" w:eastAsia="zh-CN"/>
                    </w:rPr>
                    <w:t>）</w:t>
                  </w:r>
                </w:p>
              </w:tc>
              <w:tc>
                <w:tcPr>
                  <w:tcW w:w="2461" w:type="dxa"/>
                  <w:vAlign w:val="center"/>
                </w:tcPr>
                <w:p w14:paraId="1F6D7C7D">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default" w:ascii="Times New Roman" w:hAnsi="Times New Roman" w:eastAsia="宋体" w:cs="Times New Roman"/>
                      <w:strike w:val="0"/>
                      <w:dstrike w:val="0"/>
                      <w:sz w:val="18"/>
                      <w:szCs w:val="18"/>
                      <w:vertAlign w:val="baseline"/>
                      <w:lang w:val="en-US" w:eastAsia="zh-CN"/>
                    </w:rPr>
                    <w:t>坚持以供给侧结构</w:t>
                  </w:r>
                  <w:r>
                    <w:rPr>
                      <w:rFonts w:hint="eastAsia" w:ascii="Times New Roman" w:hAnsi="Times New Roman" w:cs="Times New Roman"/>
                      <w:strike w:val="0"/>
                      <w:dstrike w:val="0"/>
                      <w:sz w:val="18"/>
                      <w:szCs w:val="18"/>
                      <w:vertAlign w:val="baseline"/>
                      <w:lang w:val="en-US" w:eastAsia="zh-CN"/>
                    </w:rPr>
                    <w:t>性</w:t>
                  </w:r>
                  <w:r>
                    <w:rPr>
                      <w:rFonts w:hint="default" w:ascii="Times New Roman" w:hAnsi="Times New Roman" w:eastAsia="宋体" w:cs="Times New Roman"/>
                      <w:strike w:val="0"/>
                      <w:dstrike w:val="0"/>
                      <w:sz w:val="18"/>
                      <w:szCs w:val="18"/>
                      <w:vertAlign w:val="baseline"/>
                      <w:lang w:val="en-US" w:eastAsia="zh-CN"/>
                    </w:rPr>
                    <w:t>改革</w:t>
                  </w:r>
                  <w:r>
                    <w:rPr>
                      <w:rFonts w:hint="eastAsia" w:ascii="Times New Roman" w:hAnsi="Times New Roman" w:cs="Times New Roman"/>
                      <w:strike w:val="0"/>
                      <w:dstrike w:val="0"/>
                      <w:sz w:val="18"/>
                      <w:szCs w:val="18"/>
                      <w:vertAlign w:val="baseline"/>
                      <w:lang w:val="en-US" w:eastAsia="zh-CN"/>
                    </w:rPr>
                    <w:t>为</w:t>
                  </w:r>
                  <w:r>
                    <w:rPr>
                      <w:rFonts w:hint="default" w:ascii="Times New Roman" w:hAnsi="Times New Roman" w:eastAsia="宋体" w:cs="Times New Roman"/>
                      <w:strike w:val="0"/>
                      <w:dstrike w:val="0"/>
                      <w:sz w:val="18"/>
                      <w:szCs w:val="18"/>
                      <w:vertAlign w:val="baseline"/>
                      <w:lang w:val="en-US" w:eastAsia="zh-CN"/>
                    </w:rPr>
                    <w:t>主线，坚持目标导向和问题导向、以推进大宗货物运输“公转铁”为主攻方向，坚持市场主体、企业实施、政府推动，充分利用既有铁路设施，加快铁路专用线建设</w:t>
                  </w:r>
                  <w:r>
                    <w:rPr>
                      <w:rFonts w:hint="eastAsia" w:ascii="Times New Roman" w:hAnsi="Times New Roman" w:cs="Times New Roman"/>
                      <w:strike w:val="0"/>
                      <w:dstrike w:val="0"/>
                      <w:sz w:val="18"/>
                      <w:szCs w:val="18"/>
                      <w:vertAlign w:val="baseline"/>
                      <w:lang w:val="en-US" w:eastAsia="zh-CN"/>
                    </w:rPr>
                    <w:t>。</w:t>
                  </w:r>
                </w:p>
              </w:tc>
              <w:tc>
                <w:tcPr>
                  <w:tcW w:w="2084" w:type="dxa"/>
                  <w:vAlign w:val="center"/>
                </w:tcPr>
                <w:p w14:paraId="1E7E59C3">
                  <w:pPr>
                    <w:pStyle w:val="2"/>
                    <w:ind w:left="0" w:leftChars="0" w:right="0" w:rightChars="0" w:firstLine="0" w:firstLineChars="0"/>
                    <w:jc w:val="center"/>
                    <w:rPr>
                      <w:rFonts w:hint="eastAsia" w:ascii="Times New Roman" w:hAnsi="Times New Roman" w:eastAsia="宋体" w:cs="Times New Roman"/>
                      <w:strike w:val="0"/>
                      <w:dstrike w:val="0"/>
                      <w:sz w:val="18"/>
                      <w:szCs w:val="18"/>
                      <w:vertAlign w:val="baseline"/>
                      <w:lang w:val="en-US" w:eastAsia="zh-CN"/>
                    </w:rPr>
                  </w:pPr>
                  <w:r>
                    <w:rPr>
                      <w:rFonts w:hint="eastAsia" w:ascii="Times New Roman" w:hAnsi="Times New Roman" w:eastAsia="宋体" w:cs="Times New Roman"/>
                      <w:strike w:val="0"/>
                      <w:dstrike w:val="0"/>
                      <w:sz w:val="18"/>
                      <w:szCs w:val="18"/>
                      <w:vertAlign w:val="baseline"/>
                      <w:lang w:val="en-US" w:eastAsia="zh-CN"/>
                    </w:rPr>
                    <w:t>本项目为铁路专用线建设，项目建设完成后，减少公路运输，大量</w:t>
                  </w:r>
                  <w:r>
                    <w:rPr>
                      <w:rFonts w:hint="eastAsia" w:ascii="Times New Roman" w:hAnsi="Times New Roman" w:cs="Times New Roman"/>
                      <w:strike w:val="0"/>
                      <w:dstrike w:val="0"/>
                      <w:sz w:val="18"/>
                      <w:szCs w:val="18"/>
                      <w:vertAlign w:val="baseline"/>
                      <w:lang w:val="en-US" w:eastAsia="zh-CN"/>
                    </w:rPr>
                    <w:t>煤、焦炭、矿石、钢材以及其他材料</w:t>
                  </w:r>
                  <w:r>
                    <w:rPr>
                      <w:rFonts w:hint="eastAsia" w:ascii="Times New Roman" w:hAnsi="Times New Roman" w:eastAsia="宋体" w:cs="Times New Roman"/>
                      <w:strike w:val="0"/>
                      <w:dstrike w:val="0"/>
                      <w:sz w:val="18"/>
                      <w:szCs w:val="18"/>
                      <w:vertAlign w:val="baseline"/>
                      <w:lang w:val="en-US" w:eastAsia="zh-CN"/>
                    </w:rPr>
                    <w:t>运输由公路运输改为铁路运输</w:t>
                  </w:r>
                  <w:r>
                    <w:rPr>
                      <w:rFonts w:hint="eastAsia" w:ascii="Times New Roman" w:hAnsi="Times New Roman" w:cs="Times New Roman"/>
                      <w:strike w:val="0"/>
                      <w:dstrike w:val="0"/>
                      <w:sz w:val="18"/>
                      <w:szCs w:val="18"/>
                      <w:vertAlign w:val="baseline"/>
                      <w:lang w:val="en-US" w:eastAsia="zh-CN"/>
                    </w:rPr>
                    <w:t>。</w:t>
                  </w:r>
                </w:p>
              </w:tc>
              <w:tc>
                <w:tcPr>
                  <w:tcW w:w="1094" w:type="dxa"/>
                  <w:tcBorders>
                    <w:right w:val="nil"/>
                  </w:tcBorders>
                  <w:vAlign w:val="center"/>
                </w:tcPr>
                <w:p w14:paraId="1B736795">
                  <w:pPr>
                    <w:pStyle w:val="2"/>
                    <w:ind w:left="0" w:leftChars="0" w:right="0" w:rightChars="0" w:firstLine="0" w:firstLineChars="0"/>
                    <w:jc w:val="center"/>
                    <w:rPr>
                      <w:rFonts w:hint="default" w:ascii="Times New Roman" w:hAnsi="Times New Roman" w:eastAsia="宋体" w:cs="Times New Roman"/>
                      <w:strike w:val="0"/>
                      <w:dstrike w:val="0"/>
                      <w:sz w:val="18"/>
                      <w:szCs w:val="18"/>
                      <w:vertAlign w:val="baseline"/>
                      <w:lang w:val="en-US" w:eastAsia="zh-CN"/>
                    </w:rPr>
                  </w:pPr>
                  <w:r>
                    <w:rPr>
                      <w:rFonts w:hint="eastAsia" w:ascii="Times New Roman" w:hAnsi="Times New Roman" w:cs="Times New Roman"/>
                      <w:strike w:val="0"/>
                      <w:dstrike w:val="0"/>
                      <w:sz w:val="18"/>
                      <w:szCs w:val="18"/>
                      <w:vertAlign w:val="baseline"/>
                      <w:lang w:val="en-US" w:eastAsia="zh-CN"/>
                    </w:rPr>
                    <w:t>符合</w:t>
                  </w:r>
                </w:p>
              </w:tc>
            </w:tr>
          </w:tbl>
          <w:p w14:paraId="34026D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由上表分析，项目建设符合铁路部门相关政策的要求。</w:t>
            </w:r>
          </w:p>
          <w:p w14:paraId="4B9069C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11</w:t>
            </w:r>
            <w:r>
              <w:rPr>
                <w:rFonts w:hint="eastAsia" w:ascii="Times New Roman" w:hAnsi="Times New Roman" w:cs="Times New Roman"/>
                <w:b/>
                <w:bCs/>
                <w:color w:val="auto"/>
                <w:kern w:val="0"/>
                <w:sz w:val="24"/>
                <w:lang w:val="en-US" w:eastAsia="zh-CN"/>
              </w:rPr>
              <w:t>、与《</w:t>
            </w:r>
            <w:r>
              <w:rPr>
                <w:rFonts w:hint="default" w:ascii="Times New Roman" w:hAnsi="Times New Roman" w:cs="Times New Roman"/>
                <w:b/>
                <w:bCs/>
                <w:color w:val="auto"/>
                <w:kern w:val="0"/>
                <w:sz w:val="24"/>
                <w:lang w:val="en-US" w:eastAsia="zh-CN"/>
              </w:rPr>
              <w:t>玉溪市“十四五”生态建设和环境保护规划》（2021-2025年）</w:t>
            </w:r>
            <w:r>
              <w:rPr>
                <w:rFonts w:hint="eastAsia" w:ascii="Times New Roman" w:hAnsi="Times New Roman" w:cs="Times New Roman"/>
                <w:b/>
                <w:bCs/>
                <w:color w:val="auto"/>
                <w:kern w:val="0"/>
                <w:sz w:val="24"/>
                <w:lang w:val="en-US" w:eastAsia="zh-CN"/>
              </w:rPr>
              <w:t>符合性分析</w:t>
            </w:r>
          </w:p>
          <w:p w14:paraId="0D27C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b w:val="0"/>
                <w:bCs w:val="0"/>
                <w:color w:val="auto"/>
                <w:highlight w:val="none"/>
                <w:lang w:val="en-US" w:eastAsia="zh-CN"/>
              </w:rPr>
            </w:pPr>
            <w:r>
              <w:rPr>
                <w:rFonts w:hint="eastAsia"/>
                <w:b w:val="0"/>
                <w:bCs w:val="0"/>
                <w:color w:val="auto"/>
                <w:highlight w:val="none"/>
                <w:lang w:val="en-US" w:eastAsia="zh-CN"/>
              </w:rPr>
              <w:t>本项目与《</w:t>
            </w:r>
            <w:r>
              <w:rPr>
                <w:rFonts w:hint="default" w:ascii="Times New Roman" w:hAnsi="Times New Roman" w:eastAsia="宋体" w:cs="Times New Roman"/>
                <w:b w:val="0"/>
                <w:bCs w:val="0"/>
                <w:color w:val="auto"/>
                <w:sz w:val="24"/>
                <w:szCs w:val="24"/>
                <w:highlight w:val="none"/>
                <w:lang w:val="en-US" w:eastAsia="zh-CN"/>
              </w:rPr>
              <w:t>玉溪市“十四五”生态建设和环</w:t>
            </w:r>
            <w:bookmarkStart w:id="29" w:name="_GoBack"/>
            <w:bookmarkEnd w:id="29"/>
            <w:r>
              <w:rPr>
                <w:rFonts w:hint="default" w:ascii="Times New Roman" w:hAnsi="Times New Roman" w:eastAsia="宋体" w:cs="Times New Roman"/>
                <w:b w:val="0"/>
                <w:bCs w:val="0"/>
                <w:color w:val="auto"/>
                <w:sz w:val="24"/>
                <w:szCs w:val="24"/>
                <w:highlight w:val="none"/>
                <w:lang w:val="en-US" w:eastAsia="zh-CN"/>
              </w:rPr>
              <w:t>境保护规划》（2021-2025年）</w:t>
            </w:r>
            <w:r>
              <w:rPr>
                <w:rFonts w:hint="eastAsia"/>
                <w:b w:val="0"/>
                <w:bCs w:val="0"/>
                <w:color w:val="auto"/>
                <w:highlight w:val="none"/>
                <w:lang w:val="en-US" w:eastAsia="zh-CN"/>
              </w:rPr>
              <w:t>符合性分析详见下表。</w:t>
            </w:r>
          </w:p>
          <w:p w14:paraId="4DA264DD">
            <w:pPr>
              <w:pStyle w:val="3"/>
              <w:keepNext w:val="0"/>
              <w:keepLines w:val="0"/>
              <w:suppressLineNumbers w:val="0"/>
              <w:spacing w:before="0" w:beforeAutospacing="0" w:after="0" w:afterAutospacing="0"/>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8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《玉溪市“十四五”生态建设和环境保护规划》</w:t>
            </w:r>
            <w:r>
              <w:rPr>
                <w:rFonts w:hint="eastAsia" w:ascii="黑体" w:hAnsi="黑体" w:eastAsia="黑体" w:cs="黑体"/>
                <w:b w:val="0"/>
                <w:bCs w:val="0"/>
                <w:color w:val="auto"/>
                <w:sz w:val="21"/>
                <w:szCs w:val="21"/>
                <w:highlight w:val="none"/>
              </w:rPr>
              <w:t>相符性分析</w:t>
            </w:r>
          </w:p>
          <w:tbl>
            <w:tblPr>
              <w:tblStyle w:val="22"/>
              <w:tblW w:w="4994"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08"/>
              <w:gridCol w:w="3910"/>
              <w:gridCol w:w="1600"/>
              <w:gridCol w:w="814"/>
            </w:tblGrid>
            <w:tr w14:paraId="696746B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45" w:type="pct"/>
                  <w:noWrap w:val="0"/>
                  <w:vAlign w:val="center"/>
                </w:tcPr>
                <w:p w14:paraId="63B1F3DE">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类别</w:t>
                  </w:r>
                </w:p>
              </w:tc>
              <w:tc>
                <w:tcPr>
                  <w:tcW w:w="2630" w:type="pct"/>
                  <w:noWrap w:val="0"/>
                  <w:vAlign w:val="center"/>
                </w:tcPr>
                <w:p w14:paraId="3BB0E384">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文件要求（摘录）</w:t>
                  </w:r>
                </w:p>
              </w:tc>
              <w:tc>
                <w:tcPr>
                  <w:tcW w:w="1076" w:type="pct"/>
                  <w:noWrap w:val="0"/>
                  <w:vAlign w:val="center"/>
                </w:tcPr>
                <w:p w14:paraId="09A43FE5">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项目情况</w:t>
                  </w:r>
                </w:p>
              </w:tc>
              <w:tc>
                <w:tcPr>
                  <w:tcW w:w="548" w:type="pct"/>
                  <w:noWrap w:val="0"/>
                  <w:vAlign w:val="center"/>
                </w:tcPr>
                <w:p w14:paraId="7FAFD3CE">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cs="Times New Roman"/>
                      <w:b w:val="0"/>
                      <w:bCs w:val="0"/>
                      <w:color w:val="auto"/>
                      <w:sz w:val="18"/>
                      <w:szCs w:val="18"/>
                      <w:highlight w:val="none"/>
                      <w:lang w:val="en-US" w:eastAsia="zh-CN"/>
                    </w:rPr>
                    <w:t>符合性</w:t>
                  </w:r>
                </w:p>
              </w:tc>
            </w:tr>
            <w:tr w14:paraId="440C401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5" w:hRule="atLeast"/>
                <w:jc w:val="center"/>
              </w:trPr>
              <w:tc>
                <w:tcPr>
                  <w:tcW w:w="745" w:type="pct"/>
                  <w:tcBorders>
                    <w:bottom w:val="single" w:color="auto" w:sz="4" w:space="0"/>
                  </w:tcBorders>
                  <w:noWrap w:val="0"/>
                  <w:vAlign w:val="center"/>
                </w:tcPr>
                <w:p w14:paraId="70CA90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优化空间布局，构建生态保护空间格局</w:t>
                  </w:r>
                </w:p>
              </w:tc>
              <w:tc>
                <w:tcPr>
                  <w:tcW w:w="2630" w:type="pct"/>
                  <w:tcBorders>
                    <w:bottom w:val="single" w:color="auto" w:sz="4" w:space="0"/>
                  </w:tcBorders>
                  <w:noWrap w:val="0"/>
                  <w:vAlign w:val="center"/>
                </w:tcPr>
                <w:p w14:paraId="6E07D4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严控生态保护红线，加强对三大高原湖泊、自然保护区、风景名胜区、森林公园、饮用水源地等区域生态管控和保护，强化南盘江、曲江流域和红河谷-绿汁江流域的生态修复与治理，发挥生态保护红线对国土空间开发底线的约束作用。严守永久基本农田红线，强化永久基本农田对各类建设布局的约束。科学划定城镇开发边界，充分考虑地形条件、自然生态、环境容量等因素，综合分析人口、产业、城镇规模和发展趋势等，框定总量、限定容量，防止城镇无序蔓延；统筹保护与开发，科学预留一定比例的留白区，为未来发展留有开发空间。</w:t>
                  </w:r>
                </w:p>
              </w:tc>
              <w:tc>
                <w:tcPr>
                  <w:tcW w:w="1076" w:type="pct"/>
                  <w:tcBorders>
                    <w:bottom w:val="single" w:color="auto" w:sz="4" w:space="0"/>
                  </w:tcBorders>
                  <w:noWrap w:val="0"/>
                  <w:vAlign w:val="center"/>
                </w:tcPr>
                <w:p w14:paraId="3FFE1593">
                  <w:pPr>
                    <w:pStyle w:val="3"/>
                    <w:keepNext w:val="0"/>
                    <w:keepLines w:val="0"/>
                    <w:pageBreakBefore w:val="0"/>
                    <w:widowControl w:val="0"/>
                    <w:suppressLineNumbers w:val="0"/>
                    <w:kinsoku/>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本项目不涉及生态保护红线和永久基本农田，</w:t>
                  </w:r>
                  <w:r>
                    <w:rPr>
                      <w:rFonts w:hint="eastAsia" w:ascii="Times New Roman" w:hAnsi="Times New Roman" w:cs="Times New Roman"/>
                      <w:color w:val="000000"/>
                      <w:kern w:val="0"/>
                      <w:sz w:val="18"/>
                      <w:szCs w:val="18"/>
                      <w:vertAlign w:val="baseline"/>
                      <w:lang w:val="en-US" w:eastAsia="zh-CN" w:bidi="ar"/>
                    </w:rPr>
                    <w:t>在</w:t>
                  </w:r>
                  <w:r>
                    <w:rPr>
                      <w:rFonts w:hint="eastAsia" w:ascii="Times New Roman" w:hAnsi="Times New Roman" w:eastAsia="宋体" w:cs="Times New Roman"/>
                      <w:color w:val="000000"/>
                      <w:kern w:val="0"/>
                      <w:sz w:val="18"/>
                      <w:szCs w:val="18"/>
                      <w:vertAlign w:val="baseline"/>
                      <w:lang w:val="en-US" w:eastAsia="zh-CN" w:bidi="ar"/>
                    </w:rPr>
                    <w:t>城镇开发边界</w:t>
                  </w:r>
                  <w:r>
                    <w:rPr>
                      <w:rFonts w:hint="eastAsia" w:ascii="Times New Roman" w:hAnsi="Times New Roman" w:cs="Times New Roman"/>
                      <w:color w:val="000000"/>
                      <w:kern w:val="0"/>
                      <w:sz w:val="18"/>
                      <w:szCs w:val="18"/>
                      <w:vertAlign w:val="baseline"/>
                      <w:lang w:val="en-US" w:eastAsia="zh-CN" w:bidi="ar"/>
                    </w:rPr>
                    <w:t>内</w:t>
                  </w:r>
                  <w:r>
                    <w:rPr>
                      <w:rFonts w:hint="eastAsia" w:ascii="Times New Roman" w:hAnsi="Times New Roman" w:eastAsia="宋体" w:cs="Times New Roman"/>
                      <w:color w:val="000000"/>
                      <w:kern w:val="0"/>
                      <w:sz w:val="18"/>
                      <w:szCs w:val="18"/>
                      <w:vertAlign w:val="baseline"/>
                      <w:lang w:val="en-US" w:eastAsia="zh-CN" w:bidi="ar"/>
                    </w:rPr>
                    <w:t>，符合空间布局要求</w:t>
                  </w:r>
                  <w:r>
                    <w:rPr>
                      <w:rFonts w:hint="eastAsia" w:ascii="Times New Roman" w:hAnsi="Times New Roman" w:cs="Times New Roman"/>
                      <w:color w:val="000000"/>
                      <w:kern w:val="0"/>
                      <w:sz w:val="18"/>
                      <w:szCs w:val="18"/>
                      <w:vertAlign w:val="baseline"/>
                      <w:lang w:val="en-US" w:eastAsia="zh-CN" w:bidi="ar"/>
                    </w:rPr>
                    <w:t>。</w:t>
                  </w:r>
                </w:p>
              </w:tc>
              <w:tc>
                <w:tcPr>
                  <w:tcW w:w="548" w:type="pct"/>
                  <w:tcBorders>
                    <w:bottom w:val="single" w:color="auto" w:sz="4" w:space="0"/>
                  </w:tcBorders>
                  <w:noWrap w:val="0"/>
                  <w:vAlign w:val="center"/>
                </w:tcPr>
                <w:p w14:paraId="12A2E035">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04F6B78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restart"/>
                  <w:tcBorders>
                    <w:top w:val="single" w:color="auto" w:sz="4" w:space="0"/>
                  </w:tcBorders>
                  <w:noWrap w:val="0"/>
                  <w:vAlign w:val="center"/>
                </w:tcPr>
                <w:p w14:paraId="7A022B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统筹协调，深入打好污染防治攻坚战</w:t>
                  </w:r>
                </w:p>
              </w:tc>
              <w:tc>
                <w:tcPr>
                  <w:tcW w:w="2630" w:type="pct"/>
                  <w:tcBorders>
                    <w:top w:val="single" w:color="auto" w:sz="4" w:space="0"/>
                    <w:bottom w:val="single" w:color="auto" w:sz="4" w:space="0"/>
                  </w:tcBorders>
                  <w:noWrap w:val="0"/>
                  <w:vAlign w:val="center"/>
                </w:tcPr>
                <w:p w14:paraId="27DA8B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戛洒江、漠沙江流经者竜乡、水塘镇、戛洒镇、漠沙镇、建兴乡、老厂乡6个乡镇，人口众多，农田面积大，多种植烤烟、甜橙。新平县戛洒“铁、铜”原料采选及加工服务片区、大红山铁铜多金属矿床等主要矿山位于流域内。戛洒江与漠沙江水质均满足云南省地表水环境功能区划的Ⅳ类要求，但呈现下降趋势，主要污染源为农村生活污染与农业面源污染，同时矿产采选及加工服务业的发展对流域水体及生态环境产生影响，存在潜在污染风险。针对流域环境问题及水质状况，规划实施村镇生活与畜禽养殖污染控制、农田面源污染治理和滨河生态修复3项方案措施。</w:t>
                  </w:r>
                </w:p>
              </w:tc>
              <w:tc>
                <w:tcPr>
                  <w:tcW w:w="1076" w:type="pct"/>
                  <w:tcBorders>
                    <w:top w:val="single" w:color="auto" w:sz="4" w:space="0"/>
                    <w:bottom w:val="single" w:color="auto" w:sz="4" w:space="0"/>
                  </w:tcBorders>
                  <w:noWrap w:val="0"/>
                  <w:vAlign w:val="center"/>
                </w:tcPr>
                <w:p w14:paraId="41A5D0FB">
                  <w:pPr>
                    <w:pStyle w:val="3"/>
                    <w:keepNext w:val="0"/>
                    <w:keepLines w:val="0"/>
                    <w:pageBreakBefore w:val="0"/>
                    <w:widowControl w:val="0"/>
                    <w:suppressLineNumbers w:val="0"/>
                    <w:kinsoku w:val="0"/>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本项目不涉及河道管理范围，不产生农业面源污染，不涉及滨河区域，不涉及畜禽养殖。项目建设不影响漠沙江污染治理方案和生态修复措施</w:t>
                  </w:r>
                  <w:r>
                    <w:rPr>
                      <w:rFonts w:hint="eastAsia" w:ascii="Times New Roman" w:hAnsi="Times New Roman" w:cs="Times New Roman"/>
                      <w:color w:val="000000"/>
                      <w:kern w:val="0"/>
                      <w:sz w:val="18"/>
                      <w:szCs w:val="18"/>
                      <w:vertAlign w:val="baseline"/>
                      <w:lang w:val="en-US" w:eastAsia="zh-CN" w:bidi="ar"/>
                    </w:rPr>
                    <w:t>。</w:t>
                  </w:r>
                </w:p>
              </w:tc>
              <w:tc>
                <w:tcPr>
                  <w:tcW w:w="548" w:type="pct"/>
                  <w:tcBorders>
                    <w:top w:val="single" w:color="auto" w:sz="4" w:space="0"/>
                    <w:bottom w:val="single" w:color="auto" w:sz="4" w:space="0"/>
                  </w:tcBorders>
                  <w:noWrap w:val="0"/>
                  <w:vAlign w:val="center"/>
                </w:tcPr>
                <w:p w14:paraId="3AAC30F9">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38718CA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continue"/>
                  <w:noWrap w:val="0"/>
                  <w:vAlign w:val="center"/>
                </w:tcPr>
                <w:p w14:paraId="7D79E9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630" w:type="pct"/>
                  <w:tcBorders>
                    <w:top w:val="single" w:color="auto" w:sz="4" w:space="0"/>
                    <w:bottom w:val="single" w:color="auto" w:sz="4" w:space="0"/>
                  </w:tcBorders>
                  <w:noWrap w:val="0"/>
                  <w:vAlign w:val="center"/>
                </w:tcPr>
                <w:p w14:paraId="276095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保护水源涵养林，治理水土流失，实施小流域农村“两污”和人畜粪便污染治理，实施集镇生活污染治理，控制农田面源污染，建立沿河自上而下系统的、多层次的拦截防控体系，促进小流域良性生态机制形成。构建污染防治与生态建设工程体系，将流域建设成“有水则清、无水则绿”的良好生态系统。</w:t>
                  </w:r>
                </w:p>
              </w:tc>
              <w:tc>
                <w:tcPr>
                  <w:tcW w:w="1076" w:type="pct"/>
                  <w:tcBorders>
                    <w:top w:val="single" w:color="auto" w:sz="4" w:space="0"/>
                    <w:bottom w:val="single" w:color="auto" w:sz="4" w:space="0"/>
                  </w:tcBorders>
                  <w:noWrap w:val="0"/>
                  <w:vAlign w:val="center"/>
                </w:tcPr>
                <w:p w14:paraId="240440FE">
                  <w:pPr>
                    <w:pStyle w:val="3"/>
                    <w:keepNext w:val="0"/>
                    <w:keepLines w:val="0"/>
                    <w:pageBreakBefore w:val="0"/>
                    <w:widowControl w:val="0"/>
                    <w:suppressLineNumbers w:val="0"/>
                    <w:kinsoku w:val="0"/>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本项目未占用水源涵养林，</w:t>
                  </w:r>
                  <w:r>
                    <w:rPr>
                      <w:rFonts w:hint="eastAsia" w:ascii="Times New Roman" w:hAnsi="Times New Roman" w:cs="Times New Roman"/>
                      <w:color w:val="000000"/>
                      <w:kern w:val="0"/>
                      <w:sz w:val="18"/>
                      <w:szCs w:val="18"/>
                      <w:vertAlign w:val="baseline"/>
                      <w:lang w:val="en-US" w:eastAsia="zh-CN" w:bidi="ar"/>
                    </w:rPr>
                    <w:t>本</w:t>
                  </w:r>
                  <w:r>
                    <w:rPr>
                      <w:rFonts w:hint="eastAsia" w:ascii="Times New Roman" w:hAnsi="Times New Roman" w:eastAsia="宋体" w:cs="Times New Roman"/>
                      <w:color w:val="000000"/>
                      <w:kern w:val="0"/>
                      <w:sz w:val="18"/>
                      <w:szCs w:val="18"/>
                      <w:vertAlign w:val="baseline"/>
                      <w:lang w:val="en-US" w:eastAsia="zh-CN" w:bidi="ar"/>
                    </w:rPr>
                    <w:t>项目</w:t>
                  </w:r>
                  <w:r>
                    <w:rPr>
                      <w:rFonts w:hint="eastAsia" w:ascii="Times New Roman" w:hAnsi="Times New Roman" w:cs="Times New Roman"/>
                      <w:color w:val="000000"/>
                      <w:kern w:val="0"/>
                      <w:sz w:val="18"/>
                      <w:szCs w:val="18"/>
                      <w:vertAlign w:val="baseline"/>
                      <w:lang w:val="en-US" w:eastAsia="zh-CN" w:bidi="ar"/>
                    </w:rPr>
                    <w:t>正在委托有资质单位编制水土保持治理方案。</w:t>
                  </w:r>
                </w:p>
              </w:tc>
              <w:tc>
                <w:tcPr>
                  <w:tcW w:w="548" w:type="pct"/>
                  <w:tcBorders>
                    <w:top w:val="single" w:color="auto" w:sz="4" w:space="0"/>
                    <w:bottom w:val="single" w:color="auto" w:sz="4" w:space="0"/>
                  </w:tcBorders>
                  <w:noWrap w:val="0"/>
                  <w:vAlign w:val="center"/>
                </w:tcPr>
                <w:p w14:paraId="28EA84FB">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60F7389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continue"/>
                  <w:noWrap w:val="0"/>
                  <w:vAlign w:val="center"/>
                </w:tcPr>
                <w:p w14:paraId="2FBE32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630" w:type="pct"/>
                  <w:tcBorders>
                    <w:top w:val="single" w:color="auto" w:sz="4" w:space="0"/>
                    <w:bottom w:val="single" w:color="auto" w:sz="4" w:space="0"/>
                  </w:tcBorders>
                  <w:noWrap w:val="0"/>
                  <w:vAlign w:val="center"/>
                </w:tcPr>
                <w:p w14:paraId="07505B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强施工扬尘监管，积极推进绿色施工。加强建筑施工场地扬尘污染管控。建筑施工场地应做到“六个百分百”。城市建成区及周边地区的工程建设施工现场应全封闭设置围挡墙、施工围网、防风抑尘网，严禁敞开式作业，施工现场道路应进行地面硬化。渣土运输车辆进出施工</w:t>
                  </w:r>
                  <w:r>
                    <w:rPr>
                      <w:rFonts w:hint="eastAsia" w:cs="Times New Roman"/>
                      <w:color w:val="000000"/>
                      <w:kern w:val="0"/>
                      <w:sz w:val="18"/>
                      <w:szCs w:val="18"/>
                      <w:vertAlign w:val="baseline"/>
                      <w:lang w:val="en-US" w:eastAsia="zh-CN" w:bidi="ar"/>
                    </w:rPr>
                    <w:t>场地</w:t>
                  </w:r>
                  <w:r>
                    <w:rPr>
                      <w:rFonts w:hint="eastAsia" w:ascii="Times New Roman" w:hAnsi="Times New Roman" w:eastAsia="宋体" w:cs="Times New Roman"/>
                      <w:color w:val="000000"/>
                      <w:kern w:val="0"/>
                      <w:sz w:val="18"/>
                      <w:szCs w:val="18"/>
                      <w:vertAlign w:val="baseline"/>
                      <w:lang w:val="en-US" w:eastAsia="zh-CN" w:bidi="ar"/>
                    </w:rPr>
                    <w:t>要进行清洗，运输过</w:t>
                  </w:r>
                  <w:r>
                    <w:rPr>
                      <w:rFonts w:hint="eastAsia" w:cs="Times New Roman"/>
                      <w:color w:val="000000"/>
                      <w:kern w:val="0"/>
                      <w:sz w:val="18"/>
                      <w:szCs w:val="18"/>
                      <w:vertAlign w:val="baseline"/>
                      <w:lang w:val="en-US" w:eastAsia="zh-CN" w:bidi="ar"/>
                    </w:rPr>
                    <w:t>程中</w:t>
                  </w:r>
                  <w:r>
                    <w:rPr>
                      <w:rFonts w:hint="eastAsia" w:ascii="Times New Roman" w:hAnsi="Times New Roman" w:eastAsia="宋体" w:cs="Times New Roman"/>
                      <w:color w:val="000000"/>
                      <w:kern w:val="0"/>
                      <w:sz w:val="18"/>
                      <w:szCs w:val="18"/>
                      <w:vertAlign w:val="baseline"/>
                      <w:lang w:val="en-US" w:eastAsia="zh-CN" w:bidi="ar"/>
                    </w:rPr>
                    <w:t>采取密闭措施，并按照指定路线运输。加强建筑施工场地运输车辆的管理。建筑施工场地必须设置“三池一设备”（车辆过水池、沉淀池、冲洗池及车辆清洗设备），建筑垃圾（含渣土）运输车辆驶离工地要进行清洗保洁；运输过程采取密闭措施，杜绝“滴、漏、泼、洒”污染路面、违规乱排乱倒、车身不洁等情况；达不到外运条件的坚决不予外运，造成路面污染或违规行为较突出等情况的，一律停工整改。严惩施工扬尘污染违法违规行为。</w:t>
                  </w:r>
                </w:p>
              </w:tc>
              <w:tc>
                <w:tcPr>
                  <w:tcW w:w="1076" w:type="pct"/>
                  <w:tcBorders>
                    <w:top w:val="single" w:color="auto" w:sz="4" w:space="0"/>
                    <w:bottom w:val="single" w:color="auto" w:sz="4" w:space="0"/>
                  </w:tcBorders>
                  <w:noWrap w:val="0"/>
                  <w:vAlign w:val="center"/>
                </w:tcPr>
                <w:p w14:paraId="4BBDE999">
                  <w:pPr>
                    <w:pStyle w:val="3"/>
                    <w:keepNext w:val="0"/>
                    <w:keepLines w:val="0"/>
                    <w:pageBreakBefore w:val="0"/>
                    <w:widowControl w:val="0"/>
                    <w:suppressLineNumbers w:val="0"/>
                    <w:kinsoku w:val="0"/>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环评要求项目施工过程设置挡墙和防尘抑尘网。进出施工区域的车辆需进行洗轮，运输车辆需使用篷布覆盖</w:t>
                  </w:r>
                  <w:r>
                    <w:rPr>
                      <w:rFonts w:hint="eastAsia" w:ascii="Times New Roman" w:hAnsi="Times New Roman" w:cs="Times New Roman"/>
                      <w:color w:val="000000"/>
                      <w:kern w:val="0"/>
                      <w:sz w:val="18"/>
                      <w:szCs w:val="18"/>
                      <w:vertAlign w:val="baseline"/>
                      <w:lang w:val="en-US" w:eastAsia="zh-CN" w:bidi="ar"/>
                    </w:rPr>
                    <w:t>。</w:t>
                  </w:r>
                </w:p>
              </w:tc>
              <w:tc>
                <w:tcPr>
                  <w:tcW w:w="548" w:type="pct"/>
                  <w:tcBorders>
                    <w:top w:val="single" w:color="auto" w:sz="4" w:space="0"/>
                    <w:bottom w:val="single" w:color="auto" w:sz="4" w:space="0"/>
                  </w:tcBorders>
                  <w:noWrap w:val="0"/>
                  <w:vAlign w:val="center"/>
                </w:tcPr>
                <w:p w14:paraId="0C4FB81C">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6A5BA1F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continue"/>
                  <w:noWrap w:val="0"/>
                  <w:vAlign w:val="center"/>
                </w:tcPr>
                <w:p w14:paraId="31E9E2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630" w:type="pct"/>
                  <w:tcBorders>
                    <w:top w:val="single" w:color="auto" w:sz="4" w:space="0"/>
                    <w:bottom w:val="single" w:color="auto" w:sz="4" w:space="0"/>
                  </w:tcBorders>
                  <w:noWrap w:val="0"/>
                  <w:vAlign w:val="center"/>
                </w:tcPr>
                <w:p w14:paraId="2E9A0F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大保护力度。将符合条件的优先保护类耕地划为永久基本农田并实行特殊保护，确保其面积不减少，土壤环境质量不降低。永久基本农田一经划定，其他任何建设不得擅自占用，国家和省重点建设项目选址确实无法避让的，依法依规按照程序报批。在优先保护类耕地集中的地区开展高标准农田建设。积极推行秸秆还田、增施有机肥、少耕免耕、轮作间作、推广可降解农膜与回收利用等措施。对优先保护类耕地面积减少或土壤环境质量下降的县（市、区），进行预警提醒并依法采取有关环评限批等限制性措施。</w:t>
                  </w:r>
                </w:p>
              </w:tc>
              <w:tc>
                <w:tcPr>
                  <w:tcW w:w="1076" w:type="pct"/>
                  <w:tcBorders>
                    <w:top w:val="single" w:color="auto" w:sz="4" w:space="0"/>
                    <w:bottom w:val="single" w:color="auto" w:sz="4" w:space="0"/>
                  </w:tcBorders>
                  <w:noWrap w:val="0"/>
                  <w:vAlign w:val="center"/>
                </w:tcPr>
                <w:p w14:paraId="5BEB9759">
                  <w:pPr>
                    <w:pStyle w:val="3"/>
                    <w:keepNext w:val="0"/>
                    <w:keepLines w:val="0"/>
                    <w:pageBreakBefore w:val="0"/>
                    <w:widowControl w:val="0"/>
                    <w:suppressLineNumbers w:val="0"/>
                    <w:kinsoku w:val="0"/>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本项目选址不涉及永久基本农田</w:t>
                  </w:r>
                  <w:r>
                    <w:rPr>
                      <w:rFonts w:hint="eastAsia" w:ascii="Times New Roman" w:hAnsi="Times New Roman" w:cs="Times New Roman"/>
                      <w:color w:val="000000"/>
                      <w:kern w:val="0"/>
                      <w:sz w:val="18"/>
                      <w:szCs w:val="18"/>
                      <w:vertAlign w:val="baseline"/>
                      <w:lang w:val="en-US" w:eastAsia="zh-CN" w:bidi="ar"/>
                    </w:rPr>
                    <w:t>。</w:t>
                  </w:r>
                </w:p>
              </w:tc>
              <w:tc>
                <w:tcPr>
                  <w:tcW w:w="548" w:type="pct"/>
                  <w:tcBorders>
                    <w:top w:val="single" w:color="auto" w:sz="4" w:space="0"/>
                    <w:bottom w:val="single" w:color="auto" w:sz="4" w:space="0"/>
                  </w:tcBorders>
                  <w:noWrap w:val="0"/>
                  <w:vAlign w:val="center"/>
                </w:tcPr>
                <w:p w14:paraId="3E51A908">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62B3B1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continue"/>
                  <w:noWrap w:val="0"/>
                  <w:vAlign w:val="center"/>
                </w:tcPr>
                <w:p w14:paraId="5BD5CD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630" w:type="pct"/>
                  <w:tcBorders>
                    <w:top w:val="single" w:color="auto" w:sz="4" w:space="0"/>
                    <w:bottom w:val="single" w:color="auto" w:sz="4" w:space="0"/>
                  </w:tcBorders>
                  <w:noWrap w:val="0"/>
                  <w:vAlign w:val="center"/>
                </w:tcPr>
                <w:p w14:paraId="3BE19A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严格控制工程弃土的调拨使用，建立建筑垃圾“网格化”管理责任机制。严禁施工工地、闲置用地等堆放建筑垃圾或施工弃土，加快推进政府主导弃土消纳场的审核批准工作。充分调动和发挥渣运公司、渣土车行业协会等民间组织的力量，加强行业自律，督促渣运公司强化自身管理。对建筑垃圾管理工作正面和反面问题予以宣传和曝光，接受社会及市民监督。</w:t>
                  </w:r>
                </w:p>
              </w:tc>
              <w:tc>
                <w:tcPr>
                  <w:tcW w:w="1076" w:type="pct"/>
                  <w:tcBorders>
                    <w:top w:val="single" w:color="auto" w:sz="4" w:space="0"/>
                    <w:bottom w:val="single" w:color="auto" w:sz="4" w:space="0"/>
                  </w:tcBorders>
                  <w:noWrap w:val="0"/>
                  <w:vAlign w:val="center"/>
                </w:tcPr>
                <w:p w14:paraId="1E2941C6">
                  <w:pPr>
                    <w:pStyle w:val="3"/>
                    <w:keepNext w:val="0"/>
                    <w:keepLines w:val="0"/>
                    <w:pageBreakBefore w:val="0"/>
                    <w:widowControl w:val="0"/>
                    <w:suppressLineNumbers w:val="0"/>
                    <w:kinsoku w:val="0"/>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本项目无弃土产生，不涉及土方堆存。</w:t>
                  </w:r>
                </w:p>
              </w:tc>
              <w:tc>
                <w:tcPr>
                  <w:tcW w:w="548" w:type="pct"/>
                  <w:tcBorders>
                    <w:top w:val="single" w:color="auto" w:sz="4" w:space="0"/>
                    <w:bottom w:val="single" w:color="auto" w:sz="4" w:space="0"/>
                  </w:tcBorders>
                  <w:noWrap w:val="0"/>
                  <w:vAlign w:val="center"/>
                </w:tcPr>
                <w:p w14:paraId="515A8122">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2DA48EC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continue"/>
                  <w:noWrap w:val="0"/>
                  <w:vAlign w:val="center"/>
                </w:tcPr>
                <w:p w14:paraId="09FA65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630" w:type="pct"/>
                  <w:tcBorders>
                    <w:top w:val="single" w:color="auto" w:sz="4" w:space="0"/>
                    <w:bottom w:val="single" w:color="auto" w:sz="4" w:space="0"/>
                  </w:tcBorders>
                  <w:noWrap w:val="0"/>
                  <w:vAlign w:val="center"/>
                </w:tcPr>
                <w:p w14:paraId="6619FB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对新建电磁辐射类项目严格执行环境影响评价、“三同时”和环保竣工验收制度。加强对电磁辐射项目的日常监管与监督执法。认真处理好电磁辐射类项目群众投诉、信访事件，保障群众的环境权益。</w:t>
                  </w:r>
                </w:p>
              </w:tc>
              <w:tc>
                <w:tcPr>
                  <w:tcW w:w="1076" w:type="pct"/>
                  <w:tcBorders>
                    <w:top w:val="single" w:color="auto" w:sz="4" w:space="0"/>
                    <w:bottom w:val="single" w:color="auto" w:sz="4" w:space="0"/>
                  </w:tcBorders>
                  <w:noWrap w:val="0"/>
                  <w:vAlign w:val="center"/>
                </w:tcPr>
                <w:p w14:paraId="05433A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环评已提出“三同时”要求。</w:t>
                  </w:r>
                </w:p>
              </w:tc>
              <w:tc>
                <w:tcPr>
                  <w:tcW w:w="548" w:type="pct"/>
                  <w:tcBorders>
                    <w:top w:val="single" w:color="auto" w:sz="4" w:space="0"/>
                    <w:bottom w:val="single" w:color="auto" w:sz="4" w:space="0"/>
                  </w:tcBorders>
                  <w:noWrap w:val="0"/>
                  <w:vAlign w:val="center"/>
                </w:tcPr>
                <w:p w14:paraId="646BB9C2">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5E1BC5B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restart"/>
                  <w:noWrap w:val="0"/>
                  <w:vAlign w:val="center"/>
                </w:tcPr>
                <w:p w14:paraId="618C0D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加强生态监管，维护生态系统安全</w:t>
                  </w:r>
                </w:p>
              </w:tc>
              <w:tc>
                <w:tcPr>
                  <w:tcW w:w="2630" w:type="pct"/>
                  <w:tcBorders>
                    <w:top w:val="single" w:color="auto" w:sz="4" w:space="0"/>
                    <w:bottom w:val="single" w:color="auto" w:sz="4" w:space="0"/>
                  </w:tcBorders>
                  <w:noWrap w:val="0"/>
                  <w:vAlign w:val="center"/>
                </w:tcPr>
                <w:p w14:paraId="1AFFF3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加强部门协作：贯彻落实好《云南省生物多样性保护条例》，强化市生物多样性保护委员会统筹领导机制，加强部门协作。加强对外来物种引入的评估和审批。</w:t>
                  </w:r>
                </w:p>
              </w:tc>
              <w:tc>
                <w:tcPr>
                  <w:tcW w:w="1076" w:type="pct"/>
                  <w:tcBorders>
                    <w:top w:val="single" w:color="auto" w:sz="4" w:space="0"/>
                    <w:bottom w:val="single" w:color="auto" w:sz="4" w:space="0"/>
                  </w:tcBorders>
                  <w:noWrap w:val="0"/>
                  <w:vAlign w:val="center"/>
                </w:tcPr>
                <w:p w14:paraId="67D71F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本项目不占用自然保护区和生态红线，区域无重点保护的野生动物符合《云南省生物多样性保护条例》。</w:t>
                  </w:r>
                </w:p>
              </w:tc>
              <w:tc>
                <w:tcPr>
                  <w:tcW w:w="548" w:type="pct"/>
                  <w:tcBorders>
                    <w:top w:val="single" w:color="auto" w:sz="4" w:space="0"/>
                    <w:bottom w:val="single" w:color="auto" w:sz="4" w:space="0"/>
                  </w:tcBorders>
                  <w:noWrap w:val="0"/>
                  <w:vAlign w:val="center"/>
                </w:tcPr>
                <w:p w14:paraId="0A2E2BAA">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55B266C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745" w:type="pct"/>
                  <w:vMerge w:val="continue"/>
                  <w:noWrap w:val="0"/>
                  <w:vAlign w:val="center"/>
                </w:tcPr>
                <w:p w14:paraId="3137AF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630" w:type="pct"/>
                  <w:tcBorders>
                    <w:top w:val="single" w:color="auto" w:sz="4" w:space="0"/>
                  </w:tcBorders>
                  <w:noWrap w:val="0"/>
                  <w:vAlign w:val="center"/>
                </w:tcPr>
                <w:p w14:paraId="72227E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进行就地保护：依托玉溪市境内22个各级各类的自然保护区，建立生物多样性在自然保护区内的就地保护工作。核心区禁止任何单位和个人进入，以保证该区域内的生物多样性不遭受来自任何外界的干扰；缓冲区只准进入从事科学研究观测活动，进入前需向当地自然保护区主管审批部门进行书面申报，在获得许可后方可进入，观测工作完成后需要将形成的科研报告提交主管审批部门存档；实验区可以进入从事科学试验、教学实习、参观考察、旅游以及驯化、繁殖珍稀、濒危野生动植物等活动，但所建设的所有设施不得污染和破坏自然保护区的环境质量。</w:t>
                  </w:r>
                </w:p>
              </w:tc>
              <w:tc>
                <w:tcPr>
                  <w:tcW w:w="1076" w:type="pct"/>
                  <w:tcBorders>
                    <w:top w:val="single" w:color="auto" w:sz="4" w:space="0"/>
                  </w:tcBorders>
                  <w:noWrap w:val="0"/>
                  <w:vAlign w:val="center"/>
                </w:tcPr>
                <w:p w14:paraId="6BE9A2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本项目不涉及自然保护区</w:t>
                  </w:r>
                  <w:r>
                    <w:rPr>
                      <w:rFonts w:hint="eastAsia" w:cs="Times New Roman"/>
                      <w:color w:val="000000"/>
                      <w:kern w:val="0"/>
                      <w:sz w:val="18"/>
                      <w:szCs w:val="18"/>
                      <w:vertAlign w:val="baseline"/>
                      <w:lang w:val="en-US" w:eastAsia="zh-CN" w:bidi="ar"/>
                    </w:rPr>
                    <w:t>。</w:t>
                  </w:r>
                </w:p>
              </w:tc>
              <w:tc>
                <w:tcPr>
                  <w:tcW w:w="548" w:type="pct"/>
                  <w:tcBorders>
                    <w:top w:val="single" w:color="auto" w:sz="4" w:space="0"/>
                  </w:tcBorders>
                  <w:noWrap w:val="0"/>
                  <w:vAlign w:val="center"/>
                </w:tcPr>
                <w:p w14:paraId="0801475C">
                  <w:pPr>
                    <w:pStyle w:val="3"/>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bl>
          <w:p w14:paraId="6AC7EB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黑体" w:hAnsi="黑体" w:eastAsia="黑体" w:cs="黑体"/>
                <w:b w:val="0"/>
                <w:bCs/>
                <w:color w:val="auto"/>
                <w:sz w:val="24"/>
                <w:szCs w:val="24"/>
                <w:lang w:val="en-US" w:eastAsia="zh-CN"/>
              </w:rPr>
            </w:pP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综上所述，本项目的建设符合《玉溪市“十四五”生态建设和环境保护规划》（2021-2025年）的相关要求。</w:t>
            </w:r>
          </w:p>
          <w:p w14:paraId="32520E0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12</w:t>
            </w:r>
            <w:r>
              <w:rPr>
                <w:rFonts w:hint="eastAsia" w:ascii="Times New Roman" w:hAnsi="Times New Roman" w:cs="Times New Roman"/>
                <w:b/>
                <w:bCs/>
                <w:color w:val="auto"/>
                <w:kern w:val="0"/>
                <w:sz w:val="24"/>
                <w:lang w:val="en-US" w:eastAsia="zh-CN"/>
              </w:rPr>
              <w:t>、</w:t>
            </w:r>
            <w:r>
              <w:rPr>
                <w:rFonts w:hint="eastAsia" w:cs="Times New Roman"/>
                <w:b/>
                <w:bCs/>
                <w:color w:val="auto"/>
                <w:kern w:val="0"/>
                <w:sz w:val="24"/>
                <w:lang w:val="en-US" w:eastAsia="zh-CN"/>
              </w:rPr>
              <w:t>项目</w:t>
            </w:r>
            <w:r>
              <w:rPr>
                <w:rFonts w:hint="eastAsia" w:ascii="Times New Roman" w:hAnsi="Times New Roman" w:cs="Times New Roman"/>
                <w:b/>
                <w:bCs/>
                <w:color w:val="auto"/>
                <w:kern w:val="0"/>
                <w:sz w:val="24"/>
                <w:lang w:val="en-US" w:eastAsia="zh-CN"/>
              </w:rPr>
              <w:t>与</w:t>
            </w:r>
            <w:r>
              <w:rPr>
                <w:rFonts w:hint="eastAsia" w:cs="Times New Roman"/>
                <w:b/>
                <w:bCs/>
                <w:color w:val="auto"/>
                <w:kern w:val="0"/>
                <w:sz w:val="24"/>
                <w:lang w:val="en-US" w:eastAsia="zh-CN"/>
              </w:rPr>
              <w:t>《云南省国土空间规划（2021—2035年）》</w:t>
            </w:r>
            <w:r>
              <w:rPr>
                <w:rFonts w:hint="eastAsia" w:ascii="Times New Roman" w:hAnsi="Times New Roman" w:cs="Times New Roman"/>
                <w:b/>
                <w:bCs/>
                <w:color w:val="auto"/>
                <w:kern w:val="0"/>
                <w:sz w:val="24"/>
                <w:lang w:val="en-US" w:eastAsia="zh-CN"/>
              </w:rPr>
              <w:t>符合性分析</w:t>
            </w:r>
          </w:p>
          <w:p w14:paraId="28E541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建立国土空间规划体系并监督实施，将主体功能区规划、土地利用规划、城乡规划等空间规划融合为统一的国土空间规划，实现“多规合一”，强化国土空间规划对各专项规划的指导约束作用，是党中央、国务院作出的重大战略部署。云南省委、省政府坚持以习近平新时代中国特色社会主义思想为指导，全面贯彻党的二十大精神，深入落实习近平总书记考察云南重要讲话精神，贯彻落实党中央、国务院关于推进“多规合一”、建立国土空间规划体系并监督实施的决策部署，严格落实《中华人民共和国国民经济和社会发展第十四个五年规划和二〇三五年远景目标纲要》、《全国国土空间规划纲要（2021—2035年）》（以下简称《全国纲要》），组织编制《云南省国土空间规划（2021—2035年）》（以下简称《规划》），建立云南省国土空间规划体系。</w:t>
            </w:r>
          </w:p>
          <w:p w14:paraId="5C0701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第九章强化空间统筹，保障重大基础设施建设 第一节构建现代立体综合交通网络</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搭建国内外运输集约化平台</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rPr>
              <w:t>优化运输结构，降低物流运输成本。配合国家物流体系建设，发展多式联运，形成低成本、高效率的物流服务网络，推进货运一单制，完善城市配送体系，健全县乡村三级物流配送网络，使国内外货物运输更加便利。</w:t>
            </w:r>
          </w:p>
          <w:p w14:paraId="6F1A06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highlight w:val="none"/>
              </w:rPr>
              <w:t>本项目位于</w:t>
            </w:r>
            <w:r>
              <w:rPr>
                <w:rFonts w:hint="default" w:ascii="Times New Roman" w:hAnsi="Times New Roman" w:eastAsia="宋体" w:cs="Times New Roman"/>
                <w:color w:val="auto"/>
                <w:kern w:val="0"/>
                <w:sz w:val="24"/>
                <w:szCs w:val="24"/>
                <w:highlight w:val="none"/>
                <w:lang w:val="en-US" w:eastAsia="zh-CN"/>
              </w:rPr>
              <w:t>云南新平</w:t>
            </w:r>
            <w:r>
              <w:rPr>
                <w:rFonts w:hint="default" w:ascii="Times New Roman" w:hAnsi="Times New Roman" w:eastAsia="宋体" w:cs="Times New Roman"/>
                <w:color w:val="auto"/>
                <w:kern w:val="0"/>
                <w:sz w:val="24"/>
                <w:szCs w:val="24"/>
                <w:highlight w:val="none"/>
              </w:rPr>
              <w:t>产业园区</w:t>
            </w:r>
            <w:r>
              <w:rPr>
                <w:rFonts w:hint="default" w:ascii="Times New Roman" w:hAnsi="Times New Roman" w:eastAsia="宋体" w:cs="Times New Roman"/>
                <w:color w:val="auto"/>
                <w:kern w:val="0"/>
                <w:sz w:val="24"/>
                <w:szCs w:val="24"/>
                <w:highlight w:val="none"/>
                <w:lang w:val="en-US" w:eastAsia="zh-CN"/>
              </w:rPr>
              <w:t>绿色钢城片区</w:t>
            </w:r>
            <w:r>
              <w:rPr>
                <w:rFonts w:hint="default" w:ascii="Times New Roman" w:hAnsi="Times New Roman" w:cs="Times New Roman"/>
                <w:color w:val="auto"/>
                <w:sz w:val="24"/>
                <w:highlight w:val="none"/>
              </w:rPr>
              <w:t>，</w:t>
            </w:r>
            <w:r>
              <w:rPr>
                <w:rFonts w:hint="eastAsia" w:ascii="Times New Roman" w:hAnsi="Times New Roman" w:cs="Times New Roman"/>
                <w:kern w:val="2"/>
                <w:sz w:val="24"/>
                <w:szCs w:val="24"/>
                <w:lang w:val="en-US" w:eastAsia="zh-CN" w:bidi="ar-SA"/>
              </w:rPr>
              <w:t>为</w:t>
            </w:r>
            <w:r>
              <w:rPr>
                <w:rFonts w:hint="default" w:ascii="Times New Roman" w:hAnsi="Times New Roman" w:eastAsia="宋体" w:cs="Times New Roman"/>
                <w:kern w:val="2"/>
                <w:sz w:val="24"/>
                <w:szCs w:val="24"/>
                <w:lang w:val="en-US" w:eastAsia="zh-CN" w:bidi="ar-SA"/>
              </w:rPr>
              <w:t>云南玉溪仙福钢铁（集团）有限公司</w:t>
            </w:r>
            <w:r>
              <w:rPr>
                <w:rFonts w:hint="eastAsia" w:ascii="Times New Roman" w:hAnsi="Times New Roman" w:cs="Times New Roman"/>
                <w:kern w:val="2"/>
                <w:sz w:val="24"/>
                <w:szCs w:val="24"/>
                <w:lang w:val="en-US" w:eastAsia="zh-CN" w:bidi="ar-SA"/>
              </w:rPr>
              <w:t>配套</w:t>
            </w:r>
            <w:r>
              <w:rPr>
                <w:rFonts w:hint="eastAsia" w:cs="Times New Roman"/>
                <w:kern w:val="2"/>
                <w:sz w:val="24"/>
                <w:szCs w:val="24"/>
                <w:lang w:val="en-US" w:eastAsia="zh-CN" w:bidi="ar-SA"/>
              </w:rPr>
              <w:t>铁路专用</w:t>
            </w:r>
            <w:r>
              <w:rPr>
                <w:rFonts w:hint="eastAsia" w:ascii="Times New Roman" w:hAnsi="Times New Roman" w:cs="Times New Roman"/>
                <w:kern w:val="2"/>
                <w:sz w:val="24"/>
                <w:szCs w:val="24"/>
                <w:lang w:val="en-US" w:eastAsia="zh-CN" w:bidi="ar-SA"/>
              </w:rPr>
              <w:t>线项目，属于</w:t>
            </w:r>
            <w:r>
              <w:rPr>
                <w:rFonts w:hint="eastAsia" w:cs="Times New Roman"/>
                <w:kern w:val="2"/>
                <w:sz w:val="24"/>
                <w:szCs w:val="24"/>
                <w:lang w:val="en-US" w:eastAsia="zh-CN" w:bidi="ar-SA"/>
              </w:rPr>
              <w:t>新建铁路专用线项目</w:t>
            </w:r>
            <w:r>
              <w:rPr>
                <w:rFonts w:hint="eastAsia" w:ascii="Times New Roman" w:hAnsi="Times New Roman" w:cs="Times New Roman"/>
                <w:kern w:val="2"/>
                <w:sz w:val="24"/>
                <w:szCs w:val="24"/>
                <w:lang w:val="en-US" w:eastAsia="zh-CN" w:bidi="ar-SA"/>
              </w:rPr>
              <w:t>，</w:t>
            </w:r>
            <w:r>
              <w:rPr>
                <w:rFonts w:hint="eastAsia" w:cs="Times New Roman"/>
                <w:kern w:val="2"/>
                <w:sz w:val="24"/>
                <w:szCs w:val="24"/>
                <w:lang w:val="en-US" w:eastAsia="zh-CN" w:bidi="ar-SA"/>
              </w:rPr>
              <w:t>建成后为仙福钢铁厂</w:t>
            </w:r>
            <w:r>
              <w:rPr>
                <w:rFonts w:hint="eastAsia" w:ascii="Times New Roman" w:hAnsi="Times New Roman" w:cs="Times New Roman"/>
                <w:kern w:val="2"/>
                <w:sz w:val="24"/>
                <w:szCs w:val="24"/>
                <w:lang w:val="en-US" w:eastAsia="zh-CN" w:bidi="ar-SA"/>
              </w:rPr>
              <w:t>提供重要的交通通道，保证园区内企业的原料、成品的运输能力</w:t>
            </w:r>
            <w:r>
              <w:rPr>
                <w:rFonts w:hint="eastAsia" w:cs="Times New Roman"/>
                <w:kern w:val="2"/>
                <w:sz w:val="24"/>
                <w:szCs w:val="24"/>
                <w:lang w:val="en-US" w:eastAsia="zh-CN" w:bidi="ar-SA"/>
              </w:rPr>
              <w:t>，可有效降低物流运输成本，完善了运输体系，因此，本项目与《</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云南省国土空间规划（2021—2035年）</w:t>
            </w:r>
            <w:r>
              <w:rPr>
                <w:rFonts w:hint="eastAsia" w:cs="Times New Roman"/>
                <w:kern w:val="2"/>
                <w:sz w:val="24"/>
                <w:szCs w:val="24"/>
                <w:lang w:val="en-US" w:eastAsia="zh-CN" w:bidi="ar-SA"/>
              </w:rPr>
              <w:t>》相符。</w:t>
            </w:r>
          </w:p>
          <w:p w14:paraId="212B75CD">
            <w:pPr>
              <w:pStyle w:val="2"/>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13、</w:t>
            </w:r>
            <w:r>
              <w:rPr>
                <w:rFonts w:hint="eastAsia" w:ascii="Times New Roman" w:hAnsi="Times New Roman" w:eastAsia="宋体" w:cs="Times New Roman"/>
                <w:b/>
                <w:bCs/>
                <w:color w:val="auto"/>
                <w:sz w:val="24"/>
                <w:szCs w:val="24"/>
                <w:highlight w:val="none"/>
                <w:lang w:val="en-US" w:eastAsia="zh-CN"/>
              </w:rPr>
              <w:t>云南省生态功能区划</w:t>
            </w:r>
          </w:p>
          <w:p w14:paraId="0181BB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szCs w:val="24"/>
                <w:highlight w:val="none"/>
              </w:rPr>
              <w:t>根据《云南省生态功能区划》，项目区生态功能区为</w:t>
            </w:r>
            <w:r>
              <w:rPr>
                <w:rFonts w:hint="default" w:ascii="Times New Roman" w:hAnsi="Times New Roman" w:cs="Times New Roman"/>
                <w:color w:val="auto"/>
                <w:kern w:val="0"/>
                <w:sz w:val="24"/>
                <w:szCs w:val="24"/>
                <w:highlight w:val="none"/>
              </w:rPr>
              <w:fldChar w:fldCharType="begin"/>
            </w:r>
            <w:r>
              <w:rPr>
                <w:rFonts w:hint="default" w:ascii="Times New Roman" w:hAnsi="Times New Roman" w:cs="Times New Roman"/>
                <w:color w:val="auto"/>
                <w:kern w:val="0"/>
                <w:sz w:val="24"/>
                <w:szCs w:val="24"/>
                <w:highlight w:val="none"/>
              </w:rPr>
              <w:instrText xml:space="preserve"> = 2 \* ROMAN </w:instrText>
            </w:r>
            <w:r>
              <w:rPr>
                <w:rFonts w:hint="default" w:ascii="Times New Roman" w:hAnsi="Times New Roman" w:cs="Times New Roman"/>
                <w:color w:val="auto"/>
                <w:kern w:val="0"/>
                <w:sz w:val="24"/>
                <w:szCs w:val="24"/>
                <w:highlight w:val="none"/>
              </w:rPr>
              <w:fldChar w:fldCharType="separate"/>
            </w:r>
            <w:r>
              <w:rPr>
                <w:rFonts w:hint="default" w:ascii="Times New Roman" w:hAnsi="Times New Roman" w:cs="Times New Roman"/>
                <w:color w:val="auto"/>
                <w:kern w:val="0"/>
                <w:sz w:val="24"/>
                <w:szCs w:val="24"/>
                <w:highlight w:val="none"/>
              </w:rPr>
              <w:t>II</w:t>
            </w:r>
            <w:r>
              <w:rPr>
                <w:rFonts w:hint="default" w:ascii="Times New Roman" w:hAnsi="Times New Roman" w:cs="Times New Roman"/>
                <w:color w:val="auto"/>
                <w:kern w:val="0"/>
                <w:sz w:val="24"/>
                <w:szCs w:val="24"/>
                <w:highlight w:val="none"/>
              </w:rPr>
              <w:fldChar w:fldCharType="end"/>
            </w:r>
            <w:r>
              <w:rPr>
                <w:rFonts w:hint="default" w:ascii="Times New Roman" w:hAnsi="Times New Roman" w:cs="Times New Roman"/>
                <w:color w:val="auto"/>
                <w:kern w:val="0"/>
                <w:sz w:val="24"/>
                <w:szCs w:val="24"/>
                <w:highlight w:val="none"/>
              </w:rPr>
              <w:t>4-3新平撮科河中山山原林业与水源涵养生态功能区；所在区域为新平、峨山、石屏、元江四县交接地带，面积为3170.28平方公里；主要生态特征以中山河谷地貌为主。降雨量偏少，仅为800-900毫米，主要植被类型为云南松林和思茅松林。土壤以紫色土为主；主要生态环境问题为矿山开采造成的水源林破坏，森林质量差、林</w:t>
            </w:r>
            <w:r>
              <w:rPr>
                <w:rFonts w:hint="eastAsia" w:ascii="Times New Roman" w:hAnsi="Times New Roman" w:cs="Times New Roman"/>
                <w:color w:val="auto"/>
                <w:kern w:val="0"/>
                <w:sz w:val="24"/>
                <w:szCs w:val="24"/>
                <w:highlight w:val="none"/>
                <w:lang w:eastAsia="zh-CN"/>
              </w:rPr>
              <w:t>种</w:t>
            </w:r>
            <w:r>
              <w:rPr>
                <w:rFonts w:hint="default" w:ascii="Times New Roman" w:hAnsi="Times New Roman" w:cs="Times New Roman"/>
                <w:color w:val="auto"/>
                <w:kern w:val="0"/>
                <w:sz w:val="24"/>
                <w:szCs w:val="24"/>
                <w:highlight w:val="none"/>
              </w:rPr>
              <w:t>单一；生态环境敏感性为土壤侵蚀中度和高度敏感；主要生态系统服务功能为元江上游地区的水源涵养、预防水土流失；保护措施与发展方向为封山育林、提高森林的数量和质量，调整土地利用方式、严格退耕还林、提高区域的水源涵养能力。</w:t>
            </w:r>
          </w:p>
          <w:p w14:paraId="5D8070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本项目不涉及自然保护区、世界遗产地、风景名胜区、森林公园、地质公园、饮用水源保护区、湿地公园等，也不涉及公益林、基本农田的占用。</w:t>
            </w:r>
          </w:p>
          <w:p w14:paraId="35B973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运营期</w:t>
            </w:r>
            <w:r>
              <w:rPr>
                <w:rFonts w:hint="eastAsia" w:ascii="Times New Roman" w:hAnsi="Times New Roman" w:eastAsia="宋体" w:cs="Times New Roman"/>
                <w:color w:val="000000"/>
                <w:kern w:val="0"/>
                <w:sz w:val="24"/>
                <w:szCs w:val="24"/>
                <w:lang w:val="en-US" w:eastAsia="zh-CN" w:bidi="ar"/>
              </w:rPr>
              <w:t>无工业用水，不排放生产废水，</w:t>
            </w:r>
            <w:r>
              <w:rPr>
                <w:rFonts w:hint="eastAsia"/>
                <w:sz w:val="24"/>
                <w:szCs w:val="24"/>
                <w:vertAlign w:val="baseline"/>
                <w:lang w:val="en-US" w:eastAsia="zh-CN"/>
              </w:rPr>
              <w:t>生活污水通过化粪池预处理后，排入新建的一体化污水处理设施，处理能力为10m</w:t>
            </w:r>
            <w:r>
              <w:rPr>
                <w:rFonts w:hint="eastAsia"/>
                <w:sz w:val="24"/>
                <w:szCs w:val="24"/>
                <w:vertAlign w:val="superscript"/>
                <w:lang w:val="en-US" w:eastAsia="zh-CN"/>
              </w:rPr>
              <w:t>3</w:t>
            </w:r>
            <w:r>
              <w:rPr>
                <w:rFonts w:hint="eastAsia"/>
                <w:sz w:val="24"/>
                <w:szCs w:val="24"/>
                <w:vertAlign w:val="baseline"/>
                <w:lang w:val="en-US" w:eastAsia="zh-CN"/>
              </w:rPr>
              <w:t>/d，处理后回用于厂区绿化或洒水降尘，不外排</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本项目废气主要为少量内燃机尾气</w:t>
            </w:r>
            <w:r>
              <w:rPr>
                <w:rFonts w:hint="eastAsia" w:cs="Times New Roman"/>
                <w:color w:val="000000"/>
                <w:kern w:val="0"/>
                <w:sz w:val="24"/>
                <w:szCs w:val="24"/>
                <w:lang w:val="en-US" w:eastAsia="zh-CN" w:bidi="ar"/>
              </w:rPr>
              <w:t>和煤装卸废气</w:t>
            </w:r>
            <w:r>
              <w:rPr>
                <w:rFonts w:hint="eastAsia" w:ascii="Times New Roman" w:hAnsi="Times New Roman" w:eastAsia="宋体" w:cs="Times New Roman"/>
                <w:color w:val="000000"/>
                <w:kern w:val="0"/>
                <w:sz w:val="24"/>
                <w:szCs w:val="24"/>
                <w:lang w:val="en-US" w:eastAsia="zh-CN" w:bidi="ar"/>
              </w:rPr>
              <w:t>，内燃机尾气经自然稀释后可达标排放，</w:t>
            </w:r>
            <w:r>
              <w:rPr>
                <w:rFonts w:hint="eastAsia" w:cs="Times New Roman"/>
                <w:color w:val="000000"/>
                <w:kern w:val="0"/>
                <w:sz w:val="24"/>
                <w:szCs w:val="24"/>
                <w:lang w:val="en-US" w:eastAsia="zh-CN" w:bidi="ar"/>
              </w:rPr>
              <w:t>煤装卸废气通过洒水降尘后排放量较小，</w:t>
            </w:r>
            <w:r>
              <w:rPr>
                <w:rFonts w:hint="eastAsia" w:ascii="Times New Roman" w:hAnsi="Times New Roman" w:eastAsia="宋体" w:cs="Times New Roman"/>
                <w:color w:val="000000"/>
                <w:kern w:val="0"/>
                <w:sz w:val="24"/>
                <w:szCs w:val="24"/>
                <w:lang w:val="en-US" w:eastAsia="zh-CN" w:bidi="ar"/>
              </w:rPr>
              <w:t>本项目的实施对大气环境和水环境影响较小，因此，该项目建设符合《云南省生态功能区划》的相关规划要求。</w:t>
            </w:r>
          </w:p>
          <w:p w14:paraId="6D6BEB7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14</w:t>
            </w:r>
            <w:r>
              <w:rPr>
                <w:rFonts w:hint="eastAsia" w:ascii="Times New Roman" w:hAnsi="Times New Roman" w:eastAsia="宋体" w:cs="Times New Roman"/>
                <w:b/>
                <w:bCs/>
                <w:color w:val="auto"/>
                <w:kern w:val="0"/>
                <w:sz w:val="24"/>
                <w:lang w:val="en-US" w:eastAsia="zh-CN"/>
              </w:rPr>
              <w:t>、</w:t>
            </w:r>
            <w:r>
              <w:rPr>
                <w:rFonts w:hint="default" w:ascii="Times New Roman" w:hAnsi="Times New Roman" w:eastAsia="宋体" w:cs="Times New Roman"/>
                <w:b/>
                <w:bCs/>
                <w:color w:val="auto"/>
                <w:kern w:val="0"/>
                <w:sz w:val="24"/>
                <w:lang w:val="en-US" w:eastAsia="zh-CN"/>
              </w:rPr>
              <w:t>与《云南省生物多样性保护战略与行动计划（20</w:t>
            </w:r>
            <w:r>
              <w:rPr>
                <w:rFonts w:hint="eastAsia" w:ascii="Times New Roman" w:hAnsi="Times New Roman" w:eastAsia="宋体" w:cs="Times New Roman"/>
                <w:b/>
                <w:bCs/>
                <w:color w:val="auto"/>
                <w:kern w:val="0"/>
                <w:sz w:val="24"/>
                <w:lang w:val="en-US" w:eastAsia="zh-CN"/>
              </w:rPr>
              <w:t>24</w:t>
            </w:r>
            <w:r>
              <w:rPr>
                <w:rFonts w:hint="default" w:ascii="Times New Roman" w:hAnsi="Times New Roman" w:eastAsia="宋体" w:cs="Times New Roman"/>
                <w:b/>
                <w:bCs/>
                <w:color w:val="auto"/>
                <w:kern w:val="0"/>
                <w:sz w:val="24"/>
                <w:lang w:val="en-US" w:eastAsia="zh-CN"/>
              </w:rPr>
              <w:t>-2030年）》相符性分析</w:t>
            </w:r>
          </w:p>
          <w:p w14:paraId="089171B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2024年5月20日，云南省生态环境厅联合云南省发展和改革委员会、云南省工业和信息化厅等部门发布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关于印发《云南省生物多样性保护战略与行动计划（2024-2030）》的通知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基于云南生物多样性保护的特色和优势，《行动计划》提出我省生物多样性保护三大战略定位：生物多样性保护的国际典范，为全球生物多样性保护作出云南贡献；生物多样性可持续利用的排头兵，打造全国生物生态资源可持续利用的云南样板；生物多样性治理体系建设的先行区，为全国生物多样性治理体系和治理能力现代化提供云南经验。</w:t>
            </w:r>
          </w:p>
          <w:p w14:paraId="4C77531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云南省玉溪市新平县扬武镇大开门云南新平产业园区绿色钢城片区，根据叠图分析，本项目厂址不在云南省生物多样性保护优先区域范围内。根据现场调查，项目区生态评价范围内未发现国家级、省级保护植物，也未发现狭域特有种及名木古树，不属于重要生态环境。项目区内及周边人类活动频繁，经现场踏勘，项目周边野生动物仅有少量啮齿类动物分布，均属常见种类，未发现国家级和云南省级重点保护野生脊椎动物分布，亦无其他珍稀濒危物种和地区特有种类分布</w:t>
            </w:r>
            <w:r>
              <w:rPr>
                <w:rFonts w:hint="default" w:ascii="Times New Roman" w:hAnsi="Times New Roman" w:eastAsia="宋体" w:cs="Times New Roman"/>
                <w:color w:val="auto"/>
                <w:sz w:val="24"/>
                <w:szCs w:val="24"/>
                <w:highlight w:val="none"/>
                <w:lang w:val="en-US" w:eastAsia="zh-CN"/>
              </w:rPr>
              <w:t>。</w:t>
            </w:r>
          </w:p>
          <w:p w14:paraId="3E92A3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color w:val="auto"/>
                <w:sz w:val="24"/>
                <w:szCs w:val="24"/>
                <w:highlight w:val="none"/>
                <w:lang w:val="en-US" w:eastAsia="zh-CN"/>
              </w:rPr>
              <w:t>项目与云南省生物多样性保护优先区域位置关系见</w:t>
            </w:r>
            <w:r>
              <w:rPr>
                <w:rFonts w:hint="eastAsia" w:ascii="Times New Roman" w:hAnsi="Times New Roman" w:eastAsia="宋体" w:cs="Times New Roman"/>
                <w:color w:val="auto"/>
                <w:sz w:val="24"/>
                <w:szCs w:val="24"/>
                <w:highlight w:val="none"/>
                <w:lang w:val="en-US" w:eastAsia="zh-CN"/>
              </w:rPr>
              <w:t>附图7</w:t>
            </w:r>
            <w:r>
              <w:rPr>
                <w:rFonts w:hint="default" w:ascii="Times New Roman" w:hAnsi="Times New Roman" w:eastAsia="宋体" w:cs="Times New Roman"/>
                <w:color w:val="auto"/>
                <w:sz w:val="24"/>
                <w:szCs w:val="24"/>
                <w:highlight w:val="none"/>
                <w:lang w:val="en-US" w:eastAsia="zh-CN"/>
              </w:rPr>
              <w:t>。</w:t>
            </w:r>
          </w:p>
          <w:p w14:paraId="5B41334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15</w:t>
            </w:r>
            <w:r>
              <w:rPr>
                <w:rFonts w:hint="eastAsia" w:ascii="Times New Roman" w:hAnsi="Times New Roman" w:cs="Times New Roman"/>
                <w:b/>
                <w:bCs/>
                <w:color w:val="auto"/>
                <w:kern w:val="0"/>
                <w:sz w:val="24"/>
                <w:lang w:val="en-US" w:eastAsia="zh-CN"/>
              </w:rPr>
              <w:t>、与行业和市场准入标准的符合性</w:t>
            </w:r>
          </w:p>
          <w:p w14:paraId="2D11B7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①本铁路专用线项目属于铁路行业，其建设符合国家与行业现行相关规范及要求。其实施未改变铁路路网结构，可为干线铁路提供货流，增加铁路网的经济效益，对铁路行业具有积极的促进作用。</w:t>
            </w:r>
          </w:p>
          <w:p w14:paraId="5A7C22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②本铁路专用线项目，于2025年1月取得中国铁路昆明局集团公司的接轨意见，同意本铁路专用线项目在中老昆万铁路化念站接轨。</w:t>
            </w:r>
          </w:p>
          <w:p w14:paraId="2414B1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③本铁路专用线项目，于2025年3月取得中国铁路昆明局集团公司的可行性研究报告技术咨询意见，该咨询意见对本项目从行业上给出了详细的技术咨询意见，并认为本项目的建设十分必要。</w:t>
            </w:r>
          </w:p>
          <w:p w14:paraId="68E262C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16</w:t>
            </w:r>
            <w:r>
              <w:rPr>
                <w:rFonts w:hint="eastAsia" w:ascii="Times New Roman" w:hAnsi="Times New Roman" w:cs="Times New Roman"/>
                <w:b/>
                <w:bCs/>
                <w:color w:val="auto"/>
                <w:kern w:val="0"/>
                <w:sz w:val="24"/>
                <w:lang w:val="en-US" w:eastAsia="zh-CN"/>
              </w:rPr>
              <w:t>、与</w:t>
            </w:r>
            <w:r>
              <w:rPr>
                <w:rFonts w:hint="eastAsia" w:cs="Times New Roman"/>
                <w:b/>
                <w:bCs/>
                <w:color w:val="auto"/>
                <w:kern w:val="0"/>
                <w:sz w:val="24"/>
                <w:lang w:val="en-US" w:eastAsia="zh-CN"/>
              </w:rPr>
              <w:t>《铁路安全管理条例》符合性分析</w:t>
            </w:r>
          </w:p>
          <w:p w14:paraId="60ED49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与《铁路安全管理条例》符合性分析详见下表：</w:t>
            </w:r>
          </w:p>
          <w:p w14:paraId="42542DF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表1-9  项目与《铁路安全管理条例》相符性分析</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3210"/>
              <w:gridCol w:w="3000"/>
              <w:gridCol w:w="768"/>
            </w:tblGrid>
            <w:tr w14:paraId="42B9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78081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序号</w:t>
                  </w:r>
                </w:p>
              </w:tc>
              <w:tc>
                <w:tcPr>
                  <w:tcW w:w="3210" w:type="dxa"/>
                  <w:vAlign w:val="center"/>
                </w:tcPr>
                <w:p w14:paraId="13F107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条例要求</w:t>
                  </w:r>
                </w:p>
              </w:tc>
              <w:tc>
                <w:tcPr>
                  <w:tcW w:w="3000" w:type="dxa"/>
                  <w:tcBorders>
                    <w:right w:val="nil"/>
                  </w:tcBorders>
                  <w:vAlign w:val="center"/>
                </w:tcPr>
                <w:p w14:paraId="469E97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本项目情况</w:t>
                  </w:r>
                </w:p>
              </w:tc>
              <w:tc>
                <w:tcPr>
                  <w:tcW w:w="768" w:type="dxa"/>
                  <w:tcBorders>
                    <w:right w:val="nil"/>
                  </w:tcBorders>
                  <w:vAlign w:val="center"/>
                </w:tcPr>
                <w:p w14:paraId="38DE7F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符合性</w:t>
                  </w:r>
                </w:p>
              </w:tc>
            </w:tr>
            <w:tr w14:paraId="59DF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2E29B5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1</w:t>
                  </w:r>
                </w:p>
              </w:tc>
              <w:tc>
                <w:tcPr>
                  <w:tcW w:w="3210" w:type="dxa"/>
                  <w:vAlign w:val="center"/>
                </w:tcPr>
                <w:p w14:paraId="2FD8DE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t>第九条 从事铁路建设工程勘察、设计、施工、监理活动的单位应当依法取得相应资质，并在其资质等级许可的范围内从事铁路工程建设活动。</w:t>
                  </w:r>
                </w:p>
              </w:tc>
              <w:tc>
                <w:tcPr>
                  <w:tcW w:w="3000" w:type="dxa"/>
                  <w:tcBorders>
                    <w:right w:val="nil"/>
                  </w:tcBorders>
                  <w:vAlign w:val="center"/>
                </w:tcPr>
                <w:p w14:paraId="7492A1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建设方委托中铁二院昆明勘察设计研究院有限公司进行工程勘察、设计工作，本评价要求项目施工、监理活动的单位应当依法取得相应资质，并在其资质等级许可的范围内从事铁路工程建设活动。</w:t>
                  </w:r>
                </w:p>
              </w:tc>
              <w:tc>
                <w:tcPr>
                  <w:tcW w:w="768" w:type="dxa"/>
                  <w:tcBorders>
                    <w:right w:val="nil"/>
                  </w:tcBorders>
                  <w:vAlign w:val="center"/>
                </w:tcPr>
                <w:p w14:paraId="3B426F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2A01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50B1BB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2</w:t>
                  </w:r>
                </w:p>
              </w:tc>
              <w:tc>
                <w:tcPr>
                  <w:tcW w:w="3210" w:type="dxa"/>
                  <w:vAlign w:val="center"/>
                </w:tcPr>
                <w:p w14:paraId="642748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第十四条 铁路建设工程的建设工期，应当根据工程地质条件、技术复杂程度等因素，按照国家标准、行业标准和技术规范合理确定、调整。</w:t>
                  </w:r>
                </w:p>
              </w:tc>
              <w:tc>
                <w:tcPr>
                  <w:tcW w:w="3000" w:type="dxa"/>
                  <w:tcBorders>
                    <w:right w:val="nil"/>
                  </w:tcBorders>
                  <w:vAlign w:val="center"/>
                </w:tcPr>
                <w:p w14:paraId="0F5CAA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本评价要求铁路建设工程的建设工期，应当根据工程地质条件、技术复杂程度等因素，按照国家标准、行业标准和技术规范合理确定、调整。</w:t>
                  </w:r>
                </w:p>
              </w:tc>
              <w:tc>
                <w:tcPr>
                  <w:tcW w:w="768" w:type="dxa"/>
                  <w:tcBorders>
                    <w:right w:val="nil"/>
                  </w:tcBorders>
                  <w:vAlign w:val="center"/>
                </w:tcPr>
                <w:p w14:paraId="71359A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0933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580D13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w:t>
                  </w:r>
                </w:p>
              </w:tc>
              <w:tc>
                <w:tcPr>
                  <w:tcW w:w="3210" w:type="dxa"/>
                  <w:vAlign w:val="center"/>
                </w:tcPr>
                <w:p w14:paraId="4E0D5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第十五条 铁路建设工程竣工，应当按照国家有关规定组织验收，并由铁路运输企业进行运营安全评估。经验收、评估合格，符合运营安全要求的，方可投入运营。</w:t>
                  </w:r>
                </w:p>
              </w:tc>
              <w:tc>
                <w:tcPr>
                  <w:tcW w:w="3000" w:type="dxa"/>
                  <w:tcBorders>
                    <w:right w:val="nil"/>
                  </w:tcBorders>
                  <w:vAlign w:val="center"/>
                </w:tcPr>
                <w:p w14:paraId="253436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本评价要求铁路建设工程竣工，应当按照国家有关规定组织验收，并由铁路运输企业进行运营安全评估。经验收、评估合格，符合运营安全要求的，方可投入运营。</w:t>
                  </w:r>
                </w:p>
              </w:tc>
              <w:tc>
                <w:tcPr>
                  <w:tcW w:w="768" w:type="dxa"/>
                  <w:tcBorders>
                    <w:right w:val="nil"/>
                  </w:tcBorders>
                  <w:vAlign w:val="center"/>
                </w:tcPr>
                <w:p w14:paraId="1C13DD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119C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12FF82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w:t>
                  </w:r>
                </w:p>
              </w:tc>
              <w:tc>
                <w:tcPr>
                  <w:tcW w:w="3210" w:type="dxa"/>
                  <w:vAlign w:val="center"/>
                </w:tcPr>
                <w:p w14:paraId="5B96B0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第十九条 铁路与道路立体交叉设施及其附属安全设施竣工验收合格后，应当按照国家有关规定移交有关单位管理、维护。</w:t>
                  </w:r>
                </w:p>
              </w:tc>
              <w:tc>
                <w:tcPr>
                  <w:tcW w:w="3000" w:type="dxa"/>
                  <w:tcBorders>
                    <w:right w:val="nil"/>
                  </w:tcBorders>
                  <w:vAlign w:val="center"/>
                </w:tcPr>
                <w:p w14:paraId="2DF028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本评价要求铁路与道路立体交叉设施及其附属安全设施竣工验收合格后，应当按照国家有关规定移交有关单位管理、维护。</w:t>
                  </w:r>
                </w:p>
              </w:tc>
              <w:tc>
                <w:tcPr>
                  <w:tcW w:w="768" w:type="dxa"/>
                  <w:tcBorders>
                    <w:right w:val="nil"/>
                  </w:tcBorders>
                  <w:vAlign w:val="center"/>
                </w:tcPr>
                <w:p w14:paraId="546443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00A6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2808A3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5</w:t>
                  </w:r>
                </w:p>
              </w:tc>
              <w:tc>
                <w:tcPr>
                  <w:tcW w:w="3210" w:type="dxa"/>
                  <w:vAlign w:val="center"/>
                </w:tcPr>
                <w:p w14:paraId="234C9B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第二十四条 用于危险化学品和放射性物品运输的铁路罐车、专用车辆以及其他容器的生产和检测、检验，依照有关法律、行政法规的规定执行。</w:t>
                  </w:r>
                </w:p>
              </w:tc>
              <w:tc>
                <w:tcPr>
                  <w:tcW w:w="3000" w:type="dxa"/>
                  <w:tcBorders>
                    <w:right w:val="nil"/>
                  </w:tcBorders>
                  <w:vAlign w:val="center"/>
                </w:tcPr>
                <w:p w14:paraId="6CE84E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项目不涉及危险化学品和放射性物品运输。</w:t>
                  </w:r>
                </w:p>
              </w:tc>
              <w:tc>
                <w:tcPr>
                  <w:tcW w:w="768" w:type="dxa"/>
                  <w:tcBorders>
                    <w:right w:val="nil"/>
                  </w:tcBorders>
                  <w:vAlign w:val="center"/>
                </w:tcPr>
                <w:p w14:paraId="5D47AF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4B74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396434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1</w:t>
                  </w:r>
                </w:p>
              </w:tc>
              <w:tc>
                <w:tcPr>
                  <w:tcW w:w="3210" w:type="dxa"/>
                  <w:vAlign w:val="center"/>
                </w:tcPr>
                <w:p w14:paraId="7D48F8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第二十八条</w:t>
                  </w: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 xml:space="preserve"> </w:t>
                  </w:r>
                  <w:r>
                    <w:rPr>
                      <w:rFonts w:hint="default" w:ascii="Times New Roman" w:hAnsi="Times New Roman" w:eastAsia="宋体" w:cs="Times New Roman"/>
                      <w:b w:val="0"/>
                      <w:bCs w:val="0"/>
                      <w:i w:val="0"/>
                      <w:iCs w:val="0"/>
                      <w:caps w:val="0"/>
                      <w:color w:val="000000"/>
                      <w:spacing w:val="0"/>
                      <w:sz w:val="18"/>
                      <w:szCs w:val="18"/>
                      <w:shd w:val="clear" w:fill="FFFFFF"/>
                    </w:rPr>
                    <w:t>设计开行时速120公里以上列车的铁路应当实行全封闭管理。铁路建设单位或者铁路运输企业应当按照国务院铁路行业监督管理部门的规定在铁路用地范围内设置封闭设施和警示标志。</w:t>
                  </w:r>
                </w:p>
              </w:tc>
              <w:tc>
                <w:tcPr>
                  <w:tcW w:w="3000" w:type="dxa"/>
                  <w:tcBorders>
                    <w:right w:val="nil"/>
                  </w:tcBorders>
                  <w:vAlign w:val="center"/>
                </w:tcPr>
                <w:p w14:paraId="70510E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本项目铁路运输设计时速为40km，后期建设投入运营时会按照</w:t>
                  </w:r>
                  <w:r>
                    <w:rPr>
                      <w:rFonts w:hint="default" w:ascii="Times New Roman" w:hAnsi="Times New Roman" w:eastAsia="宋体" w:cs="Times New Roman"/>
                      <w:b w:val="0"/>
                      <w:bCs w:val="0"/>
                      <w:i w:val="0"/>
                      <w:iCs w:val="0"/>
                      <w:caps w:val="0"/>
                      <w:color w:val="000000"/>
                      <w:spacing w:val="0"/>
                      <w:sz w:val="18"/>
                      <w:szCs w:val="18"/>
                      <w:shd w:val="clear" w:fill="FFFFFF"/>
                    </w:rPr>
                    <w:t>国务院铁路行业监督管理部门的规定在铁路用地范围内设置封闭设施和警示标志。</w:t>
                  </w:r>
                </w:p>
              </w:tc>
              <w:tc>
                <w:tcPr>
                  <w:tcW w:w="768" w:type="dxa"/>
                  <w:tcBorders>
                    <w:right w:val="nil"/>
                  </w:tcBorders>
                  <w:vAlign w:val="center"/>
                </w:tcPr>
                <w:p w14:paraId="3FC117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6054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66EBC6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2</w:t>
                  </w:r>
                </w:p>
              </w:tc>
              <w:tc>
                <w:tcPr>
                  <w:tcW w:w="3210" w:type="dxa"/>
                  <w:vAlign w:val="center"/>
                </w:tcPr>
                <w:p w14:paraId="0070EE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第三十一条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铁路线路安全保护区内既有的建筑物、构筑物危及铁路运输安全的，应当采取必要的安全防护措施；采取安全防护措施后仍不能保证安全的，依照有关法律的规定拆除。</w:t>
                  </w:r>
                </w:p>
              </w:tc>
              <w:tc>
                <w:tcPr>
                  <w:tcW w:w="3000" w:type="dxa"/>
                  <w:tcBorders>
                    <w:right w:val="nil"/>
                  </w:tcBorders>
                  <w:vAlign w:val="center"/>
                </w:tcPr>
                <w:p w14:paraId="59372A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本项目铁路线路安全保护区内无建筑物、</w:t>
                  </w:r>
                  <w:r>
                    <w:rPr>
                      <w:rStyle w:val="25"/>
                      <w:rFonts w:hint="eastAsia" w:ascii="Times New Roman" w:hAnsi="Times New Roman" w:eastAsia="宋体" w:cs="Times New Roman"/>
                      <w:b w:val="0"/>
                      <w:bCs w:val="0"/>
                      <w:i w:val="0"/>
                      <w:iCs w:val="0"/>
                      <w:caps w:val="0"/>
                      <w:color w:val="000000"/>
                      <w:spacing w:val="0"/>
                      <w:sz w:val="18"/>
                      <w:szCs w:val="18"/>
                      <w:shd w:val="clear" w:fill="FFFFFF"/>
                    </w:rPr>
                    <w:t>构筑物危及铁路运输安全的</w:t>
                  </w:r>
                  <w:r>
                    <w:rPr>
                      <w:rStyle w:val="25"/>
                      <w:rFonts w:hint="eastAsia" w:cs="Times New Roman"/>
                      <w:b w:val="0"/>
                      <w:bCs w:val="0"/>
                      <w:i w:val="0"/>
                      <w:iCs w:val="0"/>
                      <w:caps w:val="0"/>
                      <w:color w:val="000000"/>
                      <w:spacing w:val="0"/>
                      <w:sz w:val="18"/>
                      <w:szCs w:val="18"/>
                      <w:shd w:val="clear" w:fill="FFFFFF"/>
                      <w:lang w:eastAsia="zh-CN"/>
                    </w:rPr>
                    <w:t>。</w:t>
                  </w:r>
                </w:p>
              </w:tc>
              <w:tc>
                <w:tcPr>
                  <w:tcW w:w="768" w:type="dxa"/>
                  <w:tcBorders>
                    <w:right w:val="nil"/>
                  </w:tcBorders>
                  <w:vAlign w:val="center"/>
                </w:tcPr>
                <w:p w14:paraId="2EA238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5359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67345B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3</w:t>
                  </w:r>
                </w:p>
              </w:tc>
              <w:tc>
                <w:tcPr>
                  <w:tcW w:w="3210" w:type="dxa"/>
                  <w:vAlign w:val="center"/>
                </w:tcPr>
                <w:p w14:paraId="1228C4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第四十五条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架设、铺设铁路信号和通信线路、杆塔应当符合国家标准、行业标准和铁路安全防护要求。铁路运输企业、为铁路运输提供服务的电信企业应当加强对铁路信号和通信线路、杆塔的维护和管理。</w:t>
                  </w:r>
                </w:p>
              </w:tc>
              <w:tc>
                <w:tcPr>
                  <w:tcW w:w="3000" w:type="dxa"/>
                  <w:tcBorders>
                    <w:right w:val="nil"/>
                  </w:tcBorders>
                  <w:vAlign w:val="center"/>
                </w:tcPr>
                <w:p w14:paraId="3619D8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本项目选用的</w:t>
                  </w:r>
                  <w:r>
                    <w:rPr>
                      <w:rStyle w:val="25"/>
                      <w:rFonts w:hint="eastAsia" w:ascii="Times New Roman" w:hAnsi="Times New Roman" w:eastAsia="宋体" w:cs="Times New Roman"/>
                      <w:b w:val="0"/>
                      <w:bCs w:val="0"/>
                      <w:i w:val="0"/>
                      <w:iCs w:val="0"/>
                      <w:caps w:val="0"/>
                      <w:color w:val="000000"/>
                      <w:spacing w:val="0"/>
                      <w:sz w:val="18"/>
                      <w:szCs w:val="18"/>
                      <w:shd w:val="clear" w:fill="FFFFFF"/>
                    </w:rPr>
                    <w:t>信号和通信线路、杆塔符合国家标准、行业标准和铁路安全防护要求</w:t>
                  </w:r>
                  <w:r>
                    <w:rPr>
                      <w:rStyle w:val="25"/>
                      <w:rFonts w:hint="eastAsia" w:cs="Times New Roman"/>
                      <w:b w:val="0"/>
                      <w:bCs w:val="0"/>
                      <w:i w:val="0"/>
                      <w:iCs w:val="0"/>
                      <w:caps w:val="0"/>
                      <w:color w:val="000000"/>
                      <w:spacing w:val="0"/>
                      <w:sz w:val="18"/>
                      <w:szCs w:val="18"/>
                      <w:shd w:val="clear" w:fill="FFFFFF"/>
                      <w:lang w:eastAsia="zh-CN"/>
                    </w:rPr>
                    <w:t>，</w:t>
                  </w:r>
                  <w:r>
                    <w:rPr>
                      <w:rStyle w:val="25"/>
                      <w:rFonts w:hint="eastAsia" w:cs="Times New Roman"/>
                      <w:b w:val="0"/>
                      <w:bCs w:val="0"/>
                      <w:i w:val="0"/>
                      <w:iCs w:val="0"/>
                      <w:caps w:val="0"/>
                      <w:color w:val="000000"/>
                      <w:spacing w:val="0"/>
                      <w:sz w:val="18"/>
                      <w:szCs w:val="18"/>
                      <w:shd w:val="clear" w:fill="FFFFFF"/>
                      <w:lang w:val="en-US" w:eastAsia="zh-CN"/>
                    </w:rPr>
                    <w:t>建成投入运营后企业会加强</w:t>
                  </w:r>
                  <w:r>
                    <w:rPr>
                      <w:rStyle w:val="25"/>
                      <w:rFonts w:hint="eastAsia" w:ascii="Times New Roman" w:hAnsi="Times New Roman" w:eastAsia="宋体" w:cs="Times New Roman"/>
                      <w:b w:val="0"/>
                      <w:bCs w:val="0"/>
                      <w:i w:val="0"/>
                      <w:iCs w:val="0"/>
                      <w:caps w:val="0"/>
                      <w:color w:val="000000"/>
                      <w:spacing w:val="0"/>
                      <w:sz w:val="18"/>
                      <w:szCs w:val="18"/>
                      <w:shd w:val="clear" w:fill="FFFFFF"/>
                    </w:rPr>
                    <w:t>对铁路信号和通信线路、杆塔的维护和管理。</w:t>
                  </w:r>
                </w:p>
              </w:tc>
              <w:tc>
                <w:tcPr>
                  <w:tcW w:w="768" w:type="dxa"/>
                  <w:tcBorders>
                    <w:right w:val="nil"/>
                  </w:tcBorders>
                  <w:vAlign w:val="center"/>
                </w:tcPr>
                <w:p w14:paraId="18BC1D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72F0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015625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4</w:t>
                  </w:r>
                </w:p>
              </w:tc>
              <w:tc>
                <w:tcPr>
                  <w:tcW w:w="3210" w:type="dxa"/>
                  <w:vAlign w:val="center"/>
                </w:tcPr>
                <w:p w14:paraId="3553A2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第五十五条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铁路运输企业应当对铁路线路、铁路防护设施和警示标志进行经常性巡查和维护；对巡查中发现的安全问题应当立即处理，不能立即处理的应当及时报告铁路监督管理机构。巡查和处理情况应当记录留存。</w:t>
                  </w:r>
                </w:p>
              </w:tc>
              <w:tc>
                <w:tcPr>
                  <w:tcW w:w="3000" w:type="dxa"/>
                  <w:tcBorders>
                    <w:right w:val="nil"/>
                  </w:tcBorders>
                  <w:vAlign w:val="center"/>
                </w:tcPr>
                <w:p w14:paraId="1AE4E6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本项目建成投入运营后企业会定期对</w:t>
                  </w:r>
                  <w:r>
                    <w:rPr>
                      <w:rStyle w:val="25"/>
                      <w:rFonts w:hint="eastAsia" w:ascii="Times New Roman" w:hAnsi="Times New Roman" w:eastAsia="宋体" w:cs="Times New Roman"/>
                      <w:b w:val="0"/>
                      <w:bCs w:val="0"/>
                      <w:i w:val="0"/>
                      <w:iCs w:val="0"/>
                      <w:caps w:val="0"/>
                      <w:color w:val="000000"/>
                      <w:spacing w:val="0"/>
                      <w:sz w:val="18"/>
                      <w:szCs w:val="18"/>
                      <w:shd w:val="clear" w:fill="FFFFFF"/>
                    </w:rPr>
                    <w:t>铁路线路、铁路防护设施和警示标志进行经常性巡查和维护</w:t>
                  </w:r>
                  <w:r>
                    <w:rPr>
                      <w:rStyle w:val="25"/>
                      <w:rFonts w:hint="eastAsia" w:cs="Times New Roman"/>
                      <w:b w:val="0"/>
                      <w:bCs w:val="0"/>
                      <w:i w:val="0"/>
                      <w:iCs w:val="0"/>
                      <w:caps w:val="0"/>
                      <w:color w:val="000000"/>
                      <w:spacing w:val="0"/>
                      <w:sz w:val="18"/>
                      <w:szCs w:val="18"/>
                      <w:shd w:val="clear" w:fill="FFFFFF"/>
                      <w:lang w:eastAsia="zh-CN"/>
                    </w:rPr>
                    <w:t>，</w:t>
                  </w:r>
                  <w:r>
                    <w:rPr>
                      <w:rStyle w:val="25"/>
                      <w:rFonts w:hint="eastAsia" w:cs="Times New Roman"/>
                      <w:b w:val="0"/>
                      <w:bCs w:val="0"/>
                      <w:i w:val="0"/>
                      <w:iCs w:val="0"/>
                      <w:caps w:val="0"/>
                      <w:color w:val="000000"/>
                      <w:spacing w:val="0"/>
                      <w:sz w:val="18"/>
                      <w:szCs w:val="18"/>
                      <w:shd w:val="clear" w:fill="FFFFFF"/>
                      <w:lang w:val="en-US" w:eastAsia="zh-CN"/>
                    </w:rPr>
                    <w:t>发现安全问题会立即处理。</w:t>
                  </w:r>
                </w:p>
              </w:tc>
              <w:tc>
                <w:tcPr>
                  <w:tcW w:w="768" w:type="dxa"/>
                  <w:tcBorders>
                    <w:right w:val="nil"/>
                  </w:tcBorders>
                  <w:vAlign w:val="center"/>
                </w:tcPr>
                <w:p w14:paraId="0B2264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bl>
          <w:p w14:paraId="05CF85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根据上表分析</w:t>
            </w:r>
            <w:r>
              <w:rPr>
                <w:rFonts w:hint="eastAsia" w:ascii="Times New Roman" w:hAnsi="Times New Roman" w:eastAsia="宋体" w:cs="Times New Roman"/>
                <w:color w:val="000000"/>
                <w:kern w:val="0"/>
                <w:sz w:val="24"/>
                <w:szCs w:val="24"/>
                <w:lang w:val="en-US" w:eastAsia="zh-CN" w:bidi="ar"/>
              </w:rPr>
              <w:t>，本项目与《铁路安全管理条例》</w:t>
            </w:r>
            <w:r>
              <w:rPr>
                <w:rFonts w:hint="eastAsia" w:cs="Times New Roman"/>
                <w:color w:val="000000"/>
                <w:kern w:val="0"/>
                <w:sz w:val="24"/>
                <w:szCs w:val="24"/>
                <w:lang w:val="en-US" w:eastAsia="zh-CN" w:bidi="ar"/>
              </w:rPr>
              <w:t>相符。</w:t>
            </w:r>
          </w:p>
          <w:p w14:paraId="76C924C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17</w:t>
            </w:r>
            <w:r>
              <w:rPr>
                <w:rFonts w:hint="eastAsia" w:ascii="Times New Roman" w:hAnsi="Times New Roman" w:cs="Times New Roman"/>
                <w:b/>
                <w:bCs/>
                <w:color w:val="auto"/>
                <w:kern w:val="0"/>
                <w:sz w:val="24"/>
                <w:lang w:val="en-US" w:eastAsia="zh-CN"/>
              </w:rPr>
              <w:t>、与</w:t>
            </w:r>
            <w:r>
              <w:rPr>
                <w:rFonts w:hint="eastAsia" w:cs="Times New Roman"/>
                <w:b/>
                <w:bCs/>
                <w:color w:val="auto"/>
                <w:kern w:val="0"/>
                <w:sz w:val="24"/>
                <w:lang w:val="en-US" w:eastAsia="zh-CN"/>
              </w:rPr>
              <w:t>《关于加强铁路噪声污染防治的通知》符合性分析</w:t>
            </w:r>
          </w:p>
          <w:p w14:paraId="2019AE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与《关于加强铁路噪声污染防治的通知》符合性分析详见下表：</w:t>
            </w:r>
          </w:p>
          <w:p w14:paraId="70472AE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表1-10  项目与《关于加强铁路噪声污染防治的通知》相符性分析</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3415"/>
              <w:gridCol w:w="2795"/>
              <w:gridCol w:w="768"/>
            </w:tblGrid>
            <w:tr w14:paraId="390C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6068C8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序号</w:t>
                  </w:r>
                </w:p>
              </w:tc>
              <w:tc>
                <w:tcPr>
                  <w:tcW w:w="3415" w:type="dxa"/>
                  <w:vAlign w:val="center"/>
                </w:tcPr>
                <w:p w14:paraId="76B3CF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通知</w:t>
                  </w:r>
                  <w:r>
                    <w:rPr>
                      <w:rFonts w:hint="eastAsia" w:ascii="Times New Roman" w:hAnsi="Times New Roman" w:eastAsia="宋体" w:cs="Times New Roman"/>
                      <w:b w:val="0"/>
                      <w:bCs w:val="0"/>
                      <w:color w:val="auto"/>
                      <w:sz w:val="18"/>
                      <w:szCs w:val="18"/>
                      <w:highlight w:val="none"/>
                      <w:vertAlign w:val="baseline"/>
                      <w:lang w:val="en-US" w:eastAsia="zh-CN"/>
                    </w:rPr>
                    <w:t>要求</w:t>
                  </w:r>
                </w:p>
              </w:tc>
              <w:tc>
                <w:tcPr>
                  <w:tcW w:w="2795" w:type="dxa"/>
                  <w:tcBorders>
                    <w:right w:val="nil"/>
                  </w:tcBorders>
                  <w:vAlign w:val="center"/>
                </w:tcPr>
                <w:p w14:paraId="5C276B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本项目情况</w:t>
                  </w:r>
                </w:p>
              </w:tc>
              <w:tc>
                <w:tcPr>
                  <w:tcW w:w="768" w:type="dxa"/>
                  <w:tcBorders>
                    <w:right w:val="nil"/>
                  </w:tcBorders>
                  <w:vAlign w:val="center"/>
                </w:tcPr>
                <w:p w14:paraId="301DA2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符合性</w:t>
                  </w:r>
                </w:p>
              </w:tc>
            </w:tr>
            <w:tr w14:paraId="12B1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38802E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1</w:t>
                  </w:r>
                </w:p>
              </w:tc>
              <w:tc>
                <w:tcPr>
                  <w:tcW w:w="3415" w:type="dxa"/>
                  <w:vAlign w:val="center"/>
                </w:tcPr>
                <w:p w14:paraId="1C2CAC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一、新建铁路必须严格执行环境影响评价制度，在设计选线时应当结合地方城镇规划，避免穿越城市现有或规划的噪声敏感建筑物集中区域。在城市规划区内，应当采取立交等方式，不得设置平交路口，并在铁路两侧设置封闭隔离带，从根本上解决新建铁路机车运行鸣笛扰民问题。现有铁路改建、扩建时，应当采取措施，保证铁路两侧噪声符合《铁路边界噪声限值》，同时在城市人民政府支持配合下，逐步将平交路口改为立交，对铁路两边实行封闭隔离。</w:t>
                  </w:r>
                </w:p>
              </w:tc>
              <w:tc>
                <w:tcPr>
                  <w:tcW w:w="2795" w:type="dxa"/>
                  <w:tcBorders>
                    <w:right w:val="nil"/>
                  </w:tcBorders>
                  <w:vAlign w:val="center"/>
                </w:tcPr>
                <w:p w14:paraId="3B99C2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本项目位于新平产业园区绿色钢城片区，在设计选线时未穿越城市现有规划的噪声敏感建筑物集中区域。</w:t>
                  </w:r>
                </w:p>
              </w:tc>
              <w:tc>
                <w:tcPr>
                  <w:tcW w:w="768" w:type="dxa"/>
                  <w:tcBorders>
                    <w:right w:val="nil"/>
                  </w:tcBorders>
                  <w:vAlign w:val="center"/>
                </w:tcPr>
                <w:p w14:paraId="6419A1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5724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286DE4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2</w:t>
                  </w:r>
                </w:p>
              </w:tc>
              <w:tc>
                <w:tcPr>
                  <w:tcW w:w="3415" w:type="dxa"/>
                  <w:vAlign w:val="center"/>
                </w:tcPr>
                <w:p w14:paraId="567DA1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二、城市有关部门应当根据《城市区域环境噪声标准》，做好铁路城市区域内沿线的声环境规划，避免临近铁路修建学校、医院、住宅、机关、科研单位等噪声敏感建筑物；应按照城市规划由环保、铁路、城建等有关部门共同制定铁路运行噪声污染防治的规划，并纳入城市国民经济和社会发展计划。</w:t>
                  </w:r>
                </w:p>
              </w:tc>
              <w:tc>
                <w:tcPr>
                  <w:tcW w:w="2795" w:type="dxa"/>
                  <w:tcBorders>
                    <w:right w:val="nil"/>
                  </w:tcBorders>
                  <w:vAlign w:val="center"/>
                </w:tcPr>
                <w:p w14:paraId="2B8062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根据噪声预测结果可知，</w:t>
                  </w:r>
                  <w:r>
                    <w:rPr>
                      <w:rFonts w:hint="eastAsia" w:ascii="Times New Roman" w:hAnsi="Times New Roman" w:eastAsia="宋体" w:cs="Times New Roman"/>
                      <w:color w:val="000000"/>
                      <w:kern w:val="0"/>
                      <w:sz w:val="18"/>
                      <w:szCs w:val="18"/>
                      <w:lang w:val="en-US" w:eastAsia="zh-CN" w:bidi="ar"/>
                    </w:rPr>
                    <w:t>该项目《声环境质量标准》（</w:t>
                  </w:r>
                  <w:r>
                    <w:rPr>
                      <w:rFonts w:hint="default" w:ascii="Times New Roman" w:hAnsi="Times New Roman" w:eastAsia="宋体" w:cs="Times New Roman"/>
                      <w:color w:val="000000"/>
                      <w:kern w:val="0"/>
                      <w:sz w:val="18"/>
                      <w:szCs w:val="18"/>
                      <w:lang w:val="en-US" w:eastAsia="zh-CN" w:bidi="ar"/>
                    </w:rPr>
                    <w:t>GB3096-2008</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highlight w:val="none"/>
                      <w:lang w:val="en-US" w:eastAsia="zh-CN" w:bidi="ar"/>
                    </w:rPr>
                    <w:t>2</w:t>
                  </w:r>
                  <w:r>
                    <w:rPr>
                      <w:rFonts w:hint="eastAsia" w:ascii="Times New Roman" w:hAnsi="Times New Roman" w:eastAsia="宋体" w:cs="Times New Roman"/>
                      <w:color w:val="000000"/>
                      <w:kern w:val="0"/>
                      <w:sz w:val="18"/>
                      <w:szCs w:val="18"/>
                      <w:highlight w:val="none"/>
                      <w:lang w:val="en-US" w:eastAsia="zh-CN" w:bidi="ar"/>
                    </w:rPr>
                    <w:t>类区</w:t>
                  </w:r>
                  <w:r>
                    <w:rPr>
                      <w:rFonts w:hint="eastAsia" w:ascii="Times New Roman" w:hAnsi="Times New Roman" w:eastAsia="宋体" w:cs="Times New Roman"/>
                      <w:color w:val="000000"/>
                      <w:kern w:val="0"/>
                      <w:sz w:val="18"/>
                      <w:szCs w:val="18"/>
                      <w:lang w:val="en-US" w:eastAsia="zh-CN" w:bidi="ar"/>
                    </w:rPr>
                    <w:t>噪声达标距离为昼间</w:t>
                  </w:r>
                  <w:r>
                    <w:rPr>
                      <w:rFonts w:hint="eastAsia" w:cs="Times New Roman"/>
                      <w:color w:val="000000"/>
                      <w:kern w:val="0"/>
                      <w:sz w:val="18"/>
                      <w:szCs w:val="18"/>
                      <w:lang w:val="en-US" w:eastAsia="zh-CN" w:bidi="ar"/>
                    </w:rPr>
                    <w:t>15</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（近期），夜间为</w:t>
                  </w:r>
                  <w:r>
                    <w:rPr>
                      <w:rFonts w:hint="eastAsia" w:cs="Times New Roman"/>
                      <w:color w:val="000000"/>
                      <w:kern w:val="0"/>
                      <w:sz w:val="18"/>
                      <w:szCs w:val="18"/>
                      <w:lang w:val="en-US" w:eastAsia="zh-CN" w:bidi="ar"/>
                    </w:rPr>
                    <w:t>48</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（近期）；离该项目最近村庄（</w:t>
                  </w:r>
                  <w:r>
                    <w:rPr>
                      <w:rFonts w:hint="eastAsia" w:cs="Times New Roman"/>
                      <w:color w:val="000000"/>
                      <w:kern w:val="0"/>
                      <w:sz w:val="18"/>
                      <w:szCs w:val="18"/>
                      <w:lang w:val="en-US" w:eastAsia="zh-CN" w:bidi="ar"/>
                    </w:rPr>
                    <w:t>大开门社区</w:t>
                  </w:r>
                  <w:r>
                    <w:rPr>
                      <w:rFonts w:hint="eastAsia" w:ascii="Times New Roman" w:hAnsi="Times New Roman" w:eastAsia="宋体" w:cs="Times New Roman"/>
                      <w:color w:val="000000"/>
                      <w:kern w:val="0"/>
                      <w:sz w:val="18"/>
                      <w:szCs w:val="18"/>
                      <w:lang w:val="en-US" w:eastAsia="zh-CN" w:bidi="ar"/>
                    </w:rPr>
                    <w:t>）为</w:t>
                  </w:r>
                  <w:r>
                    <w:rPr>
                      <w:rFonts w:hint="eastAsia" w:cs="Times New Roman"/>
                      <w:color w:val="000000"/>
                      <w:kern w:val="0"/>
                      <w:sz w:val="18"/>
                      <w:szCs w:val="18"/>
                      <w:lang w:val="en-US" w:eastAsia="zh-CN" w:bidi="ar"/>
                    </w:rPr>
                    <w:t>360</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，在噪声达标距离以外</w:t>
                  </w:r>
                  <w:r>
                    <w:rPr>
                      <w:rFonts w:hint="eastAsia" w:cs="Times New Roman"/>
                      <w:color w:val="000000"/>
                      <w:kern w:val="0"/>
                      <w:sz w:val="18"/>
                      <w:szCs w:val="18"/>
                      <w:lang w:val="en-US" w:eastAsia="zh-CN" w:bidi="ar"/>
                    </w:rPr>
                    <w:t>，满足要求。</w:t>
                  </w:r>
                </w:p>
              </w:tc>
              <w:tc>
                <w:tcPr>
                  <w:tcW w:w="768" w:type="dxa"/>
                  <w:tcBorders>
                    <w:right w:val="nil"/>
                  </w:tcBorders>
                  <w:vAlign w:val="center"/>
                </w:tcPr>
                <w:p w14:paraId="1AD0F9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726A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285E84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3</w:t>
                  </w:r>
                </w:p>
              </w:tc>
              <w:tc>
                <w:tcPr>
                  <w:tcW w:w="3415" w:type="dxa"/>
                  <w:vAlign w:val="center"/>
                </w:tcPr>
                <w:p w14:paraId="3C73A6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三、铁路车站包括编组站、调车场，在指挥作业时应适当控制高音喇叭音量，并逐渐将高音喇叭改为低音广播系统，或改为无线通话联系作业。设置在环境保护重点城市市区或居民区的车站、编组站、调车场，应在“十五”计划期间，完成高音喇叭的改造。</w:t>
                  </w:r>
                </w:p>
              </w:tc>
              <w:tc>
                <w:tcPr>
                  <w:tcW w:w="2795" w:type="dxa"/>
                  <w:tcBorders>
                    <w:right w:val="nil"/>
                  </w:tcBorders>
                  <w:vAlign w:val="center"/>
                </w:tcPr>
                <w:p w14:paraId="72CA5A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本项目在环评阶段提出了一系列噪声防治措施，企业严格执行保护措施后，噪声环境影响较小。</w:t>
                  </w:r>
                </w:p>
              </w:tc>
              <w:tc>
                <w:tcPr>
                  <w:tcW w:w="768" w:type="dxa"/>
                  <w:tcBorders>
                    <w:right w:val="nil"/>
                  </w:tcBorders>
                  <w:vAlign w:val="center"/>
                </w:tcPr>
                <w:p w14:paraId="01888B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2657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765571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4</w:t>
                  </w:r>
                </w:p>
              </w:tc>
              <w:tc>
                <w:tcPr>
                  <w:tcW w:w="3415" w:type="dxa"/>
                  <w:vAlign w:val="center"/>
                </w:tcPr>
                <w:p w14:paraId="2CD988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四、城市人民政府与铁路主管部门应采取立体交叉、改变道路走向等措施，逐步取消市区铁路平面交叉路口，并在城市铁路两侧设置封闭隔离带。暂时无法改为立交的道口，推广使用列车到达警报装置。加强对城市区段的巡查管理，各有关部门要加强铁路安全、环保法规知识的宣传教育工作，禁止非铁路工作人员进入封闭隔离带。</w:t>
                  </w:r>
                </w:p>
              </w:tc>
              <w:tc>
                <w:tcPr>
                  <w:tcW w:w="2795" w:type="dxa"/>
                  <w:tcBorders>
                    <w:right w:val="nil"/>
                  </w:tcBorders>
                  <w:vAlign w:val="center"/>
                </w:tcPr>
                <w:p w14:paraId="7F2FBE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本项目为云南玉溪仙福钢铁（集团）有限公司货物铁路专用线，位于园区，不是市区铁路。</w:t>
                  </w:r>
                </w:p>
              </w:tc>
              <w:tc>
                <w:tcPr>
                  <w:tcW w:w="768" w:type="dxa"/>
                  <w:tcBorders>
                    <w:right w:val="nil"/>
                  </w:tcBorders>
                  <w:vAlign w:val="center"/>
                </w:tcPr>
                <w:p w14:paraId="551E11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232B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6AA8BC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5</w:t>
                  </w:r>
                </w:p>
              </w:tc>
              <w:tc>
                <w:tcPr>
                  <w:tcW w:w="3415" w:type="dxa"/>
                  <w:vAlign w:val="center"/>
                </w:tcPr>
                <w:p w14:paraId="705F4B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五、在城市运行的铁路机车，应严格按照《铁路技术管理规程》的有关要求鸣笛，出入市区车站的机车技术联络，应逐步实现采用无线通讯信号代替鸣笛信号。在封闭隔离路段运行的机车，除出现危及人身安全及行车安全的特殊情况外，禁止鸣笛。</w:t>
                  </w:r>
                </w:p>
              </w:tc>
              <w:tc>
                <w:tcPr>
                  <w:tcW w:w="2795" w:type="dxa"/>
                  <w:tcBorders>
                    <w:right w:val="nil"/>
                  </w:tcBorders>
                  <w:vAlign w:val="center"/>
                </w:tcPr>
                <w:p w14:paraId="28496E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本项目铁路专线位于新平产业园区绿色钢城片区，不涉及在城市运行。</w:t>
                  </w:r>
                </w:p>
              </w:tc>
              <w:tc>
                <w:tcPr>
                  <w:tcW w:w="768" w:type="dxa"/>
                  <w:tcBorders>
                    <w:right w:val="nil"/>
                  </w:tcBorders>
                  <w:vAlign w:val="center"/>
                </w:tcPr>
                <w:p w14:paraId="583CCF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35A2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Borders>
                    <w:left w:val="nil"/>
                  </w:tcBorders>
                  <w:vAlign w:val="center"/>
                </w:tcPr>
                <w:p w14:paraId="6CE813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6</w:t>
                  </w:r>
                </w:p>
              </w:tc>
              <w:tc>
                <w:tcPr>
                  <w:tcW w:w="3415" w:type="dxa"/>
                  <w:vAlign w:val="center"/>
                </w:tcPr>
                <w:p w14:paraId="287960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六、各地环保、铁路主管部门要加强对铁路噪声的监督管理，对行经城市市区的机车鸣笛加强控制。铁路部门的环境保护机构应严格管理，对违反《中华人民共和国环境噪声污染防治法》和《铁路环境保护规定》的，应及时对责任者实施行政处罚与处分。环境保护行政主管部门应做好协调、指导与监督工作。各地政府有关部门与铁路部门应尽快采取措施，及时解决群众反映强烈的铁路噪声污染投诉热点问题。一时难以解决的问题，要制订措施尽快实施，并向群众解释清楚。</w:t>
                  </w:r>
                </w:p>
              </w:tc>
              <w:tc>
                <w:tcPr>
                  <w:tcW w:w="2795" w:type="dxa"/>
                  <w:tcBorders>
                    <w:right w:val="nil"/>
                  </w:tcBorders>
                  <w:vAlign w:val="center"/>
                </w:tcPr>
                <w:p w14:paraId="52E61C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本项目位于新平产业园区绿色钢城片区，未行经城市市区，距离敏感点相对较远，噪声对周边环境影响较小。</w:t>
                  </w:r>
                </w:p>
              </w:tc>
              <w:tc>
                <w:tcPr>
                  <w:tcW w:w="768" w:type="dxa"/>
                  <w:tcBorders>
                    <w:right w:val="nil"/>
                  </w:tcBorders>
                  <w:vAlign w:val="center"/>
                </w:tcPr>
                <w:p w14:paraId="3523A7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bl>
          <w:p w14:paraId="119D0C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根据上表分析，</w:t>
            </w: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与《关于加强铁路噪声污染防治的通知》相符。</w:t>
            </w:r>
          </w:p>
          <w:p w14:paraId="5452A0E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18</w:t>
            </w:r>
            <w:r>
              <w:rPr>
                <w:rFonts w:hint="eastAsia" w:ascii="Times New Roman" w:hAnsi="Times New Roman" w:cs="Times New Roman"/>
                <w:b/>
                <w:bCs/>
                <w:color w:val="auto"/>
                <w:kern w:val="0"/>
                <w:sz w:val="24"/>
                <w:lang w:val="en-US" w:eastAsia="zh-CN"/>
              </w:rPr>
              <w:t>、与</w:t>
            </w:r>
            <w:r>
              <w:rPr>
                <w:rFonts w:hint="eastAsia" w:cs="Times New Roman"/>
                <w:b/>
                <w:bCs/>
                <w:color w:val="auto"/>
                <w:kern w:val="0"/>
                <w:sz w:val="24"/>
                <w:lang w:val="en-US" w:eastAsia="zh-CN"/>
              </w:rPr>
              <w:t>《铁路专用线专用铁路管理办法》符合性分析</w:t>
            </w:r>
          </w:p>
          <w:p w14:paraId="24C41D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与《铁路专用线专用铁路管理办法》符合性分析详见下表：</w:t>
            </w:r>
          </w:p>
          <w:p w14:paraId="5328983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表1-11  项目与《铁路专用线专用铁路管理办法》相符性分析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338"/>
              <w:gridCol w:w="2731"/>
              <w:gridCol w:w="750"/>
            </w:tblGrid>
            <w:tr w14:paraId="2405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0A8319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序号</w:t>
                  </w:r>
                </w:p>
              </w:tc>
              <w:tc>
                <w:tcPr>
                  <w:tcW w:w="2246" w:type="pct"/>
                  <w:vAlign w:val="center"/>
                </w:tcPr>
                <w:p w14:paraId="17A0BD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文件</w:t>
                  </w:r>
                  <w:r>
                    <w:rPr>
                      <w:rFonts w:hint="eastAsia" w:ascii="Times New Roman" w:hAnsi="Times New Roman" w:eastAsia="宋体" w:cs="Times New Roman"/>
                      <w:b w:val="0"/>
                      <w:bCs w:val="0"/>
                      <w:color w:val="auto"/>
                      <w:sz w:val="18"/>
                      <w:szCs w:val="18"/>
                      <w:highlight w:val="none"/>
                      <w:vertAlign w:val="baseline"/>
                      <w:lang w:val="en-US" w:eastAsia="zh-CN"/>
                    </w:rPr>
                    <w:t>要求</w:t>
                  </w:r>
                </w:p>
              </w:tc>
              <w:tc>
                <w:tcPr>
                  <w:tcW w:w="1838" w:type="pct"/>
                  <w:tcBorders>
                    <w:right w:val="nil"/>
                  </w:tcBorders>
                  <w:vAlign w:val="center"/>
                </w:tcPr>
                <w:p w14:paraId="7F79C4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本项目情况</w:t>
                  </w:r>
                </w:p>
              </w:tc>
              <w:tc>
                <w:tcPr>
                  <w:tcW w:w="505" w:type="pct"/>
                  <w:tcBorders>
                    <w:right w:val="nil"/>
                  </w:tcBorders>
                  <w:vAlign w:val="center"/>
                </w:tcPr>
                <w:p w14:paraId="67DFCD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符合性</w:t>
                  </w:r>
                </w:p>
              </w:tc>
            </w:tr>
            <w:tr w14:paraId="1473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06D971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1</w:t>
                  </w:r>
                </w:p>
              </w:tc>
              <w:tc>
                <w:tcPr>
                  <w:tcW w:w="2246" w:type="pct"/>
                  <w:vAlign w:val="center"/>
                </w:tcPr>
                <w:p w14:paraId="14515E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第七条</w:t>
                  </w:r>
                  <w:r>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t xml:space="preserve"> </w:t>
                  </w:r>
                  <w:r>
                    <w:rPr>
                      <w:rStyle w:val="25"/>
                      <w:rFonts w:hint="default" w:ascii="Times New Roman" w:hAnsi="Times New Roman" w:eastAsia="宋体" w:cs="Times New Roman"/>
                      <w:b w:val="0"/>
                      <w:bCs w:val="0"/>
                      <w:i w:val="0"/>
                      <w:iCs w:val="0"/>
                      <w:caps w:val="0"/>
                      <w:color w:val="000000"/>
                      <w:spacing w:val="0"/>
                      <w:sz w:val="18"/>
                      <w:szCs w:val="18"/>
                      <w:shd w:val="clear" w:fill="FFFFFF"/>
                    </w:rPr>
                    <w:t>企业新建专用线的铁路运量，一般不低于每年</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30</w:t>
                  </w:r>
                  <w:r>
                    <w:rPr>
                      <w:rStyle w:val="25"/>
                      <w:rFonts w:hint="default" w:ascii="Times New Roman" w:hAnsi="Times New Roman" w:eastAsia="宋体" w:cs="Times New Roman"/>
                      <w:b w:val="0"/>
                      <w:bCs w:val="0"/>
                      <w:i w:val="0"/>
                      <w:iCs w:val="0"/>
                      <w:caps w:val="0"/>
                      <w:color w:val="000000"/>
                      <w:spacing w:val="0"/>
                      <w:sz w:val="18"/>
                      <w:szCs w:val="18"/>
                      <w:shd w:val="clear" w:fill="FFFFFF"/>
                    </w:rPr>
                    <w:t>万</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t</w:t>
                  </w:r>
                  <w:r>
                    <w:rPr>
                      <w:rStyle w:val="25"/>
                      <w:rFonts w:hint="default" w:ascii="Times New Roman" w:hAnsi="Times New Roman" w:eastAsia="宋体" w:cs="Times New Roman"/>
                      <w:b w:val="0"/>
                      <w:bCs w:val="0"/>
                      <w:i w:val="0"/>
                      <w:iCs w:val="0"/>
                      <w:caps w:val="0"/>
                      <w:color w:val="000000"/>
                      <w:spacing w:val="0"/>
                      <w:sz w:val="18"/>
                      <w:szCs w:val="18"/>
                      <w:shd w:val="clear" w:fill="FFFFFF"/>
                    </w:rPr>
                    <w:t>。</w:t>
                  </w:r>
                </w:p>
              </w:tc>
              <w:tc>
                <w:tcPr>
                  <w:tcW w:w="1838" w:type="pct"/>
                  <w:tcBorders>
                    <w:right w:val="nil"/>
                  </w:tcBorders>
                  <w:vAlign w:val="center"/>
                </w:tcPr>
                <w:p w14:paraId="76C97F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本项目专用线铁路运量为700万吨/年，不低于</w:t>
                  </w:r>
                  <w:r>
                    <w:rPr>
                      <w:rStyle w:val="25"/>
                      <w:rFonts w:hint="default" w:ascii="Times New Roman" w:hAnsi="Times New Roman" w:eastAsia="宋体" w:cs="Times New Roman"/>
                      <w:b w:val="0"/>
                      <w:bCs w:val="0"/>
                      <w:i w:val="0"/>
                      <w:iCs w:val="0"/>
                      <w:caps w:val="0"/>
                      <w:color w:val="000000"/>
                      <w:spacing w:val="0"/>
                      <w:sz w:val="18"/>
                      <w:szCs w:val="18"/>
                      <w:shd w:val="clear" w:fill="FFFFFF"/>
                    </w:rPr>
                    <w:t>每年</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30</w:t>
                  </w:r>
                  <w:r>
                    <w:rPr>
                      <w:rStyle w:val="25"/>
                      <w:rFonts w:hint="default" w:ascii="Times New Roman" w:hAnsi="Times New Roman" w:eastAsia="宋体" w:cs="Times New Roman"/>
                      <w:b w:val="0"/>
                      <w:bCs w:val="0"/>
                      <w:i w:val="0"/>
                      <w:iCs w:val="0"/>
                      <w:caps w:val="0"/>
                      <w:color w:val="000000"/>
                      <w:spacing w:val="0"/>
                      <w:sz w:val="18"/>
                      <w:szCs w:val="18"/>
                      <w:shd w:val="clear" w:fill="FFFFFF"/>
                    </w:rPr>
                    <w:t>万</w:t>
                  </w:r>
                  <w:r>
                    <w:rPr>
                      <w:rStyle w:val="25"/>
                      <w:rFonts w:hint="eastAsia" w:cs="Times New Roman"/>
                      <w:b w:val="0"/>
                      <w:bCs w:val="0"/>
                      <w:i w:val="0"/>
                      <w:iCs w:val="0"/>
                      <w:caps w:val="0"/>
                      <w:color w:val="000000"/>
                      <w:spacing w:val="0"/>
                      <w:sz w:val="18"/>
                      <w:szCs w:val="18"/>
                      <w:shd w:val="clear" w:fill="FFFFFF"/>
                      <w:lang w:val="en-US" w:eastAsia="zh-CN"/>
                    </w:rPr>
                    <w:t>t</w:t>
                  </w:r>
                  <w:r>
                    <w:rPr>
                      <w:rStyle w:val="25"/>
                      <w:rFonts w:hint="default" w:ascii="Times New Roman" w:hAnsi="Times New Roman" w:eastAsia="宋体" w:cs="Times New Roman"/>
                      <w:b w:val="0"/>
                      <w:bCs w:val="0"/>
                      <w:i w:val="0"/>
                      <w:iCs w:val="0"/>
                      <w:caps w:val="0"/>
                      <w:color w:val="000000"/>
                      <w:spacing w:val="0"/>
                      <w:sz w:val="18"/>
                      <w:szCs w:val="18"/>
                      <w:shd w:val="clear" w:fill="FFFFFF"/>
                    </w:rPr>
                    <w:t>。</w:t>
                  </w:r>
                </w:p>
              </w:tc>
              <w:tc>
                <w:tcPr>
                  <w:tcW w:w="505" w:type="pct"/>
                  <w:tcBorders>
                    <w:right w:val="nil"/>
                  </w:tcBorders>
                  <w:vAlign w:val="center"/>
                </w:tcPr>
                <w:p w14:paraId="3125B6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6C9D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517507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2</w:t>
                  </w:r>
                </w:p>
              </w:tc>
              <w:tc>
                <w:tcPr>
                  <w:tcW w:w="2246" w:type="pct"/>
                  <w:vAlign w:val="center"/>
                </w:tcPr>
                <w:p w14:paraId="166479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第八条</w:t>
                  </w:r>
                  <w:r>
                    <w:rPr>
                      <w:rStyle w:val="25"/>
                      <w:rFonts w:hint="default" w:ascii="Times New Roman" w:hAnsi="Times New Roman" w:cs="Times New Roman"/>
                      <w:b w:val="0"/>
                      <w:bCs w:val="0"/>
                      <w:i w:val="0"/>
                      <w:iCs w:val="0"/>
                      <w:caps w:val="0"/>
                      <w:color w:val="000000"/>
                      <w:spacing w:val="0"/>
                      <w:sz w:val="18"/>
                      <w:szCs w:val="18"/>
                      <w:shd w:val="clear" w:fill="FFFFFF"/>
                      <w:lang w:val="en-US" w:eastAsia="zh-CN"/>
                    </w:rPr>
                    <w:t xml:space="preserve"> </w:t>
                  </w:r>
                  <w:r>
                    <w:rPr>
                      <w:rStyle w:val="25"/>
                      <w:rFonts w:hint="default" w:ascii="Times New Roman" w:hAnsi="Times New Roman" w:eastAsia="宋体" w:cs="Times New Roman"/>
                      <w:b w:val="0"/>
                      <w:bCs w:val="0"/>
                      <w:i w:val="0"/>
                      <w:iCs w:val="0"/>
                      <w:caps w:val="0"/>
                      <w:color w:val="000000"/>
                      <w:spacing w:val="0"/>
                      <w:sz w:val="18"/>
                      <w:szCs w:val="18"/>
                      <w:shd w:val="clear" w:fill="FFFFFF"/>
                    </w:rPr>
                    <w:t>新建铁路时，企业修建专用线，其前期可行性研究报告应报铁道部，接轨方案由铁道部批准。既有线上，新建、改扩建专用线，年运量超过</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50</w:t>
                  </w:r>
                  <w:r>
                    <w:rPr>
                      <w:rStyle w:val="25"/>
                      <w:rFonts w:hint="default" w:ascii="Times New Roman" w:hAnsi="Times New Roman" w:eastAsia="宋体" w:cs="Times New Roman"/>
                      <w:b w:val="0"/>
                      <w:bCs w:val="0"/>
                      <w:i w:val="0"/>
                      <w:iCs w:val="0"/>
                      <w:caps w:val="0"/>
                      <w:color w:val="000000"/>
                      <w:spacing w:val="0"/>
                      <w:sz w:val="18"/>
                      <w:szCs w:val="18"/>
                      <w:shd w:val="clear" w:fill="FFFFFF"/>
                    </w:rPr>
                    <w:t>万</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t</w:t>
                  </w:r>
                  <w:r>
                    <w:rPr>
                      <w:rStyle w:val="25"/>
                      <w:rFonts w:hint="default" w:ascii="Times New Roman" w:hAnsi="Times New Roman" w:eastAsia="宋体" w:cs="Times New Roman"/>
                      <w:b w:val="0"/>
                      <w:bCs w:val="0"/>
                      <w:i w:val="0"/>
                      <w:iCs w:val="0"/>
                      <w:caps w:val="0"/>
                      <w:color w:val="000000"/>
                      <w:spacing w:val="0"/>
                      <w:sz w:val="18"/>
                      <w:szCs w:val="18"/>
                      <w:shd w:val="clear" w:fill="FFFFFF"/>
                    </w:rPr>
                    <w:t>时，其可行性研究报告报铁道部。年运量</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50</w:t>
                  </w:r>
                  <w:r>
                    <w:rPr>
                      <w:rStyle w:val="25"/>
                      <w:rFonts w:hint="default" w:ascii="Times New Roman" w:hAnsi="Times New Roman" w:eastAsia="宋体" w:cs="Times New Roman"/>
                      <w:b w:val="0"/>
                      <w:bCs w:val="0"/>
                      <w:i w:val="0"/>
                      <w:iCs w:val="0"/>
                      <w:caps w:val="0"/>
                      <w:color w:val="000000"/>
                      <w:spacing w:val="0"/>
                      <w:sz w:val="18"/>
                      <w:szCs w:val="18"/>
                      <w:shd w:val="clear" w:fill="FFFFFF"/>
                    </w:rPr>
                    <w:t>万</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t</w:t>
                  </w:r>
                  <w:r>
                    <w:rPr>
                      <w:rStyle w:val="25"/>
                      <w:rFonts w:hint="default" w:ascii="Times New Roman" w:hAnsi="Times New Roman" w:eastAsia="宋体" w:cs="Times New Roman"/>
                      <w:b w:val="0"/>
                      <w:bCs w:val="0"/>
                      <w:i w:val="0"/>
                      <w:iCs w:val="0"/>
                      <w:caps w:val="0"/>
                      <w:color w:val="000000"/>
                      <w:spacing w:val="0"/>
                      <w:sz w:val="18"/>
                      <w:szCs w:val="18"/>
                      <w:shd w:val="clear" w:fill="FFFFFF"/>
                    </w:rPr>
                    <w:t>及以下按铁路局有关规定办理。</w:t>
                  </w:r>
                </w:p>
              </w:tc>
              <w:tc>
                <w:tcPr>
                  <w:tcW w:w="1838" w:type="pct"/>
                  <w:tcBorders>
                    <w:right w:val="nil"/>
                  </w:tcBorders>
                  <w:vAlign w:val="center"/>
                </w:tcPr>
                <w:p w14:paraId="6ADB08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本项目为新建铁路专用线，前期已经将可行性研究报告报铁道部，已获得中国铁路昆明集团有限公司关于玉溪市大化产业园区仙福钢铁厂铁路专用线与中老昆万铁路接轨意见的函。</w:t>
                  </w:r>
                </w:p>
              </w:tc>
              <w:tc>
                <w:tcPr>
                  <w:tcW w:w="505" w:type="pct"/>
                  <w:tcBorders>
                    <w:right w:val="nil"/>
                  </w:tcBorders>
                  <w:vAlign w:val="center"/>
                </w:tcPr>
                <w:p w14:paraId="541834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6069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11CEDF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3</w:t>
                  </w:r>
                </w:p>
              </w:tc>
              <w:tc>
                <w:tcPr>
                  <w:tcW w:w="2246" w:type="pct"/>
                  <w:vAlign w:val="center"/>
                </w:tcPr>
                <w:p w14:paraId="0494A9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第九条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加强新建、改扩建专用线的规划，合理安排专用线在枢纽内、车站内的布局。专用线应集中设置，减少取送车次数，不能干扰正线行车。</w:t>
                  </w:r>
                </w:p>
              </w:tc>
              <w:tc>
                <w:tcPr>
                  <w:tcW w:w="1838" w:type="pct"/>
                  <w:tcBorders>
                    <w:right w:val="nil"/>
                  </w:tcBorders>
                  <w:vAlign w:val="center"/>
                </w:tcPr>
                <w:p w14:paraId="6F241A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本项目已按规划要求合理安排专用线布局。</w:t>
                  </w:r>
                </w:p>
              </w:tc>
              <w:tc>
                <w:tcPr>
                  <w:tcW w:w="505" w:type="pct"/>
                  <w:tcBorders>
                    <w:right w:val="nil"/>
                  </w:tcBorders>
                  <w:vAlign w:val="center"/>
                </w:tcPr>
                <w:p w14:paraId="4699D6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34CC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0F3E79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4</w:t>
                  </w:r>
                </w:p>
              </w:tc>
              <w:tc>
                <w:tcPr>
                  <w:tcW w:w="2246" w:type="pct"/>
                  <w:vAlign w:val="center"/>
                </w:tcPr>
                <w:p w14:paraId="441FB9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第十条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专用线的铁路运输设备，应符合《铁路技术管理规程》和《工业企业标准轨距铁路设计规范》的要求。</w:t>
                  </w:r>
                </w:p>
              </w:tc>
              <w:tc>
                <w:tcPr>
                  <w:tcW w:w="1838" w:type="pct"/>
                  <w:tcBorders>
                    <w:right w:val="nil"/>
                  </w:tcBorders>
                  <w:vAlign w:val="center"/>
                </w:tcPr>
                <w:p w14:paraId="35F9C6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根据建设单位提供资料，本项目选用的运输设备符合</w:t>
                  </w:r>
                  <w:r>
                    <w:rPr>
                      <w:rStyle w:val="25"/>
                      <w:rFonts w:hint="eastAsia" w:ascii="Times New Roman" w:hAnsi="Times New Roman" w:eastAsia="宋体" w:cs="Times New Roman"/>
                      <w:b w:val="0"/>
                      <w:bCs w:val="0"/>
                      <w:i w:val="0"/>
                      <w:iCs w:val="0"/>
                      <w:caps w:val="0"/>
                      <w:color w:val="000000"/>
                      <w:spacing w:val="0"/>
                      <w:sz w:val="18"/>
                      <w:szCs w:val="18"/>
                      <w:shd w:val="clear" w:fill="FFFFFF"/>
                    </w:rPr>
                    <w:t>《铁路技术管理规程》和《工业企业标准轨距铁路设计规范》的要求。</w:t>
                  </w:r>
                </w:p>
              </w:tc>
              <w:tc>
                <w:tcPr>
                  <w:tcW w:w="505" w:type="pct"/>
                  <w:tcBorders>
                    <w:right w:val="nil"/>
                  </w:tcBorders>
                  <w:vAlign w:val="center"/>
                </w:tcPr>
                <w:p w14:paraId="019639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符合</w:t>
                  </w:r>
                </w:p>
              </w:tc>
            </w:tr>
            <w:tr w14:paraId="7FF4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4A52D4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5</w:t>
                  </w:r>
                </w:p>
              </w:tc>
              <w:tc>
                <w:tcPr>
                  <w:tcW w:w="2246" w:type="pct"/>
                  <w:vAlign w:val="center"/>
                </w:tcPr>
                <w:p w14:paraId="5E410B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第十四条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专用线办理的货物运输品类，应符合《铁路专用线专用铁路名称表》的规定。需要变更时，要经铁路局批准，由铁道部公布。在专用线内组织直达整零车运输，经铁路分局同意，组织中转整零车，经铁路局同意。专用线办理铁路集装箱的运输时，须经铁道部批准。办理自备集装箱的运输时，按《铁路集装箱运输规则》和《铁路集装箱运输管理规则》和规定执行。</w:t>
                  </w:r>
                </w:p>
              </w:tc>
              <w:tc>
                <w:tcPr>
                  <w:tcW w:w="1838" w:type="pct"/>
                  <w:tcBorders>
                    <w:right w:val="nil"/>
                  </w:tcBorders>
                  <w:vAlign w:val="center"/>
                </w:tcPr>
                <w:p w14:paraId="5BF62A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本项目为仙福钢铁厂配套的铁路专用线，主要运输货物为煤、铁矿石、焦炭以及钢材等，</w:t>
                  </w:r>
                  <w:r>
                    <w:rPr>
                      <w:rStyle w:val="25"/>
                      <w:rFonts w:hint="eastAsia" w:ascii="Times New Roman" w:hAnsi="Times New Roman" w:eastAsia="宋体" w:cs="Times New Roman"/>
                      <w:b w:val="0"/>
                      <w:bCs w:val="0"/>
                      <w:i w:val="0"/>
                      <w:iCs w:val="0"/>
                      <w:caps w:val="0"/>
                      <w:color w:val="000000"/>
                      <w:spacing w:val="0"/>
                      <w:sz w:val="18"/>
                      <w:szCs w:val="18"/>
                      <w:shd w:val="clear" w:fill="FFFFFF"/>
                    </w:rPr>
                    <w:t>符合《铁路专用线专用铁路名称表》的规定</w:t>
                  </w:r>
                  <w:r>
                    <w:rPr>
                      <w:rStyle w:val="25"/>
                      <w:rFonts w:hint="eastAsia" w:cs="Times New Roman"/>
                      <w:b w:val="0"/>
                      <w:bCs w:val="0"/>
                      <w:i w:val="0"/>
                      <w:iCs w:val="0"/>
                      <w:caps w:val="0"/>
                      <w:color w:val="000000"/>
                      <w:spacing w:val="0"/>
                      <w:sz w:val="18"/>
                      <w:szCs w:val="18"/>
                      <w:shd w:val="clear" w:fill="FFFFFF"/>
                      <w:lang w:eastAsia="zh-CN"/>
                    </w:rPr>
                    <w:t>；</w:t>
                  </w:r>
                  <w:r>
                    <w:rPr>
                      <w:rStyle w:val="25"/>
                      <w:rFonts w:hint="eastAsia" w:cs="Times New Roman"/>
                      <w:b w:val="0"/>
                      <w:bCs w:val="0"/>
                      <w:i w:val="0"/>
                      <w:iCs w:val="0"/>
                      <w:caps w:val="0"/>
                      <w:color w:val="000000"/>
                      <w:spacing w:val="0"/>
                      <w:sz w:val="18"/>
                      <w:szCs w:val="18"/>
                      <w:shd w:val="clear" w:fill="FFFFFF"/>
                      <w:lang w:val="en-US" w:eastAsia="zh-CN"/>
                    </w:rPr>
                    <w:t>本项目采用集装箱运输，已获得铁道部批准。</w:t>
                  </w:r>
                </w:p>
              </w:tc>
              <w:tc>
                <w:tcPr>
                  <w:tcW w:w="505" w:type="pct"/>
                  <w:tcBorders>
                    <w:right w:val="nil"/>
                  </w:tcBorders>
                  <w:vAlign w:val="center"/>
                </w:tcPr>
                <w:p w14:paraId="28D234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r w14:paraId="463B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left w:val="nil"/>
                  </w:tcBorders>
                  <w:vAlign w:val="center"/>
                </w:tcPr>
                <w:p w14:paraId="27554F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6</w:t>
                  </w:r>
                </w:p>
              </w:tc>
              <w:tc>
                <w:tcPr>
                  <w:tcW w:w="2246" w:type="pct"/>
                  <w:vAlign w:val="center"/>
                </w:tcPr>
                <w:p w14:paraId="58119E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第十五条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专用线内应有足够的装卸车能力，设有专人值班，做到随到随卸，随到随装。专用线货位要专用化，不得随意变更和挪用。</w:t>
                  </w:r>
                </w:p>
              </w:tc>
              <w:tc>
                <w:tcPr>
                  <w:tcW w:w="1838" w:type="pct"/>
                  <w:tcBorders>
                    <w:right w:val="nil"/>
                  </w:tcBorders>
                  <w:vAlign w:val="center"/>
                </w:tcPr>
                <w:p w14:paraId="77451B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本项目新增75名工作人员，设有专人值班，有足够的装卸车能力。</w:t>
                  </w:r>
                </w:p>
              </w:tc>
              <w:tc>
                <w:tcPr>
                  <w:tcW w:w="505" w:type="pct"/>
                  <w:tcBorders>
                    <w:right w:val="nil"/>
                  </w:tcBorders>
                  <w:vAlign w:val="center"/>
                </w:tcPr>
                <w:p w14:paraId="6CE24F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符合</w:t>
                  </w:r>
                </w:p>
              </w:tc>
            </w:tr>
          </w:tbl>
          <w:p w14:paraId="2306F4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根据上表分析</w:t>
            </w:r>
            <w:r>
              <w:rPr>
                <w:rFonts w:hint="eastAsia" w:ascii="Times New Roman" w:hAnsi="Times New Roman" w:eastAsia="宋体" w:cs="Times New Roman"/>
                <w:color w:val="000000"/>
                <w:kern w:val="0"/>
                <w:sz w:val="24"/>
                <w:szCs w:val="24"/>
                <w:lang w:val="en-US" w:eastAsia="zh-CN" w:bidi="ar"/>
              </w:rPr>
              <w:t>，本项目与</w:t>
            </w:r>
            <w:r>
              <w:rPr>
                <w:rFonts w:hint="eastAsia" w:cs="Times New Roman"/>
                <w:color w:val="000000"/>
                <w:kern w:val="0"/>
                <w:sz w:val="24"/>
                <w:szCs w:val="24"/>
                <w:lang w:val="en-US" w:eastAsia="zh-CN" w:bidi="ar"/>
              </w:rPr>
              <w:t>《铁路专用线专用铁路管理办法》相符。</w:t>
            </w:r>
          </w:p>
          <w:p w14:paraId="6C40E65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19</w:t>
            </w:r>
            <w:r>
              <w:rPr>
                <w:rFonts w:hint="default" w:ascii="Times New Roman" w:hAnsi="Times New Roman" w:eastAsia="宋体" w:cs="Times New Roman"/>
                <w:b/>
                <w:bCs/>
                <w:color w:val="auto"/>
                <w:kern w:val="0"/>
                <w:sz w:val="24"/>
                <w:lang w:val="en-US" w:eastAsia="zh-CN"/>
              </w:rPr>
              <w:t>、与《关于发布地面交通噪声污染防治技术政策的通知》（环发〔2010〕7号）符合性分析</w:t>
            </w:r>
          </w:p>
          <w:p w14:paraId="251E82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本项目与</w:t>
            </w:r>
            <w:r>
              <w:rPr>
                <w:rFonts w:hint="default" w:cs="Times New Roman"/>
                <w:color w:val="000000"/>
                <w:kern w:val="0"/>
                <w:sz w:val="24"/>
                <w:szCs w:val="24"/>
                <w:lang w:val="en-US" w:eastAsia="zh-CN" w:bidi="ar"/>
              </w:rPr>
              <w:t>《关于发布地面交通噪声污染防治技术政策的通知》（环发〔2010〕7号）符合性分析</w:t>
            </w:r>
            <w:r>
              <w:rPr>
                <w:rFonts w:hint="eastAsia" w:cs="Times New Roman"/>
                <w:color w:val="000000"/>
                <w:kern w:val="0"/>
                <w:sz w:val="24"/>
                <w:szCs w:val="24"/>
                <w:lang w:val="en-US" w:eastAsia="zh-CN" w:bidi="ar"/>
              </w:rPr>
              <w:t>见下表：</w:t>
            </w:r>
          </w:p>
          <w:p w14:paraId="6BD65F5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表1-12 项目与《关于发布地面交通噪声污染防治技术政策的通知》相符性分析</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870"/>
              <w:gridCol w:w="2310"/>
              <w:gridCol w:w="788"/>
            </w:tblGrid>
            <w:tr w14:paraId="2C040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62C3AB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auto"/>
                      <w:sz w:val="18"/>
                      <w:szCs w:val="18"/>
                      <w:highlight w:val="none"/>
                      <w:vertAlign w:val="baseline"/>
                      <w:lang w:val="en-US" w:eastAsia="zh-CN"/>
                    </w:rPr>
                    <w:t>序号</w:t>
                  </w:r>
                </w:p>
              </w:tc>
              <w:tc>
                <w:tcPr>
                  <w:tcW w:w="3870" w:type="dxa"/>
                  <w:tcBorders>
                    <w:tl2br w:val="nil"/>
                    <w:tr2bl w:val="nil"/>
                  </w:tcBorders>
                  <w:vAlign w:val="center"/>
                </w:tcPr>
                <w:p w14:paraId="6C0486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cs="Times New Roman"/>
                      <w:b w:val="0"/>
                      <w:bCs w:val="0"/>
                      <w:color w:val="auto"/>
                      <w:sz w:val="18"/>
                      <w:szCs w:val="18"/>
                      <w:highlight w:val="none"/>
                      <w:vertAlign w:val="baseline"/>
                      <w:lang w:val="en-US" w:eastAsia="zh-CN"/>
                    </w:rPr>
                    <w:t>通知</w:t>
                  </w:r>
                  <w:r>
                    <w:rPr>
                      <w:rFonts w:hint="eastAsia" w:ascii="Times New Roman" w:hAnsi="Times New Roman" w:eastAsia="宋体" w:cs="Times New Roman"/>
                      <w:b w:val="0"/>
                      <w:bCs w:val="0"/>
                      <w:color w:val="auto"/>
                      <w:sz w:val="18"/>
                      <w:szCs w:val="18"/>
                      <w:highlight w:val="none"/>
                      <w:vertAlign w:val="baseline"/>
                      <w:lang w:val="en-US" w:eastAsia="zh-CN"/>
                    </w:rPr>
                    <w:t>要求</w:t>
                  </w:r>
                </w:p>
              </w:tc>
              <w:tc>
                <w:tcPr>
                  <w:tcW w:w="2310" w:type="dxa"/>
                  <w:tcBorders>
                    <w:tl2br w:val="nil"/>
                    <w:tr2bl w:val="nil"/>
                  </w:tcBorders>
                  <w:vAlign w:val="center"/>
                </w:tcPr>
                <w:p w14:paraId="22806B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auto"/>
                      <w:sz w:val="18"/>
                      <w:szCs w:val="18"/>
                      <w:highlight w:val="none"/>
                      <w:vertAlign w:val="baseline"/>
                      <w:lang w:val="en-US" w:eastAsia="zh-CN"/>
                    </w:rPr>
                    <w:t>本项目情况</w:t>
                  </w:r>
                </w:p>
              </w:tc>
              <w:tc>
                <w:tcPr>
                  <w:tcW w:w="788" w:type="dxa"/>
                  <w:tcBorders>
                    <w:tl2br w:val="nil"/>
                    <w:tr2bl w:val="nil"/>
                  </w:tcBorders>
                  <w:vAlign w:val="center"/>
                </w:tcPr>
                <w:p w14:paraId="7D3743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auto"/>
                      <w:sz w:val="18"/>
                      <w:szCs w:val="18"/>
                      <w:highlight w:val="none"/>
                      <w:vertAlign w:val="baseline"/>
                      <w:lang w:val="en-US" w:eastAsia="zh-CN"/>
                    </w:rPr>
                    <w:t>符合性</w:t>
                  </w:r>
                </w:p>
              </w:tc>
            </w:tr>
            <w:tr w14:paraId="19EF8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56E0C3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w:t>
                  </w:r>
                </w:p>
              </w:tc>
              <w:tc>
                <w:tcPr>
                  <w:tcW w:w="3870" w:type="dxa"/>
                  <w:tcBorders>
                    <w:tl2br w:val="nil"/>
                    <w:tr2bl w:val="nil"/>
                  </w:tcBorders>
                  <w:vAlign w:val="center"/>
                </w:tcPr>
                <w:p w14:paraId="5C82AA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三、噪声源控制</w:t>
                  </w:r>
                </w:p>
                <w:p w14:paraId="28D70A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（三）地面交通线路的选择宜合理避让噪声敏感建筑物。新建二级及以上公路、铁路货运专线应避免穿越城市、村镇噪声敏感建筑物集中区域；新建城市轨道交通线路在穿越城市中心区时宜选择地下通行方式。</w:t>
                  </w:r>
                </w:p>
                <w:p w14:paraId="690B5B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五）铁路、城市轨道交通线路宜采用焊接长钢轨、经过打磨处理的高表面平整度钢轨等措施，降低轮轨接触噪声，以及采用减振型轨下基础，对桥梁进行减振设计，降低振动辐射噪声。穿越城市、村镇的铁路宜进行线路封闭，减少平交道口。</w:t>
                  </w:r>
                </w:p>
              </w:tc>
              <w:tc>
                <w:tcPr>
                  <w:tcW w:w="2310" w:type="dxa"/>
                  <w:tcBorders>
                    <w:tl2br w:val="nil"/>
                    <w:tr2bl w:val="nil"/>
                  </w:tcBorders>
                  <w:vAlign w:val="center"/>
                </w:tcPr>
                <w:p w14:paraId="35D049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本项目铁路专用线位于新平产业园区绿色钢城片区，未穿越</w:t>
                  </w:r>
                  <w:r>
                    <w:rPr>
                      <w:rStyle w:val="25"/>
                      <w:rFonts w:hint="eastAsia" w:ascii="Times New Roman" w:hAnsi="Times New Roman" w:eastAsia="宋体" w:cs="Times New Roman"/>
                      <w:b w:val="0"/>
                      <w:bCs w:val="0"/>
                      <w:i w:val="0"/>
                      <w:iCs w:val="0"/>
                      <w:caps w:val="0"/>
                      <w:color w:val="000000"/>
                      <w:spacing w:val="0"/>
                      <w:sz w:val="18"/>
                      <w:szCs w:val="18"/>
                      <w:shd w:val="clear" w:fill="FFFFFF"/>
                    </w:rPr>
                    <w:t>城市、村镇噪声敏感建筑物集中区域</w:t>
                  </w:r>
                  <w:r>
                    <w:rPr>
                      <w:rStyle w:val="25"/>
                      <w:rFonts w:hint="eastAsia" w:cs="Times New Roman"/>
                      <w:b w:val="0"/>
                      <w:bCs w:val="0"/>
                      <w:i w:val="0"/>
                      <w:iCs w:val="0"/>
                      <w:caps w:val="0"/>
                      <w:color w:val="000000"/>
                      <w:spacing w:val="0"/>
                      <w:sz w:val="18"/>
                      <w:szCs w:val="18"/>
                      <w:shd w:val="clear" w:fill="FFFFFF"/>
                      <w:lang w:eastAsia="zh-CN"/>
                    </w:rPr>
                    <w:t>；</w:t>
                  </w:r>
                  <w:r>
                    <w:rPr>
                      <w:rStyle w:val="25"/>
                      <w:rFonts w:hint="eastAsia" w:cs="Times New Roman"/>
                      <w:b w:val="0"/>
                      <w:bCs w:val="0"/>
                      <w:i w:val="0"/>
                      <w:iCs w:val="0"/>
                      <w:caps w:val="0"/>
                      <w:color w:val="000000"/>
                      <w:spacing w:val="0"/>
                      <w:sz w:val="18"/>
                      <w:szCs w:val="18"/>
                      <w:shd w:val="clear" w:fill="FFFFFF"/>
                      <w:lang w:val="en-US" w:eastAsia="zh-CN"/>
                    </w:rPr>
                    <w:t>本项目铁路专用线选用</w:t>
                  </w:r>
                  <w:r>
                    <w:rPr>
                      <w:rStyle w:val="25"/>
                      <w:rFonts w:hint="eastAsia" w:ascii="Times New Roman" w:hAnsi="Times New Roman" w:eastAsia="宋体" w:cs="Times New Roman"/>
                      <w:b w:val="0"/>
                      <w:bCs w:val="0"/>
                      <w:i w:val="0"/>
                      <w:iCs w:val="0"/>
                      <w:caps w:val="0"/>
                      <w:color w:val="000000"/>
                      <w:spacing w:val="0"/>
                      <w:sz w:val="18"/>
                      <w:szCs w:val="18"/>
                      <w:shd w:val="clear" w:fill="FFFFFF"/>
                    </w:rPr>
                    <w:t>焊接长钢轨、经过打磨处理的高表面平整度钢轨</w:t>
                  </w:r>
                  <w:r>
                    <w:rPr>
                      <w:rStyle w:val="25"/>
                      <w:rFonts w:hint="eastAsia" w:cs="Times New Roman"/>
                      <w:b w:val="0"/>
                      <w:bCs w:val="0"/>
                      <w:i w:val="0"/>
                      <w:iCs w:val="0"/>
                      <w:caps w:val="0"/>
                      <w:color w:val="000000"/>
                      <w:spacing w:val="0"/>
                      <w:sz w:val="18"/>
                      <w:szCs w:val="18"/>
                      <w:shd w:val="clear" w:fill="FFFFFF"/>
                      <w:lang w:eastAsia="zh-CN"/>
                    </w:rPr>
                    <w:t>。</w:t>
                  </w:r>
                </w:p>
              </w:tc>
              <w:tc>
                <w:tcPr>
                  <w:tcW w:w="788" w:type="dxa"/>
                  <w:tcBorders>
                    <w:tl2br w:val="nil"/>
                    <w:tr2bl w:val="nil"/>
                  </w:tcBorders>
                  <w:vAlign w:val="center"/>
                </w:tcPr>
                <w:p w14:paraId="193263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r w14:paraId="51E00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5FD340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2</w:t>
                  </w:r>
                </w:p>
              </w:tc>
              <w:tc>
                <w:tcPr>
                  <w:tcW w:w="3870" w:type="dxa"/>
                  <w:tcBorders>
                    <w:tl2br w:val="nil"/>
                    <w:tr2bl w:val="nil"/>
                  </w:tcBorders>
                  <w:vAlign w:val="center"/>
                </w:tcPr>
                <w:p w14:paraId="07F7C9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四、传声途径噪声削减</w:t>
                  </w:r>
                </w:p>
                <w:p w14:paraId="5F5BEC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（三）宜合理利用地物地貌、绿化带等作为隔声屏障，其建设应结合噪声衰减要求、周围土地利用现状与规划、景观要求、水土保持规划等进行。</w:t>
                  </w:r>
                </w:p>
                <w:p w14:paraId="6CC7BC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（四）绿化带宜根据当地自然条件选择枝叶繁茂、生长迅速的常绿植物，乔、灌、草应合理搭配密植。规划的绿化带宜与地面交通设施同步建设。</w:t>
                  </w:r>
                </w:p>
              </w:tc>
              <w:tc>
                <w:tcPr>
                  <w:tcW w:w="2310" w:type="dxa"/>
                  <w:tcBorders>
                    <w:tl2br w:val="nil"/>
                    <w:tr2bl w:val="nil"/>
                  </w:tcBorders>
                  <w:vAlign w:val="center"/>
                </w:tcPr>
                <w:p w14:paraId="62631A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施工</w:t>
                  </w: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结束后，会对破坏的植被进行恢复，</w:t>
                  </w:r>
                  <w:r>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t>路基边坡坡面采用</w:t>
                  </w:r>
                  <w:r>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t>种植当地树种</w:t>
                  </w:r>
                  <w:r>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t>的方式进行防护</w:t>
                  </w:r>
                  <w:r>
                    <w:rPr>
                      <w:rStyle w:val="25"/>
                      <w:rFonts w:hint="eastAsia" w:cs="Times New Roman"/>
                      <w:b w:val="0"/>
                      <w:bCs w:val="0"/>
                      <w:i w:val="0"/>
                      <w:iCs w:val="0"/>
                      <w:caps w:val="0"/>
                      <w:color w:val="000000"/>
                      <w:spacing w:val="0"/>
                      <w:sz w:val="18"/>
                      <w:szCs w:val="18"/>
                      <w:shd w:val="clear" w:fill="FFFFFF"/>
                      <w:lang w:val="en-US" w:eastAsia="zh-CN"/>
                    </w:rPr>
                    <w:t>，增加绿化面积，可以作为隔声屏障。</w:t>
                  </w:r>
                </w:p>
              </w:tc>
              <w:tc>
                <w:tcPr>
                  <w:tcW w:w="788" w:type="dxa"/>
                  <w:tcBorders>
                    <w:tl2br w:val="nil"/>
                    <w:tr2bl w:val="nil"/>
                  </w:tcBorders>
                  <w:vAlign w:val="center"/>
                </w:tcPr>
                <w:p w14:paraId="7D18C4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r w14:paraId="7E58C4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56D277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3</w:t>
                  </w:r>
                </w:p>
              </w:tc>
              <w:tc>
                <w:tcPr>
                  <w:tcW w:w="3870" w:type="dxa"/>
                  <w:tcBorders>
                    <w:tl2br w:val="nil"/>
                    <w:tr2bl w:val="nil"/>
                  </w:tcBorders>
                  <w:vAlign w:val="center"/>
                </w:tcPr>
                <w:p w14:paraId="4468EE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六、加强交通噪声管理</w:t>
                  </w:r>
                </w:p>
                <w:p w14:paraId="001C10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（二）铁路车辆尽可能采用非鸣笛的信号联络方式（信号灯、无线通讯等）。通过减少鸣笛次数、声级强度和鸣笛持续时间等方式，对铁路车辆在城市、村镇内鸣笛进行限制。</w:t>
                  </w:r>
                </w:p>
                <w:p w14:paraId="74D33B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（四）环境保护部门应加强对地面交通噪声的监测，对环境噪声超标的地面交通设施提出噪声削减意见或要求，监督有关部门实施。</w:t>
                  </w:r>
                </w:p>
              </w:tc>
              <w:tc>
                <w:tcPr>
                  <w:tcW w:w="2310" w:type="dxa"/>
                  <w:tcBorders>
                    <w:tl2br w:val="nil"/>
                    <w:tr2bl w:val="nil"/>
                  </w:tcBorders>
                  <w:vAlign w:val="center"/>
                </w:tcPr>
                <w:p w14:paraId="40E6F2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本项目采用无线通讯的信号联络方式，本项目提出了噪声监测计划，要求建设单位定期对铁路专用线噪声进行监测。</w:t>
                  </w:r>
                </w:p>
              </w:tc>
              <w:tc>
                <w:tcPr>
                  <w:tcW w:w="788" w:type="dxa"/>
                  <w:tcBorders>
                    <w:tl2br w:val="nil"/>
                    <w:tr2bl w:val="nil"/>
                  </w:tcBorders>
                  <w:vAlign w:val="center"/>
                </w:tcPr>
                <w:p w14:paraId="2FAB97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bl>
          <w:p w14:paraId="0C9466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根据上表分析</w:t>
            </w:r>
            <w:r>
              <w:rPr>
                <w:rFonts w:hint="eastAsia" w:ascii="Times New Roman" w:hAnsi="Times New Roman" w:eastAsia="宋体" w:cs="Times New Roman"/>
                <w:color w:val="000000"/>
                <w:kern w:val="0"/>
                <w:sz w:val="24"/>
                <w:szCs w:val="24"/>
                <w:lang w:val="en-US" w:eastAsia="zh-CN" w:bidi="ar"/>
              </w:rPr>
              <w:t>，本项目与</w:t>
            </w:r>
            <w:r>
              <w:rPr>
                <w:rFonts w:hint="default" w:cs="Times New Roman"/>
                <w:color w:val="000000"/>
                <w:kern w:val="0"/>
                <w:sz w:val="24"/>
                <w:szCs w:val="24"/>
                <w:lang w:val="en-US" w:eastAsia="zh-CN" w:bidi="ar"/>
              </w:rPr>
              <w:t>《关于发布地面交通噪声污染防治技术政策的通知》（环发〔2010〕7号）</w:t>
            </w:r>
            <w:r>
              <w:rPr>
                <w:rFonts w:hint="eastAsia" w:cs="Times New Roman"/>
                <w:color w:val="000000"/>
                <w:kern w:val="0"/>
                <w:sz w:val="24"/>
                <w:szCs w:val="24"/>
                <w:lang w:val="en-US" w:eastAsia="zh-CN" w:bidi="ar"/>
              </w:rPr>
              <w:t>相符。</w:t>
            </w:r>
          </w:p>
          <w:p w14:paraId="085BB12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color w:val="000000"/>
                <w:kern w:val="0"/>
                <w:sz w:val="24"/>
                <w:szCs w:val="24"/>
                <w:lang w:val="en-US" w:eastAsia="zh-CN" w:bidi="ar"/>
              </w:rPr>
            </w:pPr>
            <w:r>
              <w:rPr>
                <w:rFonts w:hint="eastAsia" w:cs="Times New Roman"/>
                <w:b/>
                <w:bCs/>
                <w:color w:val="auto"/>
                <w:kern w:val="0"/>
                <w:sz w:val="24"/>
                <w:lang w:val="en-US" w:eastAsia="zh-CN"/>
              </w:rPr>
              <w:t>20</w:t>
            </w:r>
            <w:r>
              <w:rPr>
                <w:rFonts w:hint="default" w:ascii="Times New Roman" w:hAnsi="Times New Roman" w:eastAsia="宋体" w:cs="Times New Roman"/>
                <w:b/>
                <w:bCs/>
                <w:color w:val="auto"/>
                <w:kern w:val="0"/>
                <w:sz w:val="24"/>
                <w:lang w:val="en-US" w:eastAsia="zh-CN"/>
              </w:rPr>
              <w:t>、与《</w:t>
            </w:r>
            <w:r>
              <w:rPr>
                <w:rFonts w:hint="eastAsia" w:cs="Times New Roman"/>
                <w:b/>
                <w:bCs/>
                <w:color w:val="auto"/>
                <w:kern w:val="0"/>
                <w:sz w:val="24"/>
                <w:lang w:val="en-US" w:eastAsia="zh-CN"/>
              </w:rPr>
              <w:t>铁路建设项目环境影响管理办法》符合性分析</w:t>
            </w:r>
          </w:p>
          <w:p w14:paraId="5B7B6E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本项目与</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铁路建设项目环境影响管理办法》</w:t>
            </w:r>
            <w:r>
              <w:rPr>
                <w:rFonts w:hint="default" w:ascii="Times New Roman" w:hAnsi="Times New Roman" w:eastAsia="宋体" w:cs="Times New Roman"/>
                <w:color w:val="000000"/>
                <w:kern w:val="0"/>
                <w:sz w:val="24"/>
                <w:szCs w:val="24"/>
                <w:lang w:val="en-US" w:eastAsia="zh-CN" w:bidi="ar"/>
              </w:rPr>
              <w:t>符合性分析</w:t>
            </w:r>
            <w:r>
              <w:rPr>
                <w:rFonts w:hint="eastAsia" w:ascii="Times New Roman" w:hAnsi="Times New Roman" w:eastAsia="宋体" w:cs="Times New Roman"/>
                <w:color w:val="000000"/>
                <w:kern w:val="0"/>
                <w:sz w:val="24"/>
                <w:szCs w:val="24"/>
                <w:lang w:val="en-US" w:eastAsia="zh-CN" w:bidi="ar"/>
              </w:rPr>
              <w:t>见下表：</w:t>
            </w:r>
          </w:p>
          <w:p w14:paraId="1F3279D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表1-13 项目与《关于发布地面交通噪声污染防治技术政策的通知》相符性分析</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870"/>
              <w:gridCol w:w="2310"/>
              <w:gridCol w:w="788"/>
            </w:tblGrid>
            <w:tr w14:paraId="25D94F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2221FD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auto"/>
                      <w:sz w:val="18"/>
                      <w:szCs w:val="18"/>
                      <w:highlight w:val="none"/>
                      <w:vertAlign w:val="baseline"/>
                      <w:lang w:val="en-US" w:eastAsia="zh-CN"/>
                    </w:rPr>
                    <w:t>序号</w:t>
                  </w:r>
                </w:p>
              </w:tc>
              <w:tc>
                <w:tcPr>
                  <w:tcW w:w="3870" w:type="dxa"/>
                  <w:tcBorders>
                    <w:tl2br w:val="nil"/>
                    <w:tr2bl w:val="nil"/>
                  </w:tcBorders>
                  <w:vAlign w:val="center"/>
                </w:tcPr>
                <w:p w14:paraId="4D443F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cs="Times New Roman"/>
                      <w:b w:val="0"/>
                      <w:bCs w:val="0"/>
                      <w:color w:val="auto"/>
                      <w:sz w:val="18"/>
                      <w:szCs w:val="18"/>
                      <w:highlight w:val="none"/>
                      <w:vertAlign w:val="baseline"/>
                      <w:lang w:val="en-US" w:eastAsia="zh-CN"/>
                    </w:rPr>
                    <w:t>通知</w:t>
                  </w:r>
                  <w:r>
                    <w:rPr>
                      <w:rFonts w:hint="eastAsia" w:ascii="Times New Roman" w:hAnsi="Times New Roman" w:eastAsia="宋体" w:cs="Times New Roman"/>
                      <w:b w:val="0"/>
                      <w:bCs w:val="0"/>
                      <w:color w:val="auto"/>
                      <w:sz w:val="18"/>
                      <w:szCs w:val="18"/>
                      <w:highlight w:val="none"/>
                      <w:vertAlign w:val="baseline"/>
                      <w:lang w:val="en-US" w:eastAsia="zh-CN"/>
                    </w:rPr>
                    <w:t>要求</w:t>
                  </w:r>
                </w:p>
              </w:tc>
              <w:tc>
                <w:tcPr>
                  <w:tcW w:w="2310" w:type="dxa"/>
                  <w:tcBorders>
                    <w:tl2br w:val="nil"/>
                    <w:tr2bl w:val="nil"/>
                  </w:tcBorders>
                  <w:vAlign w:val="center"/>
                </w:tcPr>
                <w:p w14:paraId="74253C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auto"/>
                      <w:sz w:val="18"/>
                      <w:szCs w:val="18"/>
                      <w:highlight w:val="none"/>
                      <w:vertAlign w:val="baseline"/>
                      <w:lang w:val="en-US" w:eastAsia="zh-CN"/>
                    </w:rPr>
                    <w:t>本项目情况</w:t>
                  </w:r>
                </w:p>
              </w:tc>
              <w:tc>
                <w:tcPr>
                  <w:tcW w:w="788" w:type="dxa"/>
                  <w:tcBorders>
                    <w:tl2br w:val="nil"/>
                    <w:tr2bl w:val="nil"/>
                  </w:tcBorders>
                  <w:vAlign w:val="center"/>
                </w:tcPr>
                <w:p w14:paraId="5C6998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ascii="Times New Roman" w:hAnsi="Times New Roman" w:eastAsia="宋体" w:cs="Times New Roman"/>
                      <w:b w:val="0"/>
                      <w:bCs w:val="0"/>
                      <w:color w:val="auto"/>
                      <w:sz w:val="18"/>
                      <w:szCs w:val="18"/>
                      <w:highlight w:val="none"/>
                      <w:vertAlign w:val="baseline"/>
                      <w:lang w:val="en-US" w:eastAsia="zh-CN"/>
                    </w:rPr>
                    <w:t>符合性</w:t>
                  </w:r>
                </w:p>
              </w:tc>
            </w:tr>
            <w:tr w14:paraId="13F0C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09A402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w:t>
                  </w:r>
                </w:p>
              </w:tc>
              <w:tc>
                <w:tcPr>
                  <w:tcW w:w="3870" w:type="dxa"/>
                  <w:tcBorders>
                    <w:tl2br w:val="nil"/>
                    <w:tr2bl w:val="nil"/>
                  </w:tcBorders>
                  <w:vAlign w:val="center"/>
                </w:tcPr>
                <w:p w14:paraId="0F5E02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第七条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建设单位委托评价工作，以委托书方式进行，行文应分送建设项目主管部门的环保、计划、基建部门和国家及有关的地方环保局。</w:t>
                  </w:r>
                </w:p>
              </w:tc>
              <w:tc>
                <w:tcPr>
                  <w:tcW w:w="2310" w:type="dxa"/>
                  <w:tcBorders>
                    <w:tl2br w:val="nil"/>
                    <w:tr2bl w:val="nil"/>
                  </w:tcBorders>
                  <w:vAlign w:val="center"/>
                </w:tcPr>
                <w:p w14:paraId="618888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建设单位于2025年12月23日委托我单位开展本项目环境影响评价工作，接受委托后，我单位组织技术人员进行现场踏勘，并编制环境影响评价报告表供上级单位审批。</w:t>
                  </w:r>
                </w:p>
              </w:tc>
              <w:tc>
                <w:tcPr>
                  <w:tcW w:w="788" w:type="dxa"/>
                  <w:tcBorders>
                    <w:tl2br w:val="nil"/>
                    <w:tr2bl w:val="nil"/>
                  </w:tcBorders>
                  <w:vAlign w:val="center"/>
                </w:tcPr>
                <w:p w14:paraId="486F74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r w14:paraId="33626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115D6F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2</w:t>
                  </w:r>
                </w:p>
              </w:tc>
              <w:tc>
                <w:tcPr>
                  <w:tcW w:w="3870" w:type="dxa"/>
                  <w:tcBorders>
                    <w:tl2br w:val="nil"/>
                    <w:tr2bl w:val="nil"/>
                  </w:tcBorders>
                  <w:vAlign w:val="center"/>
                </w:tcPr>
                <w:p w14:paraId="239DF7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default" w:ascii="Times New Roman" w:hAnsi="Times New Roman" w:eastAsia="宋体" w:cs="Times New Roman"/>
                      <w:b w:val="0"/>
                      <w:bCs w:val="0"/>
                      <w:i w:val="0"/>
                      <w:iCs w:val="0"/>
                      <w:caps w:val="0"/>
                      <w:color w:val="000000"/>
                      <w:spacing w:val="0"/>
                      <w:sz w:val="18"/>
                      <w:szCs w:val="18"/>
                      <w:shd w:val="clear" w:fill="FFFFFF"/>
                    </w:rPr>
                    <w:t>第九条</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 xml:space="preserve"> </w:t>
                  </w:r>
                  <w:r>
                    <w:rPr>
                      <w:rStyle w:val="25"/>
                      <w:rFonts w:hint="default" w:ascii="Times New Roman" w:hAnsi="Times New Roman" w:eastAsia="宋体" w:cs="Times New Roman"/>
                      <w:b w:val="0"/>
                      <w:bCs w:val="0"/>
                      <w:i w:val="0"/>
                      <w:iCs w:val="0"/>
                      <w:caps w:val="0"/>
                      <w:color w:val="000000"/>
                      <w:spacing w:val="0"/>
                      <w:sz w:val="18"/>
                      <w:szCs w:val="18"/>
                      <w:shd w:val="clear" w:fill="FFFFFF"/>
                    </w:rPr>
                    <w:t>承担或牵头承担评价工作的单位，根据《铁路工程建设项目环境影响评价技术标准》（</w:t>
                  </w:r>
                  <w:r>
                    <w:rPr>
                      <w:rStyle w:val="25"/>
                      <w:rFonts w:hint="eastAsia" w:ascii="Times New Roman" w:hAnsi="Times New Roman" w:cs="Times New Roman"/>
                      <w:b w:val="0"/>
                      <w:bCs w:val="0"/>
                      <w:i w:val="0"/>
                      <w:iCs w:val="0"/>
                      <w:caps w:val="0"/>
                      <w:color w:val="000000"/>
                      <w:spacing w:val="0"/>
                      <w:sz w:val="18"/>
                      <w:szCs w:val="18"/>
                      <w:shd w:val="clear" w:fill="FFFFFF"/>
                      <w:lang w:val="en-US" w:eastAsia="zh-CN"/>
                    </w:rPr>
                    <w:t>TB10502-93</w:t>
                  </w:r>
                  <w:r>
                    <w:rPr>
                      <w:rStyle w:val="25"/>
                      <w:rFonts w:hint="default" w:ascii="Times New Roman" w:hAnsi="Times New Roman" w:eastAsia="宋体" w:cs="Times New Roman"/>
                      <w:b w:val="0"/>
                      <w:bCs w:val="0"/>
                      <w:i w:val="0"/>
                      <w:iCs w:val="0"/>
                      <w:caps w:val="0"/>
                      <w:color w:val="000000"/>
                      <w:spacing w:val="0"/>
                      <w:sz w:val="18"/>
                      <w:szCs w:val="18"/>
                      <w:shd w:val="clear" w:fill="FFFFFF"/>
                    </w:rPr>
                    <w:t>）确定所承接项目环境影响评价成果类型（报告书或报告表）。如有关单位有不同意见时，需报请审批该项目环境影响报告书（表）的国家或地方环保局确定。</w:t>
                  </w:r>
                </w:p>
              </w:tc>
              <w:tc>
                <w:tcPr>
                  <w:tcW w:w="2310" w:type="dxa"/>
                  <w:tcBorders>
                    <w:tl2br w:val="nil"/>
                    <w:tr2bl w:val="nil"/>
                  </w:tcBorders>
                  <w:vAlign w:val="center"/>
                </w:tcPr>
                <w:p w14:paraId="31114D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根据《建设项目环境影响评价分类管理名录（</w:t>
                  </w:r>
                  <w:r>
                    <w:rPr>
                      <w:rFonts w:hint="default" w:cs="Times New Roman"/>
                      <w:color w:val="000000"/>
                      <w:kern w:val="0"/>
                      <w:sz w:val="18"/>
                      <w:szCs w:val="18"/>
                      <w:vertAlign w:val="baseline"/>
                      <w:lang w:val="en-US" w:eastAsia="zh-CN" w:bidi="ar"/>
                    </w:rPr>
                    <w:t>2021</w:t>
                  </w:r>
                  <w:r>
                    <w:rPr>
                      <w:rFonts w:hint="eastAsia" w:cs="Times New Roman"/>
                      <w:color w:val="000000"/>
                      <w:kern w:val="0"/>
                      <w:sz w:val="18"/>
                      <w:szCs w:val="18"/>
                      <w:vertAlign w:val="baseline"/>
                      <w:lang w:val="en-US" w:eastAsia="zh-CN" w:bidi="ar"/>
                    </w:rPr>
                    <w:t>年版）》（生态环境部部令第</w:t>
                  </w:r>
                  <w:r>
                    <w:rPr>
                      <w:rFonts w:hint="default" w:cs="Times New Roman"/>
                      <w:color w:val="000000"/>
                      <w:kern w:val="0"/>
                      <w:sz w:val="18"/>
                      <w:szCs w:val="18"/>
                      <w:vertAlign w:val="baseline"/>
                      <w:lang w:val="en-US" w:eastAsia="zh-CN" w:bidi="ar"/>
                    </w:rPr>
                    <w:t>16</w:t>
                  </w:r>
                  <w:r>
                    <w:rPr>
                      <w:rFonts w:hint="eastAsia" w:cs="Times New Roman"/>
                      <w:color w:val="000000"/>
                      <w:kern w:val="0"/>
                      <w:sz w:val="18"/>
                      <w:szCs w:val="18"/>
                      <w:vertAlign w:val="baseline"/>
                      <w:lang w:val="en-US" w:eastAsia="zh-CN" w:bidi="ar"/>
                    </w:rPr>
                    <w:t>号，</w:t>
                  </w:r>
                  <w:r>
                    <w:rPr>
                      <w:rFonts w:hint="default" w:cs="Times New Roman"/>
                      <w:color w:val="000000"/>
                      <w:kern w:val="0"/>
                      <w:sz w:val="18"/>
                      <w:szCs w:val="18"/>
                      <w:vertAlign w:val="baseline"/>
                      <w:lang w:val="en-US" w:eastAsia="zh-CN" w:bidi="ar"/>
                    </w:rPr>
                    <w:t>2021</w:t>
                  </w:r>
                  <w:r>
                    <w:rPr>
                      <w:rFonts w:hint="eastAsia" w:cs="Times New Roman"/>
                      <w:color w:val="000000"/>
                      <w:kern w:val="0"/>
                      <w:sz w:val="18"/>
                      <w:szCs w:val="18"/>
                      <w:vertAlign w:val="baseline"/>
                      <w:lang w:val="en-US" w:eastAsia="zh-CN" w:bidi="ar"/>
                    </w:rPr>
                    <w:t>年</w:t>
                  </w:r>
                  <w:r>
                    <w:rPr>
                      <w:rFonts w:hint="default" w:cs="Times New Roman"/>
                      <w:color w:val="000000"/>
                      <w:kern w:val="0"/>
                      <w:sz w:val="18"/>
                      <w:szCs w:val="18"/>
                      <w:vertAlign w:val="baseline"/>
                      <w:lang w:val="en-US" w:eastAsia="zh-CN" w:bidi="ar"/>
                    </w:rPr>
                    <w:t>01</w:t>
                  </w:r>
                  <w:r>
                    <w:rPr>
                      <w:rFonts w:hint="eastAsia" w:cs="Times New Roman"/>
                      <w:color w:val="000000"/>
                      <w:kern w:val="0"/>
                      <w:sz w:val="18"/>
                      <w:szCs w:val="18"/>
                      <w:vertAlign w:val="baseline"/>
                      <w:lang w:val="en-US" w:eastAsia="zh-CN" w:bidi="ar"/>
                    </w:rPr>
                    <w:t>月</w:t>
                  </w:r>
                  <w:r>
                    <w:rPr>
                      <w:rFonts w:hint="default" w:cs="Times New Roman"/>
                      <w:color w:val="000000"/>
                      <w:kern w:val="0"/>
                      <w:sz w:val="18"/>
                      <w:szCs w:val="18"/>
                      <w:vertAlign w:val="baseline"/>
                      <w:lang w:val="en-US" w:eastAsia="zh-CN" w:bidi="ar"/>
                    </w:rPr>
                    <w:t>01</w:t>
                  </w:r>
                  <w:r>
                    <w:rPr>
                      <w:rFonts w:hint="eastAsia" w:cs="Times New Roman"/>
                      <w:color w:val="000000"/>
                      <w:kern w:val="0"/>
                      <w:sz w:val="18"/>
                      <w:szCs w:val="18"/>
                      <w:vertAlign w:val="baseline"/>
                      <w:lang w:val="en-US" w:eastAsia="zh-CN" w:bidi="ar"/>
                    </w:rPr>
                    <w:t>日实施），本项目属于名录中：“五十二、</w:t>
                  </w:r>
                  <w:r>
                    <w:rPr>
                      <w:rFonts w:hint="default" w:cs="Times New Roman"/>
                      <w:color w:val="000000"/>
                      <w:kern w:val="0"/>
                      <w:sz w:val="18"/>
                      <w:szCs w:val="18"/>
                      <w:vertAlign w:val="baseline"/>
                      <w:lang w:val="en-US" w:eastAsia="zh-CN" w:bidi="ar"/>
                    </w:rPr>
                    <w:t>交通运输业、管道运输业132新建、增建铁路30公里及以下铁路联络线和30公里以下铁路专用线</w:t>
                  </w:r>
                  <w:r>
                    <w:rPr>
                      <w:rFonts w:hint="eastAsia" w:cs="Times New Roman"/>
                      <w:color w:val="000000"/>
                      <w:kern w:val="0"/>
                      <w:sz w:val="18"/>
                      <w:szCs w:val="18"/>
                      <w:vertAlign w:val="baseline"/>
                      <w:lang w:val="en-US" w:eastAsia="zh-CN" w:bidi="ar"/>
                    </w:rPr>
                    <w:t>”，应当编制环境影响报告表。</w:t>
                  </w:r>
                </w:p>
              </w:tc>
              <w:tc>
                <w:tcPr>
                  <w:tcW w:w="788" w:type="dxa"/>
                  <w:tcBorders>
                    <w:tl2br w:val="nil"/>
                    <w:tr2bl w:val="nil"/>
                  </w:tcBorders>
                  <w:vAlign w:val="center"/>
                </w:tcPr>
                <w:p w14:paraId="0F3CBF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r w14:paraId="7B1B36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08E6B2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3</w:t>
                  </w:r>
                </w:p>
              </w:tc>
              <w:tc>
                <w:tcPr>
                  <w:tcW w:w="3870" w:type="dxa"/>
                  <w:tcBorders>
                    <w:tl2br w:val="nil"/>
                    <w:tr2bl w:val="nil"/>
                  </w:tcBorders>
                  <w:vAlign w:val="center"/>
                </w:tcPr>
                <w:p w14:paraId="610DFB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第十一条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评价大纲的章节设置、主要内容以及封面签署、附图、附表等，应按国家环保局有关规定编制。</w:t>
                  </w:r>
                </w:p>
              </w:tc>
              <w:tc>
                <w:tcPr>
                  <w:tcW w:w="2310" w:type="dxa"/>
                  <w:tcBorders>
                    <w:tl2br w:val="nil"/>
                    <w:tr2bl w:val="nil"/>
                  </w:tcBorders>
                  <w:vAlign w:val="center"/>
                </w:tcPr>
                <w:p w14:paraId="4CDD8E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ascii="Times New Roman" w:hAnsi="Times New Roman" w:eastAsia="宋体"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报告已按环保局要求编制。</w:t>
                  </w:r>
                </w:p>
              </w:tc>
              <w:tc>
                <w:tcPr>
                  <w:tcW w:w="788" w:type="dxa"/>
                  <w:tcBorders>
                    <w:tl2br w:val="nil"/>
                    <w:tr2bl w:val="nil"/>
                  </w:tcBorders>
                  <w:vAlign w:val="center"/>
                </w:tcPr>
                <w:p w14:paraId="419E05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r w14:paraId="68F81E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521C96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4</w:t>
                  </w:r>
                </w:p>
              </w:tc>
              <w:tc>
                <w:tcPr>
                  <w:tcW w:w="3870" w:type="dxa"/>
                  <w:tcBorders>
                    <w:tl2br w:val="nil"/>
                    <w:tr2bl w:val="nil"/>
                  </w:tcBorders>
                  <w:vAlign w:val="center"/>
                </w:tcPr>
                <w:p w14:paraId="689B7D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第十三条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环境影响报告书（表）完成后，由建设单位及时报送负责预审单位，同时抄送负责审批的国家或地方环保局及有关单位。</w:t>
                  </w:r>
                </w:p>
              </w:tc>
              <w:tc>
                <w:tcPr>
                  <w:tcW w:w="2310" w:type="dxa"/>
                  <w:tcBorders>
                    <w:tl2br w:val="nil"/>
                    <w:tr2bl w:val="nil"/>
                  </w:tcBorders>
                  <w:vAlign w:val="center"/>
                </w:tcPr>
                <w:p w14:paraId="7A58D5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报告编制完成后，建设单位已报送至玉溪市生态环境局新平分局预审。</w:t>
                  </w:r>
                </w:p>
              </w:tc>
              <w:tc>
                <w:tcPr>
                  <w:tcW w:w="788" w:type="dxa"/>
                  <w:tcBorders>
                    <w:tl2br w:val="nil"/>
                    <w:tr2bl w:val="nil"/>
                  </w:tcBorders>
                  <w:vAlign w:val="center"/>
                </w:tcPr>
                <w:p w14:paraId="1CAFA0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r w14:paraId="798C3F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l2br w:val="nil"/>
                    <w:tr2bl w:val="nil"/>
                  </w:tcBorders>
                  <w:vAlign w:val="center"/>
                </w:tcPr>
                <w:p w14:paraId="115E33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5</w:t>
                  </w:r>
                </w:p>
              </w:tc>
              <w:tc>
                <w:tcPr>
                  <w:tcW w:w="3870" w:type="dxa"/>
                  <w:tcBorders>
                    <w:tl2br w:val="nil"/>
                    <w:tr2bl w:val="nil"/>
                  </w:tcBorders>
                  <w:vAlign w:val="center"/>
                </w:tcPr>
                <w:p w14:paraId="181ED0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Style w:val="25"/>
                      <w:rFonts w:hint="eastAsia" w:ascii="Times New Roman" w:hAnsi="Times New Roman" w:eastAsia="宋体" w:cs="Times New Roman"/>
                      <w:b w:val="0"/>
                      <w:bCs w:val="0"/>
                      <w:i w:val="0"/>
                      <w:iCs w:val="0"/>
                      <w:caps w:val="0"/>
                      <w:color w:val="000000"/>
                      <w:spacing w:val="0"/>
                      <w:sz w:val="18"/>
                      <w:szCs w:val="18"/>
                      <w:shd w:val="clear" w:fill="FFFFFF"/>
                    </w:rPr>
                  </w:pPr>
                  <w:r>
                    <w:rPr>
                      <w:rStyle w:val="25"/>
                      <w:rFonts w:hint="eastAsia" w:ascii="Times New Roman" w:hAnsi="Times New Roman" w:eastAsia="宋体" w:cs="Times New Roman"/>
                      <w:b w:val="0"/>
                      <w:bCs w:val="0"/>
                      <w:i w:val="0"/>
                      <w:iCs w:val="0"/>
                      <w:caps w:val="0"/>
                      <w:color w:val="000000"/>
                      <w:spacing w:val="0"/>
                      <w:sz w:val="18"/>
                      <w:szCs w:val="18"/>
                      <w:shd w:val="clear" w:fill="FFFFFF"/>
                    </w:rPr>
                    <w:t>第十七条</w:t>
                  </w:r>
                  <w:r>
                    <w:rPr>
                      <w:rStyle w:val="25"/>
                      <w:rFonts w:hint="eastAsia" w:cs="Times New Roman"/>
                      <w:b w:val="0"/>
                      <w:bCs w:val="0"/>
                      <w:i w:val="0"/>
                      <w:iCs w:val="0"/>
                      <w:caps w:val="0"/>
                      <w:color w:val="000000"/>
                      <w:spacing w:val="0"/>
                      <w:sz w:val="18"/>
                      <w:szCs w:val="18"/>
                      <w:shd w:val="clear" w:fill="FFFFFF"/>
                      <w:lang w:val="en-US" w:eastAsia="zh-CN"/>
                    </w:rPr>
                    <w:t xml:space="preserve"> </w:t>
                  </w:r>
                  <w:r>
                    <w:rPr>
                      <w:rStyle w:val="25"/>
                      <w:rFonts w:hint="eastAsia" w:ascii="Times New Roman" w:hAnsi="Times New Roman" w:eastAsia="宋体" w:cs="Times New Roman"/>
                      <w:b w:val="0"/>
                      <w:bCs w:val="0"/>
                      <w:i w:val="0"/>
                      <w:iCs w:val="0"/>
                      <w:caps w:val="0"/>
                      <w:color w:val="000000"/>
                      <w:spacing w:val="0"/>
                      <w:sz w:val="18"/>
                      <w:szCs w:val="18"/>
                      <w:shd w:val="clear" w:fill="FFFFFF"/>
                    </w:rPr>
                    <w:t>建设项目主管部门可根据需要将其负责项目的环境影响报告书（表）预审工作，委托下一级环保部门进行。同时应通报有关部门和单位。</w:t>
                  </w:r>
                </w:p>
              </w:tc>
              <w:tc>
                <w:tcPr>
                  <w:tcW w:w="2310" w:type="dxa"/>
                  <w:tcBorders>
                    <w:tl2br w:val="nil"/>
                    <w:tr2bl w:val="nil"/>
                  </w:tcBorders>
                  <w:vAlign w:val="center"/>
                </w:tcPr>
                <w:p w14:paraId="1EA628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Style w:val="25"/>
                      <w:rFonts w:hint="default" w:cs="Times New Roman"/>
                      <w:b w:val="0"/>
                      <w:bCs w:val="0"/>
                      <w:i w:val="0"/>
                      <w:iCs w:val="0"/>
                      <w:caps w:val="0"/>
                      <w:color w:val="000000"/>
                      <w:spacing w:val="0"/>
                      <w:sz w:val="18"/>
                      <w:szCs w:val="18"/>
                      <w:shd w:val="clear" w:fill="FFFFFF"/>
                      <w:lang w:val="en-US" w:eastAsia="zh-CN"/>
                    </w:rPr>
                  </w:pPr>
                  <w:r>
                    <w:rPr>
                      <w:rStyle w:val="25"/>
                      <w:rFonts w:hint="eastAsia" w:cs="Times New Roman"/>
                      <w:b w:val="0"/>
                      <w:bCs w:val="0"/>
                      <w:i w:val="0"/>
                      <w:iCs w:val="0"/>
                      <w:caps w:val="0"/>
                      <w:color w:val="000000"/>
                      <w:spacing w:val="0"/>
                      <w:sz w:val="18"/>
                      <w:szCs w:val="18"/>
                      <w:shd w:val="clear" w:fill="FFFFFF"/>
                      <w:lang w:val="en-US" w:eastAsia="zh-CN"/>
                    </w:rPr>
                    <w:t>本项目主管部门已委托云南佳源环境工程评估有限公司邀请专家对本项目进行评估。</w:t>
                  </w:r>
                </w:p>
              </w:tc>
              <w:tc>
                <w:tcPr>
                  <w:tcW w:w="788" w:type="dxa"/>
                  <w:tcBorders>
                    <w:tl2br w:val="nil"/>
                    <w:tr2bl w:val="nil"/>
                  </w:tcBorders>
                  <w:vAlign w:val="center"/>
                </w:tcPr>
                <w:p w14:paraId="276B1F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符合</w:t>
                  </w:r>
                </w:p>
              </w:tc>
            </w:tr>
          </w:tbl>
          <w:p w14:paraId="5E5C5C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根据上表分析</w:t>
            </w:r>
            <w:r>
              <w:rPr>
                <w:rFonts w:hint="eastAsia" w:ascii="Times New Roman" w:hAnsi="Times New Roman" w:eastAsia="宋体" w:cs="Times New Roman"/>
                <w:color w:val="000000"/>
                <w:kern w:val="0"/>
                <w:sz w:val="24"/>
                <w:szCs w:val="24"/>
                <w:lang w:val="en-US" w:eastAsia="zh-CN" w:bidi="ar"/>
              </w:rPr>
              <w:t>，本项目与</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铁路建设项目环境影响管理办法》</w:t>
            </w:r>
            <w:r>
              <w:rPr>
                <w:rFonts w:hint="eastAsia" w:cs="Times New Roman"/>
                <w:color w:val="000000"/>
                <w:kern w:val="0"/>
                <w:sz w:val="24"/>
                <w:szCs w:val="24"/>
                <w:lang w:val="en-US" w:eastAsia="zh-CN" w:bidi="ar"/>
              </w:rPr>
              <w:t>相符。</w:t>
            </w:r>
          </w:p>
          <w:p w14:paraId="4086BB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p>
          <w:p w14:paraId="1A01DB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p>
          <w:p w14:paraId="2CB829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p>
          <w:p w14:paraId="6AF36CE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000000"/>
                <w:kern w:val="0"/>
                <w:sz w:val="24"/>
                <w:szCs w:val="24"/>
                <w:lang w:val="en-US" w:eastAsia="zh-CN" w:bidi="ar"/>
              </w:rPr>
            </w:pPr>
          </w:p>
        </w:tc>
      </w:tr>
    </w:tbl>
    <w:p w14:paraId="70034BC4">
      <w:pPr>
        <w:pStyle w:val="4"/>
        <w:keepNext w:val="0"/>
        <w:keepLines w:val="0"/>
        <w:pageBreakBefore/>
        <w:widowControl w:val="0"/>
        <w:kinsoku/>
        <w:wordWrap/>
        <w:overflowPunct/>
        <w:topLinePunct w:val="0"/>
        <w:autoSpaceDE/>
        <w:autoSpaceDN/>
        <w:bidi w:val="0"/>
        <w:adjustRightInd/>
        <w:snapToGrid/>
        <w:textAlignment w:val="auto"/>
        <w:outlineLvl w:val="0"/>
        <w:rPr>
          <w:rFonts w:hint="eastAsia"/>
          <w:lang w:val="en-US" w:eastAsia="zh-CN"/>
        </w:rPr>
      </w:pPr>
      <w:bookmarkStart w:id="6" w:name="_Toc22760"/>
      <w:bookmarkStart w:id="7" w:name="_Toc32748"/>
      <w:bookmarkStart w:id="8" w:name="_Toc24121"/>
      <w:r>
        <w:rPr>
          <w:rFonts w:hint="eastAsia"/>
          <w:lang w:val="en-US" w:eastAsia="zh-CN"/>
        </w:rPr>
        <w:t>二、建设内容</w:t>
      </w:r>
      <w:bookmarkEnd w:id="6"/>
      <w:bookmarkEnd w:id="7"/>
      <w:bookmarkEnd w:id="8"/>
    </w:p>
    <w:tbl>
      <w:tblPr>
        <w:tblStyle w:val="2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288"/>
      </w:tblGrid>
      <w:tr w14:paraId="1736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trPr>
        <w:tc>
          <w:tcPr>
            <w:tcW w:w="457" w:type="dxa"/>
            <w:vAlign w:val="center"/>
          </w:tcPr>
          <w:p w14:paraId="054DA19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地理位置</w:t>
            </w:r>
          </w:p>
        </w:tc>
        <w:tc>
          <w:tcPr>
            <w:tcW w:w="8288" w:type="dxa"/>
          </w:tcPr>
          <w:p w14:paraId="47A00C0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2.1地理位置</w:t>
            </w:r>
          </w:p>
          <w:p w14:paraId="67A07C12">
            <w:pPr>
              <w:pStyle w:val="7"/>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平彝族傣族自治县位于云南省中部偏西南，地理坐标为北纬23°39′-24°27′、东经101°17′-102°36′。东与峨山、石屏县接壤，南与元江、墨江县毗邻，西连镇沅县，北靠双柏县。东西最大横距102km，南北最大纵距88.2千米，总面积4223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，其中山区面积占98%。县人民政府驻地桂山镇，距省会昆明182km，玉溪</w:t>
            </w:r>
            <w:r>
              <w:rPr>
                <w:rFonts w:hint="eastAsia" w:ascii="Times New Roman" w:hAnsi="Times New Roman" w:cs="Times New Roman"/>
                <w:color w:val="auto"/>
                <w:sz w:val="24"/>
                <w:szCs w:val="24"/>
                <w:highlight w:val="none"/>
                <w:lang w:eastAsia="zh-CN"/>
              </w:rPr>
              <w:t>市政</w:t>
            </w:r>
            <w:r>
              <w:rPr>
                <w:rFonts w:hint="default" w:ascii="Times New Roman" w:hAnsi="Times New Roman" w:cs="Times New Roman"/>
                <w:color w:val="auto"/>
                <w:sz w:val="24"/>
                <w:szCs w:val="24"/>
                <w:highlight w:val="none"/>
              </w:rPr>
              <w:t>府所在地红塔区90km。</w:t>
            </w:r>
          </w:p>
          <w:p w14:paraId="233BBA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rPr>
              <w:t>扬武镇位于新平县东南部，东临石屏、南接元江、北邻峨山、西连新平县城，国道213线、323线横穿集镇，是玉溪、红河、普洱三地州（市）四县五乡（镇）物资集散地和八方商贾云集之地。</w:t>
            </w:r>
          </w:p>
          <w:p w14:paraId="74DD48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w:t>
            </w:r>
            <w:r>
              <w:rPr>
                <w:rFonts w:hint="eastAsia" w:ascii="Times New Roman" w:hAnsi="Times New Roman" w:eastAsia="宋体" w:cs="Times New Roman"/>
                <w:color w:val="000000"/>
                <w:kern w:val="0"/>
                <w:sz w:val="24"/>
                <w:szCs w:val="24"/>
                <w:lang w:val="en-US" w:eastAsia="zh-CN" w:bidi="ar"/>
              </w:rPr>
              <w:t>项目为</w:t>
            </w:r>
            <w:r>
              <w:rPr>
                <w:rFonts w:hint="default" w:ascii="Times New Roman" w:hAnsi="Times New Roman" w:eastAsia="宋体" w:cs="Times New Roman"/>
                <w:color w:val="000000"/>
                <w:kern w:val="0"/>
                <w:sz w:val="24"/>
                <w:szCs w:val="24"/>
                <w:lang w:val="en-US" w:eastAsia="zh-CN" w:bidi="ar"/>
              </w:rPr>
              <w:t>玉溪市大化产业园区仙福钢铁厂铁路专用线</w:t>
            </w:r>
            <w:r>
              <w:rPr>
                <w:rFonts w:hint="eastAsia" w:ascii="Times New Roman" w:hAnsi="Times New Roman" w:cs="Times New Roman"/>
                <w:color w:val="000000"/>
                <w:kern w:val="0"/>
                <w:sz w:val="24"/>
                <w:szCs w:val="24"/>
                <w:lang w:val="en-US" w:eastAsia="zh-CN" w:bidi="ar"/>
              </w:rPr>
              <w:t>项目，起点坐标为：</w:t>
            </w:r>
            <w:r>
              <w:rPr>
                <w:rFonts w:hint="eastAsia" w:ascii="Times New Roman" w:hAnsi="Times New Roman" w:eastAsia="宋体" w:cs="Times New Roman"/>
                <w:color w:val="000000"/>
                <w:kern w:val="0"/>
                <w:sz w:val="24"/>
                <w:szCs w:val="24"/>
                <w:lang w:val="en-US" w:eastAsia="zh-CN" w:bidi="ar"/>
              </w:rPr>
              <w:t>东经102°10′22.781″，北纬24°1′11.852″</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终点</w:t>
            </w:r>
            <w:r>
              <w:rPr>
                <w:rFonts w:hint="eastAsia" w:cs="Times New Roman"/>
                <w:color w:val="000000"/>
                <w:kern w:val="0"/>
                <w:sz w:val="24"/>
                <w:szCs w:val="24"/>
                <w:lang w:val="en-US" w:eastAsia="zh-CN" w:bidi="ar"/>
              </w:rPr>
              <w:t>坐标为</w:t>
            </w:r>
            <w:r>
              <w:rPr>
                <w:rFonts w:hint="eastAsia" w:ascii="Times New Roman" w:hAnsi="Times New Roman" w:eastAsia="宋体" w:cs="Times New Roman"/>
                <w:color w:val="000000"/>
                <w:kern w:val="0"/>
                <w:sz w:val="24"/>
                <w:szCs w:val="24"/>
                <w:lang w:val="en-US" w:eastAsia="zh-CN" w:bidi="ar"/>
              </w:rPr>
              <w:t>：东经102°10′58.493″，北纬24°0′36.192″。</w:t>
            </w:r>
          </w:p>
          <w:p w14:paraId="4C49CC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color w:val="000000"/>
                <w:kern w:val="0"/>
                <w:sz w:val="24"/>
                <w:szCs w:val="24"/>
                <w:lang w:val="en-US" w:eastAsia="zh-CN" w:bidi="ar"/>
              </w:rPr>
              <w:t>本次项目地理位置见附图1。</w:t>
            </w:r>
          </w:p>
        </w:tc>
      </w:tr>
      <w:tr w14:paraId="1E12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trPr>
        <w:tc>
          <w:tcPr>
            <w:tcW w:w="457" w:type="dxa"/>
            <w:vAlign w:val="center"/>
          </w:tcPr>
          <w:p w14:paraId="74812B2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项目组成及规模</w:t>
            </w:r>
          </w:p>
        </w:tc>
        <w:tc>
          <w:tcPr>
            <w:tcW w:w="8288" w:type="dxa"/>
          </w:tcPr>
          <w:p w14:paraId="0C427D5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eastAsia="宋体" w:cs="Times New Roman"/>
                <w:b/>
                <w:bCs/>
                <w:color w:val="auto"/>
                <w:sz w:val="24"/>
                <w:szCs w:val="24"/>
                <w:highlight w:val="none"/>
                <w:lang w:val="en-US" w:eastAsia="zh-CN"/>
              </w:rPr>
              <w:t>2项目由来</w:t>
            </w:r>
          </w:p>
          <w:p w14:paraId="25B012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《国务院关于加快建立健全绿色低碳循环发展经济体系的指导意见》（国发〔</w:t>
            </w:r>
            <w:r>
              <w:rPr>
                <w:rFonts w:hint="default" w:cs="Times New Roman"/>
                <w:color w:val="auto"/>
                <w:kern w:val="0"/>
                <w:sz w:val="24"/>
                <w:szCs w:val="24"/>
                <w:lang w:val="en-US" w:eastAsia="zh-CN" w:bidi="ar"/>
              </w:rPr>
              <w:t>2021</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4</w:t>
            </w:r>
            <w:r>
              <w:rPr>
                <w:rFonts w:hint="eastAsia" w:cs="Times New Roman"/>
                <w:color w:val="auto"/>
                <w:kern w:val="0"/>
                <w:sz w:val="24"/>
                <w:szCs w:val="24"/>
                <w:lang w:val="en-US" w:eastAsia="zh-CN" w:bidi="ar"/>
              </w:rPr>
              <w:t>号）指出：“建立健全绿色低碳循环发展经济体系，促进经济社会发展全面绿色转型，解决我国资源环境生态问题的的基础之策，并提出健全绿色低碳循环发展的流通体系，积极调整运输结构，推进铁水、公铁、公水等多式联运，加快铁路专用线建设”。</w:t>
            </w:r>
          </w:p>
          <w:p w14:paraId="63C823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铁路专用线对于减少短驳、发挥综合交通效率、提升经济社会效益具有重要作用。铁路运输是运输成本较低的一种运输方式，具有运量大、能耗低、排放少、污染小的特点，是典型的绿色环保交通工具。</w:t>
            </w:r>
          </w:p>
          <w:p w14:paraId="0FAEF7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本项目为云南玉溪仙福钢铁（集团）有限公司的配套铁路专用线，主要从事仙福钢铁厂煤、铁矿石、焦炭、钢铁等大宗货物的运输，货运能力为700万吨/年，本项目依托玉溪市大化产业园区铁路专用线，新建铁路货场，发展公铁联运，</w:t>
            </w:r>
            <w:r>
              <w:rPr>
                <w:rFonts w:hint="eastAsia" w:ascii="Times New Roman" w:hAnsi="Times New Roman" w:eastAsia="宋体" w:cs="Times New Roman"/>
                <w:color w:val="auto"/>
                <w:kern w:val="0"/>
                <w:sz w:val="24"/>
                <w:szCs w:val="24"/>
                <w:lang w:val="en-US" w:eastAsia="zh-CN" w:bidi="ar"/>
              </w:rPr>
              <w:t>目前仙福钢铁厂铁路运量仅占运输到发总量的</w:t>
            </w:r>
            <w:r>
              <w:rPr>
                <w:rFonts w:hint="default" w:ascii="Times New Roman" w:hAnsi="Times New Roman" w:eastAsia="宋体" w:cs="Times New Roman"/>
                <w:color w:val="auto"/>
                <w:kern w:val="0"/>
                <w:sz w:val="24"/>
                <w:szCs w:val="24"/>
                <w:lang w:val="en-US" w:eastAsia="zh-CN" w:bidi="ar"/>
              </w:rPr>
              <w:t>10%</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根据仙福钢铁厂的建设及运输需求，如全以公路运输的组织模式将产生较大的物流运输费用，物流组织工作也极其困难，难以支撑企业扩建改造的愿望，急需建设本铁路专用线。当前仙福钢铁厂运输的货物中大多为矿石、煤、焦及成品钢材等大宗货物，且年运量巨大。本铁路专用线可充分发挥铁路大宗、长途、快速运输的优势，可实现运输程式化、作业标准化的要求，也可充分挖掘运输潜力，更好的为钢铁厂服务。本铁路专用线建成后，货物可通过本铁路专用线直接进厂，是贯彻国铁集团“路企直通”精神的具体体现。</w:t>
            </w:r>
          </w:p>
          <w:p w14:paraId="379068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公路运输与铁路运输相比，公路运输具有占地大、能耗高、污染大、事故率高、运输效率低的特性，大宗货物交通运输结构“公转铁、公转水”已成必然，因此公路运输不能完全替代铁路运输，即公路不能替代本铁路专用线的建设。本铁路专用线作为仙福钢铁集团大宗货物运输的重要通道，将有效连接“站”与“厂”，减少短驳运输，降低企业物流成本，畅通货物运输“最后一公里”，为企业提供更加稳定和高效的运输保障。</w:t>
            </w:r>
          </w:p>
          <w:p w14:paraId="15F2A34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2.3</w:t>
            </w:r>
            <w:r>
              <w:rPr>
                <w:rFonts w:hint="eastAsia" w:eastAsia="宋体" w:cs="Times New Roman"/>
                <w:b/>
                <w:bCs/>
                <w:color w:val="auto"/>
                <w:sz w:val="24"/>
                <w:szCs w:val="24"/>
                <w:highlight w:val="none"/>
                <w:lang w:val="en-US" w:eastAsia="zh-CN"/>
              </w:rPr>
              <w:t>环评任务由来</w:t>
            </w:r>
          </w:p>
          <w:p w14:paraId="53B097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根据《中华人民共和国环境保护法》（</w:t>
            </w:r>
            <w:r>
              <w:rPr>
                <w:rFonts w:hint="default" w:ascii="Times New Roman" w:hAnsi="Times New Roman" w:eastAsia="宋体" w:cs="Times New Roman"/>
                <w:color w:val="auto"/>
                <w:kern w:val="0"/>
                <w:sz w:val="24"/>
                <w:szCs w:val="24"/>
                <w:lang w:val="en-US" w:eastAsia="zh-CN" w:bidi="ar"/>
              </w:rPr>
              <w:t>2015</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日施行）、《中华人民共和国环境影响评价法（</w:t>
            </w:r>
            <w:r>
              <w:rPr>
                <w:rFonts w:hint="default" w:ascii="Times New Roman" w:hAnsi="Times New Roman" w:eastAsia="宋体" w:cs="Times New Roman"/>
                <w:color w:val="auto"/>
                <w:kern w:val="0"/>
                <w:sz w:val="24"/>
                <w:szCs w:val="24"/>
                <w:lang w:val="en-US" w:eastAsia="zh-CN" w:bidi="ar"/>
              </w:rPr>
              <w:t>2018</w:t>
            </w:r>
            <w:r>
              <w:rPr>
                <w:rFonts w:hint="eastAsia" w:ascii="Times New Roman" w:hAnsi="Times New Roman" w:eastAsia="宋体" w:cs="Times New Roman"/>
                <w:color w:val="auto"/>
                <w:kern w:val="0"/>
                <w:sz w:val="24"/>
                <w:szCs w:val="24"/>
                <w:lang w:val="en-US" w:eastAsia="zh-CN" w:bidi="ar"/>
              </w:rPr>
              <w:t>修正版）》、《建设项目环境保护管理条例》（中华人民共和国国务院令第</w:t>
            </w:r>
            <w:r>
              <w:rPr>
                <w:rFonts w:hint="default" w:ascii="Times New Roman" w:hAnsi="Times New Roman" w:eastAsia="宋体" w:cs="Times New Roman"/>
                <w:color w:val="auto"/>
                <w:kern w:val="0"/>
                <w:sz w:val="24"/>
                <w:szCs w:val="24"/>
                <w:lang w:val="en-US" w:eastAsia="zh-CN" w:bidi="ar"/>
              </w:rPr>
              <w:t>628</w:t>
            </w:r>
            <w:r>
              <w:rPr>
                <w:rFonts w:hint="eastAsia" w:ascii="Times New Roman" w:hAnsi="Times New Roman" w:eastAsia="宋体" w:cs="Times New Roman"/>
                <w:color w:val="auto"/>
                <w:kern w:val="0"/>
                <w:sz w:val="24"/>
                <w:szCs w:val="24"/>
                <w:lang w:val="en-US" w:eastAsia="zh-CN" w:bidi="ar"/>
              </w:rPr>
              <w:t>号，</w:t>
            </w:r>
            <w:r>
              <w:rPr>
                <w:rFonts w:hint="default" w:ascii="Times New Roman" w:hAnsi="Times New Roman" w:eastAsia="宋体" w:cs="Times New Roman"/>
                <w:color w:val="auto"/>
                <w:kern w:val="0"/>
                <w:sz w:val="24"/>
                <w:szCs w:val="24"/>
                <w:lang w:val="en-US" w:eastAsia="zh-CN" w:bidi="ar"/>
              </w:rPr>
              <w:t>201</w:t>
            </w:r>
            <w:r>
              <w:rPr>
                <w:rFonts w:hint="default" w:ascii="Times New Roman" w:hAnsi="Times New Roman" w:eastAsia="宋体" w:cs="Times New Roman"/>
                <w:color w:val="000000"/>
                <w:kern w:val="0"/>
                <w:sz w:val="24"/>
                <w:szCs w:val="24"/>
                <w:lang w:val="en-US" w:eastAsia="zh-CN" w:bidi="ar"/>
              </w:rPr>
              <w:t>7</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日施行）等相关法律法规要求，该项目需编制环境影响评价文件。</w:t>
            </w:r>
            <w:r>
              <w:rPr>
                <w:rFonts w:hint="default" w:ascii="Times New Roman" w:hAnsi="Times New Roman" w:eastAsia="宋体" w:cs="Times New Roman"/>
                <w:color w:val="000000"/>
                <w:kern w:val="0"/>
                <w:sz w:val="24"/>
                <w:szCs w:val="24"/>
                <w:lang w:val="en-US" w:eastAsia="zh-CN" w:bidi="ar"/>
              </w:rPr>
              <w:t>202</w:t>
            </w:r>
            <w:r>
              <w:rPr>
                <w:rFonts w:hint="eastAsia" w:eastAsia="宋体"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年</w:t>
            </w:r>
            <w:r>
              <w:rPr>
                <w:rFonts w:hint="eastAsia" w:cs="Times New Roman"/>
                <w:color w:val="000000"/>
                <w:kern w:val="0"/>
                <w:sz w:val="24"/>
                <w:szCs w:val="24"/>
                <w:lang w:val="en-US" w:eastAsia="zh-CN" w:bidi="ar"/>
              </w:rPr>
              <w:t>12</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kern w:val="2"/>
                <w:sz w:val="24"/>
                <w:szCs w:val="24"/>
                <w:lang w:val="en-US" w:eastAsia="zh-CN" w:bidi="ar-SA"/>
              </w:rPr>
              <w:t>云南玉溪仙福钢铁（集团）有限公司</w:t>
            </w:r>
            <w:r>
              <w:rPr>
                <w:rFonts w:hint="eastAsia" w:ascii="Times New Roman" w:hAnsi="Times New Roman" w:eastAsia="宋体" w:cs="Times New Roman"/>
                <w:color w:val="000000"/>
                <w:kern w:val="0"/>
                <w:sz w:val="24"/>
                <w:szCs w:val="24"/>
                <w:lang w:val="en-US" w:eastAsia="zh-CN" w:bidi="ar"/>
              </w:rPr>
              <w:t>委</w:t>
            </w:r>
            <w:r>
              <w:rPr>
                <w:rFonts w:hint="eastAsia" w:ascii="Times New Roman" w:hAnsi="Times New Roman" w:eastAsia="宋体" w:cs="Times New Roman"/>
                <w:color w:val="auto"/>
                <w:kern w:val="0"/>
                <w:sz w:val="24"/>
                <w:szCs w:val="24"/>
                <w:lang w:val="en-US" w:eastAsia="zh-CN" w:bidi="ar"/>
              </w:rPr>
              <w:t>托</w:t>
            </w:r>
            <w:r>
              <w:rPr>
                <w:rFonts w:hint="eastAsia" w:cs="Times New Roman"/>
                <w:color w:val="auto"/>
                <w:kern w:val="0"/>
                <w:sz w:val="24"/>
                <w:szCs w:val="24"/>
                <w:lang w:val="en-US" w:eastAsia="zh-CN" w:bidi="ar"/>
              </w:rPr>
              <w:t>云南博曦环境影响评价有限公司</w:t>
            </w:r>
            <w:r>
              <w:rPr>
                <w:rFonts w:hint="eastAsia" w:ascii="Times New Roman" w:hAnsi="Times New Roman" w:eastAsia="宋体" w:cs="Times New Roman"/>
                <w:color w:val="auto"/>
                <w:kern w:val="0"/>
                <w:sz w:val="24"/>
                <w:szCs w:val="24"/>
                <w:lang w:val="en-US" w:eastAsia="zh-CN" w:bidi="ar"/>
              </w:rPr>
              <w:t>进行</w:t>
            </w:r>
            <w:r>
              <w:rPr>
                <w:rFonts w:hint="eastAsia" w:ascii="Times New Roman" w:hAnsi="Times New Roman" w:eastAsia="宋体" w:cs="Times New Roman"/>
                <w:color w:val="000000"/>
                <w:kern w:val="0"/>
                <w:sz w:val="24"/>
                <w:szCs w:val="24"/>
                <w:lang w:val="en-US" w:eastAsia="zh-CN" w:bidi="ar"/>
              </w:rPr>
              <w:t>报告编制工作，我单位接受委托后，通过现场踏勘、资料收集，按照环境影响评价技术导则的要求，根据项目的污染因子、污染特征及程度，按照《建设项目环境影响评价分类管理名录（</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Times New Roman"/>
                <w:color w:val="000000"/>
                <w:kern w:val="0"/>
                <w:sz w:val="24"/>
                <w:szCs w:val="24"/>
                <w:lang w:val="en-US" w:eastAsia="zh-CN" w:bidi="ar"/>
              </w:rPr>
              <w:t>年版）》（生态环境部部令第</w:t>
            </w:r>
            <w:r>
              <w:rPr>
                <w:rFonts w:hint="default" w:ascii="Times New Roman" w:hAnsi="Times New Roman" w:eastAsia="宋体" w:cs="Times New Roman"/>
                <w:color w:val="000000"/>
                <w:kern w:val="0"/>
                <w:sz w:val="24"/>
                <w:szCs w:val="24"/>
                <w:lang w:val="en-US" w:eastAsia="zh-CN" w:bidi="ar"/>
              </w:rPr>
              <w:t>16</w:t>
            </w:r>
            <w:r>
              <w:rPr>
                <w:rFonts w:hint="eastAsia" w:ascii="Times New Roman" w:hAnsi="Times New Roman" w:eastAsia="宋体" w:cs="Times New Roman"/>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01</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01</w:t>
            </w:r>
            <w:r>
              <w:rPr>
                <w:rFonts w:hint="eastAsia" w:ascii="Times New Roman" w:hAnsi="Times New Roman" w:eastAsia="宋体" w:cs="Times New Roman"/>
                <w:color w:val="000000"/>
                <w:kern w:val="0"/>
                <w:sz w:val="24"/>
                <w:szCs w:val="24"/>
                <w:lang w:val="en-US" w:eastAsia="zh-CN" w:bidi="ar"/>
              </w:rPr>
              <w:t>日实施）的要求，编制了《</w:t>
            </w:r>
            <w:r>
              <w:rPr>
                <w:rFonts w:hint="eastAsia" w:cs="Times New Roman"/>
                <w:i w:val="0"/>
                <w:iCs w:val="0"/>
                <w:color w:val="auto"/>
                <w:sz w:val="24"/>
                <w:szCs w:val="24"/>
                <w:highlight w:val="none"/>
                <w:u w:val="none"/>
                <w:lang w:val="en-US" w:eastAsia="zh-CN"/>
              </w:rPr>
              <w:t>玉溪市大化产业园区仙福钢铁厂铁路专用线</w:t>
            </w:r>
            <w:r>
              <w:rPr>
                <w:rFonts w:hint="eastAsia" w:eastAsia="宋体" w:cs="Times New Roman"/>
                <w:i w:val="0"/>
                <w:iCs w:val="0"/>
                <w:color w:val="auto"/>
                <w:sz w:val="24"/>
                <w:szCs w:val="24"/>
                <w:highlight w:val="none"/>
                <w:u w:val="none"/>
                <w:lang w:val="en-US" w:eastAsia="zh-CN"/>
              </w:rPr>
              <w:t>环境影响报告表</w:t>
            </w:r>
            <w:r>
              <w:rPr>
                <w:rFonts w:hint="eastAsia" w:ascii="Times New Roman" w:hAnsi="Times New Roman" w:eastAsia="宋体" w:cs="Times New Roman"/>
                <w:color w:val="000000"/>
                <w:kern w:val="0"/>
                <w:sz w:val="24"/>
                <w:szCs w:val="24"/>
                <w:lang w:val="en-US" w:eastAsia="zh-CN" w:bidi="ar"/>
              </w:rPr>
              <w:t>》，供建设单位上报审批。</w:t>
            </w:r>
          </w:p>
          <w:p w14:paraId="1D94A3B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确定编制环境影响评价文件类别的依据</w:t>
            </w:r>
            <w:r>
              <w:rPr>
                <w:rFonts w:hint="eastAsia" w:eastAsia="宋体" w:cs="Times New Roman"/>
                <w:b/>
                <w:bCs/>
                <w:color w:val="000000"/>
                <w:kern w:val="0"/>
                <w:sz w:val="24"/>
                <w:szCs w:val="24"/>
                <w:lang w:val="en-US" w:eastAsia="zh-CN" w:bidi="ar"/>
              </w:rPr>
              <w:t>：</w:t>
            </w:r>
          </w:p>
          <w:p w14:paraId="76B607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根据《建设项目环境影响评价分类管理名录（</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Times New Roman"/>
                <w:color w:val="000000"/>
                <w:kern w:val="0"/>
                <w:sz w:val="24"/>
                <w:szCs w:val="24"/>
                <w:lang w:val="en-US" w:eastAsia="zh-CN" w:bidi="ar"/>
              </w:rPr>
              <w:t>年版）》（生态环境部部令第</w:t>
            </w:r>
            <w:r>
              <w:rPr>
                <w:rFonts w:hint="default" w:ascii="Times New Roman" w:hAnsi="Times New Roman" w:eastAsia="宋体" w:cs="Times New Roman"/>
                <w:color w:val="000000"/>
                <w:kern w:val="0"/>
                <w:sz w:val="24"/>
                <w:szCs w:val="24"/>
                <w:lang w:val="en-US" w:eastAsia="zh-CN" w:bidi="ar"/>
              </w:rPr>
              <w:t>16</w:t>
            </w:r>
            <w:r>
              <w:rPr>
                <w:rFonts w:hint="eastAsia" w:ascii="Times New Roman" w:hAnsi="Times New Roman" w:eastAsia="宋体" w:cs="Times New Roman"/>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01</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01</w:t>
            </w:r>
            <w:r>
              <w:rPr>
                <w:rFonts w:hint="eastAsia" w:ascii="Times New Roman" w:hAnsi="Times New Roman" w:eastAsia="宋体" w:cs="Times New Roman"/>
                <w:color w:val="000000"/>
                <w:kern w:val="0"/>
                <w:sz w:val="24"/>
                <w:szCs w:val="24"/>
                <w:lang w:val="en-US" w:eastAsia="zh-CN" w:bidi="ar"/>
              </w:rPr>
              <w:t>日实施），本项目属于名录中：</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五十二、</w:t>
            </w:r>
            <w:r>
              <w:rPr>
                <w:rFonts w:hint="default" w:ascii="Times New Roman" w:hAnsi="Times New Roman" w:eastAsia="宋体" w:cs="Times New Roman"/>
                <w:color w:val="000000"/>
                <w:kern w:val="0"/>
                <w:sz w:val="24"/>
                <w:szCs w:val="24"/>
                <w:lang w:val="en-US" w:eastAsia="zh-CN" w:bidi="ar"/>
              </w:rPr>
              <w:t>交通运输业、管道运输业132新建、增建铁路30公里及以下铁路联络线和30公里以下铁路专用线</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，应当编制环境影响报告表。</w:t>
            </w:r>
          </w:p>
          <w:p w14:paraId="20E29A04">
            <w:pPr>
              <w:bidi w:val="0"/>
              <w:ind w:left="0" w:leftChars="0" w:firstLine="0" w:firstLineChars="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表2-1  建设项目环境影响评价分类管理名录</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54"/>
              <w:gridCol w:w="2891"/>
              <w:gridCol w:w="1992"/>
              <w:gridCol w:w="1070"/>
            </w:tblGrid>
            <w:tr w14:paraId="3AC35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71C555AB">
                  <w:pPr>
                    <w:keepNext w:val="0"/>
                    <w:keepLines w:val="0"/>
                    <w:widowControl/>
                    <w:suppressLineNumbers w:val="0"/>
                    <w:ind w:left="0" w:leftChars="0"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bCs/>
                      <w:color w:val="auto"/>
                      <w:kern w:val="0"/>
                      <w:sz w:val="18"/>
                      <w:szCs w:val="18"/>
                      <w:highlight w:val="none"/>
                      <w:lang w:val="en-US" w:eastAsia="zh-CN" w:bidi="ar"/>
                    </w:rPr>
                    <w:t>《建设项目环境影响评价分类管理名录》（2021年版）</w:t>
                  </w:r>
                </w:p>
              </w:tc>
            </w:tr>
            <w:tr w14:paraId="4116D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3" w:type="pct"/>
                  <w:gridSpan w:val="2"/>
                  <w:tcBorders>
                    <w:tl2br w:val="nil"/>
                    <w:tr2bl w:val="nil"/>
                  </w:tcBorders>
                  <w:vAlign w:val="center"/>
                </w:tcPr>
                <w:p w14:paraId="58615F9E">
                  <w:pPr>
                    <w:keepNext w:val="0"/>
                    <w:keepLines w:val="0"/>
                    <w:pageBreakBefore w:val="0"/>
                    <w:widowControl w:val="0"/>
                    <w:kinsoku/>
                    <w:wordWrap/>
                    <w:overflowPunct/>
                    <w:topLinePunct w:val="0"/>
                    <w:autoSpaceDE/>
                    <w:autoSpaceDN/>
                    <w:bidi w:val="0"/>
                    <w:adjustRightInd/>
                    <w:snapToGrid/>
                    <w:spacing w:line="320" w:lineRule="exact"/>
                    <w:ind w:firstLine="0" w:firstLineChars="0"/>
                    <w:jc w:val="right"/>
                    <w:textAlignment w:val="auto"/>
                    <w:rPr>
                      <w:rFonts w:hint="eastAsia" w:ascii="Times New Roman" w:hAnsi="Times New Roman" w:eastAsia="宋体" w:cs="Times New Roman"/>
                      <w:color w:val="auto"/>
                      <w:sz w:val="18"/>
                      <w:szCs w:val="18"/>
                      <w:highlight w:val="none"/>
                      <w:vertAlign w:val="baseline"/>
                      <w:lang w:val="en-US" w:eastAsia="zh-CN"/>
                    </w:rPr>
                  </w:pPr>
                  <w:r>
                    <w:rPr>
                      <w:color w:val="auto"/>
                      <w:sz w:val="18"/>
                      <w:highlight w:val="none"/>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-1905</wp:posOffset>
                            </wp:positionV>
                            <wp:extent cx="1346835" cy="398780"/>
                            <wp:effectExtent l="86995" t="20320" r="90170" b="152400"/>
                            <wp:wrapNone/>
                            <wp:docPr id="9" name="直接连接符 9"/>
                            <wp:cNvGraphicFramePr/>
                            <a:graphic xmlns:a="http://schemas.openxmlformats.org/drawingml/2006/main">
                              <a:graphicData uri="http://schemas.microsoft.com/office/word/2010/wordprocessingShape">
                                <wps:wsp>
                                  <wps:cNvCnPr/>
                                  <wps:spPr>
                                    <a:xfrm>
                                      <a:off x="1454150" y="8949055"/>
                                      <a:ext cx="1346835" cy="39878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5.65pt;margin-top:-0.15pt;height:31.4pt;width:106.05pt;z-index:251660288;mso-width-relative:page;mso-height-relative:page;" filled="f" stroked="t" coordsize="21600,21600" o:gfxdata="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yiYTjVAAAACAEAAA8AAAAAAAAAAQAgAAAA&#10;IgAAAGRycy9kb3ducmV2LnhtbFBLAQIUABQAAAAIAIdO4kBas9QCRwIAAHoEAAAOAAAAAAAAAAEA&#10;IAAAACQBAABkcnMvZTJvRG9jLnhtbFBLBQYAAAAABgAGAFkBAADdBQAAAAA=&#10;">
                            <v:fill on="f" focussize="0,0"/>
                            <v:stroke weight="0.5pt" color="#000000 [3213]" miterlimit="8" joinstyle="miter"/>
                            <v:imagedata o:title=""/>
                            <o:lock v:ext="edit" aspectratio="f"/>
                            <v:shadow on="t" color="#FFFFFF [3216]" opacity="39321f" offset="0pt,4pt" origin="0f,0f" matrix="65536f,0f,0f,65536f"/>
                          </v:line>
                        </w:pict>
                      </mc:Fallback>
                    </mc:AlternateContent>
                  </w:r>
                  <w:r>
                    <w:rPr>
                      <w:rFonts w:hint="eastAsia" w:ascii="Times New Roman" w:hAnsi="Times New Roman" w:eastAsia="宋体" w:cs="Times New Roman"/>
                      <w:color w:val="auto"/>
                      <w:sz w:val="18"/>
                      <w:szCs w:val="18"/>
                      <w:highlight w:val="none"/>
                      <w:vertAlign w:val="baseline"/>
                      <w:lang w:val="en-US" w:eastAsia="zh-CN"/>
                    </w:rPr>
                    <w:t>环评类别</w:t>
                  </w:r>
                </w:p>
                <w:p w14:paraId="6A293DAF">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项目类别</w:t>
                  </w:r>
                </w:p>
              </w:tc>
              <w:tc>
                <w:tcPr>
                  <w:tcW w:w="1791" w:type="pct"/>
                  <w:tcBorders>
                    <w:tl2br w:val="nil"/>
                    <w:tr2bl w:val="nil"/>
                  </w:tcBorders>
                  <w:vAlign w:val="center"/>
                </w:tcPr>
                <w:p w14:paraId="79B204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报告书</w:t>
                  </w:r>
                </w:p>
              </w:tc>
              <w:tc>
                <w:tcPr>
                  <w:tcW w:w="1234" w:type="pct"/>
                  <w:tcBorders>
                    <w:tl2br w:val="nil"/>
                    <w:tr2bl w:val="nil"/>
                  </w:tcBorders>
                  <w:vAlign w:val="center"/>
                </w:tcPr>
                <w:p w14:paraId="30D5C28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报告表</w:t>
                  </w:r>
                </w:p>
              </w:tc>
              <w:tc>
                <w:tcPr>
                  <w:tcW w:w="661" w:type="pct"/>
                  <w:tcBorders>
                    <w:tl2br w:val="nil"/>
                    <w:tr2bl w:val="nil"/>
                  </w:tcBorders>
                  <w:vAlign w:val="center"/>
                </w:tcPr>
                <w:p w14:paraId="276E3D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登记表</w:t>
                  </w:r>
                </w:p>
              </w:tc>
            </w:tr>
            <w:tr w14:paraId="1A8306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505D3B5C">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五十五、核与辐射</w:t>
                  </w:r>
                </w:p>
              </w:tc>
            </w:tr>
            <w:tr w14:paraId="0CA5D7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tcBorders>
                    <w:tl2br w:val="nil"/>
                    <w:tr2bl w:val="nil"/>
                  </w:tcBorders>
                  <w:vAlign w:val="center"/>
                </w:tcPr>
                <w:p w14:paraId="4E029F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161</w:t>
                  </w:r>
                </w:p>
              </w:tc>
              <w:tc>
                <w:tcPr>
                  <w:tcW w:w="838" w:type="pct"/>
                  <w:tcBorders>
                    <w:tl2br w:val="nil"/>
                    <w:tr2bl w:val="nil"/>
                  </w:tcBorders>
                  <w:vAlign w:val="center"/>
                </w:tcPr>
                <w:p w14:paraId="3DD1047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交通运输业、管道运输业</w:t>
                  </w:r>
                </w:p>
              </w:tc>
              <w:tc>
                <w:tcPr>
                  <w:tcW w:w="1791" w:type="pct"/>
                  <w:tcBorders>
                    <w:tl2br w:val="nil"/>
                    <w:tr2bl w:val="nil"/>
                  </w:tcBorders>
                  <w:vAlign w:val="center"/>
                </w:tcPr>
                <w:p w14:paraId="7F15A43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新建、增建铁路（30公里及以下铁路联络线和30公里及以下铁路专用线除外）；涉及环境敏感区的</w:t>
                  </w:r>
                </w:p>
              </w:tc>
              <w:tc>
                <w:tcPr>
                  <w:tcW w:w="1234" w:type="pct"/>
                  <w:tcBorders>
                    <w:tl2br w:val="nil"/>
                    <w:tr2bl w:val="nil"/>
                  </w:tcBorders>
                  <w:vAlign w:val="center"/>
                </w:tcPr>
                <w:p w14:paraId="6FFB568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b/>
                      <w:bCs/>
                      <w:color w:val="auto"/>
                      <w:sz w:val="18"/>
                      <w:szCs w:val="18"/>
                      <w:highlight w:val="none"/>
                      <w:vertAlign w:val="baseline"/>
                      <w:lang w:val="en-US" w:eastAsia="zh-CN"/>
                    </w:rPr>
                    <w:t>30公里及以下铁路联络线和30公里及以下铁路专用线</w:t>
                  </w:r>
                </w:p>
              </w:tc>
              <w:tc>
                <w:tcPr>
                  <w:tcW w:w="661" w:type="pct"/>
                  <w:tcBorders>
                    <w:tl2br w:val="nil"/>
                    <w:tr2bl w:val="nil"/>
                  </w:tcBorders>
                  <w:vAlign w:val="center"/>
                </w:tcPr>
                <w:p w14:paraId="4AADBA0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bl>
          <w:p w14:paraId="0C853B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本次环评的评价内容为玉溪市大化产业园区仙福钢铁厂铁路专用线及其配套工程。</w:t>
            </w:r>
          </w:p>
          <w:p w14:paraId="53759E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项目概况</w:t>
            </w:r>
          </w:p>
          <w:p w14:paraId="6A34D6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项目名称：</w:t>
            </w:r>
            <w:r>
              <w:rPr>
                <w:rFonts w:hint="eastAsia" w:cs="Times New Roman"/>
                <w:i w:val="0"/>
                <w:iCs w:val="0"/>
                <w:color w:val="auto"/>
                <w:sz w:val="24"/>
                <w:szCs w:val="24"/>
                <w:highlight w:val="none"/>
                <w:u w:val="none"/>
                <w:lang w:val="en-US" w:eastAsia="zh-CN"/>
              </w:rPr>
              <w:t>玉溪市大化产业园区仙福钢铁厂铁路专用线项目；</w:t>
            </w:r>
          </w:p>
          <w:p w14:paraId="5E217F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建设单位：云南玉溪仙福钢铁（集团）有限公司；</w:t>
            </w:r>
          </w:p>
          <w:p w14:paraId="3FE45B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项目建设性质：新建；</w:t>
            </w:r>
          </w:p>
          <w:p w14:paraId="10397D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项目建设地点：云南省玉溪市新平县，接轨于</w:t>
            </w:r>
            <w:r>
              <w:rPr>
                <w:rFonts w:hint="eastAsia" w:cs="Times New Roman"/>
                <w:i w:val="0"/>
                <w:iCs w:val="0"/>
                <w:color w:val="auto"/>
                <w:sz w:val="24"/>
                <w:szCs w:val="24"/>
                <w:highlight w:val="none"/>
                <w:u w:val="none"/>
                <w:lang w:val="en-US" w:eastAsia="zh-CN"/>
              </w:rPr>
              <w:t>玉溪市大化产业园区铁路专用线化念南至仙福场设计终点DXK3+295.11处</w:t>
            </w:r>
            <w:r>
              <w:rPr>
                <w:rFonts w:hint="eastAsia" w:cs="Times New Roman"/>
                <w:color w:val="000000"/>
                <w:kern w:val="0"/>
                <w:sz w:val="24"/>
                <w:szCs w:val="24"/>
                <w:lang w:val="en-US" w:eastAsia="zh-CN" w:bidi="ar"/>
              </w:rPr>
              <w:t>；</w:t>
            </w:r>
          </w:p>
          <w:p w14:paraId="45D510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项目总投资：31301.35万元；</w:t>
            </w:r>
          </w:p>
          <w:p w14:paraId="146A9A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用地面积：330.05亩。</w:t>
            </w:r>
          </w:p>
          <w:p w14:paraId="32F03E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5建设内容及规模</w:t>
            </w:r>
          </w:p>
          <w:p w14:paraId="450BA5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本项目从玉溪市大化产业园区铁路专用线设计终点DXK3+295.11处接轨。</w:t>
            </w:r>
          </w:p>
          <w:p w14:paraId="627C50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w:t>
            </w:r>
            <w:r>
              <w:rPr>
                <w:rFonts w:hint="default" w:cs="Times New Roman"/>
                <w:color w:val="000000"/>
                <w:kern w:val="0"/>
                <w:sz w:val="24"/>
                <w:szCs w:val="24"/>
                <w:lang w:val="en-US" w:eastAsia="zh-CN" w:bidi="ar"/>
              </w:rPr>
              <w:t>1</w:t>
            </w:r>
            <w:r>
              <w:rPr>
                <w:rFonts w:hint="eastAsia" w:cs="Times New Roman"/>
                <w:color w:val="000000"/>
                <w:kern w:val="0"/>
                <w:sz w:val="24"/>
                <w:szCs w:val="24"/>
                <w:lang w:val="en-US" w:eastAsia="zh-CN" w:bidi="ar"/>
              </w:rPr>
              <w:t>）建设内容：本铁路专用线项目设龙门吊装卸区（左右</w:t>
            </w:r>
            <w:r>
              <w:rPr>
                <w:rFonts w:hint="default" w:cs="Times New Roman"/>
                <w:color w:val="000000"/>
                <w:kern w:val="0"/>
                <w:sz w:val="24"/>
                <w:szCs w:val="24"/>
                <w:lang w:val="en-US" w:eastAsia="zh-CN" w:bidi="ar"/>
              </w:rPr>
              <w:t>2</w:t>
            </w:r>
            <w:r>
              <w:rPr>
                <w:rFonts w:hint="eastAsia" w:cs="Times New Roman"/>
                <w:color w:val="000000"/>
                <w:kern w:val="0"/>
                <w:sz w:val="24"/>
                <w:szCs w:val="24"/>
                <w:lang w:val="en-US" w:eastAsia="zh-CN" w:bidi="ar"/>
              </w:rPr>
              <w:t>处）、翻车机卸车区、调车区，配套建设信号楼、车辆交接用房、生活楼等生产生活设施。</w:t>
            </w:r>
          </w:p>
          <w:p w14:paraId="01F0FC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（2）建设规模：</w:t>
            </w:r>
            <w:r>
              <w:rPr>
                <w:rFonts w:hint="default" w:cs="Times New Roman"/>
                <w:i w:val="0"/>
                <w:iCs w:val="0"/>
                <w:color w:val="auto"/>
                <w:sz w:val="24"/>
                <w:szCs w:val="24"/>
                <w:highlight w:val="none"/>
                <w:u w:val="none"/>
                <w:lang w:val="en-US" w:eastAsia="zh-CN"/>
              </w:rPr>
              <w:t>本铁路专用线设龙门吊装卸区（左右两处）、翻车机卸车区、调车区。左侧龙门吊装卸区设货物线2条，有效长分别为690m、736m，配套设40m跨度龙门吊设备。调车区设调存线3条，有效长分别为712m、712m、680m，尾部设机转线1条，有效长90m。翻车机卸车区设双翻翻车机1台（业主另行委托设计），配套设重车线1条，有效长745m，空车线1条，有效长736m</w:t>
            </w:r>
            <w:r>
              <w:rPr>
                <w:rFonts w:hint="eastAsia" w:cs="Times New Roman"/>
                <w:i w:val="0"/>
                <w:iCs w:val="0"/>
                <w:color w:val="auto"/>
                <w:sz w:val="24"/>
                <w:szCs w:val="24"/>
                <w:highlight w:val="none"/>
                <w:u w:val="none"/>
                <w:lang w:val="en-US" w:eastAsia="zh-CN"/>
              </w:rPr>
              <w:t>，机走线1条，有效长596m，根据场地条件，远期预留存车线2条</w:t>
            </w:r>
            <w:r>
              <w:rPr>
                <w:rFonts w:hint="default" w:cs="Times New Roman"/>
                <w:i w:val="0"/>
                <w:iCs w:val="0"/>
                <w:color w:val="auto"/>
                <w:sz w:val="24"/>
                <w:szCs w:val="24"/>
                <w:highlight w:val="none"/>
                <w:u w:val="none"/>
                <w:lang w:val="en-US" w:eastAsia="zh-CN"/>
              </w:rPr>
              <w:t>。右侧龙门吊装卸区设货物线2条，有效长分别为</w:t>
            </w:r>
            <w:r>
              <w:rPr>
                <w:rFonts w:hint="eastAsia" w:cs="Times New Roman"/>
                <w:i w:val="0"/>
                <w:iCs w:val="0"/>
                <w:color w:val="auto"/>
                <w:sz w:val="24"/>
                <w:szCs w:val="24"/>
                <w:highlight w:val="none"/>
                <w:u w:val="none"/>
                <w:lang w:val="en-US" w:eastAsia="zh-CN"/>
              </w:rPr>
              <w:t>789</w:t>
            </w:r>
            <w:r>
              <w:rPr>
                <w:rFonts w:hint="default" w:cs="Times New Roman"/>
                <w:i w:val="0"/>
                <w:iCs w:val="0"/>
                <w:color w:val="auto"/>
                <w:sz w:val="24"/>
                <w:szCs w:val="24"/>
                <w:highlight w:val="none"/>
                <w:u w:val="none"/>
                <w:lang w:val="en-US" w:eastAsia="zh-CN"/>
              </w:rPr>
              <w:t>m、687m，</w:t>
            </w:r>
            <w:r>
              <w:rPr>
                <w:rFonts w:hint="eastAsia" w:cs="Times New Roman"/>
                <w:i w:val="0"/>
                <w:iCs w:val="0"/>
                <w:color w:val="auto"/>
                <w:sz w:val="24"/>
                <w:szCs w:val="24"/>
                <w:highlight w:val="none"/>
                <w:u w:val="none"/>
                <w:lang w:val="en-US" w:eastAsia="zh-CN"/>
              </w:rPr>
              <w:t>尾部设</w:t>
            </w:r>
            <w:r>
              <w:rPr>
                <w:rFonts w:hint="default" w:cs="Times New Roman"/>
                <w:i w:val="0"/>
                <w:iCs w:val="0"/>
                <w:color w:val="auto"/>
                <w:sz w:val="24"/>
                <w:szCs w:val="24"/>
                <w:highlight w:val="none"/>
                <w:u w:val="none"/>
                <w:lang w:val="en-US" w:eastAsia="zh-CN"/>
              </w:rPr>
              <w:t>机转线1条，有效长90m，配套设35m跨度龙门吊设备。专用线小里程端咽喉设牵出线1条，有效长</w:t>
            </w:r>
            <w:r>
              <w:rPr>
                <w:rFonts w:hint="eastAsia" w:cs="Times New Roman"/>
                <w:i w:val="0"/>
                <w:iCs w:val="0"/>
                <w:color w:val="auto"/>
                <w:sz w:val="24"/>
                <w:szCs w:val="24"/>
                <w:highlight w:val="none"/>
                <w:u w:val="none"/>
                <w:lang w:val="en-US" w:eastAsia="zh-CN"/>
              </w:rPr>
              <w:t>3</w:t>
            </w:r>
            <w:r>
              <w:rPr>
                <w:rFonts w:hint="default" w:cs="Times New Roman"/>
                <w:i w:val="0"/>
                <w:iCs w:val="0"/>
                <w:color w:val="auto"/>
                <w:sz w:val="24"/>
                <w:szCs w:val="24"/>
                <w:highlight w:val="none"/>
                <w:u w:val="none"/>
                <w:lang w:val="en-US" w:eastAsia="zh-CN"/>
              </w:rPr>
              <w:t>50m</w:t>
            </w:r>
            <w:r>
              <w:rPr>
                <w:rFonts w:hint="eastAsia" w:cs="Times New Roman"/>
                <w:i w:val="0"/>
                <w:iCs w:val="0"/>
                <w:color w:val="auto"/>
                <w:sz w:val="24"/>
                <w:szCs w:val="24"/>
                <w:highlight w:val="none"/>
                <w:u w:val="none"/>
                <w:lang w:val="en-US" w:eastAsia="zh-CN"/>
              </w:rPr>
              <w:t>，远期预留延长至650m</w:t>
            </w:r>
            <w:r>
              <w:rPr>
                <w:rFonts w:hint="default" w:cs="Times New Roman"/>
                <w:i w:val="0"/>
                <w:iCs w:val="0"/>
                <w:color w:val="auto"/>
                <w:sz w:val="24"/>
                <w:szCs w:val="24"/>
                <w:highlight w:val="none"/>
                <w:u w:val="none"/>
                <w:lang w:val="en-US" w:eastAsia="zh-CN"/>
              </w:rPr>
              <w:t>；设轨道衡1台、生产生活设施场坪1处，配套设置货场道路</w:t>
            </w:r>
            <w:r>
              <w:rPr>
                <w:rFonts w:hint="eastAsia" w:cs="Times New Roman"/>
                <w:i w:val="0"/>
                <w:iCs w:val="0"/>
                <w:color w:val="auto"/>
                <w:sz w:val="24"/>
                <w:szCs w:val="24"/>
                <w:highlight w:val="none"/>
                <w:u w:val="none"/>
                <w:lang w:val="en-US" w:eastAsia="zh-CN"/>
              </w:rPr>
              <w:t>；配套建设煤堆取作业厂房与原料堆场（业主另行委托设计）。</w:t>
            </w:r>
          </w:p>
          <w:p w14:paraId="799C22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项目建设内容一览表见表2-2。</w:t>
            </w:r>
          </w:p>
          <w:p w14:paraId="45B9A3E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表2-2  项目建设内容一览表</w:t>
            </w:r>
          </w:p>
          <w:tbl>
            <w:tblPr>
              <w:tblStyle w:val="23"/>
              <w:tblW w:w="50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70"/>
              <w:gridCol w:w="5452"/>
              <w:gridCol w:w="705"/>
            </w:tblGrid>
            <w:tr w14:paraId="7626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tcBorders>
                    <w:left w:val="nil"/>
                  </w:tcBorders>
                  <w:vAlign w:val="center"/>
                </w:tcPr>
                <w:p w14:paraId="7B0FE3F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工程类别</w:t>
                  </w:r>
                </w:p>
              </w:tc>
              <w:tc>
                <w:tcPr>
                  <w:tcW w:w="785" w:type="pct"/>
                  <w:vAlign w:val="center"/>
                </w:tcPr>
                <w:p w14:paraId="6743545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工程名称</w:t>
                  </w:r>
                </w:p>
              </w:tc>
              <w:tc>
                <w:tcPr>
                  <w:tcW w:w="3372" w:type="pct"/>
                  <w:vAlign w:val="center"/>
                </w:tcPr>
                <w:p w14:paraId="5111857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工程建设内容及规模</w:t>
                  </w:r>
                </w:p>
              </w:tc>
              <w:tc>
                <w:tcPr>
                  <w:tcW w:w="436" w:type="pct"/>
                  <w:tcBorders>
                    <w:right w:val="nil"/>
                  </w:tcBorders>
                  <w:vAlign w:val="center"/>
                </w:tcPr>
                <w:p w14:paraId="64A329D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备注</w:t>
                  </w:r>
                </w:p>
              </w:tc>
            </w:tr>
            <w:tr w14:paraId="40F3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tcBorders>
                    <w:left w:val="nil"/>
                  </w:tcBorders>
                  <w:vAlign w:val="center"/>
                </w:tcPr>
                <w:p w14:paraId="38EAA64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主体工程</w:t>
                  </w:r>
                </w:p>
              </w:tc>
              <w:tc>
                <w:tcPr>
                  <w:tcW w:w="785" w:type="pct"/>
                  <w:vAlign w:val="center"/>
                </w:tcPr>
                <w:p w14:paraId="11CC76BA">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新建专用线</w:t>
                  </w:r>
                </w:p>
              </w:tc>
              <w:tc>
                <w:tcPr>
                  <w:tcW w:w="3372" w:type="pct"/>
                  <w:vAlign w:val="center"/>
                </w:tcPr>
                <w:p w14:paraId="15B2EC94">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color w:val="auto"/>
                      <w:kern w:val="2"/>
                      <w:sz w:val="18"/>
                      <w:szCs w:val="18"/>
                      <w:highlight w:val="none"/>
                      <w:u w:val="none"/>
                      <w:lang w:val="en-US" w:eastAsia="zh-CN" w:bidi="ar-SA"/>
                    </w:rPr>
                  </w:pPr>
                  <w:r>
                    <w:rPr>
                      <w:rFonts w:hint="default" w:ascii="Times New Roman" w:hAnsi="Times New Roman" w:eastAsia="宋体" w:cs="Times New Roman"/>
                      <w:b/>
                      <w:bCs/>
                      <w:i w:val="0"/>
                      <w:color w:val="auto"/>
                      <w:kern w:val="2"/>
                      <w:sz w:val="18"/>
                      <w:szCs w:val="18"/>
                      <w:highlight w:val="none"/>
                      <w:u w:val="none"/>
                      <w:lang w:val="en-US" w:eastAsia="zh-CN" w:bidi="ar-SA"/>
                    </w:rPr>
                    <w:t>龙门吊装卸区（左右两处）：</w:t>
                  </w:r>
                  <w:r>
                    <w:rPr>
                      <w:rFonts w:hint="default" w:ascii="Times New Roman" w:hAnsi="Times New Roman" w:eastAsia="宋体" w:cs="Times New Roman"/>
                      <w:i w:val="0"/>
                      <w:color w:val="auto"/>
                      <w:kern w:val="2"/>
                      <w:sz w:val="18"/>
                      <w:szCs w:val="18"/>
                      <w:highlight w:val="none"/>
                      <w:u w:val="none"/>
                      <w:lang w:val="en-US" w:eastAsia="zh-CN" w:bidi="ar-SA"/>
                    </w:rPr>
                    <w:t>左侧龙门吊装卸区设货物线2条，有效长分别为690m、736m，配套设40m跨度龙门吊设备；右侧龙门吊装卸区设货物线2条，有效长分别为789m、687m，尾部设机待线1条，有效长90m，机车走行线1条，配套设35m跨度龙门吊设备。专用线小里程端咽喉设牵出线1条，有效长350m，远期预留延长至650m。</w:t>
                  </w:r>
                </w:p>
                <w:p w14:paraId="140502F9">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color w:val="auto"/>
                      <w:kern w:val="2"/>
                      <w:sz w:val="18"/>
                      <w:szCs w:val="18"/>
                      <w:highlight w:val="none"/>
                      <w:u w:val="none"/>
                      <w:lang w:val="en-US" w:eastAsia="zh-CN" w:bidi="ar-SA"/>
                    </w:rPr>
                  </w:pPr>
                  <w:r>
                    <w:rPr>
                      <w:rFonts w:hint="default" w:ascii="Times New Roman" w:hAnsi="Times New Roman" w:eastAsia="宋体" w:cs="Times New Roman"/>
                      <w:b/>
                      <w:bCs/>
                      <w:i w:val="0"/>
                      <w:color w:val="auto"/>
                      <w:kern w:val="2"/>
                      <w:sz w:val="18"/>
                      <w:szCs w:val="18"/>
                      <w:highlight w:val="none"/>
                      <w:u w:val="none"/>
                      <w:lang w:val="en-US" w:eastAsia="zh-CN" w:bidi="ar-SA"/>
                    </w:rPr>
                    <w:t>翻车机卸车区：</w:t>
                  </w:r>
                  <w:r>
                    <w:rPr>
                      <w:rFonts w:hint="default" w:ascii="Times New Roman" w:hAnsi="Times New Roman" w:eastAsia="宋体" w:cs="Times New Roman"/>
                      <w:i w:val="0"/>
                      <w:color w:val="auto"/>
                      <w:kern w:val="2"/>
                      <w:sz w:val="18"/>
                      <w:szCs w:val="18"/>
                      <w:highlight w:val="none"/>
                      <w:u w:val="none"/>
                      <w:lang w:val="en-US" w:eastAsia="zh-CN" w:bidi="ar-SA"/>
                    </w:rPr>
                    <w:t>设双翻翻车机1台（业主另行委托设计），配套设重车线1条，有效长745m，空车线1条，有效长736m，机走线1条，有效长596m，根据场地条件，远期预留存车线2条。</w:t>
                  </w:r>
                </w:p>
                <w:p w14:paraId="1ADB7FF4">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bCs/>
                      <w:i w:val="0"/>
                      <w:color w:val="auto"/>
                      <w:kern w:val="2"/>
                      <w:sz w:val="18"/>
                      <w:szCs w:val="18"/>
                      <w:highlight w:val="none"/>
                      <w:u w:val="none"/>
                      <w:lang w:val="en-US" w:eastAsia="zh-CN" w:bidi="ar-SA"/>
                    </w:rPr>
                    <w:t>调车区：</w:t>
                  </w:r>
                  <w:r>
                    <w:rPr>
                      <w:rFonts w:hint="default" w:ascii="Times New Roman" w:hAnsi="Times New Roman" w:eastAsia="宋体" w:cs="Times New Roman"/>
                      <w:i w:val="0"/>
                      <w:color w:val="auto"/>
                      <w:kern w:val="2"/>
                      <w:sz w:val="18"/>
                      <w:szCs w:val="18"/>
                      <w:highlight w:val="none"/>
                      <w:u w:val="none"/>
                      <w:lang w:val="en-US" w:eastAsia="zh-CN" w:bidi="ar-SA"/>
                    </w:rPr>
                    <w:t>设调存线3条，有效长分别为712m、712m、680m，尾部设机转线1条，有效长90m。</w:t>
                  </w:r>
                </w:p>
              </w:tc>
              <w:tc>
                <w:tcPr>
                  <w:tcW w:w="436" w:type="pct"/>
                  <w:tcBorders>
                    <w:right w:val="nil"/>
                  </w:tcBorders>
                  <w:vAlign w:val="center"/>
                </w:tcPr>
                <w:p w14:paraId="1C87E5B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4A43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19DA22C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85" w:type="pct"/>
                  <w:vAlign w:val="center"/>
                </w:tcPr>
                <w:p w14:paraId="4248A369">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路基工程</w:t>
                  </w:r>
                </w:p>
              </w:tc>
              <w:tc>
                <w:tcPr>
                  <w:tcW w:w="3372" w:type="pct"/>
                  <w:vAlign w:val="center"/>
                </w:tcPr>
                <w:p w14:paraId="05AA5066">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站线路基基床表层厚度为0.3m，底层厚度为0.9m，基床表层采用C组及以上填料填筑，基床底层采用C组填料或改良后的D组填料填筑。</w:t>
                  </w:r>
                </w:p>
              </w:tc>
              <w:tc>
                <w:tcPr>
                  <w:tcW w:w="436" w:type="pct"/>
                  <w:tcBorders>
                    <w:right w:val="nil"/>
                  </w:tcBorders>
                  <w:vAlign w:val="center"/>
                </w:tcPr>
                <w:p w14:paraId="6AEC7C5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676D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05A71E9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85" w:type="pct"/>
                  <w:vAlign w:val="center"/>
                </w:tcPr>
                <w:p w14:paraId="01B34152">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桥涵</w:t>
                  </w:r>
                </w:p>
              </w:tc>
              <w:tc>
                <w:tcPr>
                  <w:tcW w:w="3372" w:type="pct"/>
                  <w:vAlign w:val="center"/>
                </w:tcPr>
                <w:p w14:paraId="0DB48855">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根据排水需要，玉溪市大化产业园区仙福钢铁厂铁路专用线新建2座1-1.5m框架涵用于排洪。</w:t>
                  </w:r>
                </w:p>
              </w:tc>
              <w:tc>
                <w:tcPr>
                  <w:tcW w:w="436" w:type="pct"/>
                  <w:tcBorders>
                    <w:right w:val="nil"/>
                  </w:tcBorders>
                  <w:vAlign w:val="center"/>
                </w:tcPr>
                <w:p w14:paraId="57073CF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7462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6EBD3AF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85" w:type="pct"/>
                  <w:vAlign w:val="center"/>
                </w:tcPr>
                <w:p w14:paraId="389A4730">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站场</w:t>
                  </w:r>
                </w:p>
              </w:tc>
              <w:tc>
                <w:tcPr>
                  <w:tcW w:w="3372" w:type="pct"/>
                  <w:vAlign w:val="center"/>
                </w:tcPr>
                <w:p w14:paraId="77077DC0">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本铁路专用线于玉溪市大化产业园区铁路专用线化念南（不含）至仙福钢铁厂铁路专用线（不含）设计终点（DXK3+295.11）处引出，装卸场布设于仙福钢铁厂厂区西侧山顶，装卸场左侧拟建钢铁厂原料堆场，右侧拟建钢铁厂配煤棚（因用地限制，拟建为半C型）。本铁路专用线设龙门吊装卸区（左右两处）、翻车机卸车区、调车区。</w:t>
                  </w:r>
                </w:p>
              </w:tc>
              <w:tc>
                <w:tcPr>
                  <w:tcW w:w="436" w:type="pct"/>
                  <w:tcBorders>
                    <w:right w:val="nil"/>
                  </w:tcBorders>
                  <w:vAlign w:val="center"/>
                </w:tcPr>
                <w:p w14:paraId="1DA4D0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4C52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1009DD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85" w:type="pct"/>
                  <w:vAlign w:val="center"/>
                </w:tcPr>
                <w:p w14:paraId="545033F5">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轨道工程</w:t>
                  </w:r>
                </w:p>
              </w:tc>
              <w:tc>
                <w:tcPr>
                  <w:tcW w:w="3372" w:type="pct"/>
                  <w:vAlign w:val="center"/>
                </w:tcPr>
                <w:p w14:paraId="227A50E8">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仙福钢铁路专用线正线设计起点CZK3+295.11至CZK3+600，其余为站线，按照站线轨道要求施作。铺设有砟轨道、有缝线路0.247铺轨公里，其中轨道衡称量区及两端引轨区（各25m），合计58m采用整体道床、有缝线路。</w:t>
                  </w:r>
                </w:p>
              </w:tc>
              <w:tc>
                <w:tcPr>
                  <w:tcW w:w="436" w:type="pct"/>
                  <w:tcBorders>
                    <w:right w:val="nil"/>
                  </w:tcBorders>
                  <w:vAlign w:val="center"/>
                </w:tcPr>
                <w:p w14:paraId="16A8D29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214E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tcBorders>
                    <w:left w:val="nil"/>
                  </w:tcBorders>
                  <w:vAlign w:val="center"/>
                </w:tcPr>
                <w:p w14:paraId="6414659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辅助工程</w:t>
                  </w:r>
                </w:p>
              </w:tc>
              <w:tc>
                <w:tcPr>
                  <w:tcW w:w="785" w:type="pct"/>
                  <w:vAlign w:val="center"/>
                </w:tcPr>
                <w:p w14:paraId="282C693D">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车辆</w:t>
                  </w:r>
                </w:p>
              </w:tc>
              <w:tc>
                <w:tcPr>
                  <w:tcW w:w="3372" w:type="pct"/>
                  <w:vAlign w:val="center"/>
                </w:tcPr>
                <w:p w14:paraId="19633CCC">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本专用线不新建车辆定检设备，车辆定检维修工作由相邻线路既有车辆设备承担。在仙福场设置车辆交接房屋一处，车辆交接用房建筑面积60m</w:t>
                  </w:r>
                  <w:r>
                    <w:rPr>
                      <w:rFonts w:hint="default" w:ascii="Times New Roman" w:hAnsi="Times New Roman" w:eastAsia="宋体" w:cs="Times New Roman"/>
                      <w:i w:val="0"/>
                      <w:color w:val="auto"/>
                      <w:kern w:val="2"/>
                      <w:sz w:val="18"/>
                      <w:szCs w:val="18"/>
                      <w:highlight w:val="none"/>
                      <w:u w:val="none"/>
                      <w:vertAlign w:val="superscript"/>
                      <w:lang w:val="en-US" w:eastAsia="zh-CN" w:bidi="ar-SA"/>
                    </w:rPr>
                    <w:t>2</w:t>
                  </w:r>
                  <w:r>
                    <w:rPr>
                      <w:rFonts w:hint="default" w:ascii="Times New Roman" w:hAnsi="Times New Roman" w:eastAsia="宋体" w:cs="Times New Roman"/>
                      <w:i w:val="0"/>
                      <w:color w:val="auto"/>
                      <w:kern w:val="2"/>
                      <w:sz w:val="18"/>
                      <w:szCs w:val="18"/>
                      <w:highlight w:val="none"/>
                      <w:u w:val="none"/>
                      <w:lang w:val="en-US" w:eastAsia="zh-CN" w:bidi="ar-SA"/>
                    </w:rPr>
                    <w:t>，含值班室、待检室及工具材料间。</w:t>
                  </w:r>
                </w:p>
              </w:tc>
              <w:tc>
                <w:tcPr>
                  <w:tcW w:w="436" w:type="pct"/>
                  <w:tcBorders>
                    <w:right w:val="nil"/>
                  </w:tcBorders>
                  <w:vAlign w:val="center"/>
                </w:tcPr>
                <w:p w14:paraId="3284318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w:t>
                  </w:r>
                </w:p>
              </w:tc>
            </w:tr>
            <w:tr w14:paraId="13F5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208C7B1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6462DA02">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信息</w:t>
                  </w:r>
                </w:p>
              </w:tc>
              <w:tc>
                <w:tcPr>
                  <w:tcW w:w="3372" w:type="pct"/>
                  <w:vAlign w:val="center"/>
                </w:tcPr>
                <w:p w14:paraId="736E73CA">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color w:val="auto"/>
                      <w:kern w:val="2"/>
                      <w:sz w:val="18"/>
                      <w:szCs w:val="18"/>
                      <w:highlight w:val="none"/>
                      <w:u w:val="none"/>
                      <w:lang w:val="en-US" w:eastAsia="zh-CN" w:bidi="ar-SA"/>
                    </w:rPr>
                  </w:pPr>
                  <w:r>
                    <w:rPr>
                      <w:rFonts w:hint="default" w:ascii="Times New Roman" w:hAnsi="Times New Roman" w:eastAsia="宋体" w:cs="Times New Roman"/>
                      <w:i w:val="0"/>
                      <w:color w:val="auto"/>
                      <w:kern w:val="2"/>
                      <w:sz w:val="18"/>
                      <w:szCs w:val="18"/>
                      <w:highlight w:val="none"/>
                      <w:u w:val="none"/>
                      <w:lang w:val="en-US" w:eastAsia="zh-CN" w:bidi="ar-SA"/>
                    </w:rPr>
                    <w:t>办公信息系统：在仙福钢铁厂设置办公信息终端1台，接入铁路信息办公专网。</w:t>
                  </w:r>
                </w:p>
                <w:p w14:paraId="4E4119DF">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货物运输管理信息系统（FTMS）：在仙福钢铁厂信息机房设置42U机柜，接入交换机，防火墙，3KVAUPS各一套，FTMS信息终端6套，接入化念南设置FTMS系统。</w:t>
                  </w:r>
                </w:p>
              </w:tc>
              <w:tc>
                <w:tcPr>
                  <w:tcW w:w="436" w:type="pct"/>
                  <w:tcBorders>
                    <w:right w:val="nil"/>
                  </w:tcBorders>
                  <w:vAlign w:val="center"/>
                </w:tcPr>
                <w:p w14:paraId="3E6A719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03B3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74E7961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19CB0EE1">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通信</w:t>
                  </w:r>
                </w:p>
              </w:tc>
              <w:tc>
                <w:tcPr>
                  <w:tcW w:w="3372" w:type="pct"/>
                  <w:vAlign w:val="center"/>
                </w:tcPr>
                <w:p w14:paraId="0ADA7FCF">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仙福场至化念站沿线路单侧敷设一条GYTZA5324B1光缆，为本线传输系统、信息等业务提供通道。车站敷设HYAT53型填充式全塑电缆，满足直通电话、自动电话传输用户传输需求；敷设GYTZS5312B1光缆，满足车号、轨道衡、TFDS、信息、危险品及专用线安全监控信息传输需求。</w:t>
                  </w:r>
                </w:p>
              </w:tc>
              <w:tc>
                <w:tcPr>
                  <w:tcW w:w="436" w:type="pct"/>
                  <w:tcBorders>
                    <w:right w:val="nil"/>
                  </w:tcBorders>
                  <w:vAlign w:val="center"/>
                </w:tcPr>
                <w:p w14:paraId="772F50B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689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308C994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3ACB9917">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信号楼</w:t>
                  </w:r>
                </w:p>
              </w:tc>
              <w:tc>
                <w:tcPr>
                  <w:tcW w:w="3372" w:type="pct"/>
                  <w:vAlign w:val="center"/>
                </w:tcPr>
                <w:p w14:paraId="7297F7B8">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color w:val="auto"/>
                      <w:kern w:val="2"/>
                      <w:sz w:val="18"/>
                      <w:szCs w:val="18"/>
                      <w:highlight w:val="none"/>
                      <w:u w:val="none"/>
                      <w:lang w:val="en-US" w:eastAsia="zh-CN" w:bidi="ar-SA"/>
                    </w:rPr>
                  </w:pPr>
                  <w:r>
                    <w:rPr>
                      <w:rFonts w:hint="default" w:ascii="Times New Roman" w:hAnsi="Times New Roman" w:eastAsia="宋体" w:cs="Times New Roman"/>
                      <w:i w:val="0"/>
                      <w:color w:val="auto"/>
                      <w:kern w:val="2"/>
                      <w:sz w:val="18"/>
                      <w:szCs w:val="18"/>
                      <w:highlight w:val="none"/>
                      <w:u w:val="none"/>
                      <w:lang w:val="en-US" w:eastAsia="zh-CN" w:bidi="ar-SA"/>
                    </w:rPr>
                    <w:t>建筑面积为1510m</w:t>
                  </w:r>
                  <w:r>
                    <w:rPr>
                      <w:rFonts w:hint="default" w:ascii="Times New Roman" w:hAnsi="Times New Roman" w:eastAsia="宋体" w:cs="Times New Roman"/>
                      <w:i w:val="0"/>
                      <w:color w:val="auto"/>
                      <w:kern w:val="2"/>
                      <w:sz w:val="18"/>
                      <w:szCs w:val="18"/>
                      <w:highlight w:val="none"/>
                      <w:u w:val="none"/>
                      <w:vertAlign w:val="superscript"/>
                      <w:lang w:val="en-US" w:eastAsia="zh-CN" w:bidi="ar-SA"/>
                    </w:rPr>
                    <w:t>2</w:t>
                  </w:r>
                  <w:r>
                    <w:rPr>
                      <w:rFonts w:hint="default" w:ascii="Times New Roman" w:hAnsi="Times New Roman" w:eastAsia="宋体" w:cs="Times New Roman"/>
                      <w:i w:val="0"/>
                      <w:color w:val="auto"/>
                      <w:kern w:val="2"/>
                      <w:sz w:val="18"/>
                      <w:szCs w:val="18"/>
                      <w:highlight w:val="none"/>
                      <w:u w:val="none"/>
                      <w:lang w:val="en-US" w:eastAsia="zh-CN" w:bidi="ar-SA"/>
                    </w:rPr>
                    <w:t>，新建信号设备房屋，包括信号机械室、信号计算机室、信号电源室、防雷分线间、电缆引入间、运转室等。其中机械室、计算机室、电源室和防雷分线间采用瓷面防静电活动底板。</w:t>
                  </w:r>
                </w:p>
                <w:p w14:paraId="788C7D9F">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仙福场采用铁路局专用调机进行作业，故需在仙福场新设1套无线调车机车信号监控系统（STP）地面设备，保证车站调车作业安全、提高调车作业效率、减轻调车作业人员工作强度。仙福场开通使用时，同步更新专用调机STP车载软件。</w:t>
                  </w:r>
                </w:p>
              </w:tc>
              <w:tc>
                <w:tcPr>
                  <w:tcW w:w="436" w:type="pct"/>
                  <w:tcBorders>
                    <w:right w:val="nil"/>
                  </w:tcBorders>
                  <w:vAlign w:val="center"/>
                </w:tcPr>
                <w:p w14:paraId="206FA86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3B8A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591B030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35932A96">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暖通</w:t>
                  </w:r>
                </w:p>
              </w:tc>
              <w:tc>
                <w:tcPr>
                  <w:tcW w:w="3372" w:type="pct"/>
                  <w:vAlign w:val="center"/>
                </w:tcPr>
                <w:p w14:paraId="6FFD88F6">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本工程地处温和地区，不设集中采暖设施。本工程通信、信息、信号、电力房屋中的设备机房、控制室应根据工艺环境要求设置工艺性空调系统，空调形式选用机房专用空调，机房专用空调实现全年运行。机房专用空调具有断电后自动重启的功能。空调冷媒采用环境友好型冷媒。对办公室、值班室等生活办公场所预留舒适性空调系统设置条件。</w:t>
                  </w:r>
                </w:p>
              </w:tc>
              <w:tc>
                <w:tcPr>
                  <w:tcW w:w="436" w:type="pct"/>
                  <w:tcBorders>
                    <w:right w:val="nil"/>
                  </w:tcBorders>
                  <w:vAlign w:val="center"/>
                </w:tcPr>
                <w:p w14:paraId="244DD2B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1589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75E908E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4EE700E6">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生活楼</w:t>
                  </w:r>
                </w:p>
              </w:tc>
              <w:tc>
                <w:tcPr>
                  <w:tcW w:w="3372" w:type="pct"/>
                  <w:vAlign w:val="center"/>
                </w:tcPr>
                <w:p w14:paraId="7783C446">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本项目新建一栋生活楼，</w:t>
                  </w:r>
                  <w:r>
                    <w:rPr>
                      <w:rFonts w:hint="eastAsia" w:ascii="Times New Roman" w:hAnsi="Times New Roman" w:eastAsia="宋体" w:cs="Times New Roman"/>
                      <w:i w:val="0"/>
                      <w:color w:val="auto"/>
                      <w:kern w:val="2"/>
                      <w:sz w:val="18"/>
                      <w:szCs w:val="18"/>
                      <w:highlight w:val="none"/>
                      <w:u w:val="none"/>
                      <w:lang w:val="en-US" w:eastAsia="zh-CN" w:bidi="ar-SA"/>
                    </w:rPr>
                    <w:t>3层，</w:t>
                  </w:r>
                  <w:r>
                    <w:rPr>
                      <w:rFonts w:hint="default" w:ascii="Times New Roman" w:hAnsi="Times New Roman" w:eastAsia="宋体" w:cs="Times New Roman"/>
                      <w:i w:val="0"/>
                      <w:color w:val="auto"/>
                      <w:kern w:val="2"/>
                      <w:sz w:val="18"/>
                      <w:szCs w:val="18"/>
                      <w:highlight w:val="none"/>
                      <w:u w:val="none"/>
                      <w:lang w:val="en-US" w:eastAsia="zh-CN" w:bidi="ar-SA"/>
                    </w:rPr>
                    <w:t>建筑面积为2380m</w:t>
                  </w:r>
                  <w:r>
                    <w:rPr>
                      <w:rFonts w:hint="default" w:ascii="Times New Roman" w:hAnsi="Times New Roman" w:eastAsia="宋体" w:cs="Times New Roman"/>
                      <w:i w:val="0"/>
                      <w:color w:val="auto"/>
                      <w:kern w:val="2"/>
                      <w:sz w:val="18"/>
                      <w:szCs w:val="18"/>
                      <w:highlight w:val="none"/>
                      <w:u w:val="none"/>
                      <w:vertAlign w:val="superscript"/>
                      <w:lang w:val="en-US" w:eastAsia="zh-CN" w:bidi="ar-SA"/>
                    </w:rPr>
                    <w:t>2</w:t>
                  </w:r>
                  <w:r>
                    <w:rPr>
                      <w:rFonts w:hint="eastAsia" w:ascii="Times New Roman" w:hAnsi="Times New Roman" w:eastAsia="宋体" w:cs="Times New Roman"/>
                      <w:i w:val="0"/>
                      <w:color w:val="auto"/>
                      <w:kern w:val="2"/>
                      <w:sz w:val="18"/>
                      <w:szCs w:val="18"/>
                      <w:highlight w:val="none"/>
                      <w:u w:val="none"/>
                      <w:lang w:val="en-US" w:eastAsia="zh-CN" w:bidi="ar-SA"/>
                    </w:rPr>
                    <w:t>，设置宿舍。</w:t>
                  </w:r>
                </w:p>
              </w:tc>
              <w:tc>
                <w:tcPr>
                  <w:tcW w:w="436" w:type="pct"/>
                  <w:tcBorders>
                    <w:right w:val="nil"/>
                  </w:tcBorders>
                  <w:vAlign w:val="center"/>
                </w:tcPr>
                <w:p w14:paraId="6747426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7FAD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359A9C9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576FCDAA">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机械</w:t>
                  </w:r>
                </w:p>
              </w:tc>
              <w:tc>
                <w:tcPr>
                  <w:tcW w:w="3372" w:type="pct"/>
                  <w:vAlign w:val="center"/>
                </w:tcPr>
                <w:p w14:paraId="5E9A5909">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根据本项目运量、场地条件，平面布置较为紧凑，货物线并列，需龙门吊与正面吊配合作业，故本项目同时考虑购置龙门吊与正面吊，以龙门吊（左右作业区分别各设2台）作业为主，正面吊（设2台）作业为辅。</w:t>
                  </w:r>
                </w:p>
              </w:tc>
              <w:tc>
                <w:tcPr>
                  <w:tcW w:w="436" w:type="pct"/>
                  <w:tcBorders>
                    <w:right w:val="nil"/>
                  </w:tcBorders>
                  <w:vAlign w:val="center"/>
                </w:tcPr>
                <w:p w14:paraId="5D23ACA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0727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0FC7980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7DAEBBD4">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机务</w:t>
                  </w:r>
                </w:p>
              </w:tc>
              <w:tc>
                <w:tcPr>
                  <w:tcW w:w="3372" w:type="pct"/>
                  <w:vAlign w:val="center"/>
                </w:tcPr>
                <w:p w14:paraId="15B61810">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本次对既有正线机务设备分布不作变动。昆明机务段的电力机车担当昆明东至化念、化念至化念南间的机车交路。本次在机2道尾部新增1处规格为27m×1.1m×1.1m的机车检查坑，坑内设集水坑及照明灯具。</w:t>
                  </w:r>
                </w:p>
              </w:tc>
              <w:tc>
                <w:tcPr>
                  <w:tcW w:w="436" w:type="pct"/>
                  <w:tcBorders>
                    <w:right w:val="nil"/>
                  </w:tcBorders>
                  <w:vAlign w:val="center"/>
                </w:tcPr>
                <w:p w14:paraId="43FCCB7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依托+新建</w:t>
                  </w:r>
                </w:p>
              </w:tc>
            </w:tr>
            <w:tr w14:paraId="5819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tcBorders>
                    <w:left w:val="nil"/>
                  </w:tcBorders>
                  <w:vAlign w:val="center"/>
                </w:tcPr>
                <w:p w14:paraId="778C216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临时工程</w:t>
                  </w:r>
                </w:p>
              </w:tc>
              <w:tc>
                <w:tcPr>
                  <w:tcW w:w="785" w:type="pct"/>
                  <w:vAlign w:val="center"/>
                </w:tcPr>
                <w:p w14:paraId="7264BA7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弃土场</w:t>
                  </w:r>
                </w:p>
              </w:tc>
              <w:tc>
                <w:tcPr>
                  <w:tcW w:w="3372" w:type="pct"/>
                  <w:tcBorders>
                    <w:right w:val="nil"/>
                  </w:tcBorders>
                  <w:vAlign w:val="center"/>
                </w:tcPr>
                <w:p w14:paraId="12F3102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i w:val="0"/>
                      <w:iCs w:val="0"/>
                      <w:color w:val="auto"/>
                      <w:sz w:val="18"/>
                      <w:szCs w:val="18"/>
                      <w:highlight w:val="none"/>
                      <w:u w:val="none"/>
                      <w:lang w:val="en-US" w:eastAsia="zh-CN"/>
                    </w:rPr>
                    <w:t>本项目挖方全部利用，不设置弃土场。</w:t>
                  </w:r>
                </w:p>
              </w:tc>
              <w:tc>
                <w:tcPr>
                  <w:tcW w:w="436" w:type="pct"/>
                  <w:tcBorders>
                    <w:right w:val="nil"/>
                  </w:tcBorders>
                  <w:vAlign w:val="center"/>
                </w:tcPr>
                <w:p w14:paraId="5CACE7D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w:t>
                  </w:r>
                </w:p>
              </w:tc>
            </w:tr>
            <w:tr w14:paraId="32D7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5" w:type="pct"/>
                  <w:vMerge w:val="continue"/>
                  <w:tcBorders>
                    <w:left w:val="nil"/>
                  </w:tcBorders>
                  <w:vAlign w:val="center"/>
                </w:tcPr>
                <w:p w14:paraId="196DD2E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1BDF46C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混凝土拌合站</w:t>
                  </w:r>
                </w:p>
              </w:tc>
              <w:tc>
                <w:tcPr>
                  <w:tcW w:w="3372" w:type="pct"/>
                  <w:tcBorders>
                    <w:right w:val="nil"/>
                  </w:tcBorders>
                  <w:vAlign w:val="center"/>
                </w:tcPr>
                <w:p w14:paraId="5965A4F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i w:val="0"/>
                      <w:iCs w:val="0"/>
                      <w:color w:val="auto"/>
                      <w:sz w:val="18"/>
                      <w:szCs w:val="18"/>
                      <w:highlight w:val="none"/>
                      <w:u w:val="none"/>
                      <w:lang w:val="en-US" w:eastAsia="zh-CN"/>
                    </w:rPr>
                    <w:t>工程外购商品混凝土，不设混凝土搅拌站。</w:t>
                  </w:r>
                </w:p>
              </w:tc>
              <w:tc>
                <w:tcPr>
                  <w:tcW w:w="436" w:type="pct"/>
                  <w:tcBorders>
                    <w:right w:val="nil"/>
                  </w:tcBorders>
                  <w:vAlign w:val="center"/>
                </w:tcPr>
                <w:p w14:paraId="6AF65CD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w:t>
                  </w:r>
                </w:p>
              </w:tc>
            </w:tr>
            <w:tr w14:paraId="5692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67EED01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2B5BF5C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材料场</w:t>
                  </w:r>
                </w:p>
              </w:tc>
              <w:tc>
                <w:tcPr>
                  <w:tcW w:w="3372" w:type="pct"/>
                  <w:tcBorders>
                    <w:right w:val="nil"/>
                  </w:tcBorders>
                  <w:vAlign w:val="center"/>
                </w:tcPr>
                <w:p w14:paraId="261F440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在仙福场设置材料堆场，负责全线材料的临时存储。</w:t>
                  </w:r>
                </w:p>
              </w:tc>
              <w:tc>
                <w:tcPr>
                  <w:tcW w:w="436" w:type="pct"/>
                  <w:tcBorders>
                    <w:right w:val="nil"/>
                  </w:tcBorders>
                  <w:vAlign w:val="center"/>
                </w:tcPr>
                <w:p w14:paraId="64E2EEB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r>
            <w:tr w14:paraId="120E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15E5FE2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7484838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施工便道</w:t>
                  </w:r>
                </w:p>
              </w:tc>
              <w:tc>
                <w:tcPr>
                  <w:tcW w:w="3372" w:type="pct"/>
                  <w:tcBorders>
                    <w:right w:val="nil"/>
                  </w:tcBorders>
                  <w:vAlign w:val="center"/>
                </w:tcPr>
                <w:p w14:paraId="04C4C1D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利用现有道路进行施工，不新增施工便道。</w:t>
                  </w:r>
                </w:p>
              </w:tc>
              <w:tc>
                <w:tcPr>
                  <w:tcW w:w="436" w:type="pct"/>
                  <w:tcBorders>
                    <w:right w:val="nil"/>
                  </w:tcBorders>
                  <w:vAlign w:val="center"/>
                </w:tcPr>
                <w:p w14:paraId="1EFD443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r>
            <w:tr w14:paraId="1AA8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tcBorders>
                    <w:left w:val="nil"/>
                  </w:tcBorders>
                  <w:vAlign w:val="center"/>
                </w:tcPr>
                <w:p w14:paraId="338E6C3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公用工程</w:t>
                  </w:r>
                </w:p>
              </w:tc>
              <w:tc>
                <w:tcPr>
                  <w:tcW w:w="785" w:type="pct"/>
                  <w:vAlign w:val="center"/>
                </w:tcPr>
                <w:p w14:paraId="27B017EA">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供电</w:t>
                  </w:r>
                </w:p>
              </w:tc>
              <w:tc>
                <w:tcPr>
                  <w:tcW w:w="3372" w:type="pct"/>
                  <w:vAlign w:val="center"/>
                </w:tcPr>
                <w:p w14:paraId="1212E904">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本铁路专用线在仙福场信号楼内新建一座变电所，容量为630+200kVA，主要作为信号、信息、通信、备用电源、消防负荷及车站综合设备电源供电。在轨道衡房附近新建一座箱式变电站BX1，容量为50+50kVA，为轨道衡设备、货监系统、牵出线照明及隧道照明等负荷供电；在线路CK0+605左侧龙门吊作业区设置一座箱式变电站XB2，容量为630kVA，为龙门吊设备、站场照明等负荷供电；在线路CK0+625及线路CK1+282处右侧龙门吊作业区分别设置两座箱式变电站XB3/XB4，容量分别为630kVA，为龙门吊设备、站场照明等负荷供电。</w:t>
                  </w:r>
                </w:p>
              </w:tc>
              <w:tc>
                <w:tcPr>
                  <w:tcW w:w="436" w:type="pct"/>
                  <w:tcBorders>
                    <w:right w:val="nil"/>
                  </w:tcBorders>
                  <w:vAlign w:val="center"/>
                </w:tcPr>
                <w:p w14:paraId="19CE00D2">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新建</w:t>
                  </w:r>
                </w:p>
              </w:tc>
            </w:tr>
            <w:tr w14:paraId="2ACF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3AE994A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091106D9">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供水</w:t>
                  </w:r>
                </w:p>
              </w:tc>
              <w:tc>
                <w:tcPr>
                  <w:tcW w:w="3372" w:type="pct"/>
                  <w:vAlign w:val="center"/>
                </w:tcPr>
                <w:p w14:paraId="6CFC492C">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按生活供水站规模进行设计水源考虑采用城市自来水，从厂区外就近引接一趟DN100的生活供水管至货场，供应货场的生活及消防用水。</w:t>
                  </w:r>
                </w:p>
              </w:tc>
              <w:tc>
                <w:tcPr>
                  <w:tcW w:w="436" w:type="pct"/>
                  <w:tcBorders>
                    <w:right w:val="nil"/>
                  </w:tcBorders>
                  <w:vAlign w:val="center"/>
                </w:tcPr>
                <w:p w14:paraId="2E5FBAC5">
                  <w:pPr>
                    <w:pStyle w:val="45"/>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i w:val="0"/>
                      <w:color w:val="auto"/>
                      <w:kern w:val="2"/>
                      <w:sz w:val="18"/>
                      <w:szCs w:val="18"/>
                      <w:highlight w:val="none"/>
                      <w:u w:val="none"/>
                      <w:lang w:val="en-US" w:eastAsia="zh-CN" w:bidi="ar-SA"/>
                    </w:rPr>
                    <w:t>新建</w:t>
                  </w:r>
                </w:p>
              </w:tc>
            </w:tr>
            <w:tr w14:paraId="348B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7438E02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4B7344A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排水</w:t>
                  </w:r>
                </w:p>
              </w:tc>
              <w:tc>
                <w:tcPr>
                  <w:tcW w:w="3372" w:type="pct"/>
                  <w:vAlign w:val="center"/>
                </w:tcPr>
                <w:p w14:paraId="1315A37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室内采用</w:t>
                  </w:r>
                  <w:r>
                    <w:rPr>
                      <w:rFonts w:hint="default" w:cs="Times New Roman"/>
                      <w:i w:val="0"/>
                      <w:iCs w:val="0"/>
                      <w:color w:val="auto"/>
                      <w:sz w:val="18"/>
                      <w:szCs w:val="18"/>
                      <w:highlight w:val="none"/>
                      <w:u w:val="none"/>
                      <w:lang w:val="en-US" w:eastAsia="zh-CN"/>
                    </w:rPr>
                    <w:t>PVC</w:t>
                  </w:r>
                  <w:r>
                    <w:rPr>
                      <w:rFonts w:hint="eastAsia" w:cs="Times New Roman"/>
                      <w:i w:val="0"/>
                      <w:iCs w:val="0"/>
                      <w:color w:val="auto"/>
                      <w:sz w:val="18"/>
                      <w:szCs w:val="18"/>
                      <w:highlight w:val="none"/>
                      <w:u w:val="none"/>
                      <w:lang w:val="en-US" w:eastAsia="zh-CN"/>
                    </w:rPr>
                    <w:t>管，室外埋地排水管道采用</w:t>
                  </w:r>
                  <w:r>
                    <w:rPr>
                      <w:rFonts w:hint="default" w:cs="Times New Roman"/>
                      <w:i w:val="0"/>
                      <w:iCs w:val="0"/>
                      <w:color w:val="auto"/>
                      <w:sz w:val="18"/>
                      <w:szCs w:val="18"/>
                      <w:highlight w:val="none"/>
                      <w:u w:val="none"/>
                      <w:lang w:val="en-US" w:eastAsia="zh-CN"/>
                    </w:rPr>
                    <w:t>HDPE</w:t>
                  </w:r>
                  <w:r>
                    <w:rPr>
                      <w:rFonts w:hint="eastAsia" w:cs="Times New Roman"/>
                      <w:i w:val="0"/>
                      <w:iCs w:val="0"/>
                      <w:color w:val="auto"/>
                      <w:sz w:val="18"/>
                      <w:szCs w:val="18"/>
                      <w:highlight w:val="none"/>
                      <w:u w:val="none"/>
                      <w:lang w:val="en-US" w:eastAsia="zh-CN"/>
                    </w:rPr>
                    <w:t>双壁波纹排水管。排水制式采用雨水、污水分流制。</w:t>
                  </w:r>
                </w:p>
              </w:tc>
              <w:tc>
                <w:tcPr>
                  <w:tcW w:w="436" w:type="pct"/>
                  <w:tcBorders>
                    <w:right w:val="nil"/>
                  </w:tcBorders>
                  <w:vAlign w:val="center"/>
                </w:tcPr>
                <w:p w14:paraId="3D424F7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5CF4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3DE3B35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22E3060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消防</w:t>
                  </w:r>
                </w:p>
              </w:tc>
              <w:tc>
                <w:tcPr>
                  <w:tcW w:w="3372" w:type="pct"/>
                  <w:vAlign w:val="center"/>
                </w:tcPr>
                <w:p w14:paraId="597DFB6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设置室消火栓供水系统，并配置灭火器，本货场同一时间内的火灾次数按一次考虑。在货场内考虑设置</w:t>
                  </w:r>
                  <w:r>
                    <w:rPr>
                      <w:rFonts w:hint="default" w:cs="Times New Roman"/>
                      <w:i w:val="0"/>
                      <w:iCs w:val="0"/>
                      <w:color w:val="auto"/>
                      <w:sz w:val="18"/>
                      <w:szCs w:val="18"/>
                      <w:highlight w:val="none"/>
                      <w:u w:val="none"/>
                      <w:lang w:val="en-US" w:eastAsia="zh-CN"/>
                    </w:rPr>
                    <w:t>150m</w:t>
                  </w:r>
                  <w:r>
                    <w:rPr>
                      <w:rFonts w:hint="default" w:cs="Times New Roman"/>
                      <w:i w:val="0"/>
                      <w:iCs w:val="0"/>
                      <w:color w:val="auto"/>
                      <w:sz w:val="18"/>
                      <w:szCs w:val="18"/>
                      <w:highlight w:val="none"/>
                      <w:u w:val="none"/>
                      <w:vertAlign w:val="superscript"/>
                      <w:lang w:val="en-US" w:eastAsia="zh-CN"/>
                    </w:rPr>
                    <w:t>3</w:t>
                  </w:r>
                  <w:r>
                    <w:rPr>
                      <w:rFonts w:hint="eastAsia" w:cs="Times New Roman"/>
                      <w:i w:val="0"/>
                      <w:iCs w:val="0"/>
                      <w:color w:val="auto"/>
                      <w:sz w:val="18"/>
                      <w:szCs w:val="18"/>
                      <w:highlight w:val="none"/>
                      <w:u w:val="none"/>
                      <w:lang w:val="en-US" w:eastAsia="zh-CN"/>
                    </w:rPr>
                    <w:t>消防水池</w:t>
                  </w:r>
                  <w:r>
                    <w:rPr>
                      <w:rFonts w:hint="default" w:cs="Times New Roman"/>
                      <w:i w:val="0"/>
                      <w:iCs w:val="0"/>
                      <w:color w:val="auto"/>
                      <w:sz w:val="18"/>
                      <w:szCs w:val="18"/>
                      <w:highlight w:val="none"/>
                      <w:u w:val="none"/>
                      <w:lang w:val="en-US" w:eastAsia="zh-CN"/>
                    </w:rPr>
                    <w:t>1</w:t>
                  </w:r>
                  <w:r>
                    <w:rPr>
                      <w:rFonts w:hint="eastAsia" w:cs="Times New Roman"/>
                      <w:i w:val="0"/>
                      <w:iCs w:val="0"/>
                      <w:color w:val="auto"/>
                      <w:sz w:val="18"/>
                      <w:szCs w:val="18"/>
                      <w:highlight w:val="none"/>
                      <w:u w:val="none"/>
                      <w:lang w:val="en-US" w:eastAsia="zh-CN"/>
                    </w:rPr>
                    <w:t>座、给水泵房</w:t>
                  </w:r>
                  <w:r>
                    <w:rPr>
                      <w:rFonts w:hint="default" w:cs="Times New Roman"/>
                      <w:i w:val="0"/>
                      <w:iCs w:val="0"/>
                      <w:color w:val="auto"/>
                      <w:sz w:val="18"/>
                      <w:szCs w:val="18"/>
                      <w:highlight w:val="none"/>
                      <w:u w:val="none"/>
                      <w:lang w:val="en-US" w:eastAsia="zh-CN"/>
                    </w:rPr>
                    <w:t>1</w:t>
                  </w:r>
                  <w:r>
                    <w:rPr>
                      <w:rFonts w:hint="eastAsia" w:cs="Times New Roman"/>
                      <w:i w:val="0"/>
                      <w:iCs w:val="0"/>
                      <w:color w:val="auto"/>
                      <w:sz w:val="18"/>
                      <w:szCs w:val="18"/>
                      <w:highlight w:val="none"/>
                      <w:u w:val="none"/>
                      <w:lang w:val="en-US" w:eastAsia="zh-CN"/>
                    </w:rPr>
                    <w:t>座、消火栓泵</w:t>
                  </w:r>
                  <w:r>
                    <w:rPr>
                      <w:rFonts w:hint="default" w:cs="Times New Roman"/>
                      <w:i w:val="0"/>
                      <w:iCs w:val="0"/>
                      <w:color w:val="auto"/>
                      <w:sz w:val="18"/>
                      <w:szCs w:val="18"/>
                      <w:highlight w:val="none"/>
                      <w:u w:val="none"/>
                      <w:lang w:val="en-US" w:eastAsia="zh-CN"/>
                    </w:rPr>
                    <w:t>1</w:t>
                  </w:r>
                  <w:r>
                    <w:rPr>
                      <w:rFonts w:hint="eastAsia" w:cs="Times New Roman"/>
                      <w:i w:val="0"/>
                      <w:iCs w:val="0"/>
                      <w:color w:val="auto"/>
                      <w:sz w:val="18"/>
                      <w:szCs w:val="18"/>
                      <w:highlight w:val="none"/>
                      <w:u w:val="none"/>
                      <w:lang w:val="en-US" w:eastAsia="zh-CN"/>
                    </w:rPr>
                    <w:t>套（含稳压、主泵、控制柜等全套设施），发生火灾时可以从水池直接抽水灭火。同时根据各栋建筑物的不同规模﹑用途﹑类别，在室内按规定设置消火栓，并配置一定数量的灭火器。</w:t>
                  </w:r>
                </w:p>
              </w:tc>
              <w:tc>
                <w:tcPr>
                  <w:tcW w:w="436" w:type="pct"/>
                  <w:tcBorders>
                    <w:right w:val="nil"/>
                  </w:tcBorders>
                  <w:vAlign w:val="center"/>
                </w:tcPr>
                <w:p w14:paraId="7199BD3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54C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tcBorders>
                    <w:left w:val="nil"/>
                  </w:tcBorders>
                  <w:vAlign w:val="center"/>
                </w:tcPr>
                <w:p w14:paraId="32175A2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环保工程</w:t>
                  </w:r>
                </w:p>
              </w:tc>
              <w:tc>
                <w:tcPr>
                  <w:tcW w:w="785" w:type="pct"/>
                  <w:vAlign w:val="center"/>
                </w:tcPr>
                <w:p w14:paraId="31AAAA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振动</w:t>
                  </w:r>
                </w:p>
              </w:tc>
              <w:tc>
                <w:tcPr>
                  <w:tcW w:w="3372" w:type="pct"/>
                  <w:vAlign w:val="center"/>
                </w:tcPr>
                <w:p w14:paraId="660E76A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振动管理措施：定期对钢轨进行打磨；对车轮定期进行铣、镟，减少车轮与钢轨撞击出现扁疤等。</w:t>
                  </w:r>
                </w:p>
              </w:tc>
              <w:tc>
                <w:tcPr>
                  <w:tcW w:w="436" w:type="pct"/>
                  <w:tcBorders>
                    <w:right w:val="nil"/>
                  </w:tcBorders>
                  <w:vAlign w:val="center"/>
                </w:tcPr>
                <w:p w14:paraId="72725F5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0479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6B724E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2FE8366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噪声</w:t>
                  </w:r>
                </w:p>
              </w:tc>
              <w:tc>
                <w:tcPr>
                  <w:tcW w:w="3372" w:type="pct"/>
                  <w:vAlign w:val="center"/>
                </w:tcPr>
                <w:p w14:paraId="69EDEB2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采取定期检查与养护轨道、控制列车速度及禁止鸣笛等措施。</w:t>
                  </w:r>
                </w:p>
              </w:tc>
              <w:tc>
                <w:tcPr>
                  <w:tcW w:w="436" w:type="pct"/>
                  <w:tcBorders>
                    <w:right w:val="nil"/>
                  </w:tcBorders>
                  <w:vAlign w:val="center"/>
                </w:tcPr>
                <w:p w14:paraId="1330138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6A30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1957036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7807AF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废气</w:t>
                  </w:r>
                </w:p>
              </w:tc>
              <w:tc>
                <w:tcPr>
                  <w:tcW w:w="3372" w:type="pct"/>
                  <w:vAlign w:val="center"/>
                </w:tcPr>
                <w:p w14:paraId="3F24360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本项目废气主要为少量内燃机尾气，内燃机废气经自然稀释后可达标排放，堆煤粉尘和煤装车粉尘通过洒水降尘后，排放量小，对环境影响较小。</w:t>
                  </w:r>
                </w:p>
              </w:tc>
              <w:tc>
                <w:tcPr>
                  <w:tcW w:w="436" w:type="pct"/>
                  <w:tcBorders>
                    <w:right w:val="nil"/>
                  </w:tcBorders>
                  <w:vAlign w:val="center"/>
                </w:tcPr>
                <w:p w14:paraId="667FACE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1E80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3EA5138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Merge w:val="restart"/>
                  <w:vAlign w:val="center"/>
                </w:tcPr>
                <w:p w14:paraId="176B438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废水</w:t>
                  </w:r>
                </w:p>
              </w:tc>
              <w:tc>
                <w:tcPr>
                  <w:tcW w:w="3372" w:type="pct"/>
                  <w:shd w:val="clear" w:color="auto" w:fill="auto"/>
                  <w:vAlign w:val="center"/>
                </w:tcPr>
                <w:p w14:paraId="05E6CA7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cs="Times New Roman"/>
                      <w:i w:val="0"/>
                      <w:iCs w:val="0"/>
                      <w:color w:val="auto"/>
                      <w:sz w:val="18"/>
                      <w:szCs w:val="18"/>
                      <w:highlight w:val="none"/>
                      <w:u w:val="none"/>
                      <w:lang w:val="en-US" w:eastAsia="zh-CN"/>
                    </w:rPr>
                    <w:t>生活污水：项目不产生生产废水，</w:t>
                  </w:r>
                  <w:r>
                    <w:rPr>
                      <w:rFonts w:hint="eastAsia"/>
                      <w:color w:val="auto"/>
                      <w:sz w:val="18"/>
                      <w:szCs w:val="18"/>
                      <w:vertAlign w:val="baseline"/>
                      <w:lang w:val="en-US" w:eastAsia="zh-CN"/>
                    </w:rPr>
                    <w:t>生活污水通过新建容积为10m</w:t>
                  </w:r>
                  <w:r>
                    <w:rPr>
                      <w:rFonts w:hint="eastAsia"/>
                      <w:color w:val="auto"/>
                      <w:sz w:val="18"/>
                      <w:szCs w:val="18"/>
                      <w:vertAlign w:val="superscript"/>
                      <w:lang w:val="en-US" w:eastAsia="zh-CN"/>
                    </w:rPr>
                    <w:t>3</w:t>
                  </w:r>
                  <w:r>
                    <w:rPr>
                      <w:rFonts w:hint="eastAsia"/>
                      <w:color w:val="auto"/>
                      <w:sz w:val="18"/>
                      <w:szCs w:val="18"/>
                      <w:vertAlign w:val="baseline"/>
                      <w:lang w:val="en-US" w:eastAsia="zh-CN"/>
                    </w:rPr>
                    <w:t>化粪池预处理后，排入新建的一体化污水处理设施，处理能力为10m</w:t>
                  </w:r>
                  <w:r>
                    <w:rPr>
                      <w:rFonts w:hint="eastAsia"/>
                      <w:color w:val="auto"/>
                      <w:sz w:val="18"/>
                      <w:szCs w:val="18"/>
                      <w:vertAlign w:val="superscript"/>
                      <w:lang w:val="en-US" w:eastAsia="zh-CN"/>
                    </w:rPr>
                    <w:t>3</w:t>
                  </w:r>
                  <w:r>
                    <w:rPr>
                      <w:rFonts w:hint="eastAsia"/>
                      <w:color w:val="auto"/>
                      <w:sz w:val="18"/>
                      <w:szCs w:val="18"/>
                      <w:vertAlign w:val="baseline"/>
                      <w:lang w:val="en-US" w:eastAsia="zh-CN"/>
                    </w:rPr>
                    <w:t>/d，处理后回用于项目区绿化或洒水降尘，不外排</w:t>
                  </w:r>
                  <w:r>
                    <w:rPr>
                      <w:rFonts w:hint="default" w:eastAsia="宋体"/>
                      <w:color w:val="auto"/>
                      <w:sz w:val="18"/>
                      <w:szCs w:val="18"/>
                      <w:vertAlign w:val="baseline"/>
                      <w:lang w:val="en-US" w:eastAsia="zh-CN"/>
                    </w:rPr>
                    <w:t>。</w:t>
                  </w:r>
                </w:p>
              </w:tc>
              <w:tc>
                <w:tcPr>
                  <w:tcW w:w="436" w:type="pct"/>
                  <w:tcBorders>
                    <w:right w:val="nil"/>
                  </w:tcBorders>
                  <w:vAlign w:val="center"/>
                </w:tcPr>
                <w:p w14:paraId="127A51B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6EA6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703C80C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Merge w:val="continue"/>
                  <w:vAlign w:val="center"/>
                </w:tcPr>
                <w:p w14:paraId="69213C8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p>
              </w:tc>
              <w:tc>
                <w:tcPr>
                  <w:tcW w:w="3372" w:type="pct"/>
                  <w:vAlign w:val="center"/>
                </w:tcPr>
                <w:p w14:paraId="5727CF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初期雨水：站场</w:t>
                  </w:r>
                  <w:r>
                    <w:rPr>
                      <w:rFonts w:hint="eastAsia" w:ascii="Times New Roman" w:hAnsi="Times New Roman" w:eastAsia="宋体" w:cs="Times New Roman"/>
                      <w:color w:val="auto"/>
                      <w:sz w:val="18"/>
                      <w:szCs w:val="18"/>
                      <w:lang w:val="en-US" w:eastAsia="zh-CN"/>
                    </w:rPr>
                    <w:t>雨水量为</w:t>
                  </w:r>
                  <w:r>
                    <w:rPr>
                      <w:rFonts w:hint="eastAsia" w:ascii="Times New Roman" w:hAnsi="Times New Roman" w:cs="Times New Roman"/>
                      <w:color w:val="auto"/>
                      <w:sz w:val="18"/>
                      <w:szCs w:val="18"/>
                      <w:lang w:val="en-US" w:eastAsia="zh-CN"/>
                    </w:rPr>
                    <w:t>94.57</w:t>
                  </w:r>
                  <w:r>
                    <w:rPr>
                      <w:rFonts w:hint="default" w:ascii="Times New Roman" w:hAnsi="Times New Roman" w:eastAsia="宋体" w:cs="Times New Roman"/>
                      <w:color w:val="auto"/>
                      <w:sz w:val="18"/>
                      <w:szCs w:val="18"/>
                      <w:lang w:val="en-US" w:eastAsia="zh-CN"/>
                    </w:rPr>
                    <w:t>m</w:t>
                  </w:r>
                  <w:r>
                    <w:rPr>
                      <w:rFonts w:hint="default"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，在项目地势最低位置新建一个容积为</w:t>
                  </w:r>
                  <w:r>
                    <w:rPr>
                      <w:rFonts w:hint="eastAsia"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00m</w:t>
                  </w:r>
                  <w:r>
                    <w:rPr>
                      <w:rFonts w:hint="default"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的初期雨水收集池</w:t>
                  </w:r>
                  <w:r>
                    <w:rPr>
                      <w:rFonts w:hint="eastAsia" w:ascii="Times New Roman" w:hAnsi="Times New Roman" w:cs="Times New Roman"/>
                      <w:color w:val="auto"/>
                      <w:sz w:val="18"/>
                      <w:szCs w:val="18"/>
                      <w:lang w:val="en-US" w:eastAsia="zh-CN"/>
                    </w:rPr>
                    <w:t>，</w:t>
                  </w:r>
                  <w:r>
                    <w:rPr>
                      <w:rFonts w:hint="default" w:ascii="Times New Roman" w:hAnsi="Times New Roman" w:cs="Times New Roman"/>
                      <w:color w:val="auto"/>
                      <w:sz w:val="18"/>
                      <w:szCs w:val="18"/>
                      <w:highlight w:val="none"/>
                      <w:lang w:val="en-US" w:eastAsia="zh-CN"/>
                    </w:rPr>
                    <w:t>初期雨水经过收集</w:t>
                  </w:r>
                  <w:r>
                    <w:rPr>
                      <w:rFonts w:hint="eastAsia" w:cs="Times New Roman"/>
                      <w:color w:val="auto"/>
                      <w:sz w:val="18"/>
                      <w:szCs w:val="18"/>
                      <w:highlight w:val="none"/>
                      <w:lang w:val="en-US" w:eastAsia="zh-CN"/>
                    </w:rPr>
                    <w:t>沉淀后，回用于场地洒水降尘</w:t>
                  </w:r>
                  <w:r>
                    <w:rPr>
                      <w:rFonts w:hint="default" w:ascii="Times New Roman" w:hAnsi="Times New Roman" w:cs="Times New Roman"/>
                      <w:color w:val="auto"/>
                      <w:sz w:val="18"/>
                      <w:szCs w:val="18"/>
                      <w:highlight w:val="none"/>
                      <w:lang w:val="en-US" w:eastAsia="zh-CN"/>
                    </w:rPr>
                    <w:t>，不外排。</w:t>
                  </w:r>
                </w:p>
              </w:tc>
              <w:tc>
                <w:tcPr>
                  <w:tcW w:w="436" w:type="pct"/>
                  <w:tcBorders>
                    <w:right w:val="nil"/>
                  </w:tcBorders>
                  <w:vAlign w:val="center"/>
                </w:tcPr>
                <w:p w14:paraId="598CDCA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42CF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55685C6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62D914D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固废</w:t>
                  </w:r>
                </w:p>
              </w:tc>
              <w:tc>
                <w:tcPr>
                  <w:tcW w:w="3372" w:type="pct"/>
                  <w:vAlign w:val="center"/>
                </w:tcPr>
                <w:p w14:paraId="03357CF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生活垃圾在项目区设置垃圾桶若干，由环卫部门定期清运处理；</w:t>
                  </w:r>
                  <w:r>
                    <w:rPr>
                      <w:rFonts w:hint="default" w:ascii="Times New Roman" w:hAnsi="Times New Roman" w:eastAsia="宋体" w:cs="Times New Roman"/>
                      <w:i w:val="0"/>
                      <w:iCs w:val="0"/>
                      <w:color w:val="auto"/>
                      <w:sz w:val="18"/>
                      <w:szCs w:val="18"/>
                      <w:highlight w:val="none"/>
                      <w:u w:val="none"/>
                      <w:lang w:val="en-US" w:eastAsia="zh-CN"/>
                    </w:rPr>
                    <w:t>包装废物</w:t>
                  </w:r>
                  <w:r>
                    <w:rPr>
                      <w:rFonts w:hint="eastAsia" w:ascii="Times New Roman" w:hAnsi="Times New Roman" w:eastAsia="宋体" w:cs="Times New Roman"/>
                      <w:i w:val="0"/>
                      <w:iCs w:val="0"/>
                      <w:color w:val="auto"/>
                      <w:sz w:val="18"/>
                      <w:szCs w:val="18"/>
                      <w:highlight w:val="none"/>
                      <w:u w:val="none"/>
                      <w:lang w:val="en-US" w:eastAsia="zh-CN"/>
                    </w:rPr>
                    <w:t>能回收的回收利用，不能回收的统一收集后清运至指定地点；化粪池污泥定期清掏，委托环卫部门清运；含油抹布和手套委托环卫部门定期清运、处理；废机油收集后暂存于“</w:t>
                  </w:r>
                  <w:r>
                    <w:rPr>
                      <w:rFonts w:hint="default" w:ascii="Times New Roman" w:hAnsi="Times New Roman" w:eastAsia="宋体" w:cs="Times New Roman"/>
                      <w:i w:val="0"/>
                      <w:iCs w:val="0"/>
                      <w:color w:val="auto"/>
                      <w:sz w:val="18"/>
                      <w:szCs w:val="18"/>
                      <w:highlight w:val="none"/>
                      <w:u w:val="none"/>
                      <w:lang w:val="en-US" w:eastAsia="zh-CN"/>
                    </w:rPr>
                    <w:t>云南玉溪仙福钢铁（集团）有限公司年产260万吨/年铁钢材项目</w:t>
                  </w:r>
                  <w:r>
                    <w:rPr>
                      <w:rFonts w:hint="eastAsia" w:ascii="Times New Roman" w:hAnsi="Times New Roman" w:eastAsia="宋体" w:cs="Times New Roman"/>
                      <w:i w:val="0"/>
                      <w:iCs w:val="0"/>
                      <w:color w:val="auto"/>
                      <w:sz w:val="18"/>
                      <w:szCs w:val="18"/>
                      <w:highlight w:val="none"/>
                      <w:u w:val="none"/>
                      <w:lang w:val="en-US" w:eastAsia="zh-CN"/>
                    </w:rPr>
                    <w:t>”配套</w:t>
                  </w:r>
                  <w:r>
                    <w:rPr>
                      <w:rFonts w:hint="eastAsia" w:cs="Times New Roman"/>
                      <w:i w:val="0"/>
                      <w:iCs w:val="0"/>
                      <w:color w:val="auto"/>
                      <w:sz w:val="18"/>
                      <w:szCs w:val="18"/>
                      <w:highlight w:val="none"/>
                      <w:u w:val="none"/>
                      <w:lang w:val="en-US" w:eastAsia="zh-CN"/>
                    </w:rPr>
                    <w:t>的危险废物贮存库，委托云南绿力环保科技有限公司清运处置。</w:t>
                  </w:r>
                </w:p>
              </w:tc>
              <w:tc>
                <w:tcPr>
                  <w:tcW w:w="436" w:type="pct"/>
                  <w:tcBorders>
                    <w:right w:val="nil"/>
                  </w:tcBorders>
                  <w:vAlign w:val="center"/>
                </w:tcPr>
                <w:p w14:paraId="76DBEC3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新建+依托</w:t>
                  </w:r>
                </w:p>
              </w:tc>
            </w:tr>
            <w:tr w14:paraId="75DE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405" w:type="pct"/>
                  <w:vMerge w:val="continue"/>
                  <w:tcBorders>
                    <w:left w:val="nil"/>
                  </w:tcBorders>
                  <w:vAlign w:val="center"/>
                </w:tcPr>
                <w:p w14:paraId="1C45C1A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1D71A0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地下水、土壤防治设施</w:t>
                  </w:r>
                </w:p>
              </w:tc>
              <w:tc>
                <w:tcPr>
                  <w:tcW w:w="3372" w:type="pct"/>
                  <w:vAlign w:val="center"/>
                </w:tcPr>
                <w:p w14:paraId="04CB285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对项目区分区防渗：（1）一般防渗</w:t>
                  </w:r>
                  <w:r>
                    <w:rPr>
                      <w:rFonts w:hint="default" w:ascii="Times New Roman" w:hAnsi="Times New Roman" w:eastAsia="宋体" w:cs="Times New Roman"/>
                      <w:i w:val="0"/>
                      <w:iCs w:val="0"/>
                      <w:color w:val="auto"/>
                      <w:sz w:val="18"/>
                      <w:szCs w:val="18"/>
                      <w:highlight w:val="none"/>
                      <w:u w:val="none"/>
                      <w:lang w:val="en-US" w:eastAsia="zh-CN"/>
                    </w:rPr>
                    <w:t>区：</w:t>
                  </w:r>
                  <w:r>
                    <w:rPr>
                      <w:rFonts w:hint="default" w:ascii="Times New Roman" w:hAnsi="Times New Roman" w:eastAsia="宋体" w:cs="Times New Roman"/>
                      <w:b w:val="0"/>
                      <w:bCs w:val="0"/>
                      <w:i w:val="0"/>
                      <w:color w:val="auto"/>
                      <w:kern w:val="2"/>
                      <w:sz w:val="18"/>
                      <w:szCs w:val="18"/>
                      <w:highlight w:val="none"/>
                      <w:u w:val="none"/>
                      <w:lang w:val="en-US" w:eastAsia="zh-CN" w:bidi="ar-SA"/>
                    </w:rPr>
                    <w:t>龙门吊装卸区、翻车机卸车区、调车区</w:t>
                  </w:r>
                  <w:r>
                    <w:rPr>
                      <w:rFonts w:hint="eastAsia" w:ascii="Times New Roman" w:hAnsi="Times New Roman" w:eastAsia="宋体" w:cs="Times New Roman"/>
                      <w:b w:val="0"/>
                      <w:bCs w:val="0"/>
                      <w:i w:val="0"/>
                      <w:color w:val="auto"/>
                      <w:kern w:val="2"/>
                      <w:sz w:val="18"/>
                      <w:szCs w:val="18"/>
                      <w:highlight w:val="none"/>
                      <w:u w:val="none"/>
                      <w:lang w:val="en-US" w:eastAsia="zh-CN" w:bidi="ar-SA"/>
                    </w:rPr>
                    <w:t>、</w:t>
                  </w:r>
                  <w:r>
                    <w:rPr>
                      <w:rFonts w:hint="default" w:ascii="Times New Roman" w:hAnsi="Times New Roman" w:eastAsia="宋体" w:cs="Times New Roman"/>
                      <w:i w:val="0"/>
                      <w:iCs w:val="0"/>
                      <w:color w:val="auto"/>
                      <w:sz w:val="18"/>
                      <w:szCs w:val="18"/>
                      <w:highlight w:val="none"/>
                      <w:u w:val="none"/>
                      <w:lang w:val="en-US" w:eastAsia="zh-CN"/>
                    </w:rPr>
                    <w:t>综合楼、生活楼</w:t>
                  </w:r>
                  <w:r>
                    <w:rPr>
                      <w:rFonts w:hint="eastAsia" w:ascii="Times New Roman" w:hAnsi="Times New Roman" w:eastAsia="宋体" w:cs="Times New Roman"/>
                      <w:i w:val="0"/>
                      <w:iCs w:val="0"/>
                      <w:color w:val="auto"/>
                      <w:sz w:val="18"/>
                      <w:szCs w:val="18"/>
                      <w:highlight w:val="none"/>
                      <w:u w:val="none"/>
                      <w:lang w:val="en-US" w:eastAsia="zh-CN"/>
                    </w:rPr>
                    <w:t>以及</w:t>
                  </w:r>
                  <w:r>
                    <w:rPr>
                      <w:rFonts w:hint="default" w:ascii="Times New Roman" w:hAnsi="Times New Roman" w:eastAsia="宋体" w:cs="Times New Roman"/>
                      <w:i w:val="0"/>
                      <w:iCs w:val="0"/>
                      <w:color w:val="auto"/>
                      <w:sz w:val="18"/>
                      <w:szCs w:val="18"/>
                      <w:highlight w:val="none"/>
                      <w:u w:val="none"/>
                      <w:lang w:val="en-US" w:eastAsia="zh-CN"/>
                    </w:rPr>
                    <w:t>公共卫生间</w:t>
                  </w:r>
                  <w:r>
                    <w:rPr>
                      <w:rFonts w:hint="eastAsia" w:ascii="Times New Roman" w:hAnsi="Times New Roman" w:eastAsia="宋体" w:cs="Times New Roman"/>
                      <w:i w:val="0"/>
                      <w:iCs w:val="0"/>
                      <w:color w:val="auto"/>
                      <w:sz w:val="18"/>
                      <w:szCs w:val="18"/>
                      <w:highlight w:val="none"/>
                      <w:u w:val="none"/>
                      <w:lang w:val="en-US" w:eastAsia="zh-CN"/>
                    </w:rPr>
                    <w:t>进行一般防渗</w:t>
                  </w:r>
                  <w:r>
                    <w:rPr>
                      <w:rFonts w:hint="default" w:ascii="Times New Roman" w:hAnsi="Times New Roman" w:eastAsia="宋体" w:cs="Times New Roman"/>
                      <w:i w:val="0"/>
                      <w:iCs w:val="0"/>
                      <w:color w:val="auto"/>
                      <w:sz w:val="18"/>
                      <w:szCs w:val="18"/>
                      <w:highlight w:val="none"/>
                      <w:u w:val="none"/>
                      <w:lang w:val="en-US" w:eastAsia="zh-CN"/>
                    </w:rPr>
                    <w:t>，防渗层防渗效果须等效于等效黏土防渗层Mb≥1.5m，渗透系数≤1×10</w:t>
                  </w:r>
                  <w:r>
                    <w:rPr>
                      <w:rFonts w:hint="default" w:ascii="Times New Roman" w:hAnsi="Times New Roman" w:eastAsia="宋体" w:cs="Times New Roman"/>
                      <w:i w:val="0"/>
                      <w:iCs w:val="0"/>
                      <w:color w:val="auto"/>
                      <w:sz w:val="18"/>
                      <w:szCs w:val="18"/>
                      <w:highlight w:val="none"/>
                      <w:u w:val="none"/>
                      <w:vertAlign w:val="superscript"/>
                      <w:lang w:val="en-US" w:eastAsia="zh-CN"/>
                    </w:rPr>
                    <w:t>-7</w:t>
                  </w:r>
                  <w:r>
                    <w:rPr>
                      <w:rFonts w:hint="default" w:ascii="Times New Roman" w:hAnsi="Times New Roman" w:eastAsia="宋体" w:cs="Times New Roman"/>
                      <w:i w:val="0"/>
                      <w:iCs w:val="0"/>
                      <w:color w:val="auto"/>
                      <w:sz w:val="18"/>
                      <w:szCs w:val="18"/>
                      <w:highlight w:val="none"/>
                      <w:u w:val="none"/>
                      <w:lang w:val="en-US" w:eastAsia="zh-CN"/>
                    </w:rPr>
                    <w:t>cm/s；</w:t>
                  </w:r>
                </w:p>
                <w:p w14:paraId="0D2EA4B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（3）简单防渗区：上述区域之外的区域，不采</w:t>
                  </w:r>
                  <w:r>
                    <w:rPr>
                      <w:rFonts w:hint="eastAsia" w:cs="Times New Roman"/>
                      <w:i w:val="0"/>
                      <w:iCs w:val="0"/>
                      <w:color w:val="auto"/>
                      <w:sz w:val="18"/>
                      <w:szCs w:val="18"/>
                      <w:highlight w:val="none"/>
                      <w:u w:val="none"/>
                      <w:lang w:val="en-US" w:eastAsia="zh-CN"/>
                    </w:rPr>
                    <w:t>取专门针对地下水污染的防治措施，地基处理分层压实系数94%，除铁路红线范围外的其他地面进行硬化措施，符合抗水验收要求。</w:t>
                  </w:r>
                </w:p>
              </w:tc>
              <w:tc>
                <w:tcPr>
                  <w:tcW w:w="436" w:type="pct"/>
                  <w:tcBorders>
                    <w:right w:val="nil"/>
                  </w:tcBorders>
                  <w:vAlign w:val="center"/>
                </w:tcPr>
                <w:p w14:paraId="54D406B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62BF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1BE054D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3CBA257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环境风险防控措施</w:t>
                  </w:r>
                </w:p>
              </w:tc>
              <w:tc>
                <w:tcPr>
                  <w:tcW w:w="3372" w:type="pct"/>
                  <w:vAlign w:val="center"/>
                </w:tcPr>
                <w:p w14:paraId="349E8DD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①加强职工的安全教育和防火宣传教育工作，不定期进行防火演练；②建立风险防范机制，落实消防环保设备和措施；③完善《处置铁路交通事故应急预案》、《火灾事故应急预案》等应急制度，强化教育和培训、加强管理。</w:t>
                  </w:r>
                </w:p>
              </w:tc>
              <w:tc>
                <w:tcPr>
                  <w:tcW w:w="436" w:type="pct"/>
                  <w:tcBorders>
                    <w:right w:val="nil"/>
                  </w:tcBorders>
                  <w:vAlign w:val="center"/>
                </w:tcPr>
                <w:p w14:paraId="7C1CE69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437A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6F28378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3B4AD52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生态</w:t>
                  </w:r>
                </w:p>
              </w:tc>
              <w:tc>
                <w:tcPr>
                  <w:tcW w:w="3372" w:type="pct"/>
                  <w:vAlign w:val="center"/>
                </w:tcPr>
                <w:p w14:paraId="2BF7206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施工期禁止占用征地范围外的土地；禁止随意倾倒施工废水和施工垃圾；废弃土石方须运送至合法的弃土场堆存；施工场地进行洒水、苫布遮盖等措施；项目区内进行绿化，以补偿部分植被损失。</w:t>
                  </w:r>
                </w:p>
              </w:tc>
              <w:tc>
                <w:tcPr>
                  <w:tcW w:w="436" w:type="pct"/>
                  <w:tcBorders>
                    <w:right w:val="nil"/>
                  </w:tcBorders>
                  <w:vAlign w:val="center"/>
                </w:tcPr>
                <w:p w14:paraId="4E6CFE5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r w14:paraId="5BA9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left w:val="nil"/>
                  </w:tcBorders>
                  <w:vAlign w:val="center"/>
                </w:tcPr>
                <w:p w14:paraId="0493129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p>
              </w:tc>
              <w:tc>
                <w:tcPr>
                  <w:tcW w:w="785" w:type="pct"/>
                  <w:vAlign w:val="center"/>
                </w:tcPr>
                <w:p w14:paraId="343246E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绿化</w:t>
                  </w:r>
                </w:p>
              </w:tc>
              <w:tc>
                <w:tcPr>
                  <w:tcW w:w="3372" w:type="pct"/>
                  <w:vAlign w:val="center"/>
                </w:tcPr>
                <w:p w14:paraId="43450A7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vertAlign w:val="baseline"/>
                      <w:lang w:val="en-US" w:eastAsia="zh-CN"/>
                    </w:rPr>
                  </w:pPr>
                  <w:r>
                    <w:rPr>
                      <w:rFonts w:hint="eastAsia" w:cs="Times New Roman"/>
                      <w:i w:val="0"/>
                      <w:iCs w:val="0"/>
                      <w:color w:val="auto"/>
                      <w:sz w:val="18"/>
                      <w:szCs w:val="18"/>
                      <w:highlight w:val="none"/>
                      <w:u w:val="none"/>
                      <w:lang w:val="en-US" w:eastAsia="zh-CN"/>
                    </w:rPr>
                    <w:t>绿化面积为800m</w:t>
                  </w:r>
                  <w:r>
                    <w:rPr>
                      <w:rFonts w:hint="eastAsia" w:cs="Times New Roman"/>
                      <w:i w:val="0"/>
                      <w:iCs w:val="0"/>
                      <w:color w:val="auto"/>
                      <w:sz w:val="18"/>
                      <w:szCs w:val="18"/>
                      <w:highlight w:val="none"/>
                      <w:u w:val="none"/>
                      <w:vertAlign w:val="superscript"/>
                      <w:lang w:val="en-US" w:eastAsia="zh-CN"/>
                    </w:rPr>
                    <w:t>2</w:t>
                  </w:r>
                  <w:r>
                    <w:rPr>
                      <w:rFonts w:hint="eastAsia" w:cs="Times New Roman"/>
                      <w:i w:val="0"/>
                      <w:iCs w:val="0"/>
                      <w:color w:val="auto"/>
                      <w:sz w:val="18"/>
                      <w:szCs w:val="18"/>
                      <w:highlight w:val="none"/>
                      <w:u w:val="none"/>
                      <w:lang w:val="en-US" w:eastAsia="zh-CN"/>
                    </w:rPr>
                    <w:t>。</w:t>
                  </w:r>
                </w:p>
              </w:tc>
              <w:tc>
                <w:tcPr>
                  <w:tcW w:w="436" w:type="pct"/>
                  <w:tcBorders>
                    <w:right w:val="nil"/>
                  </w:tcBorders>
                  <w:vAlign w:val="center"/>
                </w:tcPr>
                <w:p w14:paraId="0907423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新建</w:t>
                  </w:r>
                </w:p>
              </w:tc>
            </w:tr>
          </w:tbl>
          <w:p w14:paraId="0212BC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ascii="宋体" w:hAnsi="宋体" w:eastAsia="宋体" w:cs="宋体"/>
                <w:color w:val="000000"/>
                <w:kern w:val="0"/>
                <w:sz w:val="24"/>
                <w:szCs w:val="24"/>
                <w:lang w:val="en-US" w:eastAsia="zh-CN" w:bidi="ar"/>
              </w:rPr>
              <w:t>本</w:t>
            </w:r>
            <w:r>
              <w:rPr>
                <w:rFonts w:hint="eastAsia" w:cs="Times New Roman"/>
                <w:color w:val="auto"/>
                <w:kern w:val="0"/>
                <w:sz w:val="24"/>
                <w:szCs w:val="24"/>
                <w:lang w:val="en-US" w:eastAsia="zh-CN" w:bidi="ar"/>
              </w:rPr>
              <w:t>工程主要建设内容包括线路工程、轨道工程、路基工程、桥涵工程、站场工程、电气化、机务和车辆工程等，具体内容如下：</w:t>
            </w:r>
          </w:p>
          <w:p w14:paraId="1F7348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一、线路工程</w:t>
            </w:r>
          </w:p>
          <w:p w14:paraId="4947B5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本线设计速度为40km/h，本铁路专用线直接从区间线路设计终点DXK3+295.11处接轨</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本线采用的最大平面曲线半径500m，最小平面曲线半径400m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最小圆曲线长度为44.2m。</w:t>
            </w:r>
          </w:p>
          <w:p w14:paraId="14FDCA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二、轨道工程</w:t>
            </w:r>
          </w:p>
          <w:p w14:paraId="748001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仙福钢铁路专用线正线设计起点</w:t>
            </w:r>
            <w:r>
              <w:rPr>
                <w:rFonts w:hint="default" w:ascii="Times New Roman" w:hAnsi="Times New Roman" w:eastAsia="宋体" w:cs="Times New Roman"/>
                <w:color w:val="000000"/>
                <w:kern w:val="0"/>
                <w:sz w:val="24"/>
                <w:szCs w:val="24"/>
                <w:lang w:val="en-US" w:eastAsia="zh-CN" w:bidi="ar"/>
              </w:rPr>
              <w:t>CZK3+295.11</w:t>
            </w:r>
            <w:r>
              <w:rPr>
                <w:rFonts w:hint="eastAsia" w:ascii="Times New Roman" w:hAnsi="Times New Roman" w:eastAsia="宋体"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CZK3+600</w:t>
            </w:r>
            <w:r>
              <w:rPr>
                <w:rFonts w:hint="eastAsia" w:ascii="Times New Roman" w:hAnsi="Times New Roman" w:eastAsia="宋体" w:cs="Times New Roman"/>
                <w:color w:val="000000"/>
                <w:kern w:val="0"/>
                <w:sz w:val="24"/>
                <w:szCs w:val="24"/>
                <w:lang w:val="en-US" w:eastAsia="zh-CN" w:bidi="ar"/>
              </w:rPr>
              <w:t>，其余为站线，按照站线轨道要求施</w:t>
            </w:r>
            <w:r>
              <w:rPr>
                <w:rFonts w:hint="eastAsia" w:cs="Times New Roman"/>
                <w:color w:val="000000"/>
                <w:kern w:val="0"/>
                <w:sz w:val="24"/>
                <w:szCs w:val="24"/>
                <w:lang w:val="en-US" w:eastAsia="zh-CN" w:bidi="ar"/>
              </w:rPr>
              <w:t>作</w:t>
            </w:r>
            <w:r>
              <w:rPr>
                <w:rFonts w:hint="eastAsia" w:ascii="Times New Roman" w:hAnsi="Times New Roman" w:eastAsia="宋体" w:cs="Times New Roman"/>
                <w:color w:val="000000"/>
                <w:kern w:val="0"/>
                <w:sz w:val="24"/>
                <w:szCs w:val="24"/>
                <w:lang w:val="en-US" w:eastAsia="zh-CN" w:bidi="ar"/>
              </w:rPr>
              <w:t>。铺设有砟轨道、有缝线路</w:t>
            </w:r>
            <w:r>
              <w:rPr>
                <w:rFonts w:hint="default" w:ascii="Times New Roman" w:hAnsi="Times New Roman" w:eastAsia="宋体" w:cs="Times New Roman"/>
                <w:color w:val="000000"/>
                <w:kern w:val="0"/>
                <w:sz w:val="24"/>
                <w:szCs w:val="24"/>
                <w:lang w:val="en-US" w:eastAsia="zh-CN" w:bidi="ar"/>
              </w:rPr>
              <w:t>0.247</w:t>
            </w:r>
            <w:r>
              <w:rPr>
                <w:rFonts w:hint="eastAsia" w:ascii="Times New Roman" w:hAnsi="Times New Roman" w:eastAsia="宋体" w:cs="Times New Roman"/>
                <w:color w:val="000000"/>
                <w:kern w:val="0"/>
                <w:sz w:val="24"/>
                <w:szCs w:val="24"/>
                <w:lang w:val="en-US" w:eastAsia="zh-CN" w:bidi="ar"/>
              </w:rPr>
              <w:t>铺轨公里，其中轨道衡称量区及两端引轨区（各</w:t>
            </w:r>
            <w:r>
              <w:rPr>
                <w:rFonts w:hint="default" w:ascii="Times New Roman" w:hAnsi="Times New Roman" w:eastAsia="宋体" w:cs="Times New Roman"/>
                <w:color w:val="000000"/>
                <w:kern w:val="0"/>
                <w:sz w:val="24"/>
                <w:szCs w:val="24"/>
                <w:lang w:val="en-US" w:eastAsia="zh-CN" w:bidi="ar"/>
              </w:rPr>
              <w:t>25m</w:t>
            </w:r>
            <w:r>
              <w:rPr>
                <w:rFonts w:hint="eastAsia" w:ascii="Times New Roman" w:hAnsi="Times New Roman" w:eastAsia="宋体" w:cs="Times New Roman"/>
                <w:color w:val="000000"/>
                <w:kern w:val="0"/>
                <w:sz w:val="24"/>
                <w:szCs w:val="24"/>
                <w:lang w:val="en-US" w:eastAsia="zh-CN" w:bidi="ar"/>
              </w:rPr>
              <w:t>），合计</w:t>
            </w:r>
            <w:r>
              <w:rPr>
                <w:rFonts w:hint="default" w:ascii="Times New Roman" w:hAnsi="Times New Roman" w:eastAsia="宋体" w:cs="Times New Roman"/>
                <w:color w:val="000000"/>
                <w:kern w:val="0"/>
                <w:sz w:val="24"/>
                <w:szCs w:val="24"/>
                <w:lang w:val="en-US" w:eastAsia="zh-CN" w:bidi="ar"/>
              </w:rPr>
              <w:t>58m</w:t>
            </w:r>
            <w:r>
              <w:rPr>
                <w:rFonts w:hint="eastAsia" w:ascii="Times New Roman" w:hAnsi="Times New Roman" w:eastAsia="宋体" w:cs="Times New Roman"/>
                <w:color w:val="000000"/>
                <w:kern w:val="0"/>
                <w:sz w:val="24"/>
                <w:szCs w:val="24"/>
                <w:lang w:val="en-US" w:eastAsia="zh-CN" w:bidi="ar"/>
              </w:rPr>
              <w:t>采用整体道床、有缝线路。</w:t>
            </w:r>
          </w:p>
          <w:p w14:paraId="3834E4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（1）有砟轨道</w:t>
            </w:r>
          </w:p>
          <w:p w14:paraId="021BFB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本铁路专用线区间正线采用有砟轨道，有缝线路。</w:t>
            </w:r>
          </w:p>
          <w:p w14:paraId="5E45EF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①钢轨</w:t>
            </w:r>
          </w:p>
          <w:p w14:paraId="76851B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轨采用</w:t>
            </w:r>
            <w:r>
              <w:rPr>
                <w:rFonts w:hint="default" w:ascii="Times New Roman" w:hAnsi="Times New Roman" w:eastAsia="宋体" w:cs="Times New Roman"/>
                <w:color w:val="000000"/>
                <w:kern w:val="0"/>
                <w:sz w:val="24"/>
                <w:szCs w:val="24"/>
                <w:lang w:val="en-US" w:eastAsia="zh-CN" w:bidi="ar"/>
              </w:rPr>
              <w:t>25m</w:t>
            </w:r>
            <w:r>
              <w:rPr>
                <w:rFonts w:hint="eastAsia" w:ascii="Times New Roman" w:hAnsi="Times New Roman" w:eastAsia="宋体" w:cs="Times New Roman"/>
                <w:color w:val="000000"/>
                <w:kern w:val="0"/>
                <w:sz w:val="24"/>
                <w:szCs w:val="24"/>
                <w:lang w:val="en-US" w:eastAsia="zh-CN" w:bidi="ar"/>
              </w:rPr>
              <w:t>定尺长、</w:t>
            </w:r>
            <w:r>
              <w:rPr>
                <w:rFonts w:hint="default" w:ascii="Times New Roman" w:hAnsi="Times New Roman" w:eastAsia="宋体" w:cs="Times New Roman"/>
                <w:color w:val="000000"/>
                <w:kern w:val="0"/>
                <w:sz w:val="24"/>
                <w:szCs w:val="24"/>
                <w:lang w:val="en-US" w:eastAsia="zh-CN" w:bidi="ar"/>
              </w:rPr>
              <w:t>50kg/m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U75V</w:t>
            </w:r>
            <w:r>
              <w:rPr>
                <w:rFonts w:hint="eastAsia" w:ascii="Times New Roman" w:hAnsi="Times New Roman" w:eastAsia="宋体" w:cs="Times New Roman"/>
                <w:color w:val="000000"/>
                <w:kern w:val="0"/>
                <w:sz w:val="24"/>
                <w:szCs w:val="24"/>
                <w:lang w:val="en-US" w:eastAsia="zh-CN" w:bidi="ar"/>
              </w:rPr>
              <w:t>有螺栓孔热处理钢轨。</w:t>
            </w:r>
          </w:p>
          <w:p w14:paraId="15E326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②轨枕及扣件</w:t>
            </w:r>
          </w:p>
          <w:p w14:paraId="155A42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轨枕采用新</w:t>
            </w:r>
            <w:r>
              <w:rPr>
                <w:rFonts w:hint="default" w:ascii="Times New Roman" w:hAnsi="Times New Roman" w:eastAsia="宋体" w:cs="Times New Roman"/>
                <w:color w:val="000000"/>
                <w:kern w:val="0"/>
                <w:sz w:val="24"/>
                <w:szCs w:val="24"/>
                <w:lang w:val="en-US" w:eastAsia="zh-CN" w:bidi="ar"/>
              </w:rPr>
              <w:t>Ⅱ</w:t>
            </w:r>
            <w:r>
              <w:rPr>
                <w:rFonts w:hint="eastAsia" w:ascii="Times New Roman" w:hAnsi="Times New Roman" w:eastAsia="宋体" w:cs="Times New Roman"/>
                <w:color w:val="000000"/>
                <w:kern w:val="0"/>
                <w:sz w:val="24"/>
                <w:szCs w:val="24"/>
                <w:lang w:val="en-US" w:eastAsia="zh-CN" w:bidi="ar"/>
              </w:rPr>
              <w:t>型有挡肩混凝土轨枕，设有护轮轨的有砟桥上采用新</w:t>
            </w:r>
            <w:r>
              <w:rPr>
                <w:rFonts w:hint="default" w:ascii="Times New Roman" w:hAnsi="Times New Roman" w:eastAsia="宋体" w:cs="Times New Roman"/>
                <w:color w:val="000000"/>
                <w:kern w:val="0"/>
                <w:sz w:val="24"/>
                <w:szCs w:val="24"/>
                <w:lang w:val="en-US" w:eastAsia="zh-CN" w:bidi="ar"/>
              </w:rPr>
              <w:t>Ⅲ</w:t>
            </w:r>
            <w:r>
              <w:rPr>
                <w:rFonts w:hint="eastAsia" w:ascii="Times New Roman" w:hAnsi="Times New Roman" w:eastAsia="宋体" w:cs="Times New Roman"/>
                <w:color w:val="000000"/>
                <w:kern w:val="0"/>
                <w:sz w:val="24"/>
                <w:szCs w:val="24"/>
                <w:lang w:val="en-US" w:eastAsia="zh-CN" w:bidi="ar"/>
              </w:rPr>
              <w:t>型钢筋混凝土桥枕。扣件采用弹条</w:t>
            </w:r>
            <w:r>
              <w:rPr>
                <w:rFonts w:hint="default" w:ascii="Times New Roman" w:hAnsi="Times New Roman" w:eastAsia="宋体" w:cs="Times New Roman"/>
                <w:color w:val="000000"/>
                <w:kern w:val="0"/>
                <w:sz w:val="24"/>
                <w:szCs w:val="24"/>
                <w:lang w:val="en-US" w:eastAsia="zh-CN" w:bidi="ar"/>
              </w:rPr>
              <w:t>Ⅰ</w:t>
            </w:r>
            <w:r>
              <w:rPr>
                <w:rFonts w:hint="eastAsia" w:ascii="Times New Roman" w:hAnsi="Times New Roman" w:eastAsia="宋体" w:cs="Times New Roman"/>
                <w:color w:val="000000"/>
                <w:kern w:val="0"/>
                <w:sz w:val="24"/>
                <w:szCs w:val="24"/>
                <w:lang w:val="en-US" w:eastAsia="zh-CN" w:bidi="ar"/>
              </w:rPr>
              <w:t>型扣件</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岔区铺设配套的混凝土岔枕。新</w:t>
            </w:r>
            <w:r>
              <w:rPr>
                <w:rFonts w:hint="default" w:ascii="Times New Roman" w:hAnsi="Times New Roman" w:eastAsia="宋体" w:cs="Times New Roman"/>
                <w:color w:val="000000"/>
                <w:kern w:val="0"/>
                <w:sz w:val="24"/>
                <w:szCs w:val="24"/>
                <w:lang w:val="en-US" w:eastAsia="zh-CN" w:bidi="ar"/>
              </w:rPr>
              <w:t>Ⅱ</w:t>
            </w:r>
            <w:r>
              <w:rPr>
                <w:rFonts w:hint="eastAsia" w:ascii="Times New Roman" w:hAnsi="Times New Roman" w:eastAsia="宋体" w:cs="Times New Roman"/>
                <w:color w:val="000000"/>
                <w:kern w:val="0"/>
                <w:sz w:val="24"/>
                <w:szCs w:val="24"/>
                <w:lang w:val="en-US" w:eastAsia="zh-CN" w:bidi="ar"/>
              </w:rPr>
              <w:t>型铺设密度为</w:t>
            </w:r>
            <w:r>
              <w:rPr>
                <w:rFonts w:hint="default" w:ascii="Times New Roman" w:hAnsi="Times New Roman" w:eastAsia="宋体" w:cs="Times New Roman"/>
                <w:color w:val="000000"/>
                <w:kern w:val="0"/>
                <w:sz w:val="24"/>
                <w:szCs w:val="24"/>
                <w:lang w:val="en-US" w:eastAsia="zh-CN" w:bidi="ar"/>
              </w:rPr>
              <w:t>1760</w:t>
            </w:r>
            <w:r>
              <w:rPr>
                <w:rFonts w:hint="eastAsia" w:ascii="Times New Roman" w:hAnsi="Times New Roman" w:eastAsia="宋体" w:cs="Times New Roman"/>
                <w:color w:val="000000"/>
                <w:kern w:val="0"/>
                <w:sz w:val="24"/>
                <w:szCs w:val="24"/>
                <w:lang w:val="en-US" w:eastAsia="zh-CN" w:bidi="ar"/>
              </w:rPr>
              <w:t>根</w:t>
            </w:r>
            <w:r>
              <w:rPr>
                <w:rFonts w:hint="default" w:ascii="Times New Roman" w:hAnsi="Times New Roman" w:eastAsia="宋体" w:cs="Times New Roman"/>
                <w:color w:val="000000"/>
                <w:kern w:val="0"/>
                <w:sz w:val="24"/>
                <w:szCs w:val="24"/>
                <w:lang w:val="en-US" w:eastAsia="zh-CN" w:bidi="ar"/>
              </w:rPr>
              <w:t>/km</w:t>
            </w:r>
            <w:r>
              <w:rPr>
                <w:rFonts w:hint="eastAsia" w:ascii="Times New Roman" w:hAnsi="Times New Roman" w:eastAsia="宋体" w:cs="Times New Roman"/>
                <w:color w:val="000000"/>
                <w:kern w:val="0"/>
                <w:sz w:val="24"/>
                <w:szCs w:val="24"/>
                <w:lang w:val="en-US" w:eastAsia="zh-CN" w:bidi="ar"/>
              </w:rPr>
              <w:t>，桥枕铺设密度为</w:t>
            </w:r>
            <w:r>
              <w:rPr>
                <w:rFonts w:hint="default" w:ascii="Times New Roman" w:hAnsi="Times New Roman" w:eastAsia="宋体" w:cs="Times New Roman"/>
                <w:color w:val="000000"/>
                <w:kern w:val="0"/>
                <w:sz w:val="24"/>
                <w:szCs w:val="24"/>
                <w:lang w:val="en-US" w:eastAsia="zh-CN" w:bidi="ar"/>
              </w:rPr>
              <w:t>1680</w:t>
            </w:r>
            <w:r>
              <w:rPr>
                <w:rFonts w:hint="eastAsia" w:ascii="Times New Roman" w:hAnsi="Times New Roman" w:eastAsia="宋体" w:cs="Times New Roman"/>
                <w:color w:val="000000"/>
                <w:kern w:val="0"/>
                <w:sz w:val="24"/>
                <w:szCs w:val="24"/>
                <w:lang w:val="en-US" w:eastAsia="zh-CN" w:bidi="ar"/>
              </w:rPr>
              <w:t>根</w:t>
            </w:r>
            <w:r>
              <w:rPr>
                <w:rFonts w:hint="default" w:ascii="Times New Roman" w:hAnsi="Times New Roman" w:eastAsia="宋体" w:cs="Times New Roman"/>
                <w:color w:val="000000"/>
                <w:kern w:val="0"/>
                <w:sz w:val="24"/>
                <w:szCs w:val="24"/>
                <w:lang w:val="en-US" w:eastAsia="zh-CN" w:bidi="ar"/>
              </w:rPr>
              <w:t>/km</w:t>
            </w:r>
            <w:r>
              <w:rPr>
                <w:rFonts w:hint="eastAsia" w:ascii="Times New Roman" w:hAnsi="Times New Roman" w:eastAsia="宋体" w:cs="Times New Roman"/>
                <w:color w:val="000000"/>
                <w:kern w:val="0"/>
                <w:sz w:val="24"/>
                <w:szCs w:val="24"/>
                <w:lang w:val="en-US" w:eastAsia="zh-CN" w:bidi="ar"/>
              </w:rPr>
              <w:t>。</w:t>
            </w:r>
          </w:p>
          <w:p w14:paraId="009154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③碎石道床</w:t>
            </w:r>
          </w:p>
          <w:p w14:paraId="35BC6F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正线有砟道床采用一级碎石道砟。道床材料应符合国家现行标准《铁路碎石道砟》（</w:t>
            </w:r>
            <w:r>
              <w:rPr>
                <w:rFonts w:hint="default" w:ascii="Times New Roman" w:hAnsi="Times New Roman" w:eastAsia="宋体" w:cs="Times New Roman"/>
                <w:color w:val="000000"/>
                <w:kern w:val="0"/>
                <w:sz w:val="24"/>
                <w:szCs w:val="24"/>
                <w:lang w:val="en-US" w:eastAsia="zh-CN" w:bidi="ar"/>
              </w:rPr>
              <w:t>TB/T2140-2008</w:t>
            </w:r>
            <w:r>
              <w:rPr>
                <w:rFonts w:hint="eastAsia" w:ascii="Times New Roman" w:hAnsi="Times New Roman" w:eastAsia="宋体" w:cs="Times New Roman"/>
                <w:color w:val="000000"/>
                <w:kern w:val="0"/>
                <w:sz w:val="24"/>
                <w:szCs w:val="24"/>
                <w:lang w:val="en-US" w:eastAsia="zh-CN" w:bidi="ar"/>
              </w:rPr>
              <w:t>）的规定。底砟应符合《铁路碎石道床底砟》（</w:t>
            </w:r>
            <w:r>
              <w:rPr>
                <w:rFonts w:hint="default" w:ascii="Times New Roman" w:hAnsi="Times New Roman" w:eastAsia="宋体" w:cs="Times New Roman"/>
                <w:color w:val="000000"/>
                <w:kern w:val="0"/>
                <w:sz w:val="24"/>
                <w:szCs w:val="24"/>
                <w:lang w:val="en-US" w:eastAsia="zh-CN" w:bidi="ar"/>
              </w:rPr>
              <w:t>TB/T2897-1998</w:t>
            </w:r>
            <w:r>
              <w:rPr>
                <w:rFonts w:hint="eastAsia" w:ascii="Times New Roman" w:hAnsi="Times New Roman" w:eastAsia="宋体" w:cs="Times New Roman"/>
                <w:color w:val="000000"/>
                <w:kern w:val="0"/>
                <w:sz w:val="24"/>
                <w:szCs w:val="24"/>
                <w:lang w:val="en-US" w:eastAsia="zh-CN" w:bidi="ar"/>
              </w:rPr>
              <w:t>）的规定，有砟轨道结构高度如下表所示。</w:t>
            </w:r>
          </w:p>
          <w:p w14:paraId="233B19C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表2-3  有砟轨道结构高度表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321"/>
              <w:gridCol w:w="1608"/>
              <w:gridCol w:w="1175"/>
              <w:gridCol w:w="1369"/>
              <w:gridCol w:w="1656"/>
            </w:tblGrid>
            <w:tr w14:paraId="1C7F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tcBorders>
                    <w:left w:val="nil"/>
                  </w:tcBorders>
                  <w:vAlign w:val="center"/>
                </w:tcPr>
                <w:p w14:paraId="6B45D6C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基础类型</w:t>
                  </w:r>
                </w:p>
              </w:tc>
              <w:tc>
                <w:tcPr>
                  <w:tcW w:w="819" w:type="pct"/>
                  <w:vAlign w:val="center"/>
                </w:tcPr>
                <w:p w14:paraId="27EA004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钢轨高度h1</w:t>
                  </w:r>
                </w:p>
              </w:tc>
              <w:tc>
                <w:tcPr>
                  <w:tcW w:w="997" w:type="pct"/>
                  <w:vAlign w:val="center"/>
                </w:tcPr>
                <w:p w14:paraId="4587272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轨下脚垫厚度h2</w:t>
                  </w:r>
                </w:p>
              </w:tc>
              <w:tc>
                <w:tcPr>
                  <w:tcW w:w="729" w:type="pct"/>
                  <w:vAlign w:val="center"/>
                </w:tcPr>
                <w:p w14:paraId="00E5EA0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轨枕高度h3</w:t>
                  </w:r>
                </w:p>
              </w:tc>
              <w:tc>
                <w:tcPr>
                  <w:tcW w:w="849" w:type="pct"/>
                  <w:vAlign w:val="center"/>
                </w:tcPr>
                <w:p w14:paraId="42CF140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内轨枕下最薄处道床厚度</w:t>
                  </w:r>
                  <w:r>
                    <w:rPr>
                      <w:rFonts w:hint="default" w:cs="Times New Roman"/>
                      <w:i w:val="0"/>
                      <w:iCs w:val="0"/>
                      <w:color w:val="auto"/>
                      <w:sz w:val="18"/>
                      <w:szCs w:val="18"/>
                      <w:highlight w:val="none"/>
                      <w:u w:val="none"/>
                      <w:lang w:val="en-US" w:eastAsia="zh-CN"/>
                    </w:rPr>
                    <w:t>h4</w:t>
                  </w:r>
                </w:p>
              </w:tc>
              <w:tc>
                <w:tcPr>
                  <w:tcW w:w="1027" w:type="pct"/>
                  <w:tcBorders>
                    <w:right w:val="nil"/>
                  </w:tcBorders>
                  <w:vAlign w:val="center"/>
                </w:tcPr>
                <w:p w14:paraId="78CBB9B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合计</w:t>
                  </w:r>
                </w:p>
              </w:tc>
            </w:tr>
            <w:tr w14:paraId="3C4F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vMerge w:val="restart"/>
                  <w:tcBorders>
                    <w:left w:val="nil"/>
                  </w:tcBorders>
                  <w:vAlign w:val="center"/>
                </w:tcPr>
                <w:p w14:paraId="6E03504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路基</w:t>
                  </w:r>
                </w:p>
              </w:tc>
              <w:tc>
                <w:tcPr>
                  <w:tcW w:w="819" w:type="pct"/>
                  <w:vMerge w:val="restart"/>
                  <w:vAlign w:val="center"/>
                </w:tcPr>
                <w:p w14:paraId="422E4F2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152</w:t>
                  </w:r>
                </w:p>
              </w:tc>
              <w:tc>
                <w:tcPr>
                  <w:tcW w:w="997" w:type="pct"/>
                  <w:vMerge w:val="restart"/>
                  <w:vAlign w:val="center"/>
                </w:tcPr>
                <w:p w14:paraId="6845D93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10</w:t>
                  </w:r>
                </w:p>
              </w:tc>
              <w:tc>
                <w:tcPr>
                  <w:tcW w:w="729" w:type="pct"/>
                  <w:vMerge w:val="restart"/>
                  <w:vAlign w:val="center"/>
                </w:tcPr>
                <w:p w14:paraId="739B5AE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205</w:t>
                  </w:r>
                </w:p>
              </w:tc>
              <w:tc>
                <w:tcPr>
                  <w:tcW w:w="849" w:type="pct"/>
                  <w:vAlign w:val="center"/>
                </w:tcPr>
                <w:p w14:paraId="1074A3D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表层道砟250</w:t>
                  </w:r>
                </w:p>
              </w:tc>
              <w:tc>
                <w:tcPr>
                  <w:tcW w:w="1027" w:type="pct"/>
                  <w:vMerge w:val="restart"/>
                  <w:tcBorders>
                    <w:right w:val="nil"/>
                  </w:tcBorders>
                  <w:vAlign w:val="center"/>
                </w:tcPr>
                <w:p w14:paraId="3B445F3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817</w:t>
                  </w:r>
                </w:p>
              </w:tc>
            </w:tr>
            <w:tr w14:paraId="2449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vMerge w:val="continue"/>
                  <w:tcBorders>
                    <w:left w:val="nil"/>
                  </w:tcBorders>
                  <w:vAlign w:val="center"/>
                </w:tcPr>
                <w:p w14:paraId="363AD2B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p>
              </w:tc>
              <w:tc>
                <w:tcPr>
                  <w:tcW w:w="819" w:type="pct"/>
                  <w:vMerge w:val="continue"/>
                  <w:vAlign w:val="center"/>
                </w:tcPr>
                <w:p w14:paraId="40DF823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p>
              </w:tc>
              <w:tc>
                <w:tcPr>
                  <w:tcW w:w="997" w:type="pct"/>
                  <w:vMerge w:val="continue"/>
                  <w:vAlign w:val="center"/>
                </w:tcPr>
                <w:p w14:paraId="5680B64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p>
              </w:tc>
              <w:tc>
                <w:tcPr>
                  <w:tcW w:w="729" w:type="pct"/>
                  <w:vMerge w:val="continue"/>
                  <w:vAlign w:val="center"/>
                </w:tcPr>
                <w:p w14:paraId="57BF2D3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p>
              </w:tc>
              <w:tc>
                <w:tcPr>
                  <w:tcW w:w="849" w:type="pct"/>
                  <w:vAlign w:val="center"/>
                </w:tcPr>
                <w:p w14:paraId="348DA14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底层道砟200</w:t>
                  </w:r>
                </w:p>
              </w:tc>
              <w:tc>
                <w:tcPr>
                  <w:tcW w:w="1027" w:type="pct"/>
                  <w:vMerge w:val="continue"/>
                  <w:tcBorders>
                    <w:right w:val="nil"/>
                  </w:tcBorders>
                  <w:vAlign w:val="center"/>
                </w:tcPr>
                <w:p w14:paraId="6122E7F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p>
              </w:tc>
            </w:tr>
            <w:tr w14:paraId="7122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tcBorders>
                    <w:left w:val="nil"/>
                  </w:tcBorders>
                  <w:vAlign w:val="center"/>
                </w:tcPr>
                <w:p w14:paraId="102443C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桥梁</w:t>
                  </w:r>
                </w:p>
              </w:tc>
              <w:tc>
                <w:tcPr>
                  <w:tcW w:w="819" w:type="pct"/>
                  <w:vAlign w:val="center"/>
                </w:tcPr>
                <w:p w14:paraId="6D456C5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152</w:t>
                  </w:r>
                </w:p>
              </w:tc>
              <w:tc>
                <w:tcPr>
                  <w:tcW w:w="997" w:type="pct"/>
                  <w:vAlign w:val="center"/>
                </w:tcPr>
                <w:p w14:paraId="6CAF1E1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10</w:t>
                  </w:r>
                </w:p>
              </w:tc>
              <w:tc>
                <w:tcPr>
                  <w:tcW w:w="729" w:type="pct"/>
                  <w:vAlign w:val="center"/>
                </w:tcPr>
                <w:p w14:paraId="2714BEC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210</w:t>
                  </w:r>
                </w:p>
              </w:tc>
              <w:tc>
                <w:tcPr>
                  <w:tcW w:w="849" w:type="pct"/>
                  <w:vAlign w:val="center"/>
                </w:tcPr>
                <w:p w14:paraId="2B5849B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default" w:cs="Times New Roman"/>
                      <w:i w:val="0"/>
                      <w:iCs w:val="0"/>
                      <w:color w:val="auto"/>
                      <w:sz w:val="18"/>
                      <w:szCs w:val="18"/>
                      <w:highlight w:val="none"/>
                      <w:u w:val="none"/>
                      <w:lang w:val="en-US" w:eastAsia="zh-CN"/>
                    </w:rPr>
                    <w:t>≥300</w:t>
                  </w:r>
                </w:p>
              </w:tc>
              <w:tc>
                <w:tcPr>
                  <w:tcW w:w="1027" w:type="pct"/>
                  <w:tcBorders>
                    <w:right w:val="nil"/>
                  </w:tcBorders>
                  <w:vAlign w:val="center"/>
                </w:tcPr>
                <w:p w14:paraId="51288C6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default" w:cs="Times New Roman"/>
                      <w:i w:val="0"/>
                      <w:iCs w:val="0"/>
                      <w:color w:val="auto"/>
                      <w:sz w:val="18"/>
                      <w:szCs w:val="18"/>
                      <w:highlight w:val="none"/>
                      <w:u w:val="none"/>
                      <w:lang w:val="en-US" w:eastAsia="zh-CN"/>
                    </w:rPr>
                    <w:t>≥</w:t>
                  </w:r>
                  <w:r>
                    <w:rPr>
                      <w:rFonts w:hint="eastAsia" w:cs="Times New Roman"/>
                      <w:i w:val="0"/>
                      <w:iCs w:val="0"/>
                      <w:color w:val="auto"/>
                      <w:sz w:val="18"/>
                      <w:szCs w:val="18"/>
                      <w:highlight w:val="none"/>
                      <w:u w:val="none"/>
                      <w:lang w:val="en-US" w:eastAsia="zh-CN"/>
                    </w:rPr>
                    <w:t>672</w:t>
                  </w:r>
                </w:p>
              </w:tc>
            </w:tr>
            <w:tr w14:paraId="26ED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pct"/>
                  <w:tcBorders>
                    <w:left w:val="nil"/>
                  </w:tcBorders>
                  <w:vAlign w:val="center"/>
                </w:tcPr>
                <w:p w14:paraId="13DE46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隧道</w:t>
                  </w:r>
                </w:p>
              </w:tc>
              <w:tc>
                <w:tcPr>
                  <w:tcW w:w="819" w:type="pct"/>
                  <w:vAlign w:val="center"/>
                </w:tcPr>
                <w:p w14:paraId="12F42E9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152</w:t>
                  </w:r>
                </w:p>
              </w:tc>
              <w:tc>
                <w:tcPr>
                  <w:tcW w:w="997" w:type="pct"/>
                  <w:vAlign w:val="center"/>
                </w:tcPr>
                <w:p w14:paraId="14608BF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10</w:t>
                  </w:r>
                </w:p>
              </w:tc>
              <w:tc>
                <w:tcPr>
                  <w:tcW w:w="729" w:type="pct"/>
                  <w:vAlign w:val="center"/>
                </w:tcPr>
                <w:p w14:paraId="5317C7F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205</w:t>
                  </w:r>
                </w:p>
              </w:tc>
              <w:tc>
                <w:tcPr>
                  <w:tcW w:w="849" w:type="pct"/>
                  <w:vAlign w:val="center"/>
                </w:tcPr>
                <w:p w14:paraId="5220932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300</w:t>
                  </w:r>
                </w:p>
              </w:tc>
              <w:tc>
                <w:tcPr>
                  <w:tcW w:w="1027" w:type="pct"/>
                  <w:tcBorders>
                    <w:right w:val="nil"/>
                  </w:tcBorders>
                  <w:vAlign w:val="center"/>
                </w:tcPr>
                <w:p w14:paraId="1BF543D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667</w:t>
                  </w:r>
                </w:p>
              </w:tc>
            </w:tr>
          </w:tbl>
          <w:p w14:paraId="02DC193F">
            <w:pPr>
              <w:keepNext w:val="0"/>
              <w:keepLines w:val="0"/>
              <w:pageBreakBefore w:val="0"/>
              <w:widowControl/>
              <w:suppressLineNumbers w:val="0"/>
              <w:kinsoku/>
              <w:wordWrap/>
              <w:overflowPunct/>
              <w:topLinePunct w:val="0"/>
              <w:autoSpaceDE/>
              <w:autoSpaceDN/>
              <w:bidi w:val="0"/>
              <w:adjustRightInd/>
              <w:snapToGrid/>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val="en-US" w:eastAsia="zh-CN" w:bidi="ar"/>
              </w:rPr>
              <w:t>注：表中道床厚度是指直线上钢轨或曲线上内轨中轴线下轨枕底面至基础顶面的距离</w:t>
            </w:r>
            <w:r>
              <w:rPr>
                <w:rFonts w:hint="eastAsia" w:ascii="Times New Roman" w:hAnsi="Times New Roman" w:eastAsia="宋体" w:cs="Times New Roman"/>
                <w:color w:val="000000"/>
                <w:kern w:val="0"/>
                <w:sz w:val="18"/>
                <w:szCs w:val="18"/>
                <w:lang w:val="en-US" w:eastAsia="zh-CN" w:bidi="ar"/>
              </w:rPr>
              <w:t>。</w:t>
            </w:r>
          </w:p>
          <w:p w14:paraId="3C23D1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三</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路基</w:t>
            </w:r>
            <w:r>
              <w:rPr>
                <w:rFonts w:hint="eastAsia" w:ascii="Times New Roman" w:hAnsi="Times New Roman" w:eastAsia="宋体" w:cs="Times New Roman"/>
                <w:color w:val="000000"/>
                <w:kern w:val="0"/>
                <w:sz w:val="24"/>
                <w:szCs w:val="24"/>
                <w:lang w:val="en-US" w:eastAsia="zh-CN" w:bidi="ar"/>
              </w:rPr>
              <w:t>工程</w:t>
            </w:r>
          </w:p>
          <w:p w14:paraId="0F6CF5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路基基床及压实标准</w:t>
            </w:r>
          </w:p>
          <w:p w14:paraId="06CF6D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站线路基基床表层厚度为</w:t>
            </w:r>
            <w:r>
              <w:rPr>
                <w:rFonts w:hint="default" w:ascii="Times New Roman" w:hAnsi="Times New Roman" w:eastAsia="宋体" w:cs="Times New Roman"/>
                <w:color w:val="000000"/>
                <w:kern w:val="0"/>
                <w:sz w:val="24"/>
                <w:szCs w:val="24"/>
                <w:lang w:val="en-US" w:eastAsia="zh-CN" w:bidi="ar"/>
              </w:rPr>
              <w:t>0.3m</w:t>
            </w:r>
            <w:r>
              <w:rPr>
                <w:rFonts w:hint="eastAsia" w:ascii="Times New Roman" w:hAnsi="Times New Roman" w:eastAsia="宋体" w:cs="Times New Roman"/>
                <w:color w:val="000000"/>
                <w:kern w:val="0"/>
                <w:sz w:val="24"/>
                <w:szCs w:val="24"/>
                <w:lang w:val="en-US" w:eastAsia="zh-CN" w:bidi="ar"/>
              </w:rPr>
              <w:t>，底层厚度为</w:t>
            </w:r>
            <w:r>
              <w:rPr>
                <w:rFonts w:hint="default" w:ascii="Times New Roman" w:hAnsi="Times New Roman" w:eastAsia="宋体" w:cs="Times New Roman"/>
                <w:color w:val="000000"/>
                <w:kern w:val="0"/>
                <w:sz w:val="24"/>
                <w:szCs w:val="24"/>
                <w:lang w:val="en-US" w:eastAsia="zh-CN" w:bidi="ar"/>
              </w:rPr>
              <w:t>0.9m</w:t>
            </w:r>
            <w:r>
              <w:rPr>
                <w:rFonts w:hint="eastAsia" w:ascii="Times New Roman" w:hAnsi="Times New Roman" w:eastAsia="宋体" w:cs="Times New Roman"/>
                <w:color w:val="000000"/>
                <w:kern w:val="0"/>
                <w:sz w:val="24"/>
                <w:szCs w:val="24"/>
                <w:lang w:val="en-US" w:eastAsia="zh-CN" w:bidi="ar"/>
              </w:rPr>
              <w:t>。基床表层采用</w:t>
            </w:r>
            <w:r>
              <w:rPr>
                <w:rFonts w:hint="default" w:ascii="Times New Roman" w:hAnsi="Times New Roman" w:eastAsia="宋体" w:cs="Times New Roman"/>
                <w:color w:val="000000"/>
                <w:kern w:val="0"/>
                <w:sz w:val="24"/>
                <w:szCs w:val="24"/>
                <w:lang w:val="en-US" w:eastAsia="zh-CN" w:bidi="ar"/>
              </w:rPr>
              <w:t>C</w:t>
            </w:r>
            <w:r>
              <w:rPr>
                <w:rFonts w:hint="eastAsia" w:ascii="Times New Roman" w:hAnsi="Times New Roman" w:eastAsia="宋体" w:cs="Times New Roman"/>
                <w:color w:val="000000"/>
                <w:kern w:val="0"/>
                <w:sz w:val="24"/>
                <w:szCs w:val="24"/>
                <w:lang w:val="en-US" w:eastAsia="zh-CN" w:bidi="ar"/>
              </w:rPr>
              <w:t>组及以上填料填筑，基床底层采用</w:t>
            </w:r>
            <w:r>
              <w:rPr>
                <w:rFonts w:hint="default" w:ascii="Times New Roman" w:hAnsi="Times New Roman" w:eastAsia="宋体" w:cs="Times New Roman"/>
                <w:color w:val="000000"/>
                <w:kern w:val="0"/>
                <w:sz w:val="24"/>
                <w:szCs w:val="24"/>
                <w:lang w:val="en-US" w:eastAsia="zh-CN" w:bidi="ar"/>
              </w:rPr>
              <w:t>C</w:t>
            </w:r>
            <w:r>
              <w:rPr>
                <w:rFonts w:hint="eastAsia" w:ascii="Times New Roman" w:hAnsi="Times New Roman" w:eastAsia="宋体" w:cs="Times New Roman"/>
                <w:color w:val="000000"/>
                <w:kern w:val="0"/>
                <w:sz w:val="24"/>
                <w:szCs w:val="24"/>
                <w:lang w:val="en-US" w:eastAsia="zh-CN" w:bidi="ar"/>
              </w:rPr>
              <w:t>组填料或改良后的</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组填料填筑。</w:t>
            </w:r>
          </w:p>
          <w:p w14:paraId="44DFE4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w:t>
            </w:r>
            <w:r>
              <w:rPr>
                <w:rFonts w:hint="eastAsia" w:ascii="Times New Roman" w:hAnsi="Times New Roman" w:eastAsia="宋体" w:cs="Times New Roman"/>
                <w:color w:val="000000"/>
                <w:kern w:val="0"/>
                <w:sz w:val="24"/>
                <w:szCs w:val="24"/>
                <w:lang w:val="en-US" w:eastAsia="zh-CN" w:bidi="ar"/>
              </w:rPr>
              <w:t>路基本体填料及压实标准</w:t>
            </w:r>
          </w:p>
          <w:p w14:paraId="3538CE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路堤填料宜采用</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eastAsia" w:ascii="Times New Roman" w:hAnsi="Times New Roman" w:eastAsia="宋体" w:cs="Times New Roman"/>
                <w:color w:val="000000"/>
                <w:kern w:val="0"/>
                <w:sz w:val="24"/>
                <w:szCs w:val="24"/>
                <w:lang w:val="en-US" w:eastAsia="zh-CN" w:bidi="ar"/>
              </w:rPr>
              <w:t>组填料，当选用</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组填料时，采取加固或土质改良措施。</w:t>
            </w:r>
          </w:p>
          <w:p w14:paraId="13EF2B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w:t>
            </w:r>
            <w:r>
              <w:rPr>
                <w:rFonts w:hint="eastAsia" w:ascii="Times New Roman" w:hAnsi="Times New Roman" w:eastAsia="宋体" w:cs="Times New Roman"/>
                <w:color w:val="000000"/>
                <w:kern w:val="0"/>
                <w:sz w:val="24"/>
                <w:szCs w:val="24"/>
                <w:lang w:val="en-US" w:eastAsia="zh-CN" w:bidi="ar"/>
              </w:rPr>
              <w:t>路基工后沉降控制标准及控制路基沉降的加固措施</w:t>
            </w:r>
          </w:p>
          <w:p w14:paraId="4A4080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当路基稳定、沉降不满足要求时，应进行地基加固处理。浸水路基采用基底换填水稳性较好的渗水性填料，并疏导、引排地表（地下）水等措施。</w:t>
            </w:r>
          </w:p>
          <w:p w14:paraId="7AD9E1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路基过渡段</w:t>
            </w:r>
          </w:p>
          <w:p w14:paraId="7DFF2C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路基与桥台、路堤与路堑、路堤与横向构筑物等纵向刚度变化地段均按《路规》或站场专业要求设置过渡段。</w:t>
            </w:r>
          </w:p>
          <w:p w14:paraId="4ACCC4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E</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路基排水设计</w:t>
            </w:r>
          </w:p>
          <w:p w14:paraId="643B77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路基排水必须与桥、涵、车站排水设备等衔接并和自然排水沟、渠及河流组成完善的排水系统，兼顾农田水利灌溉，不使农田失灌和冲毁。</w:t>
            </w:r>
          </w:p>
          <w:p w14:paraId="1E7A09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路基排水与附近桥、涵、车站等排水设备衔接，组成完善合理的排水系统，同</w:t>
            </w:r>
            <w:r>
              <w:rPr>
                <w:rFonts w:hint="default" w:ascii="Times New Roman" w:hAnsi="Times New Roman" w:eastAsia="宋体" w:cs="Times New Roman"/>
                <w:color w:val="000000"/>
                <w:kern w:val="0"/>
                <w:sz w:val="24"/>
                <w:szCs w:val="24"/>
                <w:lang w:val="en-US" w:eastAsia="zh-CN" w:bidi="ar"/>
              </w:rPr>
              <w:t>时考虑农田水利综合利用，不使农田失灌和冲毁。</w:t>
            </w:r>
          </w:p>
          <w:p w14:paraId="2BF9A8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b.排水沟和天沟在地面横坡明显地段，一般在上方一侧设置。地面横坡不明显地段，一般在路基两侧设置。</w:t>
            </w:r>
          </w:p>
          <w:p w14:paraId="6BC4E4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lang w:val="en-US" w:eastAsia="zh-CN" w:bidi="ar"/>
              </w:rPr>
              <w:t>.水沟截面一般采用底宽0.4m、深0.6m的矩形截面，需按流量设计的水沟，采用1/50频率的流量计算确定，沟顶高出设计水位0.2m，急流槽下游的侧沟及需扩大的侧沟地段，其截面尺寸按1/50洪水频率的流量计算确定。地面排水设备的纵坡一般不小于2‰，仅在困难条件下可减到1‰。</w:t>
            </w:r>
          </w:p>
          <w:p w14:paraId="681039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d</w:t>
            </w:r>
            <w:r>
              <w:rPr>
                <w:rFonts w:hint="default" w:ascii="Times New Roman" w:hAnsi="Times New Roman" w:eastAsia="宋体" w:cs="Times New Roman"/>
                <w:color w:val="000000"/>
                <w:kern w:val="0"/>
                <w:sz w:val="24"/>
                <w:szCs w:val="24"/>
                <w:lang w:val="en-US" w:eastAsia="zh-CN" w:bidi="ar"/>
              </w:rPr>
              <w:t>.路堑两侧设0.4m（宽）×0.8m（深）矩形侧沟，侧沟外设1.0m宽平台，平台厚0.3m。天沟、排水沟均采用M7.5浆砌片石进行加固，浆砌厚0.3m。</w:t>
            </w:r>
          </w:p>
          <w:p w14:paraId="3D1F13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e</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地基处理措施</w:t>
            </w:r>
          </w:p>
          <w:p w14:paraId="64B98F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地基表层应碾压密实。一般土质地段，基底压实度（重型）不小于</w:t>
            </w:r>
            <w:r>
              <w:rPr>
                <w:rFonts w:hint="default" w:ascii="Times New Roman" w:hAnsi="Times New Roman" w:eastAsia="宋体" w:cs="Times New Roman"/>
                <w:color w:val="000000"/>
                <w:kern w:val="0"/>
                <w:sz w:val="24"/>
                <w:szCs w:val="24"/>
                <w:lang w:val="en-US" w:eastAsia="zh-CN" w:bidi="ar"/>
              </w:rPr>
              <w:t>90%</w:t>
            </w:r>
            <w:r>
              <w:rPr>
                <w:rFonts w:hint="eastAsia" w:ascii="Times New Roman" w:hAnsi="Times New Roman" w:eastAsia="宋体" w:cs="Times New Roman"/>
                <w:color w:val="000000"/>
                <w:kern w:val="0"/>
                <w:sz w:val="24"/>
                <w:szCs w:val="24"/>
                <w:lang w:val="en-US" w:eastAsia="zh-CN" w:bidi="ar"/>
              </w:rPr>
              <w:t>。货场场坪应对地基表层土进行挖除换填片碎石压实，处理深度不小于硬化面结构层深度。</w:t>
            </w:r>
          </w:p>
          <w:p w14:paraId="12BEF3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四、桥涵工程</w:t>
            </w:r>
          </w:p>
          <w:p w14:paraId="27DAE6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设计标准</w:t>
            </w:r>
          </w:p>
          <w:p w14:paraId="005E22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①采用洪水频率</w:t>
            </w:r>
          </w:p>
          <w:p w14:paraId="01A761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涵洞：</w:t>
            </w:r>
            <w:r>
              <w:rPr>
                <w:rFonts w:hint="default" w:ascii="Times New Roman" w:hAnsi="Times New Roman" w:eastAsia="宋体" w:cs="Times New Roman"/>
                <w:color w:val="000000"/>
                <w:kern w:val="0"/>
                <w:sz w:val="24"/>
                <w:szCs w:val="24"/>
                <w:lang w:val="en-US" w:eastAsia="zh-CN" w:bidi="ar"/>
              </w:rPr>
              <w:t>1/50</w:t>
            </w:r>
            <w:r>
              <w:rPr>
                <w:rFonts w:hint="eastAsia" w:ascii="Times New Roman" w:hAnsi="Times New Roman" w:eastAsia="宋体" w:cs="Times New Roman"/>
                <w:color w:val="000000"/>
                <w:kern w:val="0"/>
                <w:sz w:val="24"/>
                <w:szCs w:val="24"/>
                <w:lang w:val="en-US" w:eastAsia="zh-CN" w:bidi="ar"/>
              </w:rPr>
              <w:t>。</w:t>
            </w:r>
          </w:p>
          <w:p w14:paraId="7C45CE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②设计活载</w:t>
            </w:r>
          </w:p>
          <w:p w14:paraId="5309E7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铁路桥涵设计活载采用“</w:t>
            </w:r>
            <w:r>
              <w:rPr>
                <w:rFonts w:hint="default" w:ascii="Times New Roman" w:hAnsi="Times New Roman" w:eastAsia="宋体" w:cs="Times New Roman"/>
                <w:color w:val="000000"/>
                <w:kern w:val="0"/>
                <w:sz w:val="24"/>
                <w:szCs w:val="24"/>
                <w:lang w:val="en-US" w:eastAsia="zh-CN" w:bidi="ar"/>
              </w:rPr>
              <w:t>ZKH</w:t>
            </w:r>
            <w:r>
              <w:rPr>
                <w:rFonts w:hint="eastAsia" w:ascii="Times New Roman" w:hAnsi="Times New Roman" w:eastAsia="宋体" w:cs="Times New Roman"/>
                <w:color w:val="000000"/>
                <w:kern w:val="0"/>
                <w:sz w:val="24"/>
                <w:szCs w:val="24"/>
                <w:lang w:val="en-US" w:eastAsia="zh-CN" w:bidi="ar"/>
              </w:rPr>
              <w:t>活载”。</w:t>
            </w:r>
          </w:p>
          <w:p w14:paraId="09F028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③建筑限界</w:t>
            </w:r>
          </w:p>
          <w:p w14:paraId="12CF91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排洪涵及灌溉涵净空。</w:t>
            </w:r>
          </w:p>
          <w:p w14:paraId="4A2970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2、桥涵的设计原则</w:t>
            </w:r>
          </w:p>
          <w:p w14:paraId="6F1E49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涵洞形式一般采用钢筋混凝土框架涵或盖板箱涵，接长涵洞与原涵洞形式一致。涵洞孔径选择：涵洞孔径应根据功能、流量等因素确定，孔径和净高均须满足现行规范要求，排洪涵孔径不得小于</w:t>
            </w:r>
            <w:r>
              <w:rPr>
                <w:rFonts w:hint="default" w:cs="Times New Roman"/>
                <w:color w:val="000000"/>
                <w:kern w:val="0"/>
                <w:sz w:val="24"/>
                <w:szCs w:val="24"/>
                <w:lang w:val="en-US" w:eastAsia="zh-CN" w:bidi="ar"/>
              </w:rPr>
              <w:t>1.25m</w:t>
            </w:r>
            <w:r>
              <w:rPr>
                <w:rFonts w:hint="eastAsia" w:cs="Times New Roman"/>
                <w:color w:val="000000"/>
                <w:kern w:val="0"/>
                <w:sz w:val="24"/>
                <w:szCs w:val="24"/>
                <w:lang w:val="en-US" w:eastAsia="zh-CN" w:bidi="ar"/>
              </w:rPr>
              <w:t>；交通涵应根据与地方有关部门签定的协议确定，立交涵应尽量避免涵内积水，必要时设置排水沟。涵洞基础一般采用整体式基础，当涵洞地基容许承载力或基础工后沉降量不满足要求时，可视具体情况采用地基加固处理。在其沉降不超限的情况下，可采用与路基相同的地基加固措施。涵洞顶至轨底填土高度一般地段不应小于</w:t>
            </w:r>
            <w:r>
              <w:rPr>
                <w:rFonts w:hint="default" w:cs="Times New Roman"/>
                <w:color w:val="000000"/>
                <w:kern w:val="0"/>
                <w:sz w:val="24"/>
                <w:szCs w:val="24"/>
                <w:lang w:val="en-US" w:eastAsia="zh-CN" w:bidi="ar"/>
              </w:rPr>
              <w:t>1.2m</w:t>
            </w:r>
            <w:r>
              <w:rPr>
                <w:rFonts w:hint="eastAsia" w:cs="Times New Roman"/>
                <w:color w:val="000000"/>
                <w:kern w:val="0"/>
                <w:sz w:val="24"/>
                <w:szCs w:val="24"/>
                <w:lang w:val="en-US" w:eastAsia="zh-CN" w:bidi="ar"/>
              </w:rPr>
              <w:t>，特殊困难情况下涵洞顶可按照不超过路肩高度控制。</w:t>
            </w:r>
          </w:p>
          <w:p w14:paraId="623DB1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3、桥涵设计内容</w:t>
            </w:r>
          </w:p>
          <w:p w14:paraId="1EF31E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根据厂区排水需要，玉溪市大化产业园区仙福钢铁厂铁路专用线新建</w:t>
            </w:r>
            <w:r>
              <w:rPr>
                <w:rFonts w:hint="default" w:cs="Times New Roman"/>
                <w:color w:val="000000"/>
                <w:kern w:val="0"/>
                <w:sz w:val="24"/>
                <w:szCs w:val="24"/>
                <w:lang w:val="en-US" w:eastAsia="zh-CN" w:bidi="ar"/>
              </w:rPr>
              <w:t>2</w:t>
            </w:r>
            <w:r>
              <w:rPr>
                <w:rFonts w:hint="eastAsia" w:cs="Times New Roman"/>
                <w:color w:val="000000"/>
                <w:kern w:val="0"/>
                <w:sz w:val="24"/>
                <w:szCs w:val="24"/>
                <w:lang w:val="en-US" w:eastAsia="zh-CN" w:bidi="ar"/>
              </w:rPr>
              <w:t>座</w:t>
            </w:r>
            <w:r>
              <w:rPr>
                <w:rFonts w:hint="default" w:cs="Times New Roman"/>
                <w:color w:val="000000"/>
                <w:kern w:val="0"/>
                <w:sz w:val="24"/>
                <w:szCs w:val="24"/>
                <w:lang w:val="en-US" w:eastAsia="zh-CN" w:bidi="ar"/>
              </w:rPr>
              <w:t>1-1.5m</w:t>
            </w:r>
            <w:r>
              <w:rPr>
                <w:rFonts w:hint="eastAsia" w:cs="Times New Roman"/>
                <w:color w:val="000000"/>
                <w:kern w:val="0"/>
                <w:sz w:val="24"/>
                <w:szCs w:val="24"/>
                <w:lang w:val="en-US" w:eastAsia="zh-CN" w:bidi="ar"/>
              </w:rPr>
              <w:t>框架涵用于排洪，新建涵洞171m，桥涵具体分布情况详见下表。</w:t>
            </w:r>
          </w:p>
          <w:p w14:paraId="393348A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表2-4涵洞分布表</w:t>
            </w:r>
          </w:p>
          <w:tbl>
            <w:tblPr>
              <w:tblStyle w:val="23"/>
              <w:tblW w:w="804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299"/>
              <w:gridCol w:w="894"/>
              <w:gridCol w:w="894"/>
              <w:gridCol w:w="894"/>
              <w:gridCol w:w="894"/>
              <w:gridCol w:w="894"/>
              <w:gridCol w:w="895"/>
              <w:gridCol w:w="895"/>
            </w:tblGrid>
            <w:tr w14:paraId="613CF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restart"/>
                  <w:tcBorders>
                    <w:tl2br w:val="nil"/>
                    <w:tr2bl w:val="nil"/>
                  </w:tcBorders>
                  <w:vAlign w:val="center"/>
                </w:tcPr>
                <w:p w14:paraId="78514E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序号</w:t>
                  </w:r>
                </w:p>
              </w:tc>
              <w:tc>
                <w:tcPr>
                  <w:tcW w:w="1299" w:type="dxa"/>
                  <w:vMerge w:val="restart"/>
                  <w:tcBorders>
                    <w:tl2br w:val="nil"/>
                    <w:tr2bl w:val="nil"/>
                  </w:tcBorders>
                  <w:vAlign w:val="center"/>
                </w:tcPr>
                <w:p w14:paraId="076499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中心里程</w:t>
                  </w:r>
                </w:p>
              </w:tc>
              <w:tc>
                <w:tcPr>
                  <w:tcW w:w="894" w:type="dxa"/>
                  <w:vMerge w:val="restart"/>
                  <w:tcBorders>
                    <w:tl2br w:val="nil"/>
                    <w:tr2bl w:val="nil"/>
                  </w:tcBorders>
                  <w:vAlign w:val="center"/>
                </w:tcPr>
                <w:p w14:paraId="58A952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孔跨样式（m）</w:t>
                  </w:r>
                </w:p>
              </w:tc>
              <w:tc>
                <w:tcPr>
                  <w:tcW w:w="894" w:type="dxa"/>
                  <w:vMerge w:val="restart"/>
                  <w:tcBorders>
                    <w:tl2br w:val="nil"/>
                    <w:tr2bl w:val="nil"/>
                  </w:tcBorders>
                  <w:vAlign w:val="center"/>
                </w:tcPr>
                <w:p w14:paraId="01FB29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设计流量（m/s）</w:t>
                  </w:r>
                </w:p>
              </w:tc>
              <w:tc>
                <w:tcPr>
                  <w:tcW w:w="894" w:type="dxa"/>
                  <w:vMerge w:val="restart"/>
                  <w:tcBorders>
                    <w:tl2br w:val="nil"/>
                    <w:tr2bl w:val="nil"/>
                  </w:tcBorders>
                  <w:vAlign w:val="center"/>
                </w:tcPr>
                <w:p w14:paraId="28491B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用途</w:t>
                  </w:r>
                </w:p>
              </w:tc>
              <w:tc>
                <w:tcPr>
                  <w:tcW w:w="894" w:type="dxa"/>
                  <w:vMerge w:val="restart"/>
                  <w:tcBorders>
                    <w:tl2br w:val="nil"/>
                    <w:tr2bl w:val="nil"/>
                  </w:tcBorders>
                  <w:vAlign w:val="center"/>
                </w:tcPr>
                <w:p w14:paraId="40E2AF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与线路法线交角（°）</w:t>
                  </w:r>
                </w:p>
              </w:tc>
              <w:tc>
                <w:tcPr>
                  <w:tcW w:w="2684" w:type="dxa"/>
                  <w:gridSpan w:val="3"/>
                  <w:tcBorders>
                    <w:tl2br w:val="nil"/>
                    <w:tr2bl w:val="nil"/>
                  </w:tcBorders>
                  <w:vAlign w:val="center"/>
                </w:tcPr>
                <w:p w14:paraId="1C64B8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涵长及面积</w:t>
                  </w:r>
                </w:p>
              </w:tc>
            </w:tr>
            <w:tr w14:paraId="24906E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tcBorders>
                    <w:tl2br w:val="nil"/>
                    <w:tr2bl w:val="nil"/>
                  </w:tcBorders>
                  <w:vAlign w:val="center"/>
                </w:tcPr>
                <w:p w14:paraId="3E66FB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p>
              </w:tc>
              <w:tc>
                <w:tcPr>
                  <w:tcW w:w="1299" w:type="dxa"/>
                  <w:vMerge w:val="continue"/>
                  <w:tcBorders>
                    <w:tl2br w:val="nil"/>
                    <w:tr2bl w:val="nil"/>
                  </w:tcBorders>
                  <w:vAlign w:val="center"/>
                </w:tcPr>
                <w:p w14:paraId="55F8F2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p>
              </w:tc>
              <w:tc>
                <w:tcPr>
                  <w:tcW w:w="894" w:type="dxa"/>
                  <w:vMerge w:val="continue"/>
                  <w:tcBorders>
                    <w:tl2br w:val="nil"/>
                    <w:tr2bl w:val="nil"/>
                  </w:tcBorders>
                  <w:vAlign w:val="center"/>
                </w:tcPr>
                <w:p w14:paraId="102D51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p>
              </w:tc>
              <w:tc>
                <w:tcPr>
                  <w:tcW w:w="894" w:type="dxa"/>
                  <w:vMerge w:val="continue"/>
                  <w:tcBorders>
                    <w:tl2br w:val="nil"/>
                    <w:tr2bl w:val="nil"/>
                  </w:tcBorders>
                  <w:vAlign w:val="center"/>
                </w:tcPr>
                <w:p w14:paraId="74DF7B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p>
              </w:tc>
              <w:tc>
                <w:tcPr>
                  <w:tcW w:w="894" w:type="dxa"/>
                  <w:vMerge w:val="continue"/>
                  <w:tcBorders>
                    <w:tl2br w:val="nil"/>
                    <w:tr2bl w:val="nil"/>
                  </w:tcBorders>
                  <w:vAlign w:val="center"/>
                </w:tcPr>
                <w:p w14:paraId="09C99F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p>
              </w:tc>
              <w:tc>
                <w:tcPr>
                  <w:tcW w:w="894" w:type="dxa"/>
                  <w:vMerge w:val="continue"/>
                  <w:tcBorders>
                    <w:tl2br w:val="nil"/>
                    <w:tr2bl w:val="nil"/>
                  </w:tcBorders>
                  <w:vAlign w:val="center"/>
                </w:tcPr>
                <w:p w14:paraId="5F7C44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p>
              </w:tc>
              <w:tc>
                <w:tcPr>
                  <w:tcW w:w="894" w:type="dxa"/>
                  <w:tcBorders>
                    <w:tl2br w:val="nil"/>
                    <w:tr2bl w:val="nil"/>
                  </w:tcBorders>
                  <w:vAlign w:val="center"/>
                </w:tcPr>
                <w:p w14:paraId="305468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顺线路长度（m）</w:t>
                  </w:r>
                </w:p>
              </w:tc>
              <w:tc>
                <w:tcPr>
                  <w:tcW w:w="895" w:type="dxa"/>
                  <w:tcBorders>
                    <w:tl2br w:val="nil"/>
                    <w:tr2bl w:val="nil"/>
                  </w:tcBorders>
                  <w:vAlign w:val="center"/>
                </w:tcPr>
                <w:p w14:paraId="779B77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垂直线路长度（m）</w:t>
                  </w:r>
                </w:p>
              </w:tc>
              <w:tc>
                <w:tcPr>
                  <w:tcW w:w="895" w:type="dxa"/>
                  <w:tcBorders>
                    <w:tl2br w:val="nil"/>
                    <w:tr2bl w:val="nil"/>
                  </w:tcBorders>
                  <w:vAlign w:val="center"/>
                </w:tcPr>
                <w:p w14:paraId="31738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顶面面积（m</w:t>
                  </w:r>
                  <w:r>
                    <w:rPr>
                      <w:rFonts w:hint="eastAsia" w:cs="Times New Roman"/>
                      <w:color w:val="000000"/>
                      <w:kern w:val="0"/>
                      <w:sz w:val="18"/>
                      <w:szCs w:val="18"/>
                      <w:vertAlign w:val="superscript"/>
                      <w:lang w:val="en-US" w:eastAsia="zh-CN" w:bidi="ar"/>
                    </w:rPr>
                    <w:t>2</w:t>
                  </w:r>
                  <w:r>
                    <w:rPr>
                      <w:rFonts w:hint="eastAsia" w:cs="Times New Roman"/>
                      <w:color w:val="000000"/>
                      <w:kern w:val="0"/>
                      <w:sz w:val="18"/>
                      <w:szCs w:val="18"/>
                      <w:vertAlign w:val="baseline"/>
                      <w:lang w:val="en-US" w:eastAsia="zh-CN" w:bidi="ar"/>
                    </w:rPr>
                    <w:t>）</w:t>
                  </w:r>
                </w:p>
              </w:tc>
            </w:tr>
            <w:tr w14:paraId="04A1A7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tcBorders>
                    <w:tl2br w:val="nil"/>
                    <w:tr2bl w:val="nil"/>
                  </w:tcBorders>
                  <w:vAlign w:val="center"/>
                </w:tcPr>
                <w:p w14:paraId="4467E2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w:t>
                  </w:r>
                </w:p>
              </w:tc>
              <w:tc>
                <w:tcPr>
                  <w:tcW w:w="1299" w:type="dxa"/>
                  <w:tcBorders>
                    <w:tl2br w:val="nil"/>
                    <w:tr2bl w:val="nil"/>
                  </w:tcBorders>
                  <w:vAlign w:val="center"/>
                </w:tcPr>
                <w:p w14:paraId="3BCAF2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default" w:cs="Times New Roman"/>
                      <w:color w:val="000000"/>
                      <w:kern w:val="0"/>
                      <w:sz w:val="18"/>
                      <w:szCs w:val="18"/>
                      <w:vertAlign w:val="baseline"/>
                      <w:lang w:val="en-US" w:eastAsia="zh-CN" w:bidi="ar"/>
                    </w:rPr>
                    <w:t>CZK3+564.00</w:t>
                  </w:r>
                </w:p>
              </w:tc>
              <w:tc>
                <w:tcPr>
                  <w:tcW w:w="894" w:type="dxa"/>
                  <w:tcBorders>
                    <w:tl2br w:val="nil"/>
                    <w:tr2bl w:val="nil"/>
                  </w:tcBorders>
                  <w:vAlign w:val="center"/>
                </w:tcPr>
                <w:p w14:paraId="452FEF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default" w:cs="Times New Roman"/>
                      <w:color w:val="000000"/>
                      <w:kern w:val="0"/>
                      <w:sz w:val="18"/>
                      <w:szCs w:val="18"/>
                      <w:vertAlign w:val="baseline"/>
                      <w:lang w:val="en-US" w:eastAsia="zh-CN" w:bidi="ar"/>
                    </w:rPr>
                    <w:t>1-1.5m</w:t>
                  </w:r>
                  <w:r>
                    <w:rPr>
                      <w:rFonts w:hint="eastAsia" w:cs="Times New Roman"/>
                      <w:color w:val="000000"/>
                      <w:kern w:val="0"/>
                      <w:sz w:val="18"/>
                      <w:szCs w:val="18"/>
                      <w:vertAlign w:val="baseline"/>
                      <w:lang w:val="en-US" w:eastAsia="zh-CN" w:bidi="ar"/>
                    </w:rPr>
                    <w:t>框架涵</w:t>
                  </w:r>
                </w:p>
              </w:tc>
              <w:tc>
                <w:tcPr>
                  <w:tcW w:w="894" w:type="dxa"/>
                  <w:tcBorders>
                    <w:tl2br w:val="nil"/>
                    <w:tr2bl w:val="nil"/>
                  </w:tcBorders>
                  <w:vAlign w:val="center"/>
                </w:tcPr>
                <w:p w14:paraId="702D45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5.71</w:t>
                  </w:r>
                </w:p>
              </w:tc>
              <w:tc>
                <w:tcPr>
                  <w:tcW w:w="894" w:type="dxa"/>
                  <w:tcBorders>
                    <w:tl2br w:val="nil"/>
                    <w:tr2bl w:val="nil"/>
                  </w:tcBorders>
                  <w:vAlign w:val="center"/>
                </w:tcPr>
                <w:p w14:paraId="1FF73C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排洪</w:t>
                  </w:r>
                </w:p>
              </w:tc>
              <w:tc>
                <w:tcPr>
                  <w:tcW w:w="894" w:type="dxa"/>
                  <w:tcBorders>
                    <w:tl2br w:val="nil"/>
                    <w:tr2bl w:val="nil"/>
                  </w:tcBorders>
                  <w:vAlign w:val="center"/>
                </w:tcPr>
                <w:p w14:paraId="64096A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default" w:cs="Times New Roman"/>
                      <w:color w:val="000000"/>
                      <w:kern w:val="0"/>
                      <w:sz w:val="18"/>
                      <w:szCs w:val="18"/>
                      <w:vertAlign w:val="baseline"/>
                      <w:lang w:val="en-US" w:eastAsia="zh-CN" w:bidi="ar"/>
                    </w:rPr>
                    <w:t>0</w:t>
                  </w:r>
                  <w:r>
                    <w:rPr>
                      <w:rFonts w:hint="eastAsia" w:cs="Times New Roman"/>
                      <w:color w:val="000000"/>
                      <w:kern w:val="0"/>
                      <w:sz w:val="18"/>
                      <w:szCs w:val="18"/>
                      <w:vertAlign w:val="baseline"/>
                      <w:lang w:val="en-US" w:eastAsia="zh-CN" w:bidi="ar"/>
                    </w:rPr>
                    <w:t>°</w:t>
                  </w:r>
                </w:p>
              </w:tc>
              <w:tc>
                <w:tcPr>
                  <w:tcW w:w="894" w:type="dxa"/>
                  <w:tcBorders>
                    <w:tl2br w:val="nil"/>
                    <w:tr2bl w:val="nil"/>
                  </w:tcBorders>
                  <w:vAlign w:val="center"/>
                </w:tcPr>
                <w:p w14:paraId="088E51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1.90</w:t>
                  </w:r>
                </w:p>
              </w:tc>
              <w:tc>
                <w:tcPr>
                  <w:tcW w:w="895" w:type="dxa"/>
                  <w:tcBorders>
                    <w:tl2br w:val="nil"/>
                    <w:tr2bl w:val="nil"/>
                  </w:tcBorders>
                  <w:vAlign w:val="center"/>
                </w:tcPr>
                <w:p w14:paraId="0214F9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26.0</w:t>
                  </w:r>
                </w:p>
              </w:tc>
              <w:tc>
                <w:tcPr>
                  <w:tcW w:w="895" w:type="dxa"/>
                  <w:tcBorders>
                    <w:tl2br w:val="nil"/>
                    <w:tr2bl w:val="nil"/>
                  </w:tcBorders>
                  <w:vAlign w:val="center"/>
                </w:tcPr>
                <w:p w14:paraId="591956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49.4</w:t>
                  </w:r>
                </w:p>
              </w:tc>
            </w:tr>
            <w:tr w14:paraId="4BC2B3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tcBorders>
                    <w:tl2br w:val="nil"/>
                    <w:tr2bl w:val="nil"/>
                  </w:tcBorders>
                  <w:vAlign w:val="center"/>
                </w:tcPr>
                <w:p w14:paraId="04E78F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2</w:t>
                  </w:r>
                </w:p>
              </w:tc>
              <w:tc>
                <w:tcPr>
                  <w:tcW w:w="1299" w:type="dxa"/>
                  <w:tcBorders>
                    <w:tl2br w:val="nil"/>
                    <w:tr2bl w:val="nil"/>
                  </w:tcBorders>
                  <w:vAlign w:val="center"/>
                </w:tcPr>
                <w:p w14:paraId="2DDCD7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default" w:cs="Times New Roman"/>
                      <w:color w:val="000000"/>
                      <w:kern w:val="0"/>
                      <w:sz w:val="18"/>
                      <w:szCs w:val="18"/>
                      <w:vertAlign w:val="baseline"/>
                      <w:lang w:val="en-US" w:eastAsia="zh-CN" w:bidi="ar"/>
                    </w:rPr>
                    <w:t>CZK3+837.00</w:t>
                  </w:r>
                </w:p>
              </w:tc>
              <w:tc>
                <w:tcPr>
                  <w:tcW w:w="894" w:type="dxa"/>
                  <w:tcBorders>
                    <w:tl2br w:val="nil"/>
                    <w:tr2bl w:val="nil"/>
                  </w:tcBorders>
                  <w:vAlign w:val="center"/>
                </w:tcPr>
                <w:p w14:paraId="7B0AD5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default" w:cs="Times New Roman"/>
                      <w:color w:val="000000"/>
                      <w:kern w:val="0"/>
                      <w:sz w:val="18"/>
                      <w:szCs w:val="18"/>
                      <w:vertAlign w:val="baseline"/>
                      <w:lang w:val="en-US" w:eastAsia="zh-CN" w:bidi="ar"/>
                    </w:rPr>
                    <w:t>1-1.5m</w:t>
                  </w:r>
                  <w:r>
                    <w:rPr>
                      <w:rFonts w:hint="eastAsia" w:cs="Times New Roman"/>
                      <w:color w:val="000000"/>
                      <w:kern w:val="0"/>
                      <w:sz w:val="18"/>
                      <w:szCs w:val="18"/>
                      <w:vertAlign w:val="baseline"/>
                      <w:lang w:val="en-US" w:eastAsia="zh-CN" w:bidi="ar"/>
                    </w:rPr>
                    <w:t>框架涵</w:t>
                  </w:r>
                </w:p>
              </w:tc>
              <w:tc>
                <w:tcPr>
                  <w:tcW w:w="894" w:type="dxa"/>
                  <w:tcBorders>
                    <w:tl2br w:val="nil"/>
                    <w:tr2bl w:val="nil"/>
                  </w:tcBorders>
                  <w:vAlign w:val="center"/>
                </w:tcPr>
                <w:p w14:paraId="053987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4.57</w:t>
                  </w:r>
                </w:p>
              </w:tc>
              <w:tc>
                <w:tcPr>
                  <w:tcW w:w="894" w:type="dxa"/>
                  <w:tcBorders>
                    <w:tl2br w:val="nil"/>
                    <w:tr2bl w:val="nil"/>
                  </w:tcBorders>
                  <w:vAlign w:val="center"/>
                </w:tcPr>
                <w:p w14:paraId="44CA19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排洪</w:t>
                  </w:r>
                </w:p>
              </w:tc>
              <w:tc>
                <w:tcPr>
                  <w:tcW w:w="894" w:type="dxa"/>
                  <w:tcBorders>
                    <w:tl2br w:val="nil"/>
                    <w:tr2bl w:val="nil"/>
                  </w:tcBorders>
                  <w:vAlign w:val="center"/>
                </w:tcPr>
                <w:p w14:paraId="467CA6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9°</w:t>
                  </w:r>
                </w:p>
              </w:tc>
              <w:tc>
                <w:tcPr>
                  <w:tcW w:w="894" w:type="dxa"/>
                  <w:tcBorders>
                    <w:tl2br w:val="nil"/>
                    <w:tr2bl w:val="nil"/>
                  </w:tcBorders>
                  <w:vAlign w:val="center"/>
                </w:tcPr>
                <w:p w14:paraId="15E5C4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1.90</w:t>
                  </w:r>
                </w:p>
              </w:tc>
              <w:tc>
                <w:tcPr>
                  <w:tcW w:w="895" w:type="dxa"/>
                  <w:tcBorders>
                    <w:tl2br w:val="nil"/>
                    <w:tr2bl w:val="nil"/>
                  </w:tcBorders>
                  <w:vAlign w:val="center"/>
                </w:tcPr>
                <w:p w14:paraId="02F330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145.0</w:t>
                  </w:r>
                </w:p>
              </w:tc>
              <w:tc>
                <w:tcPr>
                  <w:tcW w:w="895" w:type="dxa"/>
                  <w:tcBorders>
                    <w:tl2br w:val="nil"/>
                    <w:tr2bl w:val="nil"/>
                  </w:tcBorders>
                  <w:vAlign w:val="center"/>
                </w:tcPr>
                <w:p w14:paraId="541216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275.5</w:t>
                  </w:r>
                </w:p>
              </w:tc>
            </w:tr>
            <w:tr w14:paraId="5B438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gridSpan w:val="2"/>
                  <w:tcBorders>
                    <w:tl2br w:val="nil"/>
                    <w:tr2bl w:val="nil"/>
                  </w:tcBorders>
                  <w:vAlign w:val="center"/>
                </w:tcPr>
                <w:p w14:paraId="22A211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合计</w:t>
                  </w:r>
                </w:p>
              </w:tc>
              <w:tc>
                <w:tcPr>
                  <w:tcW w:w="894" w:type="dxa"/>
                  <w:tcBorders>
                    <w:tl2br w:val="nil"/>
                    <w:tr2bl w:val="nil"/>
                  </w:tcBorders>
                  <w:vAlign w:val="center"/>
                </w:tcPr>
                <w:p w14:paraId="791A08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r>
                    <w:rPr>
                      <w:rFonts w:hint="default" w:cs="Times New Roman"/>
                      <w:color w:val="000000"/>
                      <w:kern w:val="0"/>
                      <w:sz w:val="18"/>
                      <w:szCs w:val="18"/>
                      <w:vertAlign w:val="baseline"/>
                      <w:lang w:val="en-US" w:eastAsia="zh-CN" w:bidi="ar"/>
                    </w:rPr>
                    <w:t>1-1.5m</w:t>
                  </w:r>
                  <w:r>
                    <w:rPr>
                      <w:rFonts w:hint="eastAsia" w:cs="Times New Roman"/>
                      <w:color w:val="000000"/>
                      <w:kern w:val="0"/>
                      <w:sz w:val="18"/>
                      <w:szCs w:val="18"/>
                      <w:vertAlign w:val="baseline"/>
                      <w:lang w:val="en-US" w:eastAsia="zh-CN" w:bidi="ar"/>
                    </w:rPr>
                    <w:t>框架涵</w:t>
                  </w:r>
                </w:p>
              </w:tc>
              <w:tc>
                <w:tcPr>
                  <w:tcW w:w="894" w:type="dxa"/>
                  <w:tcBorders>
                    <w:tl2br w:val="nil"/>
                    <w:tr2bl w:val="nil"/>
                  </w:tcBorders>
                  <w:vAlign w:val="center"/>
                </w:tcPr>
                <w:p w14:paraId="198E0F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2座</w:t>
                  </w:r>
                </w:p>
              </w:tc>
              <w:tc>
                <w:tcPr>
                  <w:tcW w:w="894" w:type="dxa"/>
                  <w:tcBorders>
                    <w:tl2br w:val="nil"/>
                    <w:tr2bl w:val="nil"/>
                  </w:tcBorders>
                  <w:vAlign w:val="center"/>
                </w:tcPr>
                <w:p w14:paraId="226F0B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p>
              </w:tc>
              <w:tc>
                <w:tcPr>
                  <w:tcW w:w="894" w:type="dxa"/>
                  <w:tcBorders>
                    <w:tl2br w:val="nil"/>
                    <w:tr2bl w:val="nil"/>
                  </w:tcBorders>
                  <w:vAlign w:val="center"/>
                </w:tcPr>
                <w:p w14:paraId="1C2277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p>
              </w:tc>
              <w:tc>
                <w:tcPr>
                  <w:tcW w:w="894" w:type="dxa"/>
                  <w:tcBorders>
                    <w:tl2br w:val="nil"/>
                    <w:tr2bl w:val="nil"/>
                  </w:tcBorders>
                  <w:vAlign w:val="center"/>
                </w:tcPr>
                <w:p w14:paraId="5010D7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000000"/>
                      <w:kern w:val="0"/>
                      <w:sz w:val="18"/>
                      <w:szCs w:val="18"/>
                      <w:vertAlign w:val="baseline"/>
                      <w:lang w:val="en-US" w:eastAsia="zh-CN" w:bidi="ar"/>
                    </w:rPr>
                  </w:pPr>
                </w:p>
              </w:tc>
              <w:tc>
                <w:tcPr>
                  <w:tcW w:w="895" w:type="dxa"/>
                  <w:tcBorders>
                    <w:tl2br w:val="nil"/>
                    <w:tr2bl w:val="nil"/>
                  </w:tcBorders>
                  <w:vAlign w:val="center"/>
                </w:tcPr>
                <w:p w14:paraId="213A00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171.0</w:t>
                  </w:r>
                </w:p>
              </w:tc>
              <w:tc>
                <w:tcPr>
                  <w:tcW w:w="895" w:type="dxa"/>
                  <w:tcBorders>
                    <w:tl2br w:val="nil"/>
                    <w:tr2bl w:val="nil"/>
                  </w:tcBorders>
                  <w:vAlign w:val="center"/>
                </w:tcPr>
                <w:p w14:paraId="493F39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000000"/>
                      <w:kern w:val="0"/>
                      <w:sz w:val="18"/>
                      <w:szCs w:val="18"/>
                      <w:vertAlign w:val="baseline"/>
                      <w:lang w:val="en-US" w:eastAsia="zh-CN" w:bidi="ar"/>
                    </w:rPr>
                  </w:pPr>
                  <w:r>
                    <w:rPr>
                      <w:rFonts w:hint="eastAsia" w:cs="Times New Roman"/>
                      <w:color w:val="000000"/>
                      <w:kern w:val="0"/>
                      <w:sz w:val="18"/>
                      <w:szCs w:val="18"/>
                      <w:vertAlign w:val="baseline"/>
                      <w:lang w:val="en-US" w:eastAsia="zh-CN" w:bidi="ar"/>
                    </w:rPr>
                    <w:t>324.9</w:t>
                  </w:r>
                </w:p>
              </w:tc>
            </w:tr>
          </w:tbl>
          <w:p w14:paraId="1C971C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五、站场工程</w:t>
            </w:r>
          </w:p>
          <w:p w14:paraId="07E918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1、站场平面布置方案</w:t>
            </w:r>
          </w:p>
          <w:p w14:paraId="0966B3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本铁路专用线于玉溪市大化产业园区铁路专用线化念南（不含）至仙福钢铁厂铁路专用线（不含）设计终点（</w:t>
            </w:r>
            <w:r>
              <w:rPr>
                <w:rFonts w:hint="default" w:cs="Times New Roman"/>
                <w:color w:val="auto"/>
                <w:kern w:val="0"/>
                <w:sz w:val="24"/>
                <w:szCs w:val="24"/>
                <w:lang w:val="en-US" w:eastAsia="zh-CN" w:bidi="ar"/>
              </w:rPr>
              <w:t>DXK3+295.11</w:t>
            </w:r>
            <w:r>
              <w:rPr>
                <w:rFonts w:hint="eastAsia" w:cs="Times New Roman"/>
                <w:color w:val="auto"/>
                <w:kern w:val="0"/>
                <w:sz w:val="24"/>
                <w:szCs w:val="24"/>
                <w:lang w:val="en-US" w:eastAsia="zh-CN" w:bidi="ar"/>
              </w:rPr>
              <w:t>）处引出，装卸场布设于仙福钢铁厂厂区西侧山顶，装卸场左侧拟建钢铁厂原料堆场，右侧拟建钢铁厂配煤棚（因用地限制，拟建为半</w:t>
            </w:r>
            <w:r>
              <w:rPr>
                <w:rFonts w:hint="default" w:cs="Times New Roman"/>
                <w:color w:val="auto"/>
                <w:kern w:val="0"/>
                <w:sz w:val="24"/>
                <w:szCs w:val="24"/>
                <w:lang w:val="en-US" w:eastAsia="zh-CN" w:bidi="ar"/>
              </w:rPr>
              <w:t>C</w:t>
            </w:r>
            <w:r>
              <w:rPr>
                <w:rFonts w:hint="eastAsia" w:cs="Times New Roman"/>
                <w:color w:val="auto"/>
                <w:kern w:val="0"/>
                <w:sz w:val="24"/>
                <w:szCs w:val="24"/>
                <w:lang w:val="en-US" w:eastAsia="zh-CN" w:bidi="ar"/>
              </w:rPr>
              <w:t>型）。本铁路专用线设龙门吊装卸区（左右两处）、翻车机卸车区、调车区。</w:t>
            </w:r>
          </w:p>
          <w:p w14:paraId="4E0C50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左侧龙门吊装卸区（靠钢铁厂侧）：设货物线</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条（</w:t>
            </w:r>
            <w:r>
              <w:rPr>
                <w:rFonts w:hint="default" w:cs="Times New Roman"/>
                <w:color w:val="auto"/>
                <w:kern w:val="0"/>
                <w:sz w:val="24"/>
                <w:szCs w:val="24"/>
                <w:lang w:val="en-US" w:eastAsia="zh-CN" w:bidi="ar"/>
              </w:rPr>
              <w:t>9</w:t>
            </w:r>
            <w:r>
              <w:rPr>
                <w:rFonts w:hint="eastAsia" w:cs="Times New Roman"/>
                <w:color w:val="auto"/>
                <w:kern w:val="0"/>
                <w:sz w:val="24"/>
                <w:szCs w:val="24"/>
                <w:lang w:val="en-US" w:eastAsia="zh-CN" w:bidi="ar"/>
              </w:rPr>
              <w:t>道与</w:t>
            </w:r>
            <w:r>
              <w:rPr>
                <w:rFonts w:hint="default" w:cs="Times New Roman"/>
                <w:color w:val="auto"/>
                <w:kern w:val="0"/>
                <w:sz w:val="24"/>
                <w:szCs w:val="24"/>
                <w:lang w:val="en-US" w:eastAsia="zh-CN" w:bidi="ar"/>
              </w:rPr>
              <w:t>10</w:t>
            </w:r>
            <w:r>
              <w:rPr>
                <w:rFonts w:hint="eastAsia" w:cs="Times New Roman"/>
                <w:color w:val="auto"/>
                <w:kern w:val="0"/>
                <w:sz w:val="24"/>
                <w:szCs w:val="24"/>
                <w:lang w:val="en-US" w:eastAsia="zh-CN" w:bidi="ar"/>
              </w:rPr>
              <w:t>道）、有效长分别为</w:t>
            </w:r>
            <w:r>
              <w:rPr>
                <w:rFonts w:hint="default" w:cs="Times New Roman"/>
                <w:color w:val="auto"/>
                <w:kern w:val="0"/>
                <w:sz w:val="24"/>
                <w:szCs w:val="24"/>
                <w:lang w:val="en-US" w:eastAsia="zh-CN" w:bidi="ar"/>
              </w:rPr>
              <w:t>690m</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736m</w:t>
            </w:r>
            <w:r>
              <w:rPr>
                <w:rFonts w:hint="eastAsia" w:cs="Times New Roman"/>
                <w:color w:val="auto"/>
                <w:kern w:val="0"/>
                <w:sz w:val="24"/>
                <w:szCs w:val="24"/>
                <w:lang w:val="en-US" w:eastAsia="zh-CN" w:bidi="ar"/>
              </w:rPr>
              <w:t>；配套设</w:t>
            </w:r>
            <w:r>
              <w:rPr>
                <w:rFonts w:hint="default" w:cs="Times New Roman"/>
                <w:color w:val="auto"/>
                <w:kern w:val="0"/>
                <w:sz w:val="24"/>
                <w:szCs w:val="24"/>
                <w:lang w:val="en-US" w:eastAsia="zh-CN" w:bidi="ar"/>
              </w:rPr>
              <w:t>40m</w:t>
            </w:r>
            <w:r>
              <w:rPr>
                <w:rFonts w:hint="eastAsia" w:cs="Times New Roman"/>
                <w:color w:val="auto"/>
                <w:kern w:val="0"/>
                <w:sz w:val="24"/>
                <w:szCs w:val="24"/>
                <w:lang w:val="en-US" w:eastAsia="zh-CN" w:bidi="ar"/>
              </w:rPr>
              <w:t>跨度龙门吊设备，靠道路侧设有边跨作业场地；机待线共用机</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道。主要功能为装成品钢材，利用富余能力卸部分集装箱。</w:t>
            </w:r>
          </w:p>
          <w:p w14:paraId="5474E6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调车区：设调存线</w:t>
            </w:r>
            <w:r>
              <w:rPr>
                <w:rFonts w:hint="default" w:cs="Times New Roman"/>
                <w:color w:val="auto"/>
                <w:kern w:val="0"/>
                <w:sz w:val="24"/>
                <w:szCs w:val="24"/>
                <w:lang w:val="en-US" w:eastAsia="zh-CN" w:bidi="ar"/>
              </w:rPr>
              <w:t>3</w:t>
            </w:r>
            <w:r>
              <w:rPr>
                <w:rFonts w:hint="eastAsia" w:cs="Times New Roman"/>
                <w:color w:val="auto"/>
                <w:kern w:val="0"/>
                <w:sz w:val="24"/>
                <w:szCs w:val="24"/>
                <w:lang w:val="en-US" w:eastAsia="zh-CN" w:bidi="ar"/>
              </w:rPr>
              <w:t>条（</w:t>
            </w:r>
            <w:r>
              <w:rPr>
                <w:rFonts w:hint="default" w:cs="Times New Roman"/>
                <w:color w:val="auto"/>
                <w:kern w:val="0"/>
                <w:sz w:val="24"/>
                <w:szCs w:val="24"/>
                <w:lang w:val="en-US" w:eastAsia="zh-CN" w:bidi="ar"/>
              </w:rPr>
              <w:t>VI</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8</w:t>
            </w:r>
            <w:r>
              <w:rPr>
                <w:rFonts w:hint="eastAsia" w:cs="Times New Roman"/>
                <w:color w:val="auto"/>
                <w:kern w:val="0"/>
                <w:sz w:val="24"/>
                <w:szCs w:val="24"/>
                <w:lang w:val="en-US" w:eastAsia="zh-CN" w:bidi="ar"/>
              </w:rPr>
              <w:t>道），有效长分别为</w:t>
            </w:r>
            <w:r>
              <w:rPr>
                <w:rFonts w:hint="default" w:cs="Times New Roman"/>
                <w:color w:val="auto"/>
                <w:kern w:val="0"/>
                <w:sz w:val="24"/>
                <w:szCs w:val="24"/>
                <w:lang w:val="en-US" w:eastAsia="zh-CN" w:bidi="ar"/>
              </w:rPr>
              <w:t>712m</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712m</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680m</w:t>
            </w:r>
            <w:r>
              <w:rPr>
                <w:rFonts w:hint="eastAsia" w:cs="Times New Roman"/>
                <w:color w:val="auto"/>
                <w:kern w:val="0"/>
                <w:sz w:val="24"/>
                <w:szCs w:val="24"/>
                <w:lang w:val="en-US" w:eastAsia="zh-CN" w:bidi="ar"/>
              </w:rPr>
              <w:t>，尾部设机待线</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条（机</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道），有效长</w:t>
            </w:r>
            <w:r>
              <w:rPr>
                <w:rFonts w:hint="default" w:cs="Times New Roman"/>
                <w:color w:val="auto"/>
                <w:kern w:val="0"/>
                <w:sz w:val="24"/>
                <w:szCs w:val="24"/>
                <w:lang w:val="en-US" w:eastAsia="zh-CN" w:bidi="ar"/>
              </w:rPr>
              <w:t>90m</w:t>
            </w:r>
            <w:r>
              <w:rPr>
                <w:rFonts w:hint="eastAsia" w:cs="Times New Roman"/>
                <w:color w:val="auto"/>
                <w:kern w:val="0"/>
                <w:sz w:val="24"/>
                <w:szCs w:val="24"/>
                <w:lang w:val="en-US" w:eastAsia="zh-CN" w:bidi="ar"/>
              </w:rPr>
              <w:t>。</w:t>
            </w:r>
          </w:p>
          <w:p w14:paraId="420D72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翻车机卸车区：设双翻翻车机</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台（业主另行委托设计），配套设重车线</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条（</w:t>
            </w:r>
            <w:r>
              <w:rPr>
                <w:rFonts w:hint="default" w:cs="Times New Roman"/>
                <w:color w:val="auto"/>
                <w:kern w:val="0"/>
                <w:sz w:val="24"/>
                <w:szCs w:val="24"/>
                <w:lang w:val="en-US" w:eastAsia="zh-CN" w:bidi="ar"/>
              </w:rPr>
              <w:t>4</w:t>
            </w:r>
            <w:r>
              <w:rPr>
                <w:rFonts w:hint="eastAsia" w:cs="Times New Roman"/>
                <w:color w:val="auto"/>
                <w:kern w:val="0"/>
                <w:sz w:val="24"/>
                <w:szCs w:val="24"/>
                <w:lang w:val="en-US" w:eastAsia="zh-CN" w:bidi="ar"/>
              </w:rPr>
              <w:t>道）、有效长</w:t>
            </w:r>
            <w:r>
              <w:rPr>
                <w:rFonts w:hint="default" w:cs="Times New Roman"/>
                <w:color w:val="auto"/>
                <w:kern w:val="0"/>
                <w:sz w:val="24"/>
                <w:szCs w:val="24"/>
                <w:lang w:val="en-US" w:eastAsia="zh-CN" w:bidi="ar"/>
              </w:rPr>
              <w:t>745m</w:t>
            </w:r>
            <w:r>
              <w:rPr>
                <w:rFonts w:hint="eastAsia" w:cs="Times New Roman"/>
                <w:color w:val="auto"/>
                <w:kern w:val="0"/>
                <w:sz w:val="24"/>
                <w:szCs w:val="24"/>
                <w:lang w:val="en-US" w:eastAsia="zh-CN" w:bidi="ar"/>
              </w:rPr>
              <w:t>，空车线</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条（</w:t>
            </w:r>
            <w:r>
              <w:rPr>
                <w:rFonts w:hint="default" w:cs="Times New Roman"/>
                <w:color w:val="auto"/>
                <w:kern w:val="0"/>
                <w:sz w:val="24"/>
                <w:szCs w:val="24"/>
                <w:lang w:val="en-US" w:eastAsia="zh-CN" w:bidi="ar"/>
              </w:rPr>
              <w:t>5</w:t>
            </w:r>
            <w:r>
              <w:rPr>
                <w:rFonts w:hint="eastAsia" w:cs="Times New Roman"/>
                <w:color w:val="auto"/>
                <w:kern w:val="0"/>
                <w:sz w:val="24"/>
                <w:szCs w:val="24"/>
                <w:lang w:val="en-US" w:eastAsia="zh-CN" w:bidi="ar"/>
              </w:rPr>
              <w:t>道）、有效长</w:t>
            </w:r>
            <w:r>
              <w:rPr>
                <w:rFonts w:hint="default" w:cs="Times New Roman"/>
                <w:color w:val="auto"/>
                <w:kern w:val="0"/>
                <w:sz w:val="24"/>
                <w:szCs w:val="24"/>
                <w:lang w:val="en-US" w:eastAsia="zh-CN" w:bidi="ar"/>
              </w:rPr>
              <w:t>736m</w:t>
            </w:r>
            <w:r>
              <w:rPr>
                <w:rFonts w:hint="eastAsia" w:cs="Times New Roman"/>
                <w:color w:val="auto"/>
                <w:kern w:val="0"/>
                <w:sz w:val="24"/>
                <w:szCs w:val="24"/>
                <w:lang w:val="en-US" w:eastAsia="zh-CN" w:bidi="ar"/>
              </w:rPr>
              <w:t>，预留存车线</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条；共用机车走行线</w:t>
            </w:r>
            <w:r>
              <w:rPr>
                <w:rFonts w:hint="default" w:cs="Times New Roman"/>
                <w:color w:val="auto"/>
                <w:kern w:val="0"/>
                <w:sz w:val="24"/>
                <w:szCs w:val="24"/>
                <w:lang w:val="en-US" w:eastAsia="zh-CN" w:bidi="ar"/>
              </w:rPr>
              <w:t>3</w:t>
            </w:r>
            <w:r>
              <w:rPr>
                <w:rFonts w:hint="eastAsia" w:cs="Times New Roman"/>
                <w:color w:val="auto"/>
                <w:kern w:val="0"/>
                <w:sz w:val="24"/>
                <w:szCs w:val="24"/>
                <w:lang w:val="en-US" w:eastAsia="zh-CN" w:bidi="ar"/>
              </w:rPr>
              <w:t>道。主要功能为卸敞车。</w:t>
            </w:r>
          </w:p>
          <w:p w14:paraId="6CFFF6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右侧龙门吊装卸区（靠配煤棚侧）：设货物线</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条（</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道与</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道）、有效长分别为789</w:t>
            </w:r>
            <w:r>
              <w:rPr>
                <w:rFonts w:hint="default" w:cs="Times New Roman"/>
                <w:color w:val="auto"/>
                <w:kern w:val="0"/>
                <w:sz w:val="24"/>
                <w:szCs w:val="24"/>
                <w:lang w:val="en-US" w:eastAsia="zh-CN" w:bidi="ar"/>
              </w:rPr>
              <w:t>m</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687m</w:t>
            </w:r>
            <w:r>
              <w:rPr>
                <w:rFonts w:hint="eastAsia" w:cs="Times New Roman"/>
                <w:color w:val="auto"/>
                <w:kern w:val="0"/>
                <w:sz w:val="24"/>
                <w:szCs w:val="24"/>
                <w:lang w:val="en-US" w:eastAsia="zh-CN" w:bidi="ar"/>
              </w:rPr>
              <w:t>；设机待线</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条（机</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道）、有效长</w:t>
            </w:r>
            <w:r>
              <w:rPr>
                <w:rFonts w:hint="default" w:cs="Times New Roman"/>
                <w:color w:val="auto"/>
                <w:kern w:val="0"/>
                <w:sz w:val="24"/>
                <w:szCs w:val="24"/>
                <w:lang w:val="en-US" w:eastAsia="zh-CN" w:bidi="ar"/>
              </w:rPr>
              <w:t>90m</w:t>
            </w:r>
            <w:r>
              <w:rPr>
                <w:rFonts w:hint="eastAsia" w:cs="Times New Roman"/>
                <w:color w:val="auto"/>
                <w:kern w:val="0"/>
                <w:sz w:val="24"/>
                <w:szCs w:val="24"/>
                <w:lang w:val="en-US" w:eastAsia="zh-CN" w:bidi="ar"/>
              </w:rPr>
              <w:t>；配套设</w:t>
            </w:r>
            <w:r>
              <w:rPr>
                <w:rFonts w:hint="default" w:cs="Times New Roman"/>
                <w:color w:val="auto"/>
                <w:kern w:val="0"/>
                <w:sz w:val="24"/>
                <w:szCs w:val="24"/>
                <w:lang w:val="en-US" w:eastAsia="zh-CN" w:bidi="ar"/>
              </w:rPr>
              <w:t>35m</w:t>
            </w:r>
            <w:r>
              <w:rPr>
                <w:rFonts w:hint="eastAsia" w:cs="Times New Roman"/>
                <w:color w:val="auto"/>
                <w:kern w:val="0"/>
                <w:sz w:val="24"/>
                <w:szCs w:val="24"/>
                <w:lang w:val="en-US" w:eastAsia="zh-CN" w:bidi="ar"/>
              </w:rPr>
              <w:t>跨度龙门吊设备（因受用地限制，无边跨）；机车走行线</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条（</w:t>
            </w:r>
            <w:r>
              <w:rPr>
                <w:rFonts w:hint="default" w:cs="Times New Roman"/>
                <w:color w:val="auto"/>
                <w:kern w:val="0"/>
                <w:sz w:val="24"/>
                <w:szCs w:val="24"/>
                <w:lang w:val="en-US" w:eastAsia="zh-CN" w:bidi="ar"/>
              </w:rPr>
              <w:t>3</w:t>
            </w:r>
            <w:r>
              <w:rPr>
                <w:rFonts w:hint="eastAsia" w:cs="Times New Roman"/>
                <w:color w:val="auto"/>
                <w:kern w:val="0"/>
                <w:sz w:val="24"/>
                <w:szCs w:val="24"/>
                <w:lang w:val="en-US" w:eastAsia="zh-CN" w:bidi="ar"/>
              </w:rPr>
              <w:t>道）。主要功能为卸集装箱。</w:t>
            </w:r>
          </w:p>
          <w:p w14:paraId="1F36FF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本专用线小里程端咽喉设牵出线</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条、有效长</w:t>
            </w:r>
            <w:r>
              <w:rPr>
                <w:rFonts w:hint="default" w:cs="Times New Roman"/>
                <w:color w:val="auto"/>
                <w:kern w:val="0"/>
                <w:sz w:val="24"/>
                <w:szCs w:val="24"/>
                <w:lang w:val="en-US" w:eastAsia="zh-CN" w:bidi="ar"/>
              </w:rPr>
              <w:t>350m</w:t>
            </w:r>
            <w:r>
              <w:rPr>
                <w:rFonts w:hint="eastAsia" w:cs="Times New Roman"/>
                <w:color w:val="auto"/>
                <w:kern w:val="0"/>
                <w:sz w:val="24"/>
                <w:szCs w:val="24"/>
                <w:lang w:val="en-US" w:eastAsia="zh-CN" w:bidi="ar"/>
              </w:rPr>
              <w:t>，远期预留延长至650m；设轨道衡</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台、生产生活设施场坪</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处，配套设置货场道路。</w:t>
            </w:r>
          </w:p>
          <w:p w14:paraId="0A22EC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2、站场轨道</w:t>
            </w:r>
          </w:p>
          <w:p w14:paraId="25A229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①站线钢轨及配件</w:t>
            </w:r>
          </w:p>
          <w:p w14:paraId="31FBB4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站线钢轨采用</w:t>
            </w:r>
            <w:r>
              <w:rPr>
                <w:rFonts w:hint="default" w:cs="Times New Roman"/>
                <w:color w:val="auto"/>
                <w:kern w:val="0"/>
                <w:sz w:val="24"/>
                <w:szCs w:val="24"/>
                <w:lang w:val="en-US" w:eastAsia="zh-CN" w:bidi="ar"/>
              </w:rPr>
              <w:t>25m</w:t>
            </w:r>
            <w:r>
              <w:rPr>
                <w:rFonts w:hint="eastAsia" w:cs="Times New Roman"/>
                <w:color w:val="auto"/>
                <w:kern w:val="0"/>
                <w:sz w:val="24"/>
                <w:szCs w:val="24"/>
                <w:lang w:val="en-US" w:eastAsia="zh-CN" w:bidi="ar"/>
              </w:rPr>
              <w:t>定尺长、</w:t>
            </w:r>
            <w:r>
              <w:rPr>
                <w:rFonts w:hint="default" w:cs="Times New Roman"/>
                <w:color w:val="auto"/>
                <w:kern w:val="0"/>
                <w:sz w:val="24"/>
                <w:szCs w:val="24"/>
                <w:lang w:val="en-US" w:eastAsia="zh-CN" w:bidi="ar"/>
              </w:rPr>
              <w:t>50kg/m</w:t>
            </w:r>
            <w:r>
              <w:rPr>
                <w:rFonts w:hint="eastAsia" w:cs="Times New Roman"/>
                <w:color w:val="auto"/>
                <w:kern w:val="0"/>
                <w:sz w:val="24"/>
                <w:szCs w:val="24"/>
                <w:lang w:val="en-US" w:eastAsia="zh-CN" w:bidi="ar"/>
              </w:rPr>
              <w:t>钢轨，配件采用</w:t>
            </w:r>
            <w:r>
              <w:rPr>
                <w:rFonts w:hint="default" w:cs="Times New Roman"/>
                <w:color w:val="auto"/>
                <w:kern w:val="0"/>
                <w:sz w:val="24"/>
                <w:szCs w:val="24"/>
                <w:lang w:val="en-US" w:eastAsia="zh-CN" w:bidi="ar"/>
              </w:rPr>
              <w:t>10.9</w:t>
            </w:r>
            <w:r>
              <w:rPr>
                <w:rFonts w:hint="eastAsia" w:cs="Times New Roman"/>
                <w:color w:val="auto"/>
                <w:kern w:val="0"/>
                <w:sz w:val="24"/>
                <w:szCs w:val="24"/>
                <w:lang w:val="en-US" w:eastAsia="zh-CN" w:bidi="ar"/>
              </w:rPr>
              <w:t>级高强度接头螺栓、单层弹簧垫圈、</w:t>
            </w:r>
            <w:r>
              <w:rPr>
                <w:rFonts w:hint="default" w:cs="Times New Roman"/>
                <w:color w:val="auto"/>
                <w:kern w:val="0"/>
                <w:sz w:val="24"/>
                <w:szCs w:val="24"/>
                <w:lang w:val="en-US" w:eastAsia="zh-CN" w:bidi="ar"/>
              </w:rPr>
              <w:t>10</w:t>
            </w:r>
            <w:r>
              <w:rPr>
                <w:rFonts w:hint="eastAsia" w:cs="Times New Roman"/>
                <w:color w:val="auto"/>
                <w:kern w:val="0"/>
                <w:sz w:val="24"/>
                <w:szCs w:val="24"/>
                <w:lang w:val="en-US" w:eastAsia="zh-CN" w:bidi="ar"/>
              </w:rPr>
              <w:t>级螺母。</w:t>
            </w:r>
          </w:p>
          <w:p w14:paraId="22183F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②站线轨枕及扣件</w:t>
            </w:r>
          </w:p>
          <w:p w14:paraId="1D51A2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站线铺设</w:t>
            </w:r>
            <w:r>
              <w:rPr>
                <w:rFonts w:hint="default" w:cs="Times New Roman"/>
                <w:color w:val="auto"/>
                <w:kern w:val="0"/>
                <w:sz w:val="24"/>
                <w:szCs w:val="24"/>
                <w:lang w:val="en-US" w:eastAsia="zh-CN" w:bidi="ar"/>
              </w:rPr>
              <w:t>1600</w:t>
            </w:r>
            <w:r>
              <w:rPr>
                <w:rFonts w:hint="eastAsia" w:cs="Times New Roman"/>
                <w:color w:val="auto"/>
                <w:kern w:val="0"/>
                <w:sz w:val="24"/>
                <w:szCs w:val="24"/>
                <w:lang w:val="en-US" w:eastAsia="zh-CN" w:bidi="ar"/>
              </w:rPr>
              <w:t>根</w:t>
            </w:r>
            <w:r>
              <w:rPr>
                <w:rFonts w:hint="default" w:cs="Times New Roman"/>
                <w:color w:val="auto"/>
                <w:kern w:val="0"/>
                <w:sz w:val="24"/>
                <w:szCs w:val="24"/>
                <w:lang w:val="en-US" w:eastAsia="zh-CN" w:bidi="ar"/>
              </w:rPr>
              <w:t>/km</w:t>
            </w:r>
            <w:r>
              <w:rPr>
                <w:rFonts w:hint="eastAsia" w:cs="Times New Roman"/>
                <w:color w:val="auto"/>
                <w:kern w:val="0"/>
                <w:sz w:val="24"/>
                <w:szCs w:val="24"/>
                <w:lang w:val="en-US" w:eastAsia="zh-CN" w:bidi="ar"/>
              </w:rPr>
              <w:t>新</w:t>
            </w:r>
            <w:r>
              <w:rPr>
                <w:rFonts w:hint="default" w:cs="Times New Roman"/>
                <w:color w:val="auto"/>
                <w:kern w:val="0"/>
                <w:sz w:val="24"/>
                <w:szCs w:val="24"/>
                <w:lang w:val="en-US" w:eastAsia="zh-CN" w:bidi="ar"/>
              </w:rPr>
              <w:t>Ⅱ</w:t>
            </w:r>
            <w:r>
              <w:rPr>
                <w:rFonts w:hint="eastAsia" w:cs="Times New Roman"/>
                <w:color w:val="auto"/>
                <w:kern w:val="0"/>
                <w:sz w:val="24"/>
                <w:szCs w:val="24"/>
                <w:lang w:val="en-US" w:eastAsia="zh-CN" w:bidi="ar"/>
              </w:rPr>
              <w:t>型混凝土枕，采用弾条</w:t>
            </w:r>
            <w:r>
              <w:rPr>
                <w:rFonts w:hint="default" w:cs="Times New Roman"/>
                <w:color w:val="auto"/>
                <w:kern w:val="0"/>
                <w:sz w:val="24"/>
                <w:szCs w:val="24"/>
                <w:lang w:val="en-US" w:eastAsia="zh-CN" w:bidi="ar"/>
              </w:rPr>
              <w:t>Ⅰ</w:t>
            </w:r>
            <w:r>
              <w:rPr>
                <w:rFonts w:hint="eastAsia" w:cs="Times New Roman"/>
                <w:color w:val="auto"/>
                <w:kern w:val="0"/>
                <w:sz w:val="24"/>
                <w:szCs w:val="24"/>
                <w:lang w:val="en-US" w:eastAsia="zh-CN" w:bidi="ar"/>
              </w:rPr>
              <w:t>型扣件。</w:t>
            </w:r>
          </w:p>
          <w:p w14:paraId="0E4107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③道床</w:t>
            </w:r>
          </w:p>
          <w:p w14:paraId="7846CB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default" w:cs="Times New Roman"/>
                <w:color w:val="auto"/>
                <w:kern w:val="0"/>
                <w:sz w:val="24"/>
                <w:szCs w:val="24"/>
                <w:lang w:val="en-US" w:eastAsia="zh-CN" w:bidi="ar"/>
              </w:rPr>
              <w:t>A.</w:t>
            </w:r>
            <w:r>
              <w:rPr>
                <w:rFonts w:hint="eastAsia" w:cs="Times New Roman"/>
                <w:color w:val="auto"/>
                <w:kern w:val="0"/>
                <w:sz w:val="24"/>
                <w:szCs w:val="24"/>
                <w:lang w:val="en-US" w:eastAsia="zh-CN" w:bidi="ar"/>
              </w:rPr>
              <w:t>站线轨道的道床按单线轨道设计，车站咽喉区进行洼垄填碴。</w:t>
            </w:r>
          </w:p>
          <w:p w14:paraId="517D04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default" w:cs="Times New Roman"/>
                <w:color w:val="auto"/>
                <w:kern w:val="0"/>
                <w:sz w:val="24"/>
                <w:szCs w:val="24"/>
                <w:lang w:val="en-US" w:eastAsia="zh-CN" w:bidi="ar"/>
              </w:rPr>
              <w:t>B.</w:t>
            </w:r>
            <w:r>
              <w:rPr>
                <w:rFonts w:hint="eastAsia" w:cs="Times New Roman"/>
                <w:color w:val="auto"/>
                <w:kern w:val="0"/>
                <w:sz w:val="24"/>
                <w:szCs w:val="24"/>
                <w:lang w:val="en-US" w:eastAsia="zh-CN" w:bidi="ar"/>
              </w:rPr>
              <w:t>道岔区的道床厚度、宽度、边坡应与连接的主要线路一致，混凝土岔枕引起的连接线路道床厚度差，应在道岔外</w:t>
            </w:r>
            <w:r>
              <w:rPr>
                <w:rFonts w:hint="default" w:cs="Times New Roman"/>
                <w:color w:val="auto"/>
                <w:kern w:val="0"/>
                <w:sz w:val="24"/>
                <w:szCs w:val="24"/>
                <w:lang w:val="en-US" w:eastAsia="zh-CN" w:bidi="ar"/>
              </w:rPr>
              <w:t>30m</w:t>
            </w:r>
            <w:r>
              <w:rPr>
                <w:rFonts w:hint="eastAsia" w:cs="Times New Roman"/>
                <w:color w:val="auto"/>
                <w:kern w:val="0"/>
                <w:sz w:val="24"/>
                <w:szCs w:val="24"/>
                <w:lang w:val="en-US" w:eastAsia="zh-CN" w:bidi="ar"/>
              </w:rPr>
              <w:t>顺坡。</w:t>
            </w:r>
          </w:p>
          <w:p w14:paraId="1DA8D7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default" w:cs="Times New Roman"/>
                <w:color w:val="auto"/>
                <w:kern w:val="0"/>
                <w:sz w:val="24"/>
                <w:szCs w:val="24"/>
                <w:lang w:val="en-US" w:eastAsia="zh-CN" w:bidi="ar"/>
              </w:rPr>
              <w:t>C.</w:t>
            </w:r>
            <w:r>
              <w:rPr>
                <w:rFonts w:hint="eastAsia" w:cs="Times New Roman"/>
                <w:color w:val="auto"/>
                <w:kern w:val="0"/>
                <w:sz w:val="24"/>
                <w:szCs w:val="24"/>
                <w:lang w:val="en-US" w:eastAsia="zh-CN" w:bidi="ar"/>
              </w:rPr>
              <w:t>站线轨道按有缝线路设计，道岔道床顶面宽度为</w:t>
            </w:r>
            <w:r>
              <w:rPr>
                <w:rFonts w:hint="default" w:cs="Times New Roman"/>
                <w:color w:val="auto"/>
                <w:kern w:val="0"/>
                <w:sz w:val="24"/>
                <w:szCs w:val="24"/>
                <w:lang w:val="en-US" w:eastAsia="zh-CN" w:bidi="ar"/>
              </w:rPr>
              <w:t>2.9m</w:t>
            </w:r>
            <w:r>
              <w:rPr>
                <w:rFonts w:hint="eastAsia" w:cs="Times New Roman"/>
                <w:color w:val="auto"/>
                <w:kern w:val="0"/>
                <w:sz w:val="24"/>
                <w:szCs w:val="24"/>
                <w:lang w:val="en-US" w:eastAsia="zh-CN" w:bidi="ar"/>
              </w:rPr>
              <w:t>。</w:t>
            </w:r>
          </w:p>
          <w:p w14:paraId="61A14C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④道岔：专用线正线上的道岔，其轨型应与正线轨型一致。站线上的道岔，其轨型不应低于该站线轨型，当其高于该线路轨型时，应在道岔前后各铺长度不小于</w:t>
            </w:r>
            <w:r>
              <w:rPr>
                <w:rFonts w:hint="default" w:cs="Times New Roman"/>
                <w:color w:val="auto"/>
                <w:kern w:val="0"/>
                <w:sz w:val="24"/>
                <w:szCs w:val="24"/>
                <w:lang w:val="en-US" w:eastAsia="zh-CN" w:bidi="ar"/>
              </w:rPr>
              <w:t>6.25m</w:t>
            </w:r>
            <w:r>
              <w:rPr>
                <w:rFonts w:hint="eastAsia" w:cs="Times New Roman"/>
                <w:color w:val="auto"/>
                <w:kern w:val="0"/>
                <w:sz w:val="24"/>
                <w:szCs w:val="24"/>
                <w:lang w:val="en-US" w:eastAsia="zh-CN" w:bidi="ar"/>
              </w:rPr>
              <w:t>的异型轨，在困难条件下不应小于</w:t>
            </w:r>
            <w:r>
              <w:rPr>
                <w:rFonts w:hint="default" w:cs="Times New Roman"/>
                <w:color w:val="auto"/>
                <w:kern w:val="0"/>
                <w:sz w:val="24"/>
                <w:szCs w:val="24"/>
                <w:lang w:val="en-US" w:eastAsia="zh-CN" w:bidi="ar"/>
              </w:rPr>
              <w:t>4.5m</w:t>
            </w:r>
            <w:r>
              <w:rPr>
                <w:rFonts w:hint="eastAsia" w:cs="Times New Roman"/>
                <w:color w:val="auto"/>
                <w:kern w:val="0"/>
                <w:sz w:val="24"/>
                <w:szCs w:val="24"/>
                <w:lang w:val="en-US" w:eastAsia="zh-CN" w:bidi="ar"/>
              </w:rPr>
              <w:t>，并不应连续铺设。</w:t>
            </w:r>
          </w:p>
          <w:p w14:paraId="1C47C9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⑤轨道加强设备</w:t>
            </w:r>
          </w:p>
          <w:p w14:paraId="16B8A1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default" w:cs="Times New Roman"/>
                <w:color w:val="auto"/>
                <w:kern w:val="0"/>
                <w:sz w:val="24"/>
                <w:szCs w:val="24"/>
                <w:lang w:val="en-US" w:eastAsia="zh-CN" w:bidi="ar"/>
              </w:rPr>
              <w:t>A.</w:t>
            </w:r>
            <w:r>
              <w:rPr>
                <w:rFonts w:hint="eastAsia" w:cs="Times New Roman"/>
                <w:color w:val="auto"/>
                <w:kern w:val="0"/>
                <w:sz w:val="24"/>
                <w:szCs w:val="24"/>
                <w:lang w:val="en-US" w:eastAsia="zh-CN" w:bidi="ar"/>
              </w:rPr>
              <w:t>混凝土枕轨道</w:t>
            </w:r>
          </w:p>
          <w:p w14:paraId="561098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混凝土枕轨道采用弹性扣件时，不设置防爬设备。</w:t>
            </w:r>
          </w:p>
          <w:p w14:paraId="12D6CB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default" w:cs="Times New Roman"/>
                <w:color w:val="auto"/>
                <w:kern w:val="0"/>
                <w:sz w:val="24"/>
                <w:szCs w:val="24"/>
                <w:lang w:val="en-US" w:eastAsia="zh-CN" w:bidi="ar"/>
              </w:rPr>
              <w:t>B.</w:t>
            </w:r>
            <w:r>
              <w:rPr>
                <w:rFonts w:hint="eastAsia" w:cs="Times New Roman"/>
                <w:color w:val="auto"/>
                <w:kern w:val="0"/>
                <w:sz w:val="24"/>
                <w:szCs w:val="24"/>
                <w:lang w:val="en-US" w:eastAsia="zh-CN" w:bidi="ar"/>
              </w:rPr>
              <w:t>道岔</w:t>
            </w:r>
          </w:p>
          <w:p w14:paraId="2B1B26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混凝土岔枕道岔均不设置防爬设备。</w:t>
            </w:r>
          </w:p>
          <w:p w14:paraId="35EFBA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3、站场路基</w:t>
            </w:r>
          </w:p>
          <w:p w14:paraId="0DF2CE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①站内最外侧线路最小路肩宽度路堤不应小于</w:t>
            </w:r>
            <w:r>
              <w:rPr>
                <w:rFonts w:hint="default" w:cs="Times New Roman"/>
                <w:color w:val="auto"/>
                <w:kern w:val="0"/>
                <w:sz w:val="24"/>
                <w:szCs w:val="24"/>
                <w:lang w:val="en-US" w:eastAsia="zh-CN" w:bidi="ar"/>
              </w:rPr>
              <w:t>0.6m</w:t>
            </w:r>
            <w:r>
              <w:rPr>
                <w:rFonts w:hint="eastAsia" w:cs="Times New Roman"/>
                <w:color w:val="auto"/>
                <w:kern w:val="0"/>
                <w:sz w:val="24"/>
                <w:szCs w:val="24"/>
                <w:lang w:val="en-US" w:eastAsia="zh-CN" w:bidi="ar"/>
              </w:rPr>
              <w:t>，路堑不应小于</w:t>
            </w:r>
            <w:r>
              <w:rPr>
                <w:rFonts w:hint="default" w:cs="Times New Roman"/>
                <w:color w:val="auto"/>
                <w:kern w:val="0"/>
                <w:sz w:val="24"/>
                <w:szCs w:val="24"/>
                <w:lang w:val="en-US" w:eastAsia="zh-CN" w:bidi="ar"/>
              </w:rPr>
              <w:t>0.4m</w:t>
            </w:r>
            <w:r>
              <w:rPr>
                <w:rFonts w:hint="eastAsia" w:cs="Times New Roman"/>
                <w:color w:val="auto"/>
                <w:kern w:val="0"/>
                <w:sz w:val="24"/>
                <w:szCs w:val="24"/>
                <w:lang w:val="en-US" w:eastAsia="zh-CN" w:bidi="ar"/>
              </w:rPr>
              <w:t>。</w:t>
            </w:r>
          </w:p>
          <w:p w14:paraId="6FC408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②站线路基填料、压实标准与区间路基相同。</w:t>
            </w:r>
          </w:p>
          <w:p w14:paraId="2810CD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4、站场用地</w:t>
            </w:r>
          </w:p>
          <w:p w14:paraId="6FCA39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①站场范围内的用地包括各场、所的用地以及铁路房屋、站内道路、排水、绿化及取弃土场等所需用地。</w:t>
            </w:r>
          </w:p>
          <w:p w14:paraId="1F98BC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②站场范围以外的生产、生活房屋等设施的用地不包括在站场用地内。</w:t>
            </w:r>
          </w:p>
          <w:p w14:paraId="41ACA1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③路堤用地宽度：排水沟、护道或矮脚挡墙边缘外不小于</w:t>
            </w:r>
            <w:r>
              <w:rPr>
                <w:rFonts w:hint="default" w:cs="Times New Roman"/>
                <w:color w:val="auto"/>
                <w:kern w:val="0"/>
                <w:sz w:val="24"/>
                <w:szCs w:val="24"/>
                <w:lang w:val="en-US" w:eastAsia="zh-CN" w:bidi="ar"/>
              </w:rPr>
              <w:t>3.0</w:t>
            </w:r>
            <w:r>
              <w:rPr>
                <w:rFonts w:hint="eastAsia" w:cs="Times New Roman"/>
                <w:color w:val="auto"/>
                <w:kern w:val="0"/>
                <w:sz w:val="24"/>
                <w:szCs w:val="24"/>
                <w:lang w:val="en-US" w:eastAsia="zh-CN" w:bidi="ar"/>
              </w:rPr>
              <w:t>米；路堤两端兼作排水的取土坑、弃土场（堆）时，其边缘外不小于</w:t>
            </w:r>
            <w:r>
              <w:rPr>
                <w:rFonts w:hint="default" w:cs="Times New Roman"/>
                <w:color w:val="auto"/>
                <w:kern w:val="0"/>
                <w:sz w:val="24"/>
                <w:szCs w:val="24"/>
                <w:lang w:val="en-US" w:eastAsia="zh-CN" w:bidi="ar"/>
              </w:rPr>
              <w:t>2.0</w:t>
            </w:r>
            <w:r>
              <w:rPr>
                <w:rFonts w:hint="eastAsia" w:cs="Times New Roman"/>
                <w:color w:val="auto"/>
                <w:kern w:val="0"/>
                <w:sz w:val="24"/>
                <w:szCs w:val="24"/>
                <w:lang w:val="en-US" w:eastAsia="zh-CN" w:bidi="ar"/>
              </w:rPr>
              <w:t>米。</w:t>
            </w:r>
          </w:p>
          <w:p w14:paraId="3153E9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④路堑用地宽度：天沟外不小于</w:t>
            </w:r>
            <w:r>
              <w:rPr>
                <w:rFonts w:hint="default" w:cs="Times New Roman"/>
                <w:color w:val="auto"/>
                <w:kern w:val="0"/>
                <w:sz w:val="24"/>
                <w:szCs w:val="24"/>
                <w:lang w:val="en-US" w:eastAsia="zh-CN" w:bidi="ar"/>
              </w:rPr>
              <w:t>2.0</w:t>
            </w:r>
            <w:r>
              <w:rPr>
                <w:rFonts w:hint="eastAsia" w:cs="Times New Roman"/>
                <w:color w:val="auto"/>
                <w:kern w:val="0"/>
                <w:sz w:val="24"/>
                <w:szCs w:val="24"/>
                <w:lang w:val="en-US" w:eastAsia="zh-CN" w:bidi="ar"/>
              </w:rPr>
              <w:t>米；无天沟时，距路堑堑顶边缘外不小于</w:t>
            </w:r>
            <w:r>
              <w:rPr>
                <w:rFonts w:hint="default" w:cs="Times New Roman"/>
                <w:color w:val="auto"/>
                <w:kern w:val="0"/>
                <w:sz w:val="24"/>
                <w:szCs w:val="24"/>
                <w:lang w:val="en-US" w:eastAsia="zh-CN" w:bidi="ar"/>
              </w:rPr>
              <w:t>5.0</w:t>
            </w:r>
            <w:r>
              <w:rPr>
                <w:rFonts w:hint="eastAsia" w:cs="Times New Roman"/>
                <w:color w:val="auto"/>
                <w:kern w:val="0"/>
                <w:sz w:val="24"/>
                <w:szCs w:val="24"/>
                <w:lang w:val="en-US" w:eastAsia="zh-CN" w:bidi="ar"/>
              </w:rPr>
              <w:t>米。</w:t>
            </w:r>
          </w:p>
          <w:p w14:paraId="5BBFC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⑤临时用地</w:t>
            </w:r>
          </w:p>
          <w:p w14:paraId="493F7E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default" w:cs="Times New Roman"/>
                <w:color w:val="auto"/>
                <w:kern w:val="0"/>
                <w:sz w:val="24"/>
                <w:szCs w:val="24"/>
                <w:lang w:val="en-US" w:eastAsia="zh-CN" w:bidi="ar"/>
              </w:rPr>
              <w:t>A.</w:t>
            </w:r>
            <w:r>
              <w:rPr>
                <w:rFonts w:hint="eastAsia" w:cs="Times New Roman"/>
                <w:color w:val="auto"/>
                <w:kern w:val="0"/>
                <w:sz w:val="24"/>
                <w:szCs w:val="24"/>
                <w:lang w:val="en-US" w:eastAsia="zh-CN" w:bidi="ar"/>
              </w:rPr>
              <w:t>路基两端不兼作排水的取土场（坑）、弃土场（堆）用地和远离线路的集中取土场（坑）、弃土场（堆）用地都作为临时用地。</w:t>
            </w:r>
          </w:p>
          <w:p w14:paraId="74C33A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default" w:cs="Times New Roman"/>
                <w:color w:val="auto"/>
                <w:kern w:val="0"/>
                <w:sz w:val="24"/>
                <w:szCs w:val="24"/>
                <w:lang w:val="en-US" w:eastAsia="zh-CN" w:bidi="ar"/>
              </w:rPr>
              <w:t>B.</w:t>
            </w:r>
            <w:r>
              <w:rPr>
                <w:rFonts w:hint="eastAsia" w:cs="Times New Roman"/>
                <w:color w:val="auto"/>
                <w:kern w:val="0"/>
                <w:sz w:val="24"/>
                <w:szCs w:val="24"/>
                <w:lang w:val="en-US" w:eastAsia="zh-CN" w:bidi="ar"/>
              </w:rPr>
              <w:t>临时用地占用的耕地应依法复垦</w:t>
            </w:r>
          </w:p>
          <w:p w14:paraId="690BEC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临时用地期满，应及时将临时用地清理后交还原土地所有者和使用者。</w:t>
            </w:r>
          </w:p>
          <w:p w14:paraId="7199EC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六、机务</w:t>
            </w:r>
          </w:p>
          <w:p w14:paraId="53273D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本次设计对既有正线机务设备分布不做变动。昆明机务段的电力机车担当昆明东至化念、化念至化念南间的机车交路。本次设计在机</w:t>
            </w:r>
            <w:r>
              <w:rPr>
                <w:rFonts w:hint="default" w:cs="Times New Roman"/>
                <w:color w:val="auto"/>
                <w:kern w:val="0"/>
                <w:sz w:val="24"/>
                <w:szCs w:val="24"/>
                <w:lang w:val="en-US" w:eastAsia="zh-CN" w:bidi="ar"/>
              </w:rPr>
              <w:t>2</w:t>
            </w:r>
            <w:r>
              <w:rPr>
                <w:rFonts w:hint="eastAsia" w:cs="Times New Roman"/>
                <w:color w:val="auto"/>
                <w:kern w:val="0"/>
                <w:sz w:val="24"/>
                <w:szCs w:val="24"/>
                <w:lang w:val="en-US" w:eastAsia="zh-CN" w:bidi="ar"/>
              </w:rPr>
              <w:t>道尾部新增</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处规格为</w:t>
            </w:r>
            <w:r>
              <w:rPr>
                <w:rFonts w:hint="default" w:cs="Times New Roman"/>
                <w:color w:val="auto"/>
                <w:kern w:val="0"/>
                <w:sz w:val="24"/>
                <w:szCs w:val="24"/>
                <w:lang w:val="en-US" w:eastAsia="zh-CN" w:bidi="ar"/>
              </w:rPr>
              <w:t>27m</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1.1m</w:t>
            </w:r>
            <w:r>
              <w:rPr>
                <w:rFonts w:hint="eastAsia" w:cs="Times New Roman"/>
                <w:color w:val="auto"/>
                <w:kern w:val="0"/>
                <w:sz w:val="24"/>
                <w:szCs w:val="24"/>
                <w:lang w:val="en-US" w:eastAsia="zh-CN" w:bidi="ar"/>
              </w:rPr>
              <w:t>×</w:t>
            </w:r>
            <w:r>
              <w:rPr>
                <w:rFonts w:hint="default" w:cs="Times New Roman"/>
                <w:color w:val="auto"/>
                <w:kern w:val="0"/>
                <w:sz w:val="24"/>
                <w:szCs w:val="24"/>
                <w:lang w:val="en-US" w:eastAsia="zh-CN" w:bidi="ar"/>
              </w:rPr>
              <w:t>1.1m</w:t>
            </w:r>
            <w:r>
              <w:rPr>
                <w:rFonts w:hint="eastAsia" w:cs="Times New Roman"/>
                <w:color w:val="auto"/>
                <w:kern w:val="0"/>
                <w:sz w:val="24"/>
                <w:szCs w:val="24"/>
                <w:lang w:val="en-US" w:eastAsia="zh-CN" w:bidi="ar"/>
              </w:rPr>
              <w:t>的机车检查坑，坑内设集水坑及照明灯具。</w:t>
            </w:r>
          </w:p>
          <w:p w14:paraId="6D684E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根据行车运量及车站工作量资料，本专用线考虑增加调机</w:t>
            </w:r>
            <w:r>
              <w:rPr>
                <w:rFonts w:hint="default" w:cs="Times New Roman"/>
                <w:color w:val="auto"/>
                <w:kern w:val="0"/>
                <w:sz w:val="24"/>
                <w:szCs w:val="24"/>
                <w:lang w:val="en-US" w:eastAsia="zh-CN" w:bidi="ar"/>
              </w:rPr>
              <w:t>1</w:t>
            </w:r>
            <w:r>
              <w:rPr>
                <w:rFonts w:hint="eastAsia" w:cs="Times New Roman"/>
                <w:color w:val="auto"/>
                <w:kern w:val="0"/>
                <w:sz w:val="24"/>
                <w:szCs w:val="24"/>
                <w:lang w:val="en-US" w:eastAsia="zh-CN" w:bidi="ar"/>
              </w:rPr>
              <w:t>台，化念南至仙福场间的取送车作业由化念南调机承担，内部调车作业由新增调机承担，新增调机配属于仙福场内部，调机的整备检修作业由相邻机务段所承担。</w:t>
            </w:r>
          </w:p>
          <w:p w14:paraId="1FC031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七、电力</w:t>
            </w:r>
          </w:p>
          <w:p w14:paraId="7D33F5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供电方案：本铁路专用线在仙福场信号楼内新建一座变电所，容量为</w:t>
            </w:r>
            <w:r>
              <w:rPr>
                <w:rFonts w:hint="default" w:cs="Times New Roman"/>
                <w:color w:val="auto"/>
                <w:kern w:val="0"/>
                <w:sz w:val="24"/>
                <w:szCs w:val="24"/>
                <w:lang w:val="en-US" w:eastAsia="zh-CN" w:bidi="ar"/>
              </w:rPr>
              <w:t>630+200kVA</w:t>
            </w:r>
            <w:r>
              <w:rPr>
                <w:rFonts w:hint="eastAsia" w:cs="Times New Roman"/>
                <w:color w:val="auto"/>
                <w:kern w:val="0"/>
                <w:sz w:val="24"/>
                <w:szCs w:val="24"/>
                <w:lang w:val="en-US" w:eastAsia="zh-CN" w:bidi="ar"/>
              </w:rPr>
              <w:t>，主要作为信号、信息、通信、备用电源、消防负荷及车站综合设备电源供电。在轨道衡房附近新建一座箱式变电站</w:t>
            </w:r>
            <w:r>
              <w:rPr>
                <w:rFonts w:hint="default" w:cs="Times New Roman"/>
                <w:color w:val="auto"/>
                <w:kern w:val="0"/>
                <w:sz w:val="24"/>
                <w:szCs w:val="24"/>
                <w:lang w:val="en-US" w:eastAsia="zh-CN" w:bidi="ar"/>
              </w:rPr>
              <w:t>BX1</w:t>
            </w:r>
            <w:r>
              <w:rPr>
                <w:rFonts w:hint="eastAsia" w:cs="Times New Roman"/>
                <w:color w:val="auto"/>
                <w:kern w:val="0"/>
                <w:sz w:val="24"/>
                <w:szCs w:val="24"/>
                <w:lang w:val="en-US" w:eastAsia="zh-CN" w:bidi="ar"/>
              </w:rPr>
              <w:t>，容量为</w:t>
            </w:r>
            <w:r>
              <w:rPr>
                <w:rFonts w:hint="default" w:cs="Times New Roman"/>
                <w:color w:val="auto"/>
                <w:kern w:val="0"/>
                <w:sz w:val="24"/>
                <w:szCs w:val="24"/>
                <w:lang w:val="en-US" w:eastAsia="zh-CN" w:bidi="ar"/>
              </w:rPr>
              <w:t>50+50kVA</w:t>
            </w:r>
            <w:r>
              <w:rPr>
                <w:rFonts w:hint="eastAsia" w:cs="Times New Roman"/>
                <w:color w:val="auto"/>
                <w:kern w:val="0"/>
                <w:sz w:val="24"/>
                <w:szCs w:val="24"/>
                <w:lang w:val="en-US" w:eastAsia="zh-CN" w:bidi="ar"/>
              </w:rPr>
              <w:t>，为轨道衡设备、货监系统、牵出线照明及隧道照明等负荷供电；在线路</w:t>
            </w:r>
            <w:r>
              <w:rPr>
                <w:rFonts w:hint="default" w:cs="Times New Roman"/>
                <w:color w:val="auto"/>
                <w:kern w:val="0"/>
                <w:sz w:val="24"/>
                <w:szCs w:val="24"/>
                <w:lang w:val="en-US" w:eastAsia="zh-CN" w:bidi="ar"/>
              </w:rPr>
              <w:t>CK0+605</w:t>
            </w:r>
            <w:r>
              <w:rPr>
                <w:rFonts w:hint="eastAsia" w:cs="Times New Roman"/>
                <w:color w:val="auto"/>
                <w:kern w:val="0"/>
                <w:sz w:val="24"/>
                <w:szCs w:val="24"/>
                <w:lang w:val="en-US" w:eastAsia="zh-CN" w:bidi="ar"/>
              </w:rPr>
              <w:t>左侧龙门吊作业区设置一座箱式变电站</w:t>
            </w:r>
            <w:r>
              <w:rPr>
                <w:rFonts w:hint="default" w:cs="Times New Roman"/>
                <w:color w:val="auto"/>
                <w:kern w:val="0"/>
                <w:sz w:val="24"/>
                <w:szCs w:val="24"/>
                <w:lang w:val="en-US" w:eastAsia="zh-CN" w:bidi="ar"/>
              </w:rPr>
              <w:t>XB2</w:t>
            </w:r>
            <w:r>
              <w:rPr>
                <w:rFonts w:hint="eastAsia" w:cs="Times New Roman"/>
                <w:color w:val="auto"/>
                <w:kern w:val="0"/>
                <w:sz w:val="24"/>
                <w:szCs w:val="24"/>
                <w:lang w:val="en-US" w:eastAsia="zh-CN" w:bidi="ar"/>
              </w:rPr>
              <w:t>，容量为</w:t>
            </w:r>
            <w:r>
              <w:rPr>
                <w:rFonts w:hint="default" w:cs="Times New Roman"/>
                <w:color w:val="auto"/>
                <w:kern w:val="0"/>
                <w:sz w:val="24"/>
                <w:szCs w:val="24"/>
                <w:lang w:val="en-US" w:eastAsia="zh-CN" w:bidi="ar"/>
              </w:rPr>
              <w:t>630kVA</w:t>
            </w:r>
            <w:r>
              <w:rPr>
                <w:rFonts w:hint="eastAsia" w:cs="Times New Roman"/>
                <w:color w:val="auto"/>
                <w:kern w:val="0"/>
                <w:sz w:val="24"/>
                <w:szCs w:val="24"/>
                <w:lang w:val="en-US" w:eastAsia="zh-CN" w:bidi="ar"/>
              </w:rPr>
              <w:t>，为龙门吊设备、站场照明等负荷供电；在线路</w:t>
            </w:r>
            <w:r>
              <w:rPr>
                <w:rFonts w:hint="default" w:cs="Times New Roman"/>
                <w:color w:val="auto"/>
                <w:kern w:val="0"/>
                <w:sz w:val="24"/>
                <w:szCs w:val="24"/>
                <w:lang w:val="en-US" w:eastAsia="zh-CN" w:bidi="ar"/>
              </w:rPr>
              <w:t>CK0+625</w:t>
            </w:r>
            <w:r>
              <w:rPr>
                <w:rFonts w:hint="eastAsia" w:cs="Times New Roman"/>
                <w:color w:val="auto"/>
                <w:kern w:val="0"/>
                <w:sz w:val="24"/>
                <w:szCs w:val="24"/>
                <w:lang w:val="en-US" w:eastAsia="zh-CN" w:bidi="ar"/>
              </w:rPr>
              <w:t>及线路</w:t>
            </w:r>
            <w:r>
              <w:rPr>
                <w:rFonts w:hint="default" w:cs="Times New Roman"/>
                <w:color w:val="auto"/>
                <w:kern w:val="0"/>
                <w:sz w:val="24"/>
                <w:szCs w:val="24"/>
                <w:lang w:val="en-US" w:eastAsia="zh-CN" w:bidi="ar"/>
              </w:rPr>
              <w:t>CK1+282</w:t>
            </w:r>
            <w:r>
              <w:rPr>
                <w:rFonts w:hint="eastAsia" w:cs="Times New Roman"/>
                <w:color w:val="auto"/>
                <w:kern w:val="0"/>
                <w:sz w:val="24"/>
                <w:szCs w:val="24"/>
                <w:lang w:val="en-US" w:eastAsia="zh-CN" w:bidi="ar"/>
              </w:rPr>
              <w:t>处右侧龙门吊作业区分别设置两座箱式变电站</w:t>
            </w:r>
            <w:r>
              <w:rPr>
                <w:rFonts w:hint="default" w:cs="Times New Roman"/>
                <w:color w:val="auto"/>
                <w:kern w:val="0"/>
                <w:sz w:val="24"/>
                <w:szCs w:val="24"/>
                <w:lang w:val="en-US" w:eastAsia="zh-CN" w:bidi="ar"/>
              </w:rPr>
              <w:t>XB3/XB4</w:t>
            </w:r>
            <w:r>
              <w:rPr>
                <w:rFonts w:hint="eastAsia" w:cs="Times New Roman"/>
                <w:color w:val="auto"/>
                <w:kern w:val="0"/>
                <w:sz w:val="24"/>
                <w:szCs w:val="24"/>
                <w:lang w:val="en-US" w:eastAsia="zh-CN" w:bidi="ar"/>
              </w:rPr>
              <w:t>，容量分别为</w:t>
            </w:r>
            <w:r>
              <w:rPr>
                <w:rFonts w:hint="default" w:cs="Times New Roman"/>
                <w:color w:val="auto"/>
                <w:kern w:val="0"/>
                <w:sz w:val="24"/>
                <w:szCs w:val="24"/>
                <w:lang w:val="en-US" w:eastAsia="zh-CN" w:bidi="ar"/>
              </w:rPr>
              <w:t>630kVA</w:t>
            </w:r>
            <w:r>
              <w:rPr>
                <w:rFonts w:hint="eastAsia" w:cs="Times New Roman"/>
                <w:color w:val="auto"/>
                <w:kern w:val="0"/>
                <w:sz w:val="24"/>
                <w:szCs w:val="24"/>
                <w:lang w:val="en-US" w:eastAsia="zh-CN" w:bidi="ar"/>
              </w:rPr>
              <w:t>，为龙门吊设备、站场照明等负荷供电。</w:t>
            </w:r>
          </w:p>
          <w:p w14:paraId="377F93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仙福钢铁厂</w:t>
            </w:r>
            <w:r>
              <w:rPr>
                <w:rFonts w:hint="default" w:cs="Times New Roman"/>
                <w:color w:val="auto"/>
                <w:kern w:val="0"/>
                <w:sz w:val="24"/>
                <w:szCs w:val="24"/>
                <w:lang w:val="en-US" w:eastAsia="zh-CN" w:bidi="ar"/>
              </w:rPr>
              <w:t>10kV</w:t>
            </w:r>
            <w:r>
              <w:rPr>
                <w:rFonts w:hint="eastAsia" w:cs="Times New Roman"/>
                <w:color w:val="auto"/>
                <w:kern w:val="0"/>
                <w:sz w:val="24"/>
                <w:szCs w:val="24"/>
                <w:lang w:val="en-US" w:eastAsia="zh-CN" w:bidi="ar"/>
              </w:rPr>
              <w:t>电源由仙福场区域</w:t>
            </w:r>
            <w:r>
              <w:rPr>
                <w:rFonts w:hint="default" w:cs="Times New Roman"/>
                <w:color w:val="auto"/>
                <w:kern w:val="0"/>
                <w:sz w:val="24"/>
                <w:szCs w:val="24"/>
                <w:lang w:val="en-US" w:eastAsia="zh-CN" w:bidi="ar"/>
              </w:rPr>
              <w:t>35kV4</w:t>
            </w:r>
            <w:r>
              <w:rPr>
                <w:rFonts w:hint="eastAsia" w:cs="Times New Roman"/>
                <w:color w:val="auto"/>
                <w:kern w:val="0"/>
                <w:sz w:val="24"/>
                <w:szCs w:val="24"/>
                <w:lang w:val="en-US" w:eastAsia="zh-CN" w:bidi="ar"/>
              </w:rPr>
              <w:t>万制氧变电站引来两回</w:t>
            </w:r>
            <w:r>
              <w:rPr>
                <w:rFonts w:hint="default" w:cs="Times New Roman"/>
                <w:color w:val="auto"/>
                <w:kern w:val="0"/>
                <w:sz w:val="24"/>
                <w:szCs w:val="24"/>
                <w:lang w:val="en-US" w:eastAsia="zh-CN" w:bidi="ar"/>
              </w:rPr>
              <w:t>10kV</w:t>
            </w:r>
            <w:r>
              <w:rPr>
                <w:rFonts w:hint="eastAsia" w:cs="Times New Roman"/>
                <w:color w:val="auto"/>
                <w:kern w:val="0"/>
                <w:sz w:val="24"/>
                <w:szCs w:val="24"/>
                <w:lang w:val="en-US" w:eastAsia="zh-CN" w:bidi="ar"/>
              </w:rPr>
              <w:t>电源为厂区箱变及变电所供电。</w:t>
            </w:r>
          </w:p>
          <w:p w14:paraId="081E74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八、车辆</w:t>
            </w:r>
          </w:p>
          <w:p w14:paraId="19B511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本专用线不新建车辆定检设备，车辆定检维修工作由相邻线路既有车辆设备承担。在仙福场设置车辆交接房屋一处，含值班室、待检室及工具材料间。</w:t>
            </w:r>
          </w:p>
          <w:p w14:paraId="422146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九、迁改工程</w:t>
            </w:r>
          </w:p>
          <w:p w14:paraId="7AE7C7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①拆迁</w:t>
            </w:r>
          </w:p>
          <w:p w14:paraId="6ABAF3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本项目占地范围内无现有民房，无需进行房屋拆迁。</w:t>
            </w:r>
          </w:p>
          <w:p w14:paraId="535F34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②电力设施迁改</w:t>
            </w:r>
          </w:p>
          <w:p w14:paraId="3AE9AC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因本工程建设引起既有电力设施与铁路及相关工程之间水平或垂直距离不满足规范要求、杆塔或基础处于专用线征地界内等影响专用线施工的电力线路和设施均需进行迁改，本项目需迁改3处10kV电力线、迁改3处35kV电力线、2处110kV电力线。</w:t>
            </w:r>
          </w:p>
          <w:p w14:paraId="030EA2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③既有给排水设施迁改工程</w:t>
            </w:r>
          </w:p>
          <w:p w14:paraId="73F0C8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本专用线货场为新建工程，铁路配套房屋的室外给水排水设施均按新建考虑，无既有给排水设施利用情况。</w:t>
            </w:r>
          </w:p>
          <w:p w14:paraId="17D2A13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黑体" w:hAnsi="黑体" w:eastAsia="黑体" w:cs="黑体"/>
                <w:color w:val="auto"/>
                <w:sz w:val="21"/>
                <w:szCs w:val="21"/>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6主要技术标准</w:t>
            </w:r>
          </w:p>
          <w:p w14:paraId="4EBC28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本项目主要技术标准见下表。</w:t>
            </w:r>
          </w:p>
          <w:p w14:paraId="287EF75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表2-5  铁路专用线主要技术标准</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3302"/>
              <w:gridCol w:w="3330"/>
            </w:tblGrid>
            <w:tr w14:paraId="1A2C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0E64201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序号</w:t>
                  </w:r>
                </w:p>
              </w:tc>
              <w:tc>
                <w:tcPr>
                  <w:tcW w:w="2048" w:type="pct"/>
                  <w:vAlign w:val="center"/>
                </w:tcPr>
                <w:p w14:paraId="7E235E3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项目</w:t>
                  </w:r>
                </w:p>
              </w:tc>
              <w:tc>
                <w:tcPr>
                  <w:tcW w:w="2065" w:type="pct"/>
                  <w:tcBorders>
                    <w:right w:val="nil"/>
                  </w:tcBorders>
                  <w:vAlign w:val="center"/>
                </w:tcPr>
                <w:p w14:paraId="54C022F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标准</w:t>
                  </w:r>
                </w:p>
              </w:tc>
            </w:tr>
            <w:tr w14:paraId="4227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6244923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w:t>
                  </w:r>
                </w:p>
              </w:tc>
              <w:tc>
                <w:tcPr>
                  <w:tcW w:w="2048" w:type="pct"/>
                  <w:vAlign w:val="center"/>
                </w:tcPr>
                <w:p w14:paraId="7D2AC4B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铁路等级</w:t>
                  </w:r>
                </w:p>
              </w:tc>
              <w:tc>
                <w:tcPr>
                  <w:tcW w:w="2065" w:type="pct"/>
                  <w:tcBorders>
                    <w:right w:val="nil"/>
                  </w:tcBorders>
                  <w:vAlign w:val="center"/>
                </w:tcPr>
                <w:p w14:paraId="4F3A538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专用线</w:t>
                  </w:r>
                </w:p>
              </w:tc>
            </w:tr>
            <w:tr w14:paraId="7DF2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48D465A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w:t>
                  </w:r>
                </w:p>
              </w:tc>
              <w:tc>
                <w:tcPr>
                  <w:tcW w:w="2048" w:type="pct"/>
                  <w:vAlign w:val="center"/>
                </w:tcPr>
                <w:p w14:paraId="39ADF68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正线数目</w:t>
                  </w:r>
                </w:p>
              </w:tc>
              <w:tc>
                <w:tcPr>
                  <w:tcW w:w="2065" w:type="pct"/>
                  <w:tcBorders>
                    <w:right w:val="nil"/>
                  </w:tcBorders>
                  <w:vAlign w:val="center"/>
                </w:tcPr>
                <w:p w14:paraId="2BEF026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单线</w:t>
                  </w:r>
                </w:p>
              </w:tc>
            </w:tr>
            <w:tr w14:paraId="73EB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08BC0E6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3</w:t>
                  </w:r>
                </w:p>
              </w:tc>
              <w:tc>
                <w:tcPr>
                  <w:tcW w:w="2048" w:type="pct"/>
                  <w:vAlign w:val="center"/>
                </w:tcPr>
                <w:p w14:paraId="031112F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最小曲线半径</w:t>
                  </w:r>
                </w:p>
              </w:tc>
              <w:tc>
                <w:tcPr>
                  <w:tcW w:w="2065" w:type="pct"/>
                  <w:tcBorders>
                    <w:right w:val="nil"/>
                  </w:tcBorders>
                  <w:vAlign w:val="center"/>
                </w:tcPr>
                <w:p w14:paraId="6DEFFED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250m</w:t>
                  </w:r>
                </w:p>
              </w:tc>
            </w:tr>
            <w:tr w14:paraId="3C94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327C228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4</w:t>
                  </w:r>
                </w:p>
              </w:tc>
              <w:tc>
                <w:tcPr>
                  <w:tcW w:w="2048" w:type="pct"/>
                  <w:vAlign w:val="center"/>
                </w:tcPr>
                <w:p w14:paraId="41BF05F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设计速度</w:t>
                  </w:r>
                </w:p>
              </w:tc>
              <w:tc>
                <w:tcPr>
                  <w:tcW w:w="2065" w:type="pct"/>
                  <w:tcBorders>
                    <w:right w:val="nil"/>
                  </w:tcBorders>
                  <w:vAlign w:val="center"/>
                </w:tcPr>
                <w:p w14:paraId="60ED468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40km/h</w:t>
                  </w:r>
                </w:p>
              </w:tc>
            </w:tr>
            <w:tr w14:paraId="708A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08EFD90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5</w:t>
                  </w:r>
                </w:p>
              </w:tc>
              <w:tc>
                <w:tcPr>
                  <w:tcW w:w="2048" w:type="pct"/>
                  <w:vAlign w:val="center"/>
                </w:tcPr>
                <w:p w14:paraId="7FF81DA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限值坡度</w:t>
                  </w:r>
                </w:p>
              </w:tc>
              <w:tc>
                <w:tcPr>
                  <w:tcW w:w="2065" w:type="pct"/>
                  <w:tcBorders>
                    <w:right w:val="nil"/>
                  </w:tcBorders>
                  <w:vAlign w:val="center"/>
                </w:tcPr>
                <w:p w14:paraId="50C40E9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平坡</w:t>
                  </w:r>
                </w:p>
              </w:tc>
            </w:tr>
            <w:tr w14:paraId="7DD5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588D044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6</w:t>
                  </w:r>
                </w:p>
              </w:tc>
              <w:tc>
                <w:tcPr>
                  <w:tcW w:w="2048" w:type="pct"/>
                  <w:vAlign w:val="center"/>
                </w:tcPr>
                <w:p w14:paraId="146FE17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牵引种类</w:t>
                  </w:r>
                </w:p>
              </w:tc>
              <w:tc>
                <w:tcPr>
                  <w:tcW w:w="2065" w:type="pct"/>
                  <w:tcBorders>
                    <w:right w:val="nil"/>
                  </w:tcBorders>
                  <w:vAlign w:val="center"/>
                </w:tcPr>
                <w:p w14:paraId="48B77BB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内燃</w:t>
                  </w:r>
                </w:p>
              </w:tc>
            </w:tr>
            <w:tr w14:paraId="066C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6BFB27E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7</w:t>
                  </w:r>
                </w:p>
              </w:tc>
              <w:tc>
                <w:tcPr>
                  <w:tcW w:w="2048" w:type="pct"/>
                  <w:vAlign w:val="center"/>
                </w:tcPr>
                <w:p w14:paraId="0719A79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牵引质量</w:t>
                  </w:r>
                </w:p>
              </w:tc>
              <w:tc>
                <w:tcPr>
                  <w:tcW w:w="2065" w:type="pct"/>
                  <w:tcBorders>
                    <w:right w:val="nil"/>
                  </w:tcBorders>
                  <w:vAlign w:val="center"/>
                </w:tcPr>
                <w:p w14:paraId="23FA258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2450t</w:t>
                  </w:r>
                </w:p>
              </w:tc>
            </w:tr>
            <w:tr w14:paraId="06B0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39792ED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8</w:t>
                  </w:r>
                </w:p>
              </w:tc>
              <w:tc>
                <w:tcPr>
                  <w:tcW w:w="2048" w:type="pct"/>
                  <w:vAlign w:val="center"/>
                </w:tcPr>
                <w:p w14:paraId="5F922BB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牵引方式</w:t>
                  </w:r>
                </w:p>
              </w:tc>
              <w:tc>
                <w:tcPr>
                  <w:tcW w:w="2065" w:type="pct"/>
                  <w:tcBorders>
                    <w:right w:val="nil"/>
                  </w:tcBorders>
                  <w:vAlign w:val="center"/>
                </w:tcPr>
                <w:p w14:paraId="16F7445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调机</w:t>
                  </w:r>
                </w:p>
              </w:tc>
            </w:tr>
            <w:tr w14:paraId="61F7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53366D6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9</w:t>
                  </w:r>
                </w:p>
              </w:tc>
              <w:tc>
                <w:tcPr>
                  <w:tcW w:w="2048" w:type="pct"/>
                  <w:vAlign w:val="center"/>
                </w:tcPr>
                <w:p w14:paraId="4CBF96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到发线有效长度</w:t>
                  </w:r>
                </w:p>
              </w:tc>
              <w:tc>
                <w:tcPr>
                  <w:tcW w:w="2065" w:type="pct"/>
                  <w:tcBorders>
                    <w:right w:val="nil"/>
                  </w:tcBorders>
                  <w:vAlign w:val="center"/>
                </w:tcPr>
                <w:p w14:paraId="0E8616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680m</w:t>
                  </w:r>
                </w:p>
              </w:tc>
            </w:tr>
            <w:tr w14:paraId="50CD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0549521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10</w:t>
                  </w:r>
                </w:p>
              </w:tc>
              <w:tc>
                <w:tcPr>
                  <w:tcW w:w="2048" w:type="pct"/>
                  <w:vAlign w:val="center"/>
                </w:tcPr>
                <w:p w14:paraId="56BFA7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闭塞类型</w:t>
                  </w:r>
                </w:p>
              </w:tc>
              <w:tc>
                <w:tcPr>
                  <w:tcW w:w="2065" w:type="pct"/>
                  <w:tcBorders>
                    <w:right w:val="nil"/>
                  </w:tcBorders>
                  <w:vAlign w:val="center"/>
                </w:tcPr>
                <w:p w14:paraId="09AC183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w:t>
                  </w:r>
                </w:p>
              </w:tc>
            </w:tr>
            <w:tr w14:paraId="3C4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tcBorders>
                    <w:left w:val="nil"/>
                  </w:tcBorders>
                  <w:vAlign w:val="center"/>
                </w:tcPr>
                <w:p w14:paraId="0C3A920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11</w:t>
                  </w:r>
                </w:p>
              </w:tc>
              <w:tc>
                <w:tcPr>
                  <w:tcW w:w="2048" w:type="pct"/>
                  <w:vAlign w:val="center"/>
                </w:tcPr>
                <w:p w14:paraId="335B651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电气化范围</w:t>
                  </w:r>
                </w:p>
              </w:tc>
              <w:tc>
                <w:tcPr>
                  <w:tcW w:w="2065" w:type="pct"/>
                  <w:tcBorders>
                    <w:right w:val="nil"/>
                  </w:tcBorders>
                  <w:vAlign w:val="center"/>
                </w:tcPr>
                <w:p w14:paraId="6DCDA9F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非电化</w:t>
                  </w:r>
                </w:p>
              </w:tc>
            </w:tr>
          </w:tbl>
          <w:p w14:paraId="7814927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7内燃机柴油消耗量</w:t>
            </w:r>
          </w:p>
          <w:p w14:paraId="30C3240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本铁路专用线采用内燃调机，柴油消耗量详见下表。</w:t>
            </w:r>
          </w:p>
          <w:p w14:paraId="49B6A75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 xml:space="preserve">表2-6  原辅材料消耗  </w:t>
            </w:r>
          </w:p>
          <w:tbl>
            <w:tblPr>
              <w:tblStyle w:val="23"/>
              <w:tblW w:w="8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997"/>
              <w:gridCol w:w="1371"/>
              <w:gridCol w:w="890"/>
              <w:gridCol w:w="2563"/>
              <w:gridCol w:w="1346"/>
            </w:tblGrid>
            <w:tr w14:paraId="0CBB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tcBorders>
                    <w:left w:val="nil"/>
                  </w:tcBorders>
                  <w:vAlign w:val="center"/>
                </w:tcPr>
                <w:p w14:paraId="56EAEF3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序号</w:t>
                  </w:r>
                </w:p>
              </w:tc>
              <w:tc>
                <w:tcPr>
                  <w:tcW w:w="997" w:type="dxa"/>
                  <w:vAlign w:val="center"/>
                </w:tcPr>
                <w:p w14:paraId="54818EF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名称</w:t>
                  </w:r>
                </w:p>
              </w:tc>
              <w:tc>
                <w:tcPr>
                  <w:tcW w:w="1371" w:type="dxa"/>
                  <w:vAlign w:val="center"/>
                </w:tcPr>
                <w:p w14:paraId="276438B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单位</w:t>
                  </w:r>
                </w:p>
              </w:tc>
              <w:tc>
                <w:tcPr>
                  <w:tcW w:w="890" w:type="dxa"/>
                  <w:vAlign w:val="center"/>
                </w:tcPr>
                <w:p w14:paraId="4BE9D2C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状态</w:t>
                  </w:r>
                </w:p>
              </w:tc>
              <w:tc>
                <w:tcPr>
                  <w:tcW w:w="2563" w:type="dxa"/>
                  <w:vAlign w:val="center"/>
                </w:tcPr>
                <w:p w14:paraId="3640711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最大储存量</w:t>
                  </w:r>
                </w:p>
              </w:tc>
              <w:tc>
                <w:tcPr>
                  <w:tcW w:w="1346" w:type="dxa"/>
                  <w:tcBorders>
                    <w:right w:val="nil"/>
                  </w:tcBorders>
                  <w:vAlign w:val="center"/>
                </w:tcPr>
                <w:p w14:paraId="02573A7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年耗量</w:t>
                  </w:r>
                </w:p>
              </w:tc>
            </w:tr>
            <w:tr w14:paraId="4D01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tcBorders>
                    <w:left w:val="nil"/>
                  </w:tcBorders>
                  <w:vAlign w:val="center"/>
                </w:tcPr>
                <w:p w14:paraId="63613A2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w:t>
                  </w:r>
                </w:p>
              </w:tc>
              <w:tc>
                <w:tcPr>
                  <w:tcW w:w="997" w:type="dxa"/>
                  <w:vAlign w:val="center"/>
                </w:tcPr>
                <w:p w14:paraId="4FC943D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柴油</w:t>
                  </w:r>
                </w:p>
              </w:tc>
              <w:tc>
                <w:tcPr>
                  <w:tcW w:w="1371" w:type="dxa"/>
                  <w:vAlign w:val="center"/>
                </w:tcPr>
                <w:p w14:paraId="67BD2AF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t</w:t>
                  </w:r>
                </w:p>
              </w:tc>
              <w:tc>
                <w:tcPr>
                  <w:tcW w:w="890" w:type="dxa"/>
                  <w:vAlign w:val="center"/>
                </w:tcPr>
                <w:p w14:paraId="136E42C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液态</w:t>
                  </w:r>
                </w:p>
              </w:tc>
              <w:tc>
                <w:tcPr>
                  <w:tcW w:w="2563" w:type="dxa"/>
                  <w:vAlign w:val="center"/>
                </w:tcPr>
                <w:p w14:paraId="5BD1A5D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default" w:ascii="Times New Roman" w:hAnsi="Times New Roman" w:eastAsia="宋体" w:cs="Times New Roman"/>
                      <w:i w:val="0"/>
                      <w:iCs w:val="0"/>
                      <w:color w:val="auto"/>
                      <w:sz w:val="18"/>
                      <w:szCs w:val="18"/>
                      <w:highlight w:val="none"/>
                      <w:u w:val="none"/>
                      <w:lang w:val="en-US" w:eastAsia="zh-CN"/>
                    </w:rPr>
                    <w:t>不设置油库，不储存，利用社会资源采用油罐车上油</w:t>
                  </w:r>
                  <w:r>
                    <w:rPr>
                      <w:rFonts w:hint="eastAsia" w:ascii="Times New Roman" w:hAnsi="Times New Roman" w:eastAsia="宋体" w:cs="Times New Roman"/>
                      <w:i w:val="0"/>
                      <w:iCs w:val="0"/>
                      <w:color w:val="auto"/>
                      <w:sz w:val="18"/>
                      <w:szCs w:val="18"/>
                      <w:highlight w:val="none"/>
                      <w:u w:val="none"/>
                      <w:lang w:val="en-US" w:eastAsia="zh-CN"/>
                    </w:rPr>
                    <w:t>。</w:t>
                  </w:r>
                </w:p>
              </w:tc>
              <w:tc>
                <w:tcPr>
                  <w:tcW w:w="1346" w:type="dxa"/>
                  <w:tcBorders>
                    <w:right w:val="nil"/>
                  </w:tcBorders>
                  <w:vAlign w:val="center"/>
                </w:tcPr>
                <w:p w14:paraId="19C26EA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262.8</w:t>
                  </w:r>
                </w:p>
              </w:tc>
            </w:tr>
          </w:tbl>
          <w:p w14:paraId="00AB40E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黑体" w:hAnsi="黑体" w:eastAsia="黑体" w:cs="黑体"/>
                <w:color w:val="auto"/>
                <w:sz w:val="21"/>
                <w:szCs w:val="21"/>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8评价年度、服务对象及货运能力</w:t>
            </w:r>
          </w:p>
          <w:p w14:paraId="7B97567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（1）评价年度</w:t>
            </w:r>
          </w:p>
          <w:p w14:paraId="61F07C6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近期2035年，远期2055年。</w:t>
            </w:r>
          </w:p>
          <w:p w14:paraId="5C7A905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（2）服务对象</w:t>
            </w:r>
          </w:p>
          <w:p w14:paraId="3E8A43C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本项目为云南玉溪仙福钢铁（集团）有限公司配套铁路专用线，服务对象为仙福公司。</w:t>
            </w:r>
          </w:p>
          <w:p w14:paraId="71FCA63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（3）研究范围</w:t>
            </w:r>
          </w:p>
          <w:p w14:paraId="2271A4E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玉溪市大化产业园区仙福钢铁厂铁路专用线CZK3+295.11（=玉溪大化专用线化念南至仙福段设计终点DXK3+295.11）～CZK4+783.388。</w:t>
            </w:r>
          </w:p>
          <w:p w14:paraId="7DCD3F5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）运量分析</w:t>
            </w:r>
          </w:p>
          <w:p w14:paraId="36A5DCC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据仙福钢铁厂技改计划完成情况，仙福钢铁厂产钢量可达</w:t>
            </w:r>
            <w:r>
              <w:rPr>
                <w:rFonts w:hint="default" w:ascii="Times New Roman" w:hAnsi="Times New Roman" w:eastAsia="宋体" w:cs="Times New Roman"/>
                <w:color w:val="auto"/>
                <w:sz w:val="24"/>
                <w:szCs w:val="24"/>
                <w:highlight w:val="none"/>
                <w:lang w:val="en-US" w:eastAsia="zh-CN"/>
              </w:rPr>
              <w:t>298</w:t>
            </w:r>
            <w:r>
              <w:rPr>
                <w:rFonts w:hint="eastAsia" w:ascii="Times New Roman" w:hAnsi="Times New Roman" w:eastAsia="宋体" w:cs="Times New Roman"/>
                <w:color w:val="auto"/>
                <w:sz w:val="24"/>
                <w:szCs w:val="24"/>
                <w:highlight w:val="none"/>
                <w:lang w:val="en-US" w:eastAsia="zh-CN"/>
              </w:rPr>
              <w:t>万吨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年。仙福钢铁厂通过铁路运输发送货物</w:t>
            </w:r>
            <w:r>
              <w:rPr>
                <w:rFonts w:hint="eastAsia" w:cs="Times New Roman"/>
                <w:color w:val="auto"/>
                <w:sz w:val="24"/>
                <w:szCs w:val="24"/>
                <w:highlight w:val="none"/>
                <w:lang w:val="en-US" w:eastAsia="zh-CN"/>
              </w:rPr>
              <w:t>以钢材为主</w:t>
            </w:r>
            <w:r>
              <w:rPr>
                <w:rFonts w:hint="eastAsia" w:ascii="Times New Roman" w:hAnsi="Times New Roman" w:eastAsia="宋体" w:cs="Times New Roman"/>
                <w:color w:val="auto"/>
                <w:sz w:val="24"/>
                <w:szCs w:val="24"/>
                <w:highlight w:val="none"/>
                <w:lang w:val="en-US" w:eastAsia="zh-CN"/>
              </w:rPr>
              <w:t>，发送总量为</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万吨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年；到达货物主要以铁矿石、煤、焦、辅助材料为主</w:t>
            </w:r>
            <w:r>
              <w:rPr>
                <w:rFonts w:hint="eastAsia" w:cs="Times New Roman"/>
                <w:color w:val="auto"/>
                <w:sz w:val="24"/>
                <w:szCs w:val="24"/>
                <w:highlight w:val="none"/>
                <w:lang w:val="en-US" w:eastAsia="zh-CN"/>
              </w:rPr>
              <w:t>，不涉及其他危险废物运输</w:t>
            </w:r>
            <w:r>
              <w:rPr>
                <w:rFonts w:hint="eastAsia" w:ascii="Times New Roman" w:hAnsi="Times New Roman" w:eastAsia="宋体" w:cs="Times New Roman"/>
                <w:color w:val="auto"/>
                <w:sz w:val="24"/>
                <w:szCs w:val="24"/>
                <w:highlight w:val="none"/>
                <w:lang w:val="en-US" w:eastAsia="zh-CN"/>
              </w:rPr>
              <w:t>，到达总量为</w:t>
            </w:r>
            <w:r>
              <w:rPr>
                <w:rFonts w:hint="default" w:ascii="Times New Roman" w:hAnsi="Times New Roman" w:eastAsia="宋体" w:cs="Times New Roman"/>
                <w:color w:val="auto"/>
                <w:sz w:val="24"/>
                <w:szCs w:val="24"/>
                <w:highlight w:val="none"/>
                <w:lang w:val="en-US" w:eastAsia="zh-CN"/>
              </w:rPr>
              <w:t>600</w:t>
            </w:r>
            <w:r>
              <w:rPr>
                <w:rFonts w:hint="eastAsia" w:ascii="Times New Roman" w:hAnsi="Times New Roman" w:eastAsia="宋体" w:cs="Times New Roman"/>
                <w:color w:val="auto"/>
                <w:sz w:val="24"/>
                <w:szCs w:val="24"/>
                <w:highlight w:val="none"/>
                <w:lang w:val="en-US" w:eastAsia="zh-CN"/>
              </w:rPr>
              <w:t>万吨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年，到发合计</w:t>
            </w:r>
            <w:r>
              <w:rPr>
                <w:rFonts w:hint="default" w:ascii="Times New Roman" w:hAnsi="Times New Roman" w:eastAsia="宋体" w:cs="Times New Roman"/>
                <w:color w:val="auto"/>
                <w:sz w:val="24"/>
                <w:szCs w:val="24"/>
                <w:highlight w:val="none"/>
                <w:lang w:val="en-US" w:eastAsia="zh-CN"/>
              </w:rPr>
              <w:t>700</w:t>
            </w:r>
            <w:r>
              <w:rPr>
                <w:rFonts w:hint="eastAsia" w:ascii="Times New Roman" w:hAnsi="Times New Roman" w:eastAsia="宋体" w:cs="Times New Roman"/>
                <w:color w:val="auto"/>
                <w:sz w:val="24"/>
                <w:szCs w:val="24"/>
                <w:highlight w:val="none"/>
                <w:lang w:val="en-US" w:eastAsia="zh-CN"/>
              </w:rPr>
              <w:t>万吨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本项目建成后运量均为</w:t>
            </w:r>
            <w:r>
              <w:rPr>
                <w:rFonts w:hint="default" w:ascii="Times New Roman" w:hAnsi="Times New Roman" w:eastAsia="宋体" w:cs="Times New Roman"/>
                <w:color w:val="auto"/>
                <w:sz w:val="24"/>
                <w:szCs w:val="24"/>
                <w:highlight w:val="none"/>
                <w:lang w:val="en-US" w:eastAsia="zh-CN"/>
              </w:rPr>
              <w:t>700</w:t>
            </w:r>
            <w:r>
              <w:rPr>
                <w:rFonts w:hint="eastAsia" w:ascii="Times New Roman" w:hAnsi="Times New Roman" w:eastAsia="宋体" w:cs="Times New Roman"/>
                <w:color w:val="auto"/>
                <w:sz w:val="24"/>
                <w:szCs w:val="24"/>
                <w:highlight w:val="none"/>
                <w:lang w:val="en-US" w:eastAsia="zh-CN"/>
              </w:rPr>
              <w:t>万吨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每年</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详见下表：</w:t>
            </w:r>
          </w:p>
          <w:p w14:paraId="1452297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表2-7 研究年度内仙福钢铁厂铁路运量预测表（单位：万吨/年）</w:t>
            </w:r>
          </w:p>
          <w:tbl>
            <w:tblPr>
              <w:tblStyle w:val="23"/>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2164"/>
              <w:gridCol w:w="2032"/>
              <w:gridCol w:w="1840"/>
            </w:tblGrid>
            <w:tr w14:paraId="6EBE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Borders>
                    <w:left w:val="nil"/>
                  </w:tcBorders>
                  <w:vAlign w:val="center"/>
                </w:tcPr>
                <w:p w14:paraId="486769A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项目</w:t>
                  </w:r>
                </w:p>
              </w:tc>
              <w:tc>
                <w:tcPr>
                  <w:tcW w:w="1344" w:type="pct"/>
                  <w:vAlign w:val="center"/>
                </w:tcPr>
                <w:p w14:paraId="27EC3E4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货物名称</w:t>
                  </w:r>
                </w:p>
              </w:tc>
              <w:tc>
                <w:tcPr>
                  <w:tcW w:w="1262" w:type="pct"/>
                  <w:vAlign w:val="center"/>
                </w:tcPr>
                <w:p w14:paraId="1BEA96D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2035年</w:t>
                  </w:r>
                </w:p>
              </w:tc>
              <w:tc>
                <w:tcPr>
                  <w:tcW w:w="1143" w:type="pct"/>
                  <w:tcBorders>
                    <w:right w:val="nil"/>
                  </w:tcBorders>
                  <w:vAlign w:val="center"/>
                </w:tcPr>
                <w:p w14:paraId="690FC2A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2055年</w:t>
                  </w:r>
                </w:p>
              </w:tc>
            </w:tr>
            <w:tr w14:paraId="650A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left w:val="nil"/>
                  </w:tcBorders>
                  <w:vAlign w:val="center"/>
                </w:tcPr>
                <w:p w14:paraId="29BDA4F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到达运量</w:t>
                  </w:r>
                </w:p>
              </w:tc>
              <w:tc>
                <w:tcPr>
                  <w:tcW w:w="1344" w:type="pct"/>
                  <w:vAlign w:val="center"/>
                </w:tcPr>
                <w:p w14:paraId="104493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煤</w:t>
                  </w:r>
                </w:p>
              </w:tc>
              <w:tc>
                <w:tcPr>
                  <w:tcW w:w="1262" w:type="pct"/>
                  <w:vAlign w:val="center"/>
                </w:tcPr>
                <w:p w14:paraId="59E69CF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51</w:t>
                  </w:r>
                </w:p>
              </w:tc>
              <w:tc>
                <w:tcPr>
                  <w:tcW w:w="1143" w:type="pct"/>
                  <w:tcBorders>
                    <w:right w:val="nil"/>
                  </w:tcBorders>
                  <w:vAlign w:val="center"/>
                </w:tcPr>
                <w:p w14:paraId="046B63D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51</w:t>
                  </w:r>
                </w:p>
              </w:tc>
            </w:tr>
            <w:tr w14:paraId="1F6A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left w:val="nil"/>
                  </w:tcBorders>
                  <w:vAlign w:val="center"/>
                </w:tcPr>
                <w:p w14:paraId="057C3C0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p>
              </w:tc>
              <w:tc>
                <w:tcPr>
                  <w:tcW w:w="1344" w:type="pct"/>
                  <w:vAlign w:val="center"/>
                </w:tcPr>
                <w:p w14:paraId="6A67830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矿石</w:t>
                  </w:r>
                </w:p>
              </w:tc>
              <w:tc>
                <w:tcPr>
                  <w:tcW w:w="1262" w:type="pct"/>
                  <w:vAlign w:val="center"/>
                </w:tcPr>
                <w:p w14:paraId="0AE2C48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420</w:t>
                  </w:r>
                </w:p>
              </w:tc>
              <w:tc>
                <w:tcPr>
                  <w:tcW w:w="1143" w:type="pct"/>
                  <w:tcBorders>
                    <w:right w:val="nil"/>
                  </w:tcBorders>
                  <w:vAlign w:val="center"/>
                </w:tcPr>
                <w:p w14:paraId="6071CE6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420</w:t>
                  </w:r>
                </w:p>
              </w:tc>
            </w:tr>
            <w:tr w14:paraId="3425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left w:val="nil"/>
                  </w:tcBorders>
                  <w:vAlign w:val="center"/>
                </w:tcPr>
                <w:p w14:paraId="244D6E0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p>
              </w:tc>
              <w:tc>
                <w:tcPr>
                  <w:tcW w:w="1344" w:type="pct"/>
                  <w:vAlign w:val="center"/>
                </w:tcPr>
                <w:p w14:paraId="28FDBA3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焦炭</w:t>
                  </w:r>
                </w:p>
              </w:tc>
              <w:tc>
                <w:tcPr>
                  <w:tcW w:w="1262" w:type="pct"/>
                  <w:vAlign w:val="center"/>
                </w:tcPr>
                <w:p w14:paraId="1A3A7E9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86</w:t>
                  </w:r>
                </w:p>
              </w:tc>
              <w:tc>
                <w:tcPr>
                  <w:tcW w:w="1143" w:type="pct"/>
                  <w:tcBorders>
                    <w:right w:val="nil"/>
                  </w:tcBorders>
                  <w:vAlign w:val="center"/>
                </w:tcPr>
                <w:p w14:paraId="705F08D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86</w:t>
                  </w:r>
                </w:p>
              </w:tc>
            </w:tr>
            <w:tr w14:paraId="6D89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left w:val="nil"/>
                  </w:tcBorders>
                  <w:vAlign w:val="center"/>
                </w:tcPr>
                <w:p w14:paraId="022CE01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p>
              </w:tc>
              <w:tc>
                <w:tcPr>
                  <w:tcW w:w="1344" w:type="pct"/>
                  <w:vAlign w:val="center"/>
                </w:tcPr>
                <w:p w14:paraId="25B976E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其他</w:t>
                  </w:r>
                </w:p>
              </w:tc>
              <w:tc>
                <w:tcPr>
                  <w:tcW w:w="1262" w:type="pct"/>
                  <w:vAlign w:val="center"/>
                </w:tcPr>
                <w:p w14:paraId="51FAE82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43</w:t>
                  </w:r>
                </w:p>
              </w:tc>
              <w:tc>
                <w:tcPr>
                  <w:tcW w:w="1143" w:type="pct"/>
                  <w:tcBorders>
                    <w:right w:val="nil"/>
                  </w:tcBorders>
                  <w:vAlign w:val="center"/>
                </w:tcPr>
                <w:p w14:paraId="51A2251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43</w:t>
                  </w:r>
                </w:p>
              </w:tc>
            </w:tr>
            <w:tr w14:paraId="258E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left w:val="nil"/>
                  </w:tcBorders>
                  <w:vAlign w:val="center"/>
                </w:tcPr>
                <w:p w14:paraId="734F8F4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p>
              </w:tc>
              <w:tc>
                <w:tcPr>
                  <w:tcW w:w="1344" w:type="pct"/>
                  <w:vAlign w:val="center"/>
                </w:tcPr>
                <w:p w14:paraId="7FF8218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到达合计</w:t>
                  </w:r>
                </w:p>
              </w:tc>
              <w:tc>
                <w:tcPr>
                  <w:tcW w:w="1262" w:type="pct"/>
                  <w:vAlign w:val="center"/>
                </w:tcPr>
                <w:p w14:paraId="72B3FEE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600</w:t>
                  </w:r>
                </w:p>
              </w:tc>
              <w:tc>
                <w:tcPr>
                  <w:tcW w:w="1143" w:type="pct"/>
                  <w:tcBorders>
                    <w:right w:val="nil"/>
                  </w:tcBorders>
                  <w:vAlign w:val="center"/>
                </w:tcPr>
                <w:p w14:paraId="33F87B7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600</w:t>
                  </w:r>
                </w:p>
              </w:tc>
            </w:tr>
            <w:tr w14:paraId="4AB6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Borders>
                    <w:left w:val="nil"/>
                  </w:tcBorders>
                  <w:vAlign w:val="center"/>
                </w:tcPr>
                <w:p w14:paraId="2402DC3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发送运量</w:t>
                  </w:r>
                </w:p>
              </w:tc>
              <w:tc>
                <w:tcPr>
                  <w:tcW w:w="1344" w:type="pct"/>
                  <w:vAlign w:val="center"/>
                </w:tcPr>
                <w:p w14:paraId="74FB037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钢材</w:t>
                  </w:r>
                </w:p>
              </w:tc>
              <w:tc>
                <w:tcPr>
                  <w:tcW w:w="1262" w:type="pct"/>
                  <w:vAlign w:val="center"/>
                </w:tcPr>
                <w:p w14:paraId="75AA7AE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100</w:t>
                  </w:r>
                </w:p>
              </w:tc>
              <w:tc>
                <w:tcPr>
                  <w:tcW w:w="1143" w:type="pct"/>
                  <w:tcBorders>
                    <w:right w:val="nil"/>
                  </w:tcBorders>
                  <w:vAlign w:val="center"/>
                </w:tcPr>
                <w:p w14:paraId="465505B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100</w:t>
                  </w:r>
                </w:p>
              </w:tc>
            </w:tr>
            <w:tr w14:paraId="3745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49" w:type="pct"/>
                  <w:tcBorders>
                    <w:left w:val="nil"/>
                  </w:tcBorders>
                  <w:vAlign w:val="center"/>
                </w:tcPr>
                <w:p w14:paraId="44F0DB4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p>
              </w:tc>
              <w:tc>
                <w:tcPr>
                  <w:tcW w:w="1344" w:type="pct"/>
                  <w:vAlign w:val="center"/>
                </w:tcPr>
                <w:p w14:paraId="5C649CD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总（出发/到达）合计</w:t>
                  </w:r>
                </w:p>
              </w:tc>
              <w:tc>
                <w:tcPr>
                  <w:tcW w:w="1262" w:type="pct"/>
                  <w:vAlign w:val="center"/>
                </w:tcPr>
                <w:p w14:paraId="3F0D087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700</w:t>
                  </w:r>
                </w:p>
              </w:tc>
              <w:tc>
                <w:tcPr>
                  <w:tcW w:w="1143" w:type="pct"/>
                  <w:tcBorders>
                    <w:right w:val="nil"/>
                  </w:tcBorders>
                  <w:vAlign w:val="center"/>
                </w:tcPr>
                <w:p w14:paraId="454052F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i w:val="0"/>
                      <w:iCs w:val="0"/>
                      <w:color w:val="auto"/>
                      <w:sz w:val="18"/>
                      <w:szCs w:val="18"/>
                      <w:highlight w:val="none"/>
                      <w:u w:val="none"/>
                      <w:lang w:val="en-US" w:eastAsia="zh-CN"/>
                    </w:rPr>
                  </w:pPr>
                  <w:r>
                    <w:rPr>
                      <w:rFonts w:hint="eastAsia" w:cs="Times New Roman"/>
                      <w:i w:val="0"/>
                      <w:iCs w:val="0"/>
                      <w:color w:val="auto"/>
                      <w:sz w:val="18"/>
                      <w:szCs w:val="18"/>
                      <w:highlight w:val="none"/>
                      <w:u w:val="none"/>
                      <w:lang w:val="en-US" w:eastAsia="zh-CN"/>
                    </w:rPr>
                    <w:t>700</w:t>
                  </w:r>
                </w:p>
              </w:tc>
            </w:tr>
          </w:tbl>
          <w:p w14:paraId="0270691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项目建设目标和任务</w:t>
            </w:r>
          </w:p>
          <w:p w14:paraId="08C4C3F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）目标：通过建设玉溪市大化产业园区仙福钢铁厂铁路专用线，为仙福钢铁集团原料到达卸车与成品装车发送提供铁路运输服务。</w:t>
            </w:r>
          </w:p>
          <w:p w14:paraId="0BDB444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）任务：建设仙福钢铁厂铁路专用线，主要包含线路、路基、桥涵、站场、轨道、机务、机械、车辆、通信、信息、信号、电力、建筑、结构、暖通、给排水等专业内容。</w:t>
            </w:r>
          </w:p>
          <w:p w14:paraId="6ED00E4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）运输组织</w:t>
            </w:r>
          </w:p>
          <w:p w14:paraId="73E9F9A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）行车方式</w:t>
            </w:r>
          </w:p>
          <w:p w14:paraId="05CCE35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本务机车牵引列车至化念南站，列车在化念南站进行集中到发、解编等技术作业后，再由内燃调机送至本铁路专用线。</w:t>
            </w:r>
          </w:p>
          <w:p w14:paraId="0FDB3EB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）交接方式</w:t>
            </w:r>
          </w:p>
          <w:p w14:paraId="4D0C77E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根据运营管理方式，建议在化念仙福场内进行货物交接。</w:t>
            </w:r>
          </w:p>
          <w:p w14:paraId="4F8CEB0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）车流组织及列车编组计划</w:t>
            </w:r>
          </w:p>
          <w:p w14:paraId="25F63B4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根据预测运量，按研究年度内货运量品名及货物到发时间特点确定车型及货物不均衡系数等相关参数，依据铁路技术手册《铁路运量与行车组织》公式计算重车流，并以</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空车组织代用，就近组织排空，空车不对流</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的原则确定空车分配，煤炭、焦炭等大宗车流组织装车地直达列车。</w:t>
            </w:r>
          </w:p>
          <w:p w14:paraId="0E4A68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10水平衡</w:t>
            </w:r>
          </w:p>
          <w:p w14:paraId="12E6670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（1）生活污水</w:t>
            </w:r>
          </w:p>
          <w:p w14:paraId="3517071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本项目新增办公、操作及货运人员约为75人，</w:t>
            </w:r>
            <w:r>
              <w:rPr>
                <w:rFonts w:hint="default" w:ascii="Times New Roman" w:hAnsi="Times New Roman" w:eastAsia="宋体" w:cs="Times New Roman"/>
                <w:color w:val="000000"/>
                <w:kern w:val="0"/>
                <w:sz w:val="24"/>
                <w:szCs w:val="24"/>
                <w:lang w:val="zh-CN" w:eastAsia="zh-CN" w:bidi="ar"/>
              </w:rPr>
              <w:t>根据</w:t>
            </w:r>
            <w:r>
              <w:rPr>
                <w:rFonts w:hint="default" w:ascii="Times New Roman" w:hAnsi="Times New Roman" w:eastAsia="宋体" w:cs="Times New Roman"/>
                <w:color w:val="000000"/>
                <w:kern w:val="0"/>
                <w:sz w:val="24"/>
                <w:szCs w:val="24"/>
                <w:lang w:val="en-US" w:eastAsia="zh-CN" w:bidi="ar"/>
              </w:rPr>
              <w:t>《云南省地方标准用水定额》（DB53/T168-2019），食宿人员以120L/人·d计算，通过计算，生活日用水量为9.0m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/d，全年工作时间约为330天，年用水量约为2970m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/a，废水产生量按经验系数80%计算，则为7.2m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/d，2376m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default" w:ascii="Times New Roman" w:hAnsi="Times New Roman" w:eastAsia="宋体" w:cs="Times New Roman"/>
                <w:color w:val="000000" w:themeColor="text1"/>
                <w:sz w:val="24"/>
                <w:szCs w:val="24"/>
                <w14:textFill>
                  <w14:solidFill>
                    <w14:schemeClr w14:val="tx1"/>
                  </w14:solidFill>
                </w14:textFill>
              </w:rPr>
              <w:t>污水中主要污染因子为COD、BOD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-N、SS、动植物油。</w:t>
            </w:r>
          </w:p>
          <w:p w14:paraId="15AAFD7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olor w:val="000000" w:themeColor="text1"/>
                <w:sz w:val="24"/>
                <w14:textFill>
                  <w14:solidFill>
                    <w14:schemeClr w14:val="tx1"/>
                  </w14:solidFill>
                </w14:textFill>
              </w:rPr>
              <w:t>生活污水排入化粪池</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容积为10m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预</w:t>
            </w:r>
            <w:r>
              <w:rPr>
                <w:rFonts w:hint="eastAsia"/>
                <w:color w:val="000000" w:themeColor="text1"/>
                <w:sz w:val="24"/>
                <w14:textFill>
                  <w14:solidFill>
                    <w14:schemeClr w14:val="tx1"/>
                  </w14:solidFill>
                </w14:textFill>
              </w:rPr>
              <w:t>处理</w:t>
            </w:r>
            <w:r>
              <w:rPr>
                <w:rFonts w:hint="eastAsia" w:ascii="Times New Roman" w:hAnsi="Times New Roman" w:eastAsia="宋体" w:cs="Times New Roman"/>
                <w:color w:val="000000"/>
                <w:kern w:val="0"/>
                <w:sz w:val="24"/>
                <w:szCs w:val="24"/>
                <w:lang w:val="en-US" w:eastAsia="zh-CN" w:bidi="ar"/>
              </w:rPr>
              <w:t>后</w:t>
            </w:r>
            <w:r>
              <w:rPr>
                <w:rFonts w:hint="eastAsia" w:cs="Times New Roman"/>
                <w:color w:val="000000"/>
                <w:kern w:val="0"/>
                <w:sz w:val="24"/>
                <w:szCs w:val="24"/>
                <w:lang w:val="en-US" w:eastAsia="zh-CN" w:bidi="ar"/>
              </w:rPr>
              <w:t>，</w:t>
            </w:r>
            <w:r>
              <w:rPr>
                <w:rFonts w:hint="eastAsia" w:ascii="Times New Roman" w:hAnsi="Times New Roman" w:eastAsia="宋体" w:cs="Times New Roman"/>
                <w:sz w:val="24"/>
                <w:szCs w:val="24"/>
                <w:vertAlign w:val="baseline"/>
                <w:lang w:val="en-US" w:eastAsia="zh-CN"/>
              </w:rPr>
              <w:t>排入</w:t>
            </w:r>
            <w:r>
              <w:rPr>
                <w:rFonts w:hint="default" w:ascii="Times New Roman" w:hAnsi="Times New Roman" w:eastAsia="宋体" w:cs="Times New Roman"/>
                <w:sz w:val="24"/>
                <w:szCs w:val="24"/>
                <w:vertAlign w:val="baseline"/>
                <w:lang w:val="en-US" w:eastAsia="zh-CN"/>
              </w:rPr>
              <w:t>新建的一体化污水处理设施，处理能力为10m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/d，处理</w:t>
            </w:r>
            <w:r>
              <w:rPr>
                <w:rFonts w:hint="eastAsia" w:ascii="Times New Roman" w:hAnsi="Times New Roman" w:eastAsia="宋体" w:cs="Times New Roman"/>
                <w:sz w:val="24"/>
                <w:szCs w:val="24"/>
                <w:vertAlign w:val="baseline"/>
                <w:lang w:val="en-US" w:eastAsia="zh-CN"/>
              </w:rPr>
              <w:t>达标</w:t>
            </w:r>
            <w:r>
              <w:rPr>
                <w:rFonts w:hint="default" w:ascii="Times New Roman" w:hAnsi="Times New Roman" w:eastAsia="宋体" w:cs="Times New Roman"/>
                <w:sz w:val="24"/>
                <w:szCs w:val="24"/>
                <w:vertAlign w:val="baseline"/>
                <w:lang w:val="en-US" w:eastAsia="zh-CN"/>
              </w:rPr>
              <w:t>后回用于厂区绿化，不外排。</w:t>
            </w:r>
          </w:p>
          <w:p w14:paraId="5D69D8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（2）绿化用水</w:t>
            </w:r>
          </w:p>
          <w:p w14:paraId="602845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绿化</w:t>
            </w:r>
            <w:r>
              <w:rPr>
                <w:rFonts w:hint="default" w:ascii="Times New Roman" w:hAnsi="Times New Roman" w:eastAsia="宋体" w:cs="Times New Roman"/>
                <w:color w:val="auto"/>
                <w:sz w:val="24"/>
                <w:szCs w:val="24"/>
                <w:highlight w:val="none"/>
                <w:lang w:val="en-US" w:eastAsia="zh-CN"/>
              </w:rPr>
              <w:t>面积为</w:t>
            </w:r>
            <w:r>
              <w:rPr>
                <w:rFonts w:hint="eastAsia" w:ascii="Times New Roman" w:hAnsi="Times New Roman" w:eastAsia="宋体" w:cs="Times New Roman"/>
                <w:color w:val="auto"/>
                <w:sz w:val="24"/>
                <w:szCs w:val="24"/>
                <w:highlight w:val="none"/>
                <w:lang w:val="en-US" w:eastAsia="zh-CN"/>
              </w:rPr>
              <w:t>800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，玉溪地区雨天131天/年，晴天234天/年，根据《云南省用水定额》（DB53/T168-2019），园林绿化用水定额为3L/m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.d，晴天1次/天，则晴天绿化用水为</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792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14:paraId="25E20C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（2）初期雨水</w:t>
            </w:r>
          </w:p>
          <w:p w14:paraId="483347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货场属于露天货场，运营期主要为集装箱货场初期雨水，初期雨水经初期雨水收集池收集</w:t>
            </w:r>
            <w:r>
              <w:rPr>
                <w:rFonts w:hint="eastAsia" w:cs="Times New Roman"/>
                <w:sz w:val="24"/>
                <w:szCs w:val="24"/>
                <w:lang w:val="en-US" w:eastAsia="zh-CN"/>
              </w:rPr>
              <w:t>沉淀后，回用于场地洒水降尘，不外排</w:t>
            </w:r>
            <w:r>
              <w:rPr>
                <w:rFonts w:hint="eastAsia" w:ascii="Times New Roman" w:hAnsi="Times New Roman" w:eastAsia="宋体" w:cs="Times New Roman"/>
                <w:sz w:val="24"/>
                <w:szCs w:val="24"/>
                <w:lang w:val="en-US" w:eastAsia="zh-CN"/>
              </w:rPr>
              <w:t>。项目露天货场四周拟建雨水沟，初期雨水经收集后进入雨水收集池，收集</w:t>
            </w:r>
            <w:r>
              <w:rPr>
                <w:rFonts w:hint="default" w:ascii="Times New Roman" w:hAnsi="Times New Roman" w:eastAsia="宋体" w:cs="Times New Roman"/>
                <w:sz w:val="24"/>
                <w:szCs w:val="24"/>
                <w:lang w:val="en-US" w:eastAsia="zh-CN"/>
              </w:rPr>
              <w:t>15min</w:t>
            </w:r>
            <w:r>
              <w:rPr>
                <w:rFonts w:hint="eastAsia" w:ascii="Times New Roman" w:hAnsi="Times New Roman" w:eastAsia="宋体" w:cs="Times New Roman"/>
                <w:sz w:val="24"/>
                <w:szCs w:val="24"/>
                <w:lang w:val="en-US" w:eastAsia="zh-CN"/>
              </w:rPr>
              <w:t>的雨水视为初期雨水，露天货场总汇水面积为</w:t>
            </w:r>
            <w:r>
              <w:rPr>
                <w:rFonts w:hint="eastAsia" w:cs="Times New Roman"/>
                <w:sz w:val="24"/>
                <w:szCs w:val="24"/>
                <w:lang w:val="en-US" w:eastAsia="zh-CN"/>
              </w:rPr>
              <w:t>20500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。初期雨水收集沉淀池容积按照该地区暴雨公式计算。雨水汇水量计算公式：</w:t>
            </w:r>
          </w:p>
          <w:p w14:paraId="12D2D0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Q=Ψ·q·F</w:t>
            </w:r>
          </w:p>
          <w:p w14:paraId="5F052E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式中：Q—雨水流量，L/s；</w:t>
            </w:r>
          </w:p>
          <w:p w14:paraId="4DB845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Ψ—径流系数</w:t>
            </w:r>
            <w:r>
              <w:rPr>
                <w:rFonts w:hint="eastAsia" w:ascii="Times New Roman" w:hAnsi="Times New Roman" w:eastAsia="宋体" w:cs="Times New Roman"/>
                <w:sz w:val="24"/>
                <w:szCs w:val="24"/>
                <w:lang w:val="en-US" w:eastAsia="zh-CN"/>
              </w:rPr>
              <w:t>0.15</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0.9</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经验数值</w:t>
            </w:r>
            <w:r>
              <w:rPr>
                <w:rFonts w:hint="eastAsia" w:ascii="Times New Roman" w:hAnsi="Times New Roman" w:cs="Times New Roman"/>
                <w:sz w:val="24"/>
                <w:szCs w:val="24"/>
                <w:lang w:val="en-US" w:eastAsia="zh-CN"/>
              </w:rPr>
              <w:t>0.4</w:t>
            </w:r>
            <w:r>
              <w:rPr>
                <w:rFonts w:hint="default" w:ascii="Times New Roman" w:hAnsi="Times New Roman" w:eastAsia="宋体" w:cs="Times New Roman"/>
                <w:sz w:val="24"/>
                <w:szCs w:val="24"/>
                <w:lang w:val="en-US" w:eastAsia="zh-CN"/>
              </w:rPr>
              <w:t>；</w:t>
            </w:r>
          </w:p>
          <w:p w14:paraId="3817C2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q—设计暴雨强度，L/s.hm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3D196D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F—汇水面积，</w:t>
            </w:r>
            <w:r>
              <w:rPr>
                <w:rFonts w:hint="eastAsia" w:ascii="Times New Roman" w:hAnsi="Times New Roman" w:cs="Times New Roman"/>
                <w:sz w:val="24"/>
                <w:szCs w:val="24"/>
                <w:lang w:val="en-US" w:eastAsia="zh-CN"/>
              </w:rPr>
              <w:t>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356C8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玉溪市暴雨强度计算公式：</w:t>
            </w:r>
          </w:p>
          <w:p w14:paraId="5D65D8C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157095" cy="589280"/>
                  <wp:effectExtent l="0" t="0" r="14605" b="127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9"/>
                          <a:stretch>
                            <a:fillRect/>
                          </a:stretch>
                        </pic:blipFill>
                        <pic:spPr>
                          <a:xfrm>
                            <a:off x="0" y="0"/>
                            <a:ext cx="2157095" cy="589280"/>
                          </a:xfrm>
                          <a:prstGeom prst="rect">
                            <a:avLst/>
                          </a:prstGeom>
                          <a:noFill/>
                          <a:ln>
                            <a:noFill/>
                          </a:ln>
                        </pic:spPr>
                      </pic:pic>
                    </a:graphicData>
                  </a:graphic>
                </wp:inline>
              </w:drawing>
            </w:r>
          </w:p>
          <w:p w14:paraId="1273F7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式中：</w:t>
            </w:r>
            <w:r>
              <w:rPr>
                <w:rFonts w:hint="default" w:ascii="Times New Roman" w:hAnsi="Times New Roman" w:eastAsia="宋体" w:cs="Times New Roman"/>
                <w:sz w:val="24"/>
                <w:szCs w:val="24"/>
                <w:lang w:val="en-US" w:eastAsia="zh-CN"/>
              </w:rPr>
              <w:t>P—</w:t>
            </w:r>
            <w:r>
              <w:rPr>
                <w:rFonts w:hint="eastAsia" w:ascii="Times New Roman" w:hAnsi="Times New Roman" w:eastAsia="宋体" w:cs="Times New Roman"/>
                <w:sz w:val="24"/>
                <w:szCs w:val="24"/>
                <w:lang w:val="en-US" w:eastAsia="zh-CN"/>
              </w:rPr>
              <w:t>设计降雨重现期，</w:t>
            </w:r>
            <w:r>
              <w:rPr>
                <w:rFonts w:hint="default" w:ascii="Times New Roman" w:hAnsi="Times New Roman" w:eastAsia="宋体" w:cs="Times New Roman"/>
                <w:sz w:val="24"/>
                <w:szCs w:val="24"/>
                <w:lang w:val="en-US" w:eastAsia="zh-CN"/>
              </w:rPr>
              <w:t>1a</w:t>
            </w:r>
          </w:p>
          <w:p w14:paraId="5758F1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w:t>
            </w:r>
            <w:r>
              <w:rPr>
                <w:rFonts w:hint="eastAsia" w:ascii="Times New Roman" w:hAnsi="Times New Roman" w:eastAsia="宋体" w:cs="Times New Roman"/>
                <w:sz w:val="24"/>
                <w:szCs w:val="24"/>
                <w:lang w:val="en-US" w:eastAsia="zh-CN"/>
              </w:rPr>
              <w:t>降雨历时（取</w:t>
            </w:r>
            <w:r>
              <w:rPr>
                <w:rFonts w:hint="default" w:ascii="Times New Roman" w:hAnsi="Times New Roman" w:eastAsia="宋体" w:cs="Times New Roman"/>
                <w:sz w:val="24"/>
                <w:szCs w:val="24"/>
                <w:lang w:val="en-US" w:eastAsia="zh-CN"/>
              </w:rPr>
              <w:t>30min</w:t>
            </w:r>
            <w:r>
              <w:rPr>
                <w:rFonts w:hint="eastAsia" w:ascii="Times New Roman" w:hAnsi="Times New Roman" w:eastAsia="宋体" w:cs="Times New Roman"/>
                <w:sz w:val="24"/>
                <w:szCs w:val="24"/>
                <w:lang w:val="en-US" w:eastAsia="zh-CN"/>
              </w:rPr>
              <w:t>）。</w:t>
            </w:r>
          </w:p>
          <w:p w14:paraId="47233A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按照上述公式计算，拟建项目区的暴雨强度为</w:t>
            </w:r>
            <w:r>
              <w:rPr>
                <w:rFonts w:hint="default" w:ascii="Times New Roman" w:hAnsi="Times New Roman" w:eastAsia="宋体" w:cs="Times New Roman"/>
                <w:sz w:val="24"/>
                <w:szCs w:val="24"/>
                <w:lang w:val="en-US" w:eastAsia="zh-CN"/>
              </w:rPr>
              <w:t>128.15L/s·hm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14:paraId="1449B3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在设计重现期</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年的条件下，雨水流量为</w:t>
            </w:r>
            <w:r>
              <w:rPr>
                <w:rFonts w:hint="default" w:ascii="Times New Roman" w:hAnsi="Times New Roman" w:eastAsia="宋体" w:cs="Times New Roman"/>
                <w:sz w:val="24"/>
                <w:szCs w:val="24"/>
                <w:lang w:val="en-US" w:eastAsia="zh-CN"/>
              </w:rPr>
              <w:t>182L/s</w:t>
            </w:r>
            <w:r>
              <w:rPr>
                <w:rFonts w:hint="eastAsia" w:ascii="Times New Roman" w:hAnsi="Times New Roman" w:eastAsia="宋体" w:cs="Times New Roman"/>
                <w:sz w:val="24"/>
                <w:szCs w:val="24"/>
                <w:lang w:val="en-US" w:eastAsia="zh-CN"/>
              </w:rPr>
              <w:t>。本次评价考虑对暴雨条件下前</w:t>
            </w:r>
            <w:r>
              <w:rPr>
                <w:rFonts w:hint="default" w:ascii="Times New Roman" w:hAnsi="Times New Roman" w:eastAsia="宋体" w:cs="Times New Roman"/>
                <w:sz w:val="24"/>
                <w:szCs w:val="24"/>
                <w:lang w:val="en-US" w:eastAsia="zh-CN"/>
              </w:rPr>
              <w:t>15min</w:t>
            </w:r>
            <w:r>
              <w:rPr>
                <w:rFonts w:hint="eastAsia" w:ascii="Times New Roman" w:hAnsi="Times New Roman" w:eastAsia="宋体" w:cs="Times New Roman"/>
                <w:sz w:val="24"/>
                <w:szCs w:val="24"/>
                <w:lang w:val="en-US" w:eastAsia="zh-CN"/>
              </w:rPr>
              <w:t>的雨水进行收集，则暴雨情况下需收集的雨水量为</w:t>
            </w:r>
            <w:r>
              <w:rPr>
                <w:rFonts w:hint="eastAsia" w:ascii="Times New Roman" w:hAnsi="Times New Roman" w:cs="Times New Roman"/>
                <w:sz w:val="24"/>
                <w:szCs w:val="24"/>
                <w:lang w:val="en-US" w:eastAsia="zh-CN"/>
              </w:rPr>
              <w:t>94.57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环评要求在项目地势最低位置新建一个容积为1</w:t>
            </w:r>
            <w:r>
              <w:rPr>
                <w:rFonts w:hint="default" w:ascii="Times New Roman" w:hAnsi="Times New Roman" w:eastAsia="宋体" w:cs="Times New Roman"/>
                <w:sz w:val="24"/>
                <w:szCs w:val="24"/>
                <w:lang w:val="en-US" w:eastAsia="zh-CN"/>
              </w:rPr>
              <w:t>00m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的初期雨水收集池。本项目不涉及危险品储运，为集装箱的装卸，初期雨水主要污染物为</w:t>
            </w:r>
            <w:r>
              <w:rPr>
                <w:rFonts w:hint="default" w:ascii="Times New Roman" w:hAnsi="Times New Roman" w:eastAsia="宋体" w:cs="Times New Roman"/>
                <w:sz w:val="24"/>
                <w:szCs w:val="24"/>
                <w:lang w:val="en-US" w:eastAsia="zh-CN"/>
              </w:rPr>
              <w:t>SS</w:t>
            </w:r>
            <w:r>
              <w:rPr>
                <w:rFonts w:hint="eastAsia" w:ascii="Times New Roman" w:hAnsi="Times New Roman" w:eastAsia="宋体" w:cs="Times New Roman"/>
                <w:sz w:val="24"/>
                <w:szCs w:val="24"/>
                <w:lang w:val="en-US" w:eastAsia="zh-CN"/>
              </w:rPr>
              <w:t>，设置排水沟，初期雨水收集进入雨水收集池，沉淀后用于场地洒水降尘，不外排。</w:t>
            </w:r>
          </w:p>
          <w:p w14:paraId="1CC0C7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项目用水情况详见下表2-8，水平衡图见下图2-1。</w:t>
            </w:r>
          </w:p>
          <w:p w14:paraId="0C9E22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表2-8 项目用水量及废水产生量情况一览表</w:t>
            </w:r>
          </w:p>
          <w:tbl>
            <w:tblPr>
              <w:tblStyle w:val="23"/>
              <w:tblW w:w="8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728"/>
              <w:gridCol w:w="847"/>
              <w:gridCol w:w="857"/>
              <w:gridCol w:w="996"/>
              <w:gridCol w:w="1114"/>
              <w:gridCol w:w="686"/>
              <w:gridCol w:w="1906"/>
            </w:tblGrid>
            <w:tr w14:paraId="7AAD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restart"/>
                  <w:tcBorders>
                    <w:left w:val="nil"/>
                  </w:tcBorders>
                  <w:vAlign w:val="center"/>
                </w:tcPr>
                <w:p w14:paraId="51654C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用水节点</w:t>
                  </w:r>
                </w:p>
              </w:tc>
              <w:tc>
                <w:tcPr>
                  <w:tcW w:w="1575" w:type="dxa"/>
                  <w:gridSpan w:val="2"/>
                  <w:vAlign w:val="center"/>
                </w:tcPr>
                <w:p w14:paraId="126646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用水量</w:t>
                  </w:r>
                </w:p>
              </w:tc>
              <w:tc>
                <w:tcPr>
                  <w:tcW w:w="1853" w:type="dxa"/>
                  <w:gridSpan w:val="2"/>
                  <w:vAlign w:val="center"/>
                </w:tcPr>
                <w:p w14:paraId="4E0461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损耗量</w:t>
                  </w:r>
                </w:p>
              </w:tc>
              <w:tc>
                <w:tcPr>
                  <w:tcW w:w="1800" w:type="dxa"/>
                  <w:gridSpan w:val="2"/>
                  <w:vAlign w:val="center"/>
                </w:tcPr>
                <w:p w14:paraId="6F3A6B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废水产生量</w:t>
                  </w:r>
                </w:p>
              </w:tc>
              <w:tc>
                <w:tcPr>
                  <w:tcW w:w="1906" w:type="dxa"/>
                  <w:vMerge w:val="restart"/>
                  <w:tcBorders>
                    <w:right w:val="nil"/>
                  </w:tcBorders>
                  <w:vAlign w:val="center"/>
                </w:tcPr>
                <w:p w14:paraId="70FB3C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处理情况</w:t>
                  </w:r>
                </w:p>
              </w:tc>
            </w:tr>
            <w:tr w14:paraId="2CFE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tcBorders>
                    <w:left w:val="nil"/>
                  </w:tcBorders>
                  <w:vAlign w:val="center"/>
                </w:tcPr>
                <w:p w14:paraId="033331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728" w:type="dxa"/>
                  <w:vAlign w:val="center"/>
                </w:tcPr>
                <w:p w14:paraId="2F515C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/d</w:t>
                  </w:r>
                </w:p>
              </w:tc>
              <w:tc>
                <w:tcPr>
                  <w:tcW w:w="847" w:type="dxa"/>
                  <w:vAlign w:val="center"/>
                </w:tcPr>
                <w:p w14:paraId="047640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/a</w:t>
                  </w:r>
                </w:p>
              </w:tc>
              <w:tc>
                <w:tcPr>
                  <w:tcW w:w="857" w:type="dxa"/>
                  <w:vAlign w:val="center"/>
                </w:tcPr>
                <w:p w14:paraId="4E2F6E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/d</w:t>
                  </w:r>
                </w:p>
              </w:tc>
              <w:tc>
                <w:tcPr>
                  <w:tcW w:w="996" w:type="dxa"/>
                  <w:vAlign w:val="center"/>
                </w:tcPr>
                <w:p w14:paraId="164758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/a</w:t>
                  </w:r>
                </w:p>
              </w:tc>
              <w:tc>
                <w:tcPr>
                  <w:tcW w:w="1114" w:type="dxa"/>
                  <w:vAlign w:val="center"/>
                </w:tcPr>
                <w:p w14:paraId="37ED73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/d</w:t>
                  </w:r>
                </w:p>
              </w:tc>
              <w:tc>
                <w:tcPr>
                  <w:tcW w:w="686" w:type="dxa"/>
                  <w:vAlign w:val="center"/>
                </w:tcPr>
                <w:p w14:paraId="33A8A7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/a</w:t>
                  </w:r>
                </w:p>
              </w:tc>
              <w:tc>
                <w:tcPr>
                  <w:tcW w:w="1906" w:type="dxa"/>
                  <w:vMerge w:val="continue"/>
                  <w:tcBorders>
                    <w:right w:val="nil"/>
                  </w:tcBorders>
                  <w:vAlign w:val="center"/>
                </w:tcPr>
                <w:p w14:paraId="4C63B5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549B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Borders>
                    <w:left w:val="nil"/>
                  </w:tcBorders>
                  <w:vAlign w:val="center"/>
                </w:tcPr>
                <w:p w14:paraId="6192BC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生活污水</w:t>
                  </w:r>
                </w:p>
              </w:tc>
              <w:tc>
                <w:tcPr>
                  <w:tcW w:w="728" w:type="dxa"/>
                  <w:vAlign w:val="center"/>
                </w:tcPr>
                <w:p w14:paraId="49DAEF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9</w:t>
                  </w:r>
                </w:p>
              </w:tc>
              <w:tc>
                <w:tcPr>
                  <w:tcW w:w="847" w:type="dxa"/>
                  <w:vAlign w:val="center"/>
                </w:tcPr>
                <w:p w14:paraId="54AC85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2970</w:t>
                  </w:r>
                </w:p>
              </w:tc>
              <w:tc>
                <w:tcPr>
                  <w:tcW w:w="857" w:type="dxa"/>
                  <w:vAlign w:val="center"/>
                </w:tcPr>
                <w:p w14:paraId="03BABF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1.8</w:t>
                  </w:r>
                </w:p>
              </w:tc>
              <w:tc>
                <w:tcPr>
                  <w:tcW w:w="996" w:type="dxa"/>
                  <w:vAlign w:val="center"/>
                </w:tcPr>
                <w:p w14:paraId="2D8BF4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594</w:t>
                  </w:r>
                </w:p>
              </w:tc>
              <w:tc>
                <w:tcPr>
                  <w:tcW w:w="1114" w:type="dxa"/>
                  <w:vAlign w:val="center"/>
                </w:tcPr>
                <w:p w14:paraId="4A6D97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7.2</w:t>
                  </w:r>
                </w:p>
              </w:tc>
              <w:tc>
                <w:tcPr>
                  <w:tcW w:w="686" w:type="dxa"/>
                  <w:vAlign w:val="center"/>
                </w:tcPr>
                <w:p w14:paraId="11510A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2376</w:t>
                  </w:r>
                </w:p>
              </w:tc>
              <w:tc>
                <w:tcPr>
                  <w:tcW w:w="1906" w:type="dxa"/>
                  <w:tcBorders>
                    <w:right w:val="nil"/>
                  </w:tcBorders>
                  <w:vAlign w:val="center"/>
                </w:tcPr>
                <w:p w14:paraId="3A90B8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生活污水</w:t>
                  </w:r>
                  <w:r>
                    <w:rPr>
                      <w:rFonts w:hint="eastAsia" w:cs="Times New Roman"/>
                      <w:color w:val="auto"/>
                      <w:sz w:val="18"/>
                      <w:szCs w:val="18"/>
                      <w:highlight w:val="none"/>
                      <w:vertAlign w:val="baseline"/>
                      <w:lang w:val="en-US" w:eastAsia="zh-CN"/>
                    </w:rPr>
                    <w:t>通过化粪池预处理后，排入新建的一体化污水处理设施</w:t>
                  </w:r>
                  <w:r>
                    <w:rPr>
                      <w:rFonts w:hint="eastAsia" w:ascii="Times New Roman" w:hAnsi="Times New Roman" w:eastAsia="宋体" w:cs="Times New Roman"/>
                      <w:color w:val="auto"/>
                      <w:sz w:val="18"/>
                      <w:szCs w:val="18"/>
                      <w:highlight w:val="none"/>
                      <w:vertAlign w:val="baseline"/>
                      <w:lang w:val="en-US" w:eastAsia="zh-CN"/>
                    </w:rPr>
                    <w:t>，处理能力为10m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d</w:t>
                  </w:r>
                  <w:r>
                    <w:rPr>
                      <w:rFonts w:hint="eastAsia" w:ascii="Times New Roman" w:hAnsi="Times New Roman" w:eastAsia="宋体" w:cs="Times New Roman"/>
                      <w:color w:val="auto"/>
                      <w:sz w:val="18"/>
                      <w:szCs w:val="18"/>
                      <w:highlight w:val="none"/>
                      <w:vertAlign w:val="baseline"/>
                      <w:lang w:val="en-US" w:eastAsia="zh-CN"/>
                    </w:rPr>
                    <w:t>，处理后回用于厂区绿化</w:t>
                  </w:r>
                  <w:r>
                    <w:rPr>
                      <w:rFonts w:hint="eastAsia" w:cs="Times New Roman"/>
                      <w:color w:val="auto"/>
                      <w:sz w:val="18"/>
                      <w:szCs w:val="18"/>
                      <w:highlight w:val="none"/>
                      <w:vertAlign w:val="baseline"/>
                      <w:lang w:val="en-US" w:eastAsia="zh-CN"/>
                    </w:rPr>
                    <w:t>或洒水降尘</w:t>
                  </w:r>
                  <w:r>
                    <w:rPr>
                      <w:rFonts w:hint="eastAsia" w:ascii="Times New Roman" w:hAnsi="Times New Roman" w:eastAsia="宋体" w:cs="Times New Roman"/>
                      <w:color w:val="auto"/>
                      <w:sz w:val="18"/>
                      <w:szCs w:val="18"/>
                      <w:highlight w:val="none"/>
                      <w:vertAlign w:val="baseline"/>
                      <w:lang w:val="en-US" w:eastAsia="zh-CN"/>
                    </w:rPr>
                    <w:t>，不外排。</w:t>
                  </w:r>
                </w:p>
              </w:tc>
            </w:tr>
            <w:tr w14:paraId="0BF2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Borders>
                    <w:left w:val="nil"/>
                  </w:tcBorders>
                  <w:vAlign w:val="center"/>
                </w:tcPr>
                <w:p w14:paraId="2EA146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绿化</w:t>
                  </w:r>
                </w:p>
              </w:tc>
              <w:tc>
                <w:tcPr>
                  <w:tcW w:w="728" w:type="dxa"/>
                  <w:vAlign w:val="center"/>
                </w:tcPr>
                <w:p w14:paraId="5516B9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2.4</w:t>
                  </w:r>
                </w:p>
              </w:tc>
              <w:tc>
                <w:tcPr>
                  <w:tcW w:w="847" w:type="dxa"/>
                  <w:vAlign w:val="center"/>
                </w:tcPr>
                <w:p w14:paraId="2475C2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792</w:t>
                  </w:r>
                </w:p>
              </w:tc>
              <w:tc>
                <w:tcPr>
                  <w:tcW w:w="857" w:type="dxa"/>
                  <w:vAlign w:val="center"/>
                </w:tcPr>
                <w:p w14:paraId="544D7C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2.4</w:t>
                  </w:r>
                </w:p>
              </w:tc>
              <w:tc>
                <w:tcPr>
                  <w:tcW w:w="996" w:type="dxa"/>
                  <w:vAlign w:val="center"/>
                </w:tcPr>
                <w:p w14:paraId="197160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792</w:t>
                  </w:r>
                </w:p>
              </w:tc>
              <w:tc>
                <w:tcPr>
                  <w:tcW w:w="1114" w:type="dxa"/>
                  <w:vAlign w:val="center"/>
                </w:tcPr>
                <w:p w14:paraId="068642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w:t>
                  </w:r>
                </w:p>
              </w:tc>
              <w:tc>
                <w:tcPr>
                  <w:tcW w:w="686" w:type="dxa"/>
                  <w:vAlign w:val="center"/>
                </w:tcPr>
                <w:p w14:paraId="5B4FC1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w:t>
                  </w:r>
                </w:p>
              </w:tc>
              <w:tc>
                <w:tcPr>
                  <w:tcW w:w="1906" w:type="dxa"/>
                  <w:tcBorders>
                    <w:right w:val="nil"/>
                  </w:tcBorders>
                  <w:vAlign w:val="center"/>
                </w:tcPr>
                <w:p w14:paraId="29BA34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r w14:paraId="0D5E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Borders>
                    <w:left w:val="nil"/>
                  </w:tcBorders>
                  <w:vAlign w:val="center"/>
                </w:tcPr>
                <w:p w14:paraId="689F2E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初期雨水</w:t>
                  </w:r>
                </w:p>
              </w:tc>
              <w:tc>
                <w:tcPr>
                  <w:tcW w:w="728" w:type="dxa"/>
                  <w:vAlign w:val="center"/>
                </w:tcPr>
                <w:p w14:paraId="1C626C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c>
                <w:tcPr>
                  <w:tcW w:w="847" w:type="dxa"/>
                  <w:vAlign w:val="center"/>
                </w:tcPr>
                <w:p w14:paraId="3BCB06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c>
                <w:tcPr>
                  <w:tcW w:w="857" w:type="dxa"/>
                  <w:vAlign w:val="center"/>
                </w:tcPr>
                <w:p w14:paraId="7A283C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c>
                <w:tcPr>
                  <w:tcW w:w="996" w:type="dxa"/>
                  <w:vAlign w:val="center"/>
                </w:tcPr>
                <w:p w14:paraId="713F2E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c>
                <w:tcPr>
                  <w:tcW w:w="1114" w:type="dxa"/>
                  <w:vAlign w:val="center"/>
                </w:tcPr>
                <w:p w14:paraId="62622C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94.57m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/次</w:t>
                  </w:r>
                </w:p>
              </w:tc>
              <w:tc>
                <w:tcPr>
                  <w:tcW w:w="686" w:type="dxa"/>
                  <w:vAlign w:val="center"/>
                </w:tcPr>
                <w:p w14:paraId="09DAC5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c>
                <w:tcPr>
                  <w:tcW w:w="1906" w:type="dxa"/>
                  <w:tcBorders>
                    <w:right w:val="nil"/>
                  </w:tcBorders>
                  <w:vAlign w:val="center"/>
                </w:tcPr>
                <w:p w14:paraId="7E83EB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初期雨水经过收集</w:t>
                  </w:r>
                  <w:r>
                    <w:rPr>
                      <w:rFonts w:hint="eastAsia" w:cs="Times New Roman"/>
                      <w:color w:val="auto"/>
                      <w:sz w:val="18"/>
                      <w:szCs w:val="18"/>
                      <w:highlight w:val="none"/>
                      <w:vertAlign w:val="baseline"/>
                      <w:lang w:val="en-US" w:eastAsia="zh-CN"/>
                    </w:rPr>
                    <w:t>沉淀后回用于场地洒水降尘。</w:t>
                  </w:r>
                </w:p>
              </w:tc>
            </w:tr>
          </w:tbl>
          <w:p w14:paraId="1CCEC2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object>
                <v:shape id="_x0000_i1025" o:spt="75" type="#_x0000_t75" style="height:170.7pt;width:393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1E1FDF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图2-1项目水平衡图  单位m</w:t>
            </w:r>
            <w:r>
              <w:rPr>
                <w:rFonts w:hint="eastAsia" w:ascii="Times New Roman" w:hAnsi="Times New Roman" w:eastAsia="宋体" w:cs="Times New Roman"/>
                <w:b/>
                <w:bCs/>
                <w:color w:val="auto"/>
                <w:kern w:val="0"/>
                <w:sz w:val="24"/>
                <w:szCs w:val="24"/>
                <w:highlight w:val="none"/>
                <w:vertAlign w:val="superscript"/>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/d</w:t>
            </w:r>
          </w:p>
          <w:p w14:paraId="3C28C93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11人员安排</w:t>
            </w:r>
          </w:p>
          <w:p w14:paraId="65B5E3F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需配备定员75人，详见下表：</w:t>
            </w:r>
          </w:p>
          <w:p w14:paraId="7163A04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表2-9 定员汇总表</w:t>
            </w:r>
          </w:p>
          <w:tbl>
            <w:tblPr>
              <w:tblStyle w:val="23"/>
              <w:tblW w:w="804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53"/>
              <w:gridCol w:w="883"/>
              <w:gridCol w:w="997"/>
              <w:gridCol w:w="4206"/>
            </w:tblGrid>
            <w:tr w14:paraId="6F3E53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tcPr>
                <w:p w14:paraId="55272735">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序号</w:t>
                  </w:r>
                </w:p>
              </w:tc>
              <w:tc>
                <w:tcPr>
                  <w:tcW w:w="1253" w:type="dxa"/>
                  <w:tcBorders>
                    <w:tl2br w:val="nil"/>
                    <w:tr2bl w:val="nil"/>
                  </w:tcBorders>
                </w:tcPr>
                <w:p w14:paraId="44474D5C">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专业名称</w:t>
                  </w:r>
                </w:p>
              </w:tc>
              <w:tc>
                <w:tcPr>
                  <w:tcW w:w="883" w:type="dxa"/>
                  <w:tcBorders>
                    <w:tl2br w:val="nil"/>
                    <w:tr2bl w:val="nil"/>
                  </w:tcBorders>
                </w:tcPr>
                <w:p w14:paraId="64CE548A">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单位</w:t>
                  </w:r>
                </w:p>
              </w:tc>
              <w:tc>
                <w:tcPr>
                  <w:tcW w:w="997" w:type="dxa"/>
                  <w:tcBorders>
                    <w:tl2br w:val="nil"/>
                    <w:tr2bl w:val="nil"/>
                  </w:tcBorders>
                </w:tcPr>
                <w:p w14:paraId="5D4FB2E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人员</w:t>
                  </w:r>
                </w:p>
              </w:tc>
              <w:tc>
                <w:tcPr>
                  <w:tcW w:w="4206" w:type="dxa"/>
                  <w:tcBorders>
                    <w:tl2br w:val="nil"/>
                    <w:tr2bl w:val="nil"/>
                  </w:tcBorders>
                </w:tcPr>
                <w:p w14:paraId="6F3AED62">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备注</w:t>
                  </w:r>
                </w:p>
              </w:tc>
            </w:tr>
            <w:tr w14:paraId="53ACE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9" w:type="dxa"/>
                  <w:tcBorders>
                    <w:tl2br w:val="nil"/>
                    <w:tr2bl w:val="nil"/>
                  </w:tcBorders>
                </w:tcPr>
                <w:p w14:paraId="654B65C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w:t>
                  </w:r>
                </w:p>
              </w:tc>
              <w:tc>
                <w:tcPr>
                  <w:tcW w:w="1253" w:type="dxa"/>
                  <w:tcBorders>
                    <w:tl2br w:val="nil"/>
                    <w:tr2bl w:val="nil"/>
                  </w:tcBorders>
                </w:tcPr>
                <w:p w14:paraId="2F3D8E7F">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车务</w:t>
                  </w:r>
                </w:p>
              </w:tc>
              <w:tc>
                <w:tcPr>
                  <w:tcW w:w="883" w:type="dxa"/>
                  <w:tcBorders>
                    <w:tl2br w:val="nil"/>
                    <w:tr2bl w:val="nil"/>
                  </w:tcBorders>
                </w:tcPr>
                <w:p w14:paraId="16CC1B37">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人</w:t>
                  </w:r>
                </w:p>
              </w:tc>
              <w:tc>
                <w:tcPr>
                  <w:tcW w:w="997" w:type="dxa"/>
                  <w:tcBorders>
                    <w:tl2br w:val="nil"/>
                    <w:tr2bl w:val="nil"/>
                  </w:tcBorders>
                </w:tcPr>
                <w:p w14:paraId="3D58E925">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32</w:t>
                  </w:r>
                </w:p>
              </w:tc>
              <w:tc>
                <w:tcPr>
                  <w:tcW w:w="4206" w:type="dxa"/>
                  <w:tcBorders>
                    <w:tl2br w:val="nil"/>
                    <w:tr2bl w:val="nil"/>
                  </w:tcBorders>
                </w:tcPr>
                <w:p w14:paraId="6F7B2165">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值班员</w:t>
                  </w:r>
                  <w:r>
                    <w:rPr>
                      <w:rFonts w:hint="default" w:ascii="Times New Roman" w:hAnsi="Times New Roman" w:eastAsia="宋体" w:cs="Times New Roman"/>
                      <w:color w:val="auto"/>
                      <w:sz w:val="18"/>
                      <w:szCs w:val="18"/>
                      <w:highlight w:val="none"/>
                      <w:vertAlign w:val="baseline"/>
                      <w:lang w:val="en-US" w:eastAsia="zh-CN"/>
                    </w:rPr>
                    <w:t>4</w:t>
                  </w:r>
                  <w:r>
                    <w:rPr>
                      <w:rFonts w:hint="eastAsia" w:ascii="Times New Roman" w:hAnsi="Times New Roman" w:eastAsia="宋体" w:cs="Times New Roman"/>
                      <w:color w:val="auto"/>
                      <w:sz w:val="18"/>
                      <w:szCs w:val="18"/>
                      <w:highlight w:val="none"/>
                      <w:vertAlign w:val="baseline"/>
                      <w:lang w:val="en-US" w:eastAsia="zh-CN"/>
                    </w:rPr>
                    <w:t>，信号员</w:t>
                  </w:r>
                  <w:r>
                    <w:rPr>
                      <w:rFonts w:hint="default" w:ascii="Times New Roman" w:hAnsi="Times New Roman" w:eastAsia="宋体" w:cs="Times New Roman"/>
                      <w:color w:val="auto"/>
                      <w:sz w:val="18"/>
                      <w:szCs w:val="18"/>
                      <w:highlight w:val="none"/>
                      <w:vertAlign w:val="baseline"/>
                      <w:lang w:val="en-US" w:eastAsia="zh-CN"/>
                    </w:rPr>
                    <w:t>4</w:t>
                  </w:r>
                  <w:r>
                    <w:rPr>
                      <w:rFonts w:hint="eastAsia" w:ascii="Times New Roman" w:hAnsi="Times New Roman" w:eastAsia="宋体" w:cs="Times New Roman"/>
                      <w:color w:val="auto"/>
                      <w:sz w:val="18"/>
                      <w:szCs w:val="18"/>
                      <w:highlight w:val="none"/>
                      <w:vertAlign w:val="baseline"/>
                      <w:lang w:val="en-US" w:eastAsia="zh-CN"/>
                    </w:rPr>
                    <w:t>，货运员</w:t>
                  </w:r>
                  <w:r>
                    <w:rPr>
                      <w:rFonts w:hint="default" w:ascii="Times New Roman" w:hAnsi="Times New Roman" w:eastAsia="宋体" w:cs="Times New Roman"/>
                      <w:color w:val="auto"/>
                      <w:sz w:val="18"/>
                      <w:szCs w:val="18"/>
                      <w:highlight w:val="none"/>
                      <w:vertAlign w:val="baseline"/>
                      <w:lang w:val="en-US" w:eastAsia="zh-CN"/>
                    </w:rPr>
                    <w:t>12</w:t>
                  </w:r>
                  <w:r>
                    <w:rPr>
                      <w:rFonts w:hint="eastAsia" w:ascii="Times New Roman" w:hAnsi="Times New Roman" w:eastAsia="宋体" w:cs="Times New Roman"/>
                      <w:color w:val="auto"/>
                      <w:sz w:val="18"/>
                      <w:szCs w:val="18"/>
                      <w:highlight w:val="none"/>
                      <w:vertAlign w:val="baseline"/>
                      <w:lang w:val="en-US" w:eastAsia="zh-CN"/>
                    </w:rPr>
                    <w:t>人，吊车人员</w:t>
                  </w:r>
                  <w:r>
                    <w:rPr>
                      <w:rFonts w:hint="default" w:ascii="Times New Roman" w:hAnsi="Times New Roman" w:eastAsia="宋体" w:cs="Times New Roman"/>
                      <w:color w:val="auto"/>
                      <w:sz w:val="18"/>
                      <w:szCs w:val="18"/>
                      <w:highlight w:val="none"/>
                      <w:vertAlign w:val="baseline"/>
                      <w:lang w:val="en-US" w:eastAsia="zh-CN"/>
                    </w:rPr>
                    <w:t>12</w:t>
                  </w:r>
                  <w:r>
                    <w:rPr>
                      <w:rFonts w:hint="eastAsia" w:ascii="Times New Roman" w:hAnsi="Times New Roman" w:eastAsia="宋体" w:cs="Times New Roman"/>
                      <w:color w:val="auto"/>
                      <w:sz w:val="18"/>
                      <w:szCs w:val="18"/>
                      <w:highlight w:val="none"/>
                      <w:vertAlign w:val="baseline"/>
                      <w:lang w:val="en-US" w:eastAsia="zh-CN"/>
                    </w:rPr>
                    <w:t>人</w:t>
                  </w:r>
                </w:p>
              </w:tc>
            </w:tr>
            <w:tr w14:paraId="19556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tcPr>
                <w:p w14:paraId="39F502F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w:t>
                  </w:r>
                </w:p>
              </w:tc>
              <w:tc>
                <w:tcPr>
                  <w:tcW w:w="1253" w:type="dxa"/>
                  <w:tcBorders>
                    <w:tl2br w:val="nil"/>
                    <w:tr2bl w:val="nil"/>
                  </w:tcBorders>
                </w:tcPr>
                <w:p w14:paraId="7C6CBDE7">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信号</w:t>
                  </w:r>
                </w:p>
              </w:tc>
              <w:tc>
                <w:tcPr>
                  <w:tcW w:w="883" w:type="dxa"/>
                  <w:tcBorders>
                    <w:tl2br w:val="nil"/>
                    <w:tr2bl w:val="nil"/>
                  </w:tcBorders>
                </w:tcPr>
                <w:p w14:paraId="7D685558">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人</w:t>
                  </w:r>
                </w:p>
              </w:tc>
              <w:tc>
                <w:tcPr>
                  <w:tcW w:w="997" w:type="dxa"/>
                  <w:tcBorders>
                    <w:tl2br w:val="nil"/>
                    <w:tr2bl w:val="nil"/>
                  </w:tcBorders>
                </w:tcPr>
                <w:p w14:paraId="24A75967">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4</w:t>
                  </w:r>
                </w:p>
              </w:tc>
              <w:tc>
                <w:tcPr>
                  <w:tcW w:w="4206" w:type="dxa"/>
                  <w:tcBorders>
                    <w:tl2br w:val="nil"/>
                    <w:tr2bl w:val="nil"/>
                  </w:tcBorders>
                </w:tcPr>
                <w:p w14:paraId="27CCCCFB">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r w14:paraId="75548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tcPr>
                <w:p w14:paraId="13E5D872">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w:t>
                  </w:r>
                </w:p>
              </w:tc>
              <w:tc>
                <w:tcPr>
                  <w:tcW w:w="1253" w:type="dxa"/>
                  <w:tcBorders>
                    <w:tl2br w:val="nil"/>
                    <w:tr2bl w:val="nil"/>
                  </w:tcBorders>
                </w:tcPr>
                <w:p w14:paraId="3456252A">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车辆</w:t>
                  </w:r>
                </w:p>
              </w:tc>
              <w:tc>
                <w:tcPr>
                  <w:tcW w:w="883" w:type="dxa"/>
                  <w:tcBorders>
                    <w:tl2br w:val="nil"/>
                    <w:tr2bl w:val="nil"/>
                  </w:tcBorders>
                </w:tcPr>
                <w:p w14:paraId="3DEC1967">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人</w:t>
                  </w:r>
                </w:p>
              </w:tc>
              <w:tc>
                <w:tcPr>
                  <w:tcW w:w="997" w:type="dxa"/>
                  <w:tcBorders>
                    <w:tl2br w:val="nil"/>
                    <w:tr2bl w:val="nil"/>
                  </w:tcBorders>
                </w:tcPr>
                <w:p w14:paraId="65FC7BC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6</w:t>
                  </w:r>
                </w:p>
              </w:tc>
              <w:tc>
                <w:tcPr>
                  <w:tcW w:w="4206" w:type="dxa"/>
                  <w:tcBorders>
                    <w:tl2br w:val="nil"/>
                    <w:tr2bl w:val="nil"/>
                  </w:tcBorders>
                </w:tcPr>
                <w:p w14:paraId="7ECB180E">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r w14:paraId="4BB965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tcPr>
                <w:p w14:paraId="30A043F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4</w:t>
                  </w:r>
                </w:p>
              </w:tc>
              <w:tc>
                <w:tcPr>
                  <w:tcW w:w="1253" w:type="dxa"/>
                  <w:tcBorders>
                    <w:tl2br w:val="nil"/>
                    <w:tr2bl w:val="nil"/>
                  </w:tcBorders>
                </w:tcPr>
                <w:p w14:paraId="2CA19B15">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机务人员</w:t>
                  </w:r>
                </w:p>
              </w:tc>
              <w:tc>
                <w:tcPr>
                  <w:tcW w:w="883" w:type="dxa"/>
                  <w:tcBorders>
                    <w:tl2br w:val="nil"/>
                    <w:tr2bl w:val="nil"/>
                  </w:tcBorders>
                </w:tcPr>
                <w:p w14:paraId="1275D8C7">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人</w:t>
                  </w:r>
                </w:p>
              </w:tc>
              <w:tc>
                <w:tcPr>
                  <w:tcW w:w="997" w:type="dxa"/>
                  <w:tcBorders>
                    <w:tl2br w:val="nil"/>
                    <w:tr2bl w:val="nil"/>
                  </w:tcBorders>
                </w:tcPr>
                <w:p w14:paraId="6BF0EA1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33</w:t>
                  </w:r>
                </w:p>
              </w:tc>
              <w:tc>
                <w:tcPr>
                  <w:tcW w:w="4206" w:type="dxa"/>
                  <w:tcBorders>
                    <w:tl2br w:val="nil"/>
                    <w:tr2bl w:val="nil"/>
                  </w:tcBorders>
                </w:tcPr>
                <w:p w14:paraId="01115476">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r w14:paraId="157FDC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gridSpan w:val="2"/>
                  <w:tcBorders>
                    <w:tl2br w:val="nil"/>
                    <w:tr2bl w:val="nil"/>
                  </w:tcBorders>
                </w:tcPr>
                <w:p w14:paraId="3D7C22BC">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合计</w:t>
                  </w:r>
                </w:p>
              </w:tc>
              <w:tc>
                <w:tcPr>
                  <w:tcW w:w="883" w:type="dxa"/>
                  <w:tcBorders>
                    <w:tl2br w:val="nil"/>
                    <w:tr2bl w:val="nil"/>
                  </w:tcBorders>
                </w:tcPr>
                <w:p w14:paraId="271B02F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人</w:t>
                  </w:r>
                </w:p>
              </w:tc>
              <w:tc>
                <w:tcPr>
                  <w:tcW w:w="997" w:type="dxa"/>
                  <w:tcBorders>
                    <w:tl2br w:val="nil"/>
                    <w:tr2bl w:val="nil"/>
                  </w:tcBorders>
                </w:tcPr>
                <w:p w14:paraId="2CC054C3">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75</w:t>
                  </w:r>
                </w:p>
              </w:tc>
              <w:tc>
                <w:tcPr>
                  <w:tcW w:w="4206" w:type="dxa"/>
                  <w:tcBorders>
                    <w:tl2br w:val="nil"/>
                    <w:tr2bl w:val="nil"/>
                  </w:tcBorders>
                </w:tcPr>
                <w:p w14:paraId="5189B77E">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r>
          </w:tbl>
          <w:p w14:paraId="77CE1D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b/>
                <w:bCs/>
                <w:sz w:val="24"/>
                <w:szCs w:val="24"/>
                <w:lang w:val="en-US" w:eastAsia="zh-CN"/>
              </w:rPr>
            </w:pPr>
          </w:p>
        </w:tc>
      </w:tr>
      <w:tr w14:paraId="28F8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584135B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总平面及现场布置</w:t>
            </w:r>
          </w:p>
        </w:tc>
        <w:tc>
          <w:tcPr>
            <w:tcW w:w="8288" w:type="dxa"/>
          </w:tcPr>
          <w:p w14:paraId="2200C24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1、专用线平面布置</w:t>
            </w:r>
          </w:p>
          <w:p w14:paraId="3B3C194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本铁路专用线设龙门吊装卸区（左右两处）、翻车机卸车区、调车区，共设货物线</w:t>
            </w:r>
            <w:r>
              <w:rPr>
                <w:rFonts w:hint="default"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条、调车兼存车线</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条、牵出线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条、机走线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条、机待线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条，总铺轨</w:t>
            </w:r>
            <w:r>
              <w:rPr>
                <w:rFonts w:hint="default" w:ascii="Times New Roman" w:hAnsi="Times New Roman" w:eastAsia="宋体" w:cs="Times New Roman"/>
                <w:color w:val="auto"/>
                <w:sz w:val="24"/>
                <w:szCs w:val="24"/>
                <w:highlight w:val="none"/>
                <w:lang w:val="en-US" w:eastAsia="zh-CN"/>
              </w:rPr>
              <w:t>10.053km</w:t>
            </w:r>
            <w:r>
              <w:rPr>
                <w:rFonts w:hint="eastAsia" w:ascii="Times New Roman" w:hAnsi="Times New Roman" w:eastAsia="宋体" w:cs="Times New Roman"/>
                <w:color w:val="auto"/>
                <w:sz w:val="24"/>
                <w:szCs w:val="24"/>
                <w:highlight w:val="none"/>
                <w:lang w:val="en-US" w:eastAsia="zh-CN"/>
              </w:rPr>
              <w:t>，新建涵洞</w:t>
            </w:r>
            <w:r>
              <w:rPr>
                <w:rFonts w:hint="default" w:ascii="Times New Roman" w:hAnsi="Times New Roman" w:eastAsia="宋体" w:cs="Times New Roman"/>
                <w:color w:val="auto"/>
                <w:sz w:val="24"/>
                <w:szCs w:val="24"/>
                <w:highlight w:val="none"/>
                <w:lang w:val="en-US" w:eastAsia="zh-CN"/>
              </w:rPr>
              <w:t>171m</w:t>
            </w:r>
            <w:r>
              <w:rPr>
                <w:rFonts w:hint="eastAsia" w:ascii="Times New Roman" w:hAnsi="Times New Roman" w:eastAsia="宋体" w:cs="Times New Roman"/>
                <w:color w:val="auto"/>
                <w:sz w:val="24"/>
                <w:szCs w:val="24"/>
                <w:highlight w:val="none"/>
                <w:lang w:val="en-US" w:eastAsia="zh-CN"/>
              </w:rPr>
              <w:t>。具体如下：</w:t>
            </w:r>
          </w:p>
          <w:p w14:paraId="0785EB3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①左侧龙门吊装卸区设货物线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690m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736m</w:t>
            </w:r>
            <w:r>
              <w:rPr>
                <w:rFonts w:hint="eastAsia" w:ascii="Times New Roman" w:hAnsi="Times New Roman" w:eastAsia="宋体" w:cs="Times New Roman"/>
                <w:color w:val="auto"/>
                <w:sz w:val="24"/>
                <w:szCs w:val="24"/>
                <w:highlight w:val="none"/>
                <w:lang w:val="en-US" w:eastAsia="zh-CN"/>
              </w:rPr>
              <w:t>，配套设</w:t>
            </w:r>
            <w:r>
              <w:rPr>
                <w:rFonts w:hint="default" w:ascii="Times New Roman" w:hAnsi="Times New Roman" w:eastAsia="宋体" w:cs="Times New Roman"/>
                <w:color w:val="auto"/>
                <w:sz w:val="24"/>
                <w:szCs w:val="24"/>
                <w:highlight w:val="none"/>
                <w:lang w:val="en-US" w:eastAsia="zh-CN"/>
              </w:rPr>
              <w:t>40m</w:t>
            </w:r>
            <w:r>
              <w:rPr>
                <w:rFonts w:hint="eastAsia" w:ascii="Times New Roman" w:hAnsi="Times New Roman" w:eastAsia="宋体" w:cs="Times New Roman"/>
                <w:color w:val="auto"/>
                <w:sz w:val="24"/>
                <w:szCs w:val="24"/>
                <w:highlight w:val="none"/>
                <w:lang w:val="en-US" w:eastAsia="zh-CN"/>
              </w:rPr>
              <w:t>跨度龙门吊设备。</w:t>
            </w:r>
          </w:p>
          <w:p w14:paraId="5A155D1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②调车区设调存线</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712m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712m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680m</w:t>
            </w:r>
            <w:r>
              <w:rPr>
                <w:rFonts w:hint="eastAsia" w:ascii="Times New Roman" w:hAnsi="Times New Roman" w:eastAsia="宋体" w:cs="Times New Roman"/>
                <w:color w:val="auto"/>
                <w:sz w:val="24"/>
                <w:szCs w:val="24"/>
                <w:highlight w:val="none"/>
                <w:lang w:val="en-US" w:eastAsia="zh-CN"/>
              </w:rPr>
              <w:t>，尾部设机待线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lang w:val="en-US" w:eastAsia="zh-CN"/>
              </w:rPr>
              <w:t>。</w:t>
            </w:r>
          </w:p>
          <w:p w14:paraId="6C8C14D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③翻车机卸车区预留双翻翻车机</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台，配套设重车线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745m</w:t>
            </w:r>
            <w:r>
              <w:rPr>
                <w:rFonts w:hint="eastAsia" w:ascii="Times New Roman" w:hAnsi="Times New Roman" w:eastAsia="宋体" w:cs="Times New Roman"/>
                <w:color w:val="auto"/>
                <w:sz w:val="24"/>
                <w:szCs w:val="24"/>
                <w:highlight w:val="none"/>
                <w:lang w:val="en-US" w:eastAsia="zh-CN"/>
              </w:rPr>
              <w:t>，空车线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736m</w:t>
            </w:r>
            <w:r>
              <w:rPr>
                <w:rFonts w:hint="eastAsia" w:ascii="Times New Roman" w:hAnsi="Times New Roman" w:eastAsia="宋体" w:cs="Times New Roman"/>
                <w:color w:val="auto"/>
                <w:sz w:val="24"/>
                <w:szCs w:val="24"/>
                <w:highlight w:val="none"/>
                <w:lang w:val="en-US" w:eastAsia="zh-CN"/>
              </w:rPr>
              <w:t>，机走线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596m</w:t>
            </w:r>
            <w:r>
              <w:rPr>
                <w:rFonts w:hint="eastAsia" w:ascii="Times New Roman" w:hAnsi="Times New Roman" w:eastAsia="宋体" w:cs="Times New Roman"/>
                <w:color w:val="auto"/>
                <w:sz w:val="24"/>
                <w:szCs w:val="24"/>
                <w:highlight w:val="none"/>
                <w:lang w:val="en-US" w:eastAsia="zh-CN"/>
              </w:rPr>
              <w:t>，根据场地条件，远期预留存车线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w:t>
            </w:r>
          </w:p>
          <w:p w14:paraId="34EE31E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④右侧龙门吊装卸区设货物线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789m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687m</w:t>
            </w:r>
            <w:r>
              <w:rPr>
                <w:rFonts w:hint="eastAsia" w:ascii="Times New Roman" w:hAnsi="Times New Roman" w:eastAsia="宋体" w:cs="Times New Roman"/>
                <w:color w:val="auto"/>
                <w:sz w:val="24"/>
                <w:szCs w:val="24"/>
                <w:highlight w:val="none"/>
                <w:lang w:val="en-US" w:eastAsia="zh-CN"/>
              </w:rPr>
              <w:t>，尾部设机待线</w:t>
            </w:r>
            <w:r>
              <w:rPr>
                <w:rFonts w:hint="default" w:ascii="Times New Roman" w:hAnsi="Times New Roman" w:eastAsia="宋体" w:cs="Times New Roman"/>
                <w:color w:val="auto"/>
                <w:sz w:val="24"/>
                <w:szCs w:val="24"/>
                <w:highlight w:val="none"/>
                <w:lang w:val="en-US" w:eastAsia="zh-CN"/>
              </w:rPr>
              <w:t>1条，有效长90m，配套设35m跨度龙门吊设备。</w:t>
            </w:r>
          </w:p>
          <w:p w14:paraId="21E42B6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⑤专用线小里程端咽喉设牵出线1条，有效长350m，远期预留延长至650m；设轨道衡1台、生产生活设施场坪1处，配套设置货场道路、房屋等</w:t>
            </w:r>
            <w:r>
              <w:rPr>
                <w:rFonts w:hint="eastAsia" w:cs="Times New Roman"/>
                <w:color w:val="auto"/>
                <w:sz w:val="24"/>
                <w:szCs w:val="24"/>
                <w:highlight w:val="none"/>
                <w:lang w:val="en-US" w:eastAsia="zh-CN"/>
              </w:rPr>
              <w:t>。</w:t>
            </w:r>
          </w:p>
          <w:p w14:paraId="077E9AA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⑥配套建</w:t>
            </w:r>
            <w:r>
              <w:rPr>
                <w:rFonts w:hint="eastAsia" w:ascii="Times New Roman" w:hAnsi="Times New Roman" w:eastAsia="宋体" w:cs="Times New Roman"/>
                <w:color w:val="auto"/>
                <w:sz w:val="24"/>
                <w:szCs w:val="24"/>
                <w:highlight w:val="none"/>
                <w:lang w:val="en-US" w:eastAsia="zh-CN"/>
              </w:rPr>
              <w:t>设煤堆取作业厂房与原料堆场。</w:t>
            </w:r>
          </w:p>
          <w:p w14:paraId="26C3C25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24"/>
                <w:lang w:val="en-US" w:eastAsia="zh-CN"/>
              </w:rPr>
            </w:pPr>
            <w:r>
              <w:rPr>
                <w:rFonts w:hint="eastAsia"/>
                <w:b/>
                <w:bCs/>
                <w:sz w:val="24"/>
                <w:szCs w:val="24"/>
                <w:lang w:val="en-US" w:eastAsia="zh-CN"/>
              </w:rPr>
              <w:t>2、施工临时占地布置情况</w:t>
            </w:r>
          </w:p>
          <w:p w14:paraId="30CA047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）材料堆场：本项目拟在工程现场设置材料</w:t>
            </w:r>
            <w:r>
              <w:rPr>
                <w:rFonts w:hint="eastAsia" w:cs="Times New Roman"/>
                <w:color w:val="auto"/>
                <w:sz w:val="24"/>
                <w:szCs w:val="24"/>
                <w:highlight w:val="none"/>
                <w:lang w:val="en-US" w:eastAsia="zh-CN"/>
              </w:rPr>
              <w:t>堆场</w:t>
            </w:r>
            <w:r>
              <w:rPr>
                <w:rFonts w:hint="eastAsia" w:ascii="Times New Roman" w:hAnsi="Times New Roman" w:eastAsia="宋体" w:cs="Times New Roman"/>
                <w:color w:val="auto"/>
                <w:sz w:val="24"/>
                <w:szCs w:val="24"/>
                <w:highlight w:val="none"/>
                <w:lang w:val="en-US" w:eastAsia="zh-CN"/>
              </w:rPr>
              <w:t>，负责全线材料的临时存储，不新增占地。材料分类堆放，按照施工需要布置在施工工作区空地范围内，做好措施。</w:t>
            </w:r>
          </w:p>
          <w:p w14:paraId="31058EA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）施工便道：施工场地预留施工出入口，通往各工点主要道路通畅</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利用既有公路及乡村道路路作为运输主干道</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新建汽车运输施工便道</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km</w:t>
            </w:r>
            <w:r>
              <w:rPr>
                <w:rFonts w:hint="eastAsia" w:ascii="Times New Roman" w:hAnsi="Times New Roman" w:eastAsia="宋体" w:cs="Times New Roman"/>
                <w:color w:val="auto"/>
                <w:sz w:val="24"/>
                <w:szCs w:val="24"/>
                <w:highlight w:val="none"/>
                <w:lang w:val="en-US" w:eastAsia="zh-CN"/>
              </w:rPr>
              <w:t>，主要为引入线，就近从国道及省道、县乡道接引。</w:t>
            </w:r>
          </w:p>
          <w:p w14:paraId="1AA9EB7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）预制场：本项目桥梁采取钻孔灌注桩基础，无需设置预制场；部分材料钢筋混凝土梁、钢筋混凝土预制桩、混凝土圆涵等进行购买。</w:t>
            </w:r>
          </w:p>
          <w:p w14:paraId="715F544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）取土场：本项</w:t>
            </w:r>
            <w:r>
              <w:rPr>
                <w:rFonts w:hint="default" w:ascii="Times New Roman" w:hAnsi="Times New Roman" w:eastAsia="宋体" w:cs="Times New Roman"/>
                <w:color w:val="auto"/>
                <w:sz w:val="24"/>
                <w:szCs w:val="24"/>
                <w:highlight w:val="none"/>
                <w:lang w:val="en-US" w:eastAsia="zh-CN"/>
              </w:rPr>
              <w:t>目表土回填，填方量小于挖方量，不设置取土场。</w:t>
            </w:r>
          </w:p>
          <w:p w14:paraId="003B832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）弃土场：</w:t>
            </w:r>
            <w:r>
              <w:rPr>
                <w:rFonts w:hint="eastAsia" w:cs="Times New Roman"/>
                <w:color w:val="auto"/>
                <w:sz w:val="24"/>
                <w:szCs w:val="24"/>
                <w:highlight w:val="none"/>
                <w:lang w:val="en-US" w:eastAsia="zh-CN"/>
              </w:rPr>
              <w:t>本项目土石方全部回填，不设置弃土场</w:t>
            </w:r>
            <w:r>
              <w:rPr>
                <w:rFonts w:hint="default" w:ascii="Times New Roman" w:hAnsi="Times New Roman" w:eastAsia="宋体" w:cs="Times New Roman"/>
                <w:color w:val="auto"/>
                <w:sz w:val="24"/>
                <w:szCs w:val="24"/>
                <w:highlight w:val="none"/>
                <w:lang w:val="en-US" w:eastAsia="zh-CN"/>
              </w:rPr>
              <w:t>。</w:t>
            </w:r>
          </w:p>
          <w:p w14:paraId="50190AA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）施工营地：工程未在施工场地内设置施工营地，仅设置临时活动板房，用于现场指挥人员办公，施工场地设置旱厕。拟建项目施工人员不在建设工地内食宿。</w:t>
            </w:r>
          </w:p>
        </w:tc>
      </w:tr>
      <w:tr w14:paraId="6491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4F49030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施工方案</w:t>
            </w:r>
          </w:p>
        </w:tc>
        <w:tc>
          <w:tcPr>
            <w:tcW w:w="8288" w:type="dxa"/>
          </w:tcPr>
          <w:p w14:paraId="76F48DA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color w:val="auto"/>
                <w:kern w:val="0"/>
                <w:sz w:val="24"/>
                <w:szCs w:val="24"/>
                <w:highlight w:val="none"/>
                <w:vertAlign w:val="baseline"/>
                <w:lang w:val="en-US" w:eastAsia="zh-CN" w:bidi="ar"/>
              </w:rPr>
            </w:pPr>
            <w:r>
              <w:rPr>
                <w:rFonts w:hint="eastAsia" w:cs="Times New Roman"/>
                <w:b/>
                <w:bCs/>
                <w:color w:val="auto"/>
                <w:kern w:val="0"/>
                <w:sz w:val="24"/>
                <w:szCs w:val="24"/>
                <w:highlight w:val="none"/>
                <w:vertAlign w:val="baseline"/>
                <w:lang w:val="en-US" w:eastAsia="zh-CN" w:bidi="ar"/>
              </w:rPr>
              <w:t>一、项目施工组织</w:t>
            </w:r>
          </w:p>
          <w:p w14:paraId="49780E2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施工组织方案</w:t>
            </w:r>
          </w:p>
          <w:p w14:paraId="50086EC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根据本项目特点和工程分布情况、建材供应地点、供应方式、交通运输情况等因素，通过火车运输的材料：主要包括钢轨及扣配件、轨枕、道岔、道砟等材料。</w:t>
            </w:r>
          </w:p>
          <w:p w14:paraId="0BFA3B4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（2）施工总工期及其依据</w:t>
            </w:r>
          </w:p>
          <w:p w14:paraId="329AF0A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根据《铁路工程施工组织设计规范》（</w:t>
            </w:r>
            <w:r>
              <w:rPr>
                <w:rFonts w:hint="default" w:cs="Times New Roman"/>
                <w:color w:val="auto"/>
                <w:sz w:val="24"/>
                <w:szCs w:val="24"/>
                <w:highlight w:val="none"/>
                <w:lang w:val="en-US" w:eastAsia="zh-CN"/>
              </w:rPr>
              <w:t>Q/CR 9004-2018</w:t>
            </w:r>
            <w:r>
              <w:rPr>
                <w:rFonts w:hint="eastAsia" w:cs="Times New Roman"/>
                <w:color w:val="auto"/>
                <w:sz w:val="24"/>
                <w:szCs w:val="24"/>
                <w:highlight w:val="none"/>
                <w:lang w:val="en-US" w:eastAsia="zh-CN"/>
              </w:rPr>
              <w:t>），结合本项目的实际情况，根据本线建设特点和工程建设规模，对建设工期进行了分析。本铁路专用线项目拟定总建设工期</w:t>
            </w:r>
            <w:r>
              <w:rPr>
                <w:rFonts w:hint="default" w:cs="Times New Roman"/>
                <w:color w:val="auto"/>
                <w:sz w:val="24"/>
                <w:szCs w:val="24"/>
                <w:highlight w:val="none"/>
                <w:lang w:val="en-US" w:eastAsia="zh-CN"/>
              </w:rPr>
              <w:t>12</w:t>
            </w:r>
            <w:r>
              <w:rPr>
                <w:rFonts w:hint="eastAsia" w:cs="Times New Roman"/>
                <w:color w:val="auto"/>
                <w:sz w:val="24"/>
                <w:szCs w:val="24"/>
                <w:highlight w:val="none"/>
                <w:lang w:val="en-US" w:eastAsia="zh-CN"/>
              </w:rPr>
              <w:t>个月。</w:t>
            </w:r>
          </w:p>
          <w:p w14:paraId="17B0E29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施工区段划分意见</w:t>
            </w:r>
          </w:p>
          <w:p w14:paraId="0E713EA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本项目规模较小，为方便统一管理，建议全部为一个区段。</w:t>
            </w:r>
          </w:p>
          <w:p w14:paraId="1CB9752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）大型临时设施和过渡工程</w:t>
            </w:r>
          </w:p>
          <w:p w14:paraId="2BDF96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）汽车运输便道方案的意见</w:t>
            </w:r>
          </w:p>
          <w:p w14:paraId="089AB21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本铁路专用线位于山区，考虑新建施工便道</w:t>
            </w:r>
            <w:r>
              <w:rPr>
                <w:rFonts w:hint="default" w:ascii="Times New Roman" w:hAnsi="Times New Roman" w:eastAsia="宋体" w:cs="Times New Roman"/>
                <w:color w:val="auto"/>
                <w:sz w:val="24"/>
                <w:szCs w:val="24"/>
                <w:highlight w:val="none"/>
                <w:lang w:val="en-US" w:eastAsia="zh-CN"/>
              </w:rPr>
              <w:t>2.2km</w:t>
            </w:r>
            <w:r>
              <w:rPr>
                <w:rFonts w:hint="eastAsia" w:ascii="Times New Roman" w:hAnsi="Times New Roman" w:eastAsia="宋体" w:cs="Times New Roman"/>
                <w:color w:val="auto"/>
                <w:sz w:val="24"/>
                <w:szCs w:val="24"/>
                <w:highlight w:val="none"/>
                <w:lang w:val="en-US" w:eastAsia="zh-CN"/>
              </w:rPr>
              <w:t>。</w:t>
            </w:r>
          </w:p>
          <w:p w14:paraId="41AC460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）大型临时辅助设施的设置意见</w:t>
            </w:r>
          </w:p>
          <w:p w14:paraId="10BA1BB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①材料厂</w:t>
            </w:r>
          </w:p>
          <w:p w14:paraId="6D941EB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在仙福场设置材料厂，负责全线材料的临时存储。</w:t>
            </w:r>
          </w:p>
          <w:p w14:paraId="038EBAB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②混凝土拌合站</w:t>
            </w:r>
          </w:p>
          <w:p w14:paraId="19D3A3E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本项目使用商品混凝土，不设拌合站。</w:t>
            </w:r>
          </w:p>
          <w:p w14:paraId="6B78134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梁存梁场</w:t>
            </w:r>
          </w:p>
          <w:p w14:paraId="7772EB6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本项目无桥梁，不考虑</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梁存梁场。</w:t>
            </w:r>
          </w:p>
          <w:p w14:paraId="0402878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④施工供水方案的意见</w:t>
            </w:r>
          </w:p>
          <w:p w14:paraId="131DDF4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施工用水按小临考虑。</w:t>
            </w:r>
          </w:p>
          <w:p w14:paraId="415310C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⑤施工供电方案的意见</w:t>
            </w:r>
          </w:p>
          <w:p w14:paraId="240BDDB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考虑临时供电</w:t>
            </w:r>
            <w:r>
              <w:rPr>
                <w:rFonts w:hint="default" w:ascii="Times New Roman" w:hAnsi="Times New Roman" w:eastAsia="宋体" w:cs="Times New Roman"/>
                <w:color w:val="auto"/>
                <w:sz w:val="24"/>
                <w:szCs w:val="24"/>
                <w:highlight w:val="none"/>
                <w:lang w:val="en-US" w:eastAsia="zh-CN"/>
              </w:rPr>
              <w:t>4.18km</w:t>
            </w:r>
            <w:r>
              <w:rPr>
                <w:rFonts w:hint="eastAsia" w:ascii="Times New Roman" w:hAnsi="Times New Roman" w:eastAsia="宋体" w:cs="Times New Roman"/>
                <w:color w:val="auto"/>
                <w:sz w:val="24"/>
                <w:szCs w:val="24"/>
                <w:highlight w:val="none"/>
                <w:lang w:val="en-US" w:eastAsia="zh-CN"/>
              </w:rPr>
              <w:t>，现场条件困难无法永临结合。</w:t>
            </w:r>
          </w:p>
          <w:p w14:paraId="699AB83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）施工方案</w:t>
            </w:r>
          </w:p>
          <w:p w14:paraId="5E0C3C6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）控制工程和重难点工程施工方案</w:t>
            </w:r>
          </w:p>
          <w:p w14:paraId="68EE486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本项目控制性工程为房屋工程。房屋工程按基础工程→主体工程→屋面工程→装饰工程→水暖电安装工程→附属工程→清理验收的总体施工顺序进行，根据工程特点结合现场的实际</w:t>
            </w:r>
            <w:r>
              <w:rPr>
                <w:rFonts w:hint="eastAsia" w:cs="Times New Roman"/>
                <w:color w:val="auto"/>
                <w:sz w:val="24"/>
                <w:szCs w:val="24"/>
                <w:highlight w:val="none"/>
                <w:lang w:val="en-US" w:eastAsia="zh-CN"/>
              </w:rPr>
              <w:t>情况</w:t>
            </w:r>
            <w:r>
              <w:rPr>
                <w:rFonts w:hint="eastAsia" w:ascii="Times New Roman" w:hAnsi="Times New Roman" w:eastAsia="宋体" w:cs="Times New Roman"/>
                <w:color w:val="auto"/>
                <w:sz w:val="24"/>
                <w:szCs w:val="24"/>
                <w:highlight w:val="none"/>
                <w:lang w:val="en-US" w:eastAsia="zh-CN"/>
              </w:rPr>
              <w:t>，按照“先房屋后附属”的基本原则和“先地基后基础”“先地下后地上”、“先建筑后安装”、“先主体后圈护”、“先结构后装饰”的次序进行施工，房屋工程工期</w:t>
            </w: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个月。</w:t>
            </w:r>
          </w:p>
          <w:p w14:paraId="70CEB65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）其他施工方案</w:t>
            </w:r>
          </w:p>
          <w:p w14:paraId="356F1C9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①施工准备工作</w:t>
            </w:r>
          </w:p>
          <w:p w14:paraId="20EEF58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征地拆迁</w:t>
            </w:r>
          </w:p>
          <w:p w14:paraId="08F1945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本项目已完成征地拆迁工作。</w:t>
            </w:r>
          </w:p>
          <w:p w14:paraId="472E355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砂石备料</w:t>
            </w:r>
          </w:p>
          <w:p w14:paraId="4CD8C5B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对于工程需用量较大的圬工用碎石、片石、工程用砂以及道砟，应依据施工总工期要求及进度安排，提前备料。</w:t>
            </w:r>
          </w:p>
          <w:p w14:paraId="44B6990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lang w:val="en-US" w:eastAsia="zh-CN"/>
              </w:rPr>
              <w:t>临时工程</w:t>
            </w:r>
          </w:p>
          <w:p w14:paraId="14B399E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根据施工组织安排，所需直拨料提前与厂家及铁路部门协商，提前储备并</w:t>
            </w:r>
            <w:r>
              <w:rPr>
                <w:rFonts w:hint="eastAsia" w:cs="Times New Roman"/>
                <w:color w:val="auto"/>
                <w:sz w:val="24"/>
                <w:szCs w:val="24"/>
                <w:highlight w:val="none"/>
                <w:lang w:val="en-US" w:eastAsia="zh-CN"/>
              </w:rPr>
              <w:t>做好</w:t>
            </w:r>
            <w:r>
              <w:rPr>
                <w:rFonts w:hint="eastAsia" w:ascii="Times New Roman" w:hAnsi="Times New Roman" w:eastAsia="宋体" w:cs="Times New Roman"/>
                <w:color w:val="auto"/>
                <w:sz w:val="24"/>
                <w:szCs w:val="24"/>
                <w:highlight w:val="none"/>
                <w:lang w:val="en-US" w:eastAsia="zh-CN"/>
              </w:rPr>
              <w:t>运输组织，保证供应确保正式工程的开工及进度要求。</w:t>
            </w:r>
          </w:p>
          <w:p w14:paraId="2A8A5CC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②主要工程施工方案</w:t>
            </w:r>
          </w:p>
          <w:p w14:paraId="74432B8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路基工程（基底处理）</w:t>
            </w:r>
          </w:p>
          <w:p w14:paraId="72B128D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土方工程：土方工程以机械施工为主，人力施工为辅；机械施工按</w:t>
            </w:r>
            <w:r>
              <w:rPr>
                <w:rFonts w:hint="default" w:ascii="Times New Roman" w:hAnsi="Times New Roman" w:eastAsia="宋体" w:cs="Times New Roman"/>
                <w:color w:val="auto"/>
                <w:sz w:val="24"/>
                <w:szCs w:val="24"/>
                <w:highlight w:val="none"/>
                <w:lang w:val="en-US" w:eastAsia="zh-CN"/>
              </w:rPr>
              <w:t>2m</w:t>
            </w:r>
            <w:r>
              <w:rPr>
                <w:rFonts w:hint="eastAsia"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挖掘机配合</w:t>
            </w:r>
            <w:r>
              <w:rPr>
                <w:rFonts w:hint="default" w:ascii="Times New Roman" w:hAnsi="Times New Roman" w:eastAsia="宋体" w:cs="Times New Roman"/>
                <w:color w:val="auto"/>
                <w:sz w:val="24"/>
                <w:szCs w:val="24"/>
                <w:highlight w:val="none"/>
                <w:lang w:val="en-US" w:eastAsia="zh-CN"/>
              </w:rPr>
              <w:t>15t</w:t>
            </w:r>
            <w:r>
              <w:rPr>
                <w:rFonts w:hint="eastAsia" w:ascii="Times New Roman" w:hAnsi="Times New Roman" w:eastAsia="宋体" w:cs="Times New Roman"/>
                <w:color w:val="auto"/>
                <w:sz w:val="24"/>
                <w:szCs w:val="24"/>
                <w:highlight w:val="none"/>
                <w:lang w:val="en-US" w:eastAsia="zh-CN"/>
              </w:rPr>
              <w:t>自卸汽车施工；路基压实采用机械碾压。</w:t>
            </w:r>
          </w:p>
          <w:p w14:paraId="0D4321A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铺轨工程</w:t>
            </w:r>
          </w:p>
          <w:p w14:paraId="2C815D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铺轨采用人工铺轨，铺砟采用汽车上砟。铺轨共计</w:t>
            </w:r>
            <w:r>
              <w:rPr>
                <w:rFonts w:hint="default" w:ascii="Times New Roman" w:hAnsi="Times New Roman" w:eastAsia="宋体" w:cs="Times New Roman"/>
                <w:color w:val="auto"/>
                <w:sz w:val="24"/>
                <w:szCs w:val="24"/>
                <w:highlight w:val="none"/>
                <w:lang w:val="en-US" w:eastAsia="zh-CN"/>
              </w:rPr>
              <w:t>9.598km</w:t>
            </w:r>
            <w:r>
              <w:rPr>
                <w:rFonts w:hint="eastAsia" w:ascii="Times New Roman" w:hAnsi="Times New Roman" w:eastAsia="宋体" w:cs="Times New Roman"/>
                <w:color w:val="auto"/>
                <w:sz w:val="24"/>
                <w:szCs w:val="24"/>
                <w:highlight w:val="none"/>
                <w:lang w:val="en-US" w:eastAsia="zh-CN"/>
              </w:rPr>
              <w:t>。</w:t>
            </w:r>
          </w:p>
          <w:p w14:paraId="33B851C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铺轨前复核路基工程资料，如路基整修表、曲线表、坡度表、断链表、平交道口表、桥涵表、控制桩表以及水准点表等，并据此对其路基面、中线桩和所铺底砟等进行现场复查。</w:t>
            </w:r>
          </w:p>
          <w:p w14:paraId="1744476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根据核准的施工文件及资料，编制轨排铺设计划表，提出人工铺轨轨料计划，并按施工组织设计要求下达施工计划，下达人工铺轨作业指导书并进行技术交底。落实人工铺轨施工所需的人员、工具、机械设备，并调迁到位。做好配合人工铺轨施工的其他工作。</w:t>
            </w:r>
          </w:p>
          <w:p w14:paraId="105F1D3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lang w:val="en-US" w:eastAsia="zh-CN"/>
              </w:rPr>
              <w:t>把轨枕、扣配件运到施工现场，根据轨排表中注明的每节轨排的轨枕根数及所需的扣配件数量均匀散布，并按线路中线桩将轨枕放正。</w:t>
            </w:r>
          </w:p>
          <w:p w14:paraId="7841E87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道钉锚固后人工用撬棍将钢轨由路肩拨移到轨枕承轨槽内，安装鱼尾板，螺栓及垫圈，并按规定力矩拧紧螺帽。对已铺线路进行全面检查，补齐或更换不合格扣配件、补齐轨枕、更换失效轨枕、拨正线路方向和水平等。</w:t>
            </w:r>
          </w:p>
          <w:p w14:paraId="358EA4F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lang w:val="en-US" w:eastAsia="zh-CN"/>
              </w:rPr>
              <w:t>站后工程</w:t>
            </w:r>
          </w:p>
          <w:p w14:paraId="797CB48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房屋工程应提前完工，以利各种机电设备的安装、调试。</w:t>
            </w:r>
          </w:p>
          <w:p w14:paraId="1516EE8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③联调联试及运行试验</w:t>
            </w:r>
          </w:p>
          <w:p w14:paraId="6E82DA0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工程完成静态验收后，即可开始联调联试工作。</w:t>
            </w:r>
          </w:p>
          <w:p w14:paraId="6B184B8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）材料供应方案</w:t>
            </w:r>
          </w:p>
          <w:p w14:paraId="2D69A0E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）主要材料的来源与供应</w:t>
            </w:r>
          </w:p>
          <w:p w14:paraId="40CB8D8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①水泥、木材、钢材由新平采购汽车运至材料厂；给排水管材、土工材料、电杆、铁塔、机柱、电力线材、光电缆线等材料，由新平供应，汽车运输至工地。</w:t>
            </w:r>
          </w:p>
          <w:p w14:paraId="6BC3DB4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②钢轨、道岔、轨枕</w:t>
            </w:r>
          </w:p>
          <w:p w14:paraId="7E0F924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钢轨：从攀枝花采购钢轨，通过铁路运至化念后，转汽车运至工地。</w:t>
            </w:r>
          </w:p>
          <w:p w14:paraId="41A57D5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道岔：从宝鸡桥梁厂由铁路运往化念，再由汽车运至工地铺设。</w:t>
            </w:r>
          </w:p>
          <w:p w14:paraId="76DF332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lang w:val="en-US" w:eastAsia="zh-CN"/>
              </w:rPr>
              <w:t>砼枕（新Ⅱ型）：从昆明轨枕厂由铁路运往化念，再由汽车运至工地铺设。</w:t>
            </w:r>
          </w:p>
          <w:p w14:paraId="5576AF5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砼岔枕：从昆明由铁路运往化念，再由汽车运至工地铺设。</w:t>
            </w:r>
          </w:p>
          <w:p w14:paraId="31A94EF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③砂、石、道砟和砖、瓦、石灰等来源与供应砂石料：本项目来源于新愚公石场或众鑫石场，通过公路运至工地。</w:t>
            </w:r>
          </w:p>
          <w:p w14:paraId="4FF026F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道砟：从峨山县化念镇羊毛冲宗西西玛山新愚公石场采购，利用汽车运至工地。砖、瓦、石灰：选择质量达标的附近厂家供应，汽车运输至工地。</w:t>
            </w:r>
          </w:p>
          <w:p w14:paraId="617E2D3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）材料运输方案</w:t>
            </w:r>
          </w:p>
          <w:p w14:paraId="6531F37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钢轨、道岔、轨枕、钢梁、钢筋混凝土预制桩、电杆、铁塔、机柱、道砟的运输方案为火车运输汽车倒运；当地料、水泥、木材、钢材、给排水管材、土工材料、花草苗木等从项目所在地区市场直接采用汽车运往工地；电力线材等由汽车运至工地。</w:t>
            </w:r>
          </w:p>
          <w:p w14:paraId="01B0506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kern w:val="0"/>
                <w:sz w:val="24"/>
                <w:szCs w:val="24"/>
                <w:highlight w:val="none"/>
                <w:vertAlign w:val="baseline"/>
                <w:lang w:val="en-US" w:eastAsia="zh-CN" w:bidi="ar"/>
              </w:rPr>
            </w:pPr>
            <w:r>
              <w:rPr>
                <w:rFonts w:hint="eastAsia" w:cs="Times New Roman"/>
                <w:b/>
                <w:bCs/>
                <w:color w:val="auto"/>
                <w:kern w:val="0"/>
                <w:sz w:val="24"/>
                <w:szCs w:val="24"/>
                <w:highlight w:val="none"/>
                <w:vertAlign w:val="baseline"/>
                <w:lang w:val="en-US" w:eastAsia="zh-CN" w:bidi="ar"/>
              </w:rPr>
              <w:t>二、项目施工工艺</w:t>
            </w:r>
          </w:p>
          <w:p w14:paraId="499D850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施工期环境影响主要表现在工程拆迁、永久用地、临时用地和土石方工程引起的生态环境影响；施工过程产生的噪声、振动、扬尘和废水对局部环境的暂时性影响。环境影响特征分析图见下图。</w:t>
            </w:r>
          </w:p>
          <w:p w14:paraId="59EBD9F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3639185" cy="2832735"/>
                  <wp:effectExtent l="0" t="0" r="18415" b="571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2"/>
                          <a:srcRect t="36471" b="5759"/>
                          <a:stretch>
                            <a:fillRect/>
                          </a:stretch>
                        </pic:blipFill>
                        <pic:spPr>
                          <a:xfrm>
                            <a:off x="0" y="0"/>
                            <a:ext cx="3639185" cy="2832735"/>
                          </a:xfrm>
                          <a:prstGeom prst="rect">
                            <a:avLst/>
                          </a:prstGeom>
                          <a:noFill/>
                          <a:ln>
                            <a:noFill/>
                          </a:ln>
                        </pic:spPr>
                      </pic:pic>
                    </a:graphicData>
                  </a:graphic>
                </wp:inline>
              </w:drawing>
            </w:r>
          </w:p>
          <w:p w14:paraId="7A94760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图2-</w:t>
            </w:r>
            <w:r>
              <w:rPr>
                <w:rFonts w:hint="eastAsia"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项目施工期产污工艺流程图</w:t>
            </w:r>
          </w:p>
          <w:p w14:paraId="4B58B0C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路基工程施工工序简述</w:t>
            </w:r>
          </w:p>
          <w:p w14:paraId="625769F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）土方开挖</w:t>
            </w:r>
          </w:p>
          <w:p w14:paraId="318ACFB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土方工程以机械挖土为主，人力施工为辅。机械施工按2m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挖掘机配合15t自卸汽车施工。开挖前修建挡墙、排水沟等设施，路堑挖掘形式依据路堑深度和纵向长度采用分段全断面横挖法，即从一端或两端按横断面全宽逐渐向前开挖。土方工程自上而下进行，挖土主要以大型挖掘机和装载机为主，土方纵向调配近距离用推土机，远距离以自卸汽车为主，挖方路段均采用开阔断面结合人工刷坡，以保证边坡的稳定。挖土接近设计高程时进行路床施工，平地机找平。</w:t>
            </w:r>
          </w:p>
          <w:p w14:paraId="14DC4EB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）路基填筑、压实</w:t>
            </w:r>
          </w:p>
          <w:p w14:paraId="68BF563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填筑采用水平分层全断面填筑方法施工，逐段逐层向上填筑。对于路基范围开挖出来的土，经试验符合填料要求的土作为填方的材料充分利用，不同的填料分层填筑。路基填筑采取挖、装、运、摊、平、压路机压实的机械化流水作业，摊平土方时每层摊铺厚度控制在40cm，要求挂线施工，每层填压的土方均要平行于最终的路基表面，压实度不小于90%。</w:t>
            </w:r>
          </w:p>
          <w:p w14:paraId="7ECBB3FF">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pPr>
            <w:r>
              <w:drawing>
                <wp:inline distT="0" distB="0" distL="114300" distR="114300">
                  <wp:extent cx="5161915" cy="1831340"/>
                  <wp:effectExtent l="0" t="0" r="635" b="1651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3"/>
                          <a:stretch>
                            <a:fillRect/>
                          </a:stretch>
                        </pic:blipFill>
                        <pic:spPr>
                          <a:xfrm>
                            <a:off x="0" y="0"/>
                            <a:ext cx="5161915" cy="1831340"/>
                          </a:xfrm>
                          <a:prstGeom prst="rect">
                            <a:avLst/>
                          </a:prstGeom>
                          <a:noFill/>
                          <a:ln>
                            <a:noFill/>
                          </a:ln>
                        </pic:spPr>
                      </pic:pic>
                    </a:graphicData>
                  </a:graphic>
                </wp:inline>
              </w:drawing>
            </w:r>
          </w:p>
          <w:p w14:paraId="17259A0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图2-</w:t>
            </w:r>
            <w:r>
              <w:rPr>
                <w:rFonts w:hint="eastAsia"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项目</w:t>
            </w:r>
            <w:r>
              <w:rPr>
                <w:rFonts w:hint="eastAsia" w:cs="Times New Roman"/>
                <w:b/>
                <w:bCs/>
                <w:color w:val="000000"/>
                <w:kern w:val="0"/>
                <w:sz w:val="24"/>
                <w:szCs w:val="24"/>
                <w:lang w:val="en-US" w:eastAsia="zh-CN" w:bidi="ar"/>
              </w:rPr>
              <w:t>路基施工工序及产污节点</w:t>
            </w:r>
          </w:p>
          <w:p w14:paraId="60C4DA1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、项目桥梁施工工序简述</w:t>
            </w:r>
          </w:p>
          <w:p w14:paraId="1A2367B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根据不同的地质条件，桥梁基础采取钻孔基础。尽量安排在非汛期施工，汛期施工时，必须先设置支护后开挖，以减少大面积的开挖对植物的破坏。</w:t>
            </w:r>
          </w:p>
          <w:p w14:paraId="2664DC2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准备工作包括场地的平整、泥浆池布置、测量放样、护筒埋设、钻机就位等工作。钻孔桩桩基施工时先将各墩位的工作面展开，再进行钻孔现场混凝土浇灌墩柱。钻孔时选择适合地质条件的护筒，保证孔口不坍塌、不使地表水进入孔内，并保持泥浆的表面高程。扩大基础桩基施工时，先对基础处进行全面开挖，然后再修筑钢筋混凝土桥基，施工完毕后进行基坑回填，并清理施工现场，恢复迹地。桥梁上部板及涵洞之涵身、涵节、盖板均采用预制厂集中预制，机械运输、安装，下部及基础采用现场砌筑或浇筑。洞基础均为开挖基础，施工过程为基础开挖、挖方临时堆放、基础处理及回填基坑，最后清理施工现场，恢复迹地。</w:t>
            </w:r>
          </w:p>
          <w:p w14:paraId="082F405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5130165" cy="2265680"/>
                  <wp:effectExtent l="0" t="0" r="13335" b="12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4"/>
                          <a:stretch>
                            <a:fillRect/>
                          </a:stretch>
                        </pic:blipFill>
                        <pic:spPr>
                          <a:xfrm>
                            <a:off x="0" y="0"/>
                            <a:ext cx="5130165" cy="2265680"/>
                          </a:xfrm>
                          <a:prstGeom prst="rect">
                            <a:avLst/>
                          </a:prstGeom>
                          <a:noFill/>
                          <a:ln>
                            <a:noFill/>
                          </a:ln>
                        </pic:spPr>
                      </pic:pic>
                    </a:graphicData>
                  </a:graphic>
                </wp:inline>
              </w:drawing>
            </w:r>
          </w:p>
          <w:p w14:paraId="486601E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图2-</w:t>
            </w:r>
            <w:r>
              <w:rPr>
                <w:rFonts w:hint="eastAsia"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项目</w:t>
            </w:r>
            <w:r>
              <w:rPr>
                <w:rFonts w:hint="eastAsia" w:cs="Times New Roman"/>
                <w:b/>
                <w:bCs/>
                <w:color w:val="000000"/>
                <w:kern w:val="0"/>
                <w:sz w:val="24"/>
                <w:szCs w:val="24"/>
                <w:lang w:val="en-US" w:eastAsia="zh-CN" w:bidi="ar"/>
              </w:rPr>
              <w:t>线路桥梁施工工序及产污节点</w:t>
            </w:r>
          </w:p>
          <w:p w14:paraId="3E75A91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、站场施工工序简述</w:t>
            </w:r>
          </w:p>
          <w:p w14:paraId="17AB6C6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站场施工主要包括土方开挖、场地平整、砌体工程、混凝土工程、建筑物装修。砌体工程主要采用混凝土浇注，人工砌筑，混凝土工程主要采用水泥罐车、吊装车，振捣器振动凿实，所需混凝土外购。</w:t>
            </w:r>
          </w:p>
          <w:p w14:paraId="6A7C3AB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站场平整采用挖掘机和推土机作业，开挖土在站场内互相调用，平整填方采用自卸汽车与推土机联合作业。沿线站场房屋基础采用机械或人工大开挖方式。机械开挖至设计标高</w:t>
            </w:r>
            <w:r>
              <w:rPr>
                <w:rFonts w:hint="default" w:ascii="Times New Roman" w:hAnsi="Times New Roman" w:eastAsia="宋体" w:cs="Times New Roman"/>
                <w:sz w:val="24"/>
                <w:szCs w:val="24"/>
                <w:lang w:val="en-US" w:eastAsia="zh-CN"/>
              </w:rPr>
              <w:t>300mm</w:t>
            </w:r>
            <w:r>
              <w:rPr>
                <w:rFonts w:hint="eastAsia" w:ascii="Times New Roman" w:hAnsi="Times New Roman" w:eastAsia="宋体" w:cs="Times New Roman"/>
                <w:sz w:val="24"/>
                <w:szCs w:val="24"/>
                <w:lang w:val="en-US" w:eastAsia="zh-CN"/>
              </w:rPr>
              <w:t>时，改用人工开挖，避免扰动原状土。回填土方采用机械、人工相结合的方法，推土机铺土、摊平，用振动碾碾压，边缘不能压实到的地方，辅以人工和电动冲击夯实。</w:t>
            </w:r>
          </w:p>
          <w:p w14:paraId="672BE85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5147310" cy="2155825"/>
                  <wp:effectExtent l="0" t="0" r="15240" b="1587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5"/>
                          <a:stretch>
                            <a:fillRect/>
                          </a:stretch>
                        </pic:blipFill>
                        <pic:spPr>
                          <a:xfrm>
                            <a:off x="0" y="0"/>
                            <a:ext cx="5147310" cy="2155825"/>
                          </a:xfrm>
                          <a:prstGeom prst="rect">
                            <a:avLst/>
                          </a:prstGeom>
                          <a:noFill/>
                          <a:ln>
                            <a:noFill/>
                          </a:ln>
                        </pic:spPr>
                      </pic:pic>
                    </a:graphicData>
                  </a:graphic>
                </wp:inline>
              </w:drawing>
            </w:r>
          </w:p>
          <w:p w14:paraId="2D7DB24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图2-</w:t>
            </w:r>
            <w:r>
              <w:rPr>
                <w:rFonts w:hint="eastAsia" w:cs="Times New Roman"/>
                <w:b/>
                <w:bCs/>
                <w:color w:val="000000"/>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项目</w:t>
            </w:r>
            <w:r>
              <w:rPr>
                <w:rFonts w:hint="eastAsia" w:cs="Times New Roman"/>
                <w:b/>
                <w:bCs/>
                <w:color w:val="000000"/>
                <w:kern w:val="0"/>
                <w:sz w:val="24"/>
                <w:szCs w:val="24"/>
                <w:lang w:val="en-US" w:eastAsia="zh-CN" w:bidi="ar"/>
              </w:rPr>
              <w:t>站场施工工序及产污节点</w:t>
            </w:r>
          </w:p>
        </w:tc>
      </w:tr>
      <w:tr w14:paraId="454F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59208C2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其他</w:t>
            </w:r>
          </w:p>
        </w:tc>
        <w:tc>
          <w:tcPr>
            <w:tcW w:w="8288" w:type="dxa"/>
            <w:vAlign w:val="center"/>
          </w:tcPr>
          <w:p w14:paraId="3B7767D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一、玉溪市大化产业园区铁路专用线建设情况</w:t>
            </w:r>
          </w:p>
          <w:p w14:paraId="49CA4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1、建设内容</w:t>
            </w:r>
          </w:p>
          <w:p w14:paraId="5BE84A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玉溪市大化产业园区铁路专用线工程由玉溪市工业信息投资有限公司投资建设，位于玉溪市峨山县和新平县境内；接轨铁路名称：中老昆万铁路玉磨段，接轨车站名称：化念站，接轨点：站房对侧磨憨端DK42+820。正线全长9.203km，总铺轨27.35km，新建区间桥梁5座，含3座特大桥和2座大桥，总长3.304km，新建区间隧道4座，均为短隧道（小于1km），总长2.090km；新建化念南站（含2座牵出线大桥），站场：接轨站（化念南站）和化念南站（工业站），综合楼，信号楼，消防水池，变电所，机务准备段，公用工程，临时工程以及环保工程等。</w:t>
            </w:r>
          </w:p>
          <w:p w14:paraId="25F464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玉溪市大化产业园区铁路专用线近期（</w:t>
            </w:r>
            <w:r>
              <w:rPr>
                <w:rFonts w:hint="default" w:cs="Times New Roman"/>
                <w:b w:val="0"/>
                <w:bCs w:val="0"/>
                <w:color w:val="auto"/>
                <w:sz w:val="24"/>
                <w:szCs w:val="24"/>
                <w:highlight w:val="none"/>
                <w:lang w:val="en-US" w:eastAsia="zh-CN"/>
              </w:rPr>
              <w:t>2030</w:t>
            </w:r>
            <w:r>
              <w:rPr>
                <w:rFonts w:hint="eastAsia" w:cs="Times New Roman"/>
                <w:b w:val="0"/>
                <w:bCs w:val="0"/>
                <w:color w:val="auto"/>
                <w:sz w:val="24"/>
                <w:szCs w:val="24"/>
                <w:highlight w:val="none"/>
                <w:lang w:val="en-US" w:eastAsia="zh-CN"/>
              </w:rPr>
              <w:t>年）总运量为</w:t>
            </w:r>
            <w:r>
              <w:rPr>
                <w:rFonts w:hint="default" w:cs="Times New Roman"/>
                <w:b w:val="0"/>
                <w:bCs w:val="0"/>
                <w:color w:val="auto"/>
                <w:sz w:val="24"/>
                <w:szCs w:val="24"/>
                <w:highlight w:val="none"/>
                <w:lang w:val="en-US" w:eastAsia="zh-CN"/>
              </w:rPr>
              <w:t>1898</w:t>
            </w:r>
            <w:r>
              <w:rPr>
                <w:rFonts w:hint="eastAsia" w:cs="Times New Roman"/>
                <w:b w:val="0"/>
                <w:bCs w:val="0"/>
                <w:color w:val="auto"/>
                <w:sz w:val="24"/>
                <w:szCs w:val="24"/>
                <w:highlight w:val="none"/>
                <w:lang w:val="en-US" w:eastAsia="zh-CN"/>
              </w:rPr>
              <w:t>万吨</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年，其中到达</w:t>
            </w:r>
            <w:r>
              <w:rPr>
                <w:rFonts w:hint="default" w:cs="Times New Roman"/>
                <w:b w:val="0"/>
                <w:bCs w:val="0"/>
                <w:color w:val="auto"/>
                <w:sz w:val="24"/>
                <w:szCs w:val="24"/>
                <w:highlight w:val="none"/>
                <w:lang w:val="en-US" w:eastAsia="zh-CN"/>
              </w:rPr>
              <w:t>1589</w:t>
            </w:r>
            <w:r>
              <w:rPr>
                <w:rFonts w:hint="eastAsia" w:cs="Times New Roman"/>
                <w:b w:val="0"/>
                <w:bCs w:val="0"/>
                <w:color w:val="auto"/>
                <w:sz w:val="24"/>
                <w:szCs w:val="24"/>
                <w:highlight w:val="none"/>
                <w:lang w:val="en-US" w:eastAsia="zh-CN"/>
              </w:rPr>
              <w:t>万吨</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年，发送</w:t>
            </w:r>
            <w:r>
              <w:rPr>
                <w:rFonts w:hint="default" w:cs="Times New Roman"/>
                <w:b w:val="0"/>
                <w:bCs w:val="0"/>
                <w:color w:val="auto"/>
                <w:sz w:val="24"/>
                <w:szCs w:val="24"/>
                <w:highlight w:val="none"/>
                <w:lang w:val="en-US" w:eastAsia="zh-CN"/>
              </w:rPr>
              <w:t>309</w:t>
            </w:r>
            <w:r>
              <w:rPr>
                <w:rFonts w:hint="eastAsia" w:cs="Times New Roman"/>
                <w:b w:val="0"/>
                <w:bCs w:val="0"/>
                <w:color w:val="auto"/>
                <w:sz w:val="24"/>
                <w:szCs w:val="24"/>
                <w:highlight w:val="none"/>
                <w:lang w:val="en-US" w:eastAsia="zh-CN"/>
              </w:rPr>
              <w:t>万吨</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年；远期（</w:t>
            </w:r>
            <w:r>
              <w:rPr>
                <w:rFonts w:hint="default" w:cs="Times New Roman"/>
                <w:b w:val="0"/>
                <w:bCs w:val="0"/>
                <w:color w:val="auto"/>
                <w:sz w:val="24"/>
                <w:szCs w:val="24"/>
                <w:highlight w:val="none"/>
                <w:lang w:val="en-US" w:eastAsia="zh-CN"/>
              </w:rPr>
              <w:t>2040</w:t>
            </w:r>
            <w:r>
              <w:rPr>
                <w:rFonts w:hint="eastAsia" w:cs="Times New Roman"/>
                <w:b w:val="0"/>
                <w:bCs w:val="0"/>
                <w:color w:val="auto"/>
                <w:sz w:val="24"/>
                <w:szCs w:val="24"/>
                <w:highlight w:val="none"/>
                <w:lang w:val="en-US" w:eastAsia="zh-CN"/>
              </w:rPr>
              <w:t>年）总运量为</w:t>
            </w:r>
            <w:r>
              <w:rPr>
                <w:rFonts w:hint="default" w:cs="Times New Roman"/>
                <w:b w:val="0"/>
                <w:bCs w:val="0"/>
                <w:color w:val="auto"/>
                <w:sz w:val="24"/>
                <w:szCs w:val="24"/>
                <w:highlight w:val="none"/>
                <w:lang w:val="en-US" w:eastAsia="zh-CN"/>
              </w:rPr>
              <w:t>1964</w:t>
            </w:r>
            <w:r>
              <w:rPr>
                <w:rFonts w:hint="eastAsia" w:cs="Times New Roman"/>
                <w:b w:val="0"/>
                <w:bCs w:val="0"/>
                <w:color w:val="auto"/>
                <w:sz w:val="24"/>
                <w:szCs w:val="24"/>
                <w:highlight w:val="none"/>
                <w:lang w:val="en-US" w:eastAsia="zh-CN"/>
              </w:rPr>
              <w:t>万吨</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年，其中到达</w:t>
            </w:r>
            <w:r>
              <w:rPr>
                <w:rFonts w:hint="default" w:cs="Times New Roman"/>
                <w:b w:val="0"/>
                <w:bCs w:val="0"/>
                <w:color w:val="auto"/>
                <w:sz w:val="24"/>
                <w:szCs w:val="24"/>
                <w:highlight w:val="none"/>
                <w:lang w:val="en-US" w:eastAsia="zh-CN"/>
              </w:rPr>
              <w:t>1616</w:t>
            </w:r>
            <w:r>
              <w:rPr>
                <w:rFonts w:hint="eastAsia" w:cs="Times New Roman"/>
                <w:b w:val="0"/>
                <w:bCs w:val="0"/>
                <w:color w:val="auto"/>
                <w:sz w:val="24"/>
                <w:szCs w:val="24"/>
                <w:highlight w:val="none"/>
                <w:lang w:val="en-US" w:eastAsia="zh-CN"/>
              </w:rPr>
              <w:t>万吨</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年，发送</w:t>
            </w:r>
            <w:r>
              <w:rPr>
                <w:rFonts w:hint="default" w:cs="Times New Roman"/>
                <w:b w:val="0"/>
                <w:bCs w:val="0"/>
                <w:color w:val="auto"/>
                <w:sz w:val="24"/>
                <w:szCs w:val="24"/>
                <w:highlight w:val="none"/>
                <w:lang w:val="en-US" w:eastAsia="zh-CN"/>
              </w:rPr>
              <w:t>348</w:t>
            </w:r>
            <w:r>
              <w:rPr>
                <w:rFonts w:hint="eastAsia" w:cs="Times New Roman"/>
                <w:b w:val="0"/>
                <w:bCs w:val="0"/>
                <w:color w:val="auto"/>
                <w:sz w:val="24"/>
                <w:szCs w:val="24"/>
                <w:highlight w:val="none"/>
                <w:lang w:val="en-US" w:eastAsia="zh-CN"/>
              </w:rPr>
              <w:t>万吨</w:t>
            </w:r>
            <w:r>
              <w:rPr>
                <w:rFonts w:hint="default"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年。</w:t>
            </w:r>
          </w:p>
          <w:p w14:paraId="549FF6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2、环评情况</w:t>
            </w:r>
          </w:p>
          <w:p w14:paraId="1150A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2022</w:t>
            </w:r>
            <w:r>
              <w:rPr>
                <w:rFonts w:hint="eastAsia" w:cs="Times New Roman"/>
                <w:b w:val="0"/>
                <w:bCs w:val="0"/>
                <w:color w:val="auto"/>
                <w:sz w:val="24"/>
                <w:szCs w:val="24"/>
                <w:highlight w:val="none"/>
                <w:lang w:val="en-US" w:eastAsia="zh-CN"/>
              </w:rPr>
              <w:t>年</w:t>
            </w:r>
            <w:r>
              <w:rPr>
                <w:rFonts w:hint="default" w:cs="Times New Roman"/>
                <w:b w:val="0"/>
                <w:bCs w:val="0"/>
                <w:color w:val="auto"/>
                <w:sz w:val="24"/>
                <w:szCs w:val="24"/>
                <w:highlight w:val="none"/>
                <w:lang w:val="en-US" w:eastAsia="zh-CN"/>
              </w:rPr>
              <w:t>10</w:t>
            </w:r>
            <w:r>
              <w:rPr>
                <w:rFonts w:hint="eastAsia" w:cs="Times New Roman"/>
                <w:b w:val="0"/>
                <w:bCs w:val="0"/>
                <w:color w:val="auto"/>
                <w:sz w:val="24"/>
                <w:szCs w:val="24"/>
                <w:highlight w:val="none"/>
                <w:lang w:val="en-US" w:eastAsia="zh-CN"/>
              </w:rPr>
              <w:t>月中铁二院昆明勘察设计研究院有限责任公司编制完成了《玉溪市大化产业园区铁路专用线工程》可行性研究，该项目于</w:t>
            </w:r>
            <w:r>
              <w:rPr>
                <w:rFonts w:hint="default" w:cs="Times New Roman"/>
                <w:b w:val="0"/>
                <w:bCs w:val="0"/>
                <w:color w:val="auto"/>
                <w:sz w:val="24"/>
                <w:szCs w:val="24"/>
                <w:highlight w:val="none"/>
                <w:lang w:val="en-US" w:eastAsia="zh-CN"/>
              </w:rPr>
              <w:t>2022</w:t>
            </w:r>
            <w:r>
              <w:rPr>
                <w:rFonts w:hint="eastAsia" w:cs="Times New Roman"/>
                <w:b w:val="0"/>
                <w:bCs w:val="0"/>
                <w:color w:val="auto"/>
                <w:sz w:val="24"/>
                <w:szCs w:val="24"/>
                <w:highlight w:val="none"/>
                <w:lang w:val="en-US" w:eastAsia="zh-CN"/>
              </w:rPr>
              <w:t>年</w:t>
            </w:r>
            <w:r>
              <w:rPr>
                <w:rFonts w:hint="default" w:cs="Times New Roman"/>
                <w:b w:val="0"/>
                <w:bCs w:val="0"/>
                <w:color w:val="auto"/>
                <w:sz w:val="24"/>
                <w:szCs w:val="24"/>
                <w:highlight w:val="none"/>
                <w:lang w:val="en-US" w:eastAsia="zh-CN"/>
              </w:rPr>
              <w:t>10</w:t>
            </w:r>
            <w:r>
              <w:rPr>
                <w:rFonts w:hint="eastAsia" w:cs="Times New Roman"/>
                <w:b w:val="0"/>
                <w:bCs w:val="0"/>
                <w:color w:val="auto"/>
                <w:sz w:val="24"/>
                <w:szCs w:val="24"/>
                <w:highlight w:val="none"/>
                <w:lang w:val="en-US" w:eastAsia="zh-CN"/>
              </w:rPr>
              <w:t>月</w:t>
            </w:r>
            <w:r>
              <w:rPr>
                <w:rFonts w:hint="default" w:cs="Times New Roman"/>
                <w:b w:val="0"/>
                <w:bCs w:val="0"/>
                <w:color w:val="auto"/>
                <w:sz w:val="24"/>
                <w:szCs w:val="24"/>
                <w:highlight w:val="none"/>
                <w:lang w:val="en-US" w:eastAsia="zh-CN"/>
              </w:rPr>
              <w:t>31</w:t>
            </w:r>
            <w:r>
              <w:rPr>
                <w:rFonts w:hint="eastAsia" w:cs="Times New Roman"/>
                <w:b w:val="0"/>
                <w:bCs w:val="0"/>
                <w:color w:val="auto"/>
                <w:sz w:val="24"/>
                <w:szCs w:val="24"/>
                <w:highlight w:val="none"/>
                <w:lang w:val="en-US" w:eastAsia="zh-CN"/>
              </w:rPr>
              <w:t>日取得云南省发展和改革委员会关于玉溪市大化产业园区铁路专用线工程可行性研究报告的批复，云发改基础﹝</w:t>
            </w:r>
            <w:r>
              <w:rPr>
                <w:rFonts w:hint="default" w:cs="Times New Roman"/>
                <w:b w:val="0"/>
                <w:bCs w:val="0"/>
                <w:color w:val="auto"/>
                <w:sz w:val="24"/>
                <w:szCs w:val="24"/>
                <w:highlight w:val="none"/>
                <w:lang w:val="en-US" w:eastAsia="zh-CN"/>
              </w:rPr>
              <w:t>2022</w:t>
            </w:r>
            <w:r>
              <w:rPr>
                <w:rFonts w:hint="eastAsia" w:cs="Times New Roman"/>
                <w:b w:val="0"/>
                <w:bCs w:val="0"/>
                <w:color w:val="auto"/>
                <w:sz w:val="24"/>
                <w:szCs w:val="24"/>
                <w:highlight w:val="none"/>
                <w:lang w:val="en-US" w:eastAsia="zh-CN"/>
              </w:rPr>
              <w:t>﹞</w:t>
            </w:r>
            <w:r>
              <w:rPr>
                <w:rFonts w:hint="default" w:cs="Times New Roman"/>
                <w:b w:val="0"/>
                <w:bCs w:val="0"/>
                <w:color w:val="auto"/>
                <w:sz w:val="24"/>
                <w:szCs w:val="24"/>
                <w:highlight w:val="none"/>
                <w:lang w:val="en-US" w:eastAsia="zh-CN"/>
              </w:rPr>
              <w:t>1154</w:t>
            </w:r>
            <w:r>
              <w:rPr>
                <w:rFonts w:hint="eastAsia" w:cs="Times New Roman"/>
                <w:b w:val="0"/>
                <w:bCs w:val="0"/>
                <w:color w:val="auto"/>
                <w:sz w:val="24"/>
                <w:szCs w:val="24"/>
                <w:highlight w:val="none"/>
                <w:lang w:val="en-US" w:eastAsia="zh-CN"/>
              </w:rPr>
              <w:t>号。</w:t>
            </w:r>
          </w:p>
          <w:p w14:paraId="540536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2022</w:t>
            </w:r>
            <w:r>
              <w:rPr>
                <w:rFonts w:hint="eastAsia" w:cs="Times New Roman"/>
                <w:b w:val="0"/>
                <w:bCs w:val="0"/>
                <w:color w:val="auto"/>
                <w:sz w:val="24"/>
                <w:szCs w:val="24"/>
                <w:highlight w:val="none"/>
                <w:lang w:val="en-US" w:eastAsia="zh-CN"/>
              </w:rPr>
              <w:t>年</w:t>
            </w:r>
            <w:r>
              <w:rPr>
                <w:rFonts w:hint="default" w:cs="Times New Roman"/>
                <w:b w:val="0"/>
                <w:bCs w:val="0"/>
                <w:color w:val="auto"/>
                <w:sz w:val="24"/>
                <w:szCs w:val="24"/>
                <w:highlight w:val="none"/>
                <w:lang w:val="en-US" w:eastAsia="zh-CN"/>
              </w:rPr>
              <w:t>12</w:t>
            </w:r>
            <w:r>
              <w:rPr>
                <w:rFonts w:hint="eastAsia" w:cs="Times New Roman"/>
                <w:b w:val="0"/>
                <w:bCs w:val="0"/>
                <w:color w:val="auto"/>
                <w:sz w:val="24"/>
                <w:szCs w:val="24"/>
                <w:highlight w:val="none"/>
                <w:lang w:val="en-US" w:eastAsia="zh-CN"/>
              </w:rPr>
              <w:t>月中铁二院昆明勘察设计研究院有限责任公司编制完成了该项目初步设计，</w:t>
            </w:r>
            <w:r>
              <w:rPr>
                <w:rFonts w:hint="default" w:cs="Times New Roman"/>
                <w:b w:val="0"/>
                <w:bCs w:val="0"/>
                <w:color w:val="auto"/>
                <w:sz w:val="24"/>
                <w:szCs w:val="24"/>
                <w:highlight w:val="none"/>
                <w:lang w:val="en-US" w:eastAsia="zh-CN"/>
              </w:rPr>
              <w:t>2022</w:t>
            </w:r>
            <w:r>
              <w:rPr>
                <w:rFonts w:hint="eastAsia" w:cs="Times New Roman"/>
                <w:b w:val="0"/>
                <w:bCs w:val="0"/>
                <w:color w:val="auto"/>
                <w:sz w:val="24"/>
                <w:szCs w:val="24"/>
                <w:highlight w:val="none"/>
                <w:lang w:val="en-US" w:eastAsia="zh-CN"/>
              </w:rPr>
              <w:t>年</w:t>
            </w:r>
            <w:r>
              <w:rPr>
                <w:rFonts w:hint="default" w:cs="Times New Roman"/>
                <w:b w:val="0"/>
                <w:bCs w:val="0"/>
                <w:color w:val="auto"/>
                <w:sz w:val="24"/>
                <w:szCs w:val="24"/>
                <w:highlight w:val="none"/>
                <w:lang w:val="en-US" w:eastAsia="zh-CN"/>
              </w:rPr>
              <w:t>12</w:t>
            </w:r>
            <w:r>
              <w:rPr>
                <w:rFonts w:hint="eastAsia" w:cs="Times New Roman"/>
                <w:b w:val="0"/>
                <w:bCs w:val="0"/>
                <w:color w:val="auto"/>
                <w:sz w:val="24"/>
                <w:szCs w:val="24"/>
                <w:highlight w:val="none"/>
                <w:lang w:val="en-US" w:eastAsia="zh-CN"/>
              </w:rPr>
              <w:t>月</w:t>
            </w:r>
            <w:r>
              <w:rPr>
                <w:rFonts w:hint="default" w:cs="Times New Roman"/>
                <w:b w:val="0"/>
                <w:bCs w:val="0"/>
                <w:color w:val="auto"/>
                <w:sz w:val="24"/>
                <w:szCs w:val="24"/>
                <w:highlight w:val="none"/>
                <w:lang w:val="en-US" w:eastAsia="zh-CN"/>
              </w:rPr>
              <w:t>13</w:t>
            </w:r>
            <w:r>
              <w:rPr>
                <w:rFonts w:hint="eastAsia" w:cs="Times New Roman"/>
                <w:b w:val="0"/>
                <w:bCs w:val="0"/>
                <w:color w:val="auto"/>
                <w:sz w:val="24"/>
                <w:szCs w:val="24"/>
                <w:highlight w:val="none"/>
                <w:lang w:val="en-US" w:eastAsia="zh-CN"/>
              </w:rPr>
              <w:t>日，取得云南省交通运输厅关于玉溪市大化产业园区铁路专用线工程初步设计的批复，云交审批﹝</w:t>
            </w:r>
            <w:r>
              <w:rPr>
                <w:rFonts w:hint="default" w:cs="Times New Roman"/>
                <w:b w:val="0"/>
                <w:bCs w:val="0"/>
                <w:color w:val="auto"/>
                <w:sz w:val="24"/>
                <w:szCs w:val="24"/>
                <w:highlight w:val="none"/>
                <w:lang w:val="en-US" w:eastAsia="zh-CN"/>
              </w:rPr>
              <w:t>2022</w:t>
            </w:r>
            <w:r>
              <w:rPr>
                <w:rFonts w:hint="eastAsia" w:cs="Times New Roman"/>
                <w:b w:val="0"/>
                <w:bCs w:val="0"/>
                <w:color w:val="auto"/>
                <w:sz w:val="24"/>
                <w:szCs w:val="24"/>
                <w:highlight w:val="none"/>
                <w:lang w:val="en-US" w:eastAsia="zh-CN"/>
              </w:rPr>
              <w:t>﹞</w:t>
            </w:r>
            <w:r>
              <w:rPr>
                <w:rFonts w:hint="default" w:cs="Times New Roman"/>
                <w:b w:val="0"/>
                <w:bCs w:val="0"/>
                <w:color w:val="auto"/>
                <w:sz w:val="24"/>
                <w:szCs w:val="24"/>
                <w:highlight w:val="none"/>
                <w:lang w:val="en-US" w:eastAsia="zh-CN"/>
              </w:rPr>
              <w:t>39</w:t>
            </w:r>
            <w:r>
              <w:rPr>
                <w:rFonts w:hint="eastAsia" w:cs="Times New Roman"/>
                <w:b w:val="0"/>
                <w:bCs w:val="0"/>
                <w:color w:val="auto"/>
                <w:sz w:val="24"/>
                <w:szCs w:val="24"/>
                <w:highlight w:val="none"/>
                <w:lang w:val="en-US" w:eastAsia="zh-CN"/>
              </w:rPr>
              <w:t>号。本评价以中铁二院昆明勘察设计研究院有限责任公司编制的《玉溪市大化产业园区铁路专用线工程初步设计》及批复为依据进行评价。</w:t>
            </w:r>
          </w:p>
          <w:p w14:paraId="293F9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2022年12月5日建设单位委托昆明鲁蓝环保科技有限公司承担《玉溪市大化产业园区铁路专用线工程环境影响报告书》的编制工作，</w:t>
            </w:r>
            <w:r>
              <w:rPr>
                <w:rFonts w:hint="default" w:cs="Times New Roman"/>
                <w:b w:val="0"/>
                <w:bCs w:val="0"/>
                <w:color w:val="auto"/>
                <w:sz w:val="24"/>
                <w:szCs w:val="24"/>
                <w:highlight w:val="none"/>
                <w:lang w:val="en-US" w:eastAsia="zh-CN"/>
              </w:rPr>
              <w:t>2023</w:t>
            </w:r>
            <w:r>
              <w:rPr>
                <w:rFonts w:hint="eastAsia" w:cs="Times New Roman"/>
                <w:b w:val="0"/>
                <w:bCs w:val="0"/>
                <w:color w:val="auto"/>
                <w:sz w:val="24"/>
                <w:szCs w:val="24"/>
                <w:highlight w:val="none"/>
                <w:lang w:val="en-US" w:eastAsia="zh-CN"/>
              </w:rPr>
              <w:t>年</w:t>
            </w:r>
            <w:r>
              <w:rPr>
                <w:rFonts w:hint="default"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月</w:t>
            </w:r>
            <w:r>
              <w:rPr>
                <w:rFonts w:hint="default" w:cs="Times New Roman"/>
                <w:b w:val="0"/>
                <w:bCs w:val="0"/>
                <w:color w:val="auto"/>
                <w:sz w:val="24"/>
                <w:szCs w:val="24"/>
                <w:highlight w:val="none"/>
                <w:lang w:val="en-US" w:eastAsia="zh-CN"/>
              </w:rPr>
              <w:t>6</w:t>
            </w:r>
            <w:r>
              <w:rPr>
                <w:rFonts w:hint="eastAsia" w:cs="Times New Roman"/>
                <w:b w:val="0"/>
                <w:bCs w:val="0"/>
                <w:color w:val="auto"/>
                <w:sz w:val="24"/>
                <w:szCs w:val="24"/>
                <w:highlight w:val="none"/>
                <w:lang w:val="en-US" w:eastAsia="zh-CN"/>
              </w:rPr>
              <w:t>日进行技术评审，</w:t>
            </w:r>
            <w:r>
              <w:rPr>
                <w:rFonts w:hint="default" w:cs="Times New Roman"/>
                <w:b w:val="0"/>
                <w:bCs w:val="0"/>
                <w:color w:val="auto"/>
                <w:sz w:val="24"/>
                <w:szCs w:val="24"/>
                <w:highlight w:val="none"/>
                <w:lang w:val="en-US" w:eastAsia="zh-CN"/>
              </w:rPr>
              <w:t>2023</w:t>
            </w:r>
            <w:r>
              <w:rPr>
                <w:rFonts w:hint="eastAsia" w:cs="Times New Roman"/>
                <w:b w:val="0"/>
                <w:bCs w:val="0"/>
                <w:color w:val="auto"/>
                <w:sz w:val="24"/>
                <w:szCs w:val="24"/>
                <w:highlight w:val="none"/>
                <w:lang w:val="en-US" w:eastAsia="zh-CN"/>
              </w:rPr>
              <w:t>年</w:t>
            </w:r>
            <w:r>
              <w:rPr>
                <w:rFonts w:hint="default"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月</w:t>
            </w:r>
            <w:r>
              <w:rPr>
                <w:rFonts w:hint="default" w:cs="Times New Roman"/>
                <w:b w:val="0"/>
                <w:bCs w:val="0"/>
                <w:color w:val="auto"/>
                <w:sz w:val="24"/>
                <w:szCs w:val="24"/>
                <w:highlight w:val="none"/>
                <w:lang w:val="en-US" w:eastAsia="zh-CN"/>
              </w:rPr>
              <w:t>7</w:t>
            </w:r>
            <w:r>
              <w:rPr>
                <w:rFonts w:hint="eastAsia" w:cs="Times New Roman"/>
                <w:b w:val="0"/>
                <w:bCs w:val="0"/>
                <w:color w:val="auto"/>
                <w:sz w:val="24"/>
                <w:szCs w:val="24"/>
                <w:highlight w:val="none"/>
                <w:lang w:val="en-US" w:eastAsia="zh-CN"/>
              </w:rPr>
              <w:t>日，完成《玉溪市大化产业园区铁路专用线工程环境影响报告书》（报批稿）。</w:t>
            </w:r>
          </w:p>
          <w:p w14:paraId="7A7D25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2023年3月7日取得了玉溪市生态环境局关于玉溪市大化产业园区铁路专用线工程环境影响报告书的批复（玉环审〔2023〕1—3号）。</w:t>
            </w:r>
          </w:p>
          <w:p w14:paraId="16F53D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
                <w:bCs/>
                <w:color w:val="auto"/>
                <w:kern w:val="0"/>
                <w:sz w:val="24"/>
                <w:szCs w:val="24"/>
                <w:highlight w:val="none"/>
                <w:vertAlign w:val="baseline"/>
                <w:lang w:val="en-US" w:eastAsia="zh-CN" w:bidi="ar"/>
              </w:rPr>
            </w:pPr>
            <w:r>
              <w:rPr>
                <w:rFonts w:hint="eastAsia" w:cs="Times New Roman"/>
                <w:b w:val="0"/>
                <w:bCs w:val="0"/>
                <w:color w:val="auto"/>
                <w:sz w:val="24"/>
                <w:szCs w:val="24"/>
                <w:highlight w:val="none"/>
                <w:lang w:val="en-US" w:eastAsia="zh-CN"/>
              </w:rPr>
              <w:t>玉溪市大化产业园区铁路专用线现阶段还在建设中，还未建设完成。</w:t>
            </w:r>
          </w:p>
          <w:p w14:paraId="5A1763C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kern w:val="0"/>
                <w:sz w:val="24"/>
                <w:szCs w:val="24"/>
                <w:highlight w:val="none"/>
                <w:vertAlign w:val="baseline"/>
                <w:lang w:val="en-US" w:eastAsia="zh-CN" w:bidi="ar"/>
              </w:rPr>
            </w:pPr>
            <w:r>
              <w:rPr>
                <w:rFonts w:hint="eastAsia" w:cs="Times New Roman"/>
                <w:b/>
                <w:bCs/>
                <w:color w:val="auto"/>
                <w:kern w:val="0"/>
                <w:sz w:val="24"/>
                <w:szCs w:val="24"/>
                <w:highlight w:val="none"/>
                <w:vertAlign w:val="baseline"/>
                <w:lang w:val="en-US" w:eastAsia="zh-CN" w:bidi="ar"/>
              </w:rPr>
              <w:t>二、项目选址或选线</w:t>
            </w:r>
          </w:p>
          <w:p w14:paraId="26DC70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4"/>
                <w:szCs w:val="24"/>
                <w:highlight w:val="none"/>
                <w:vertAlign w:val="baseline"/>
                <w:lang w:val="en-US" w:eastAsia="zh-CN" w:bidi="ar"/>
              </w:rPr>
              <w:t>1、接轨站及接轨点的选择</w:t>
            </w:r>
          </w:p>
          <w:p w14:paraId="5328E89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eastAsia" w:cs="Times New Roman"/>
                <w:color w:val="auto"/>
                <w:sz w:val="24"/>
                <w:szCs w:val="24"/>
                <w:highlight w:val="none"/>
                <w:lang w:val="en-US" w:eastAsia="zh-CN"/>
              </w:rPr>
              <w:t>接轨站方案比选及推荐意见</w:t>
            </w:r>
          </w:p>
          <w:p w14:paraId="3E5CB0B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根据本铁路专用线周围既有及规划铁路情况，地理位置相对较近的车站有中老昆万铁路峨山站、化念站和立新站，各车站概况对比详见下表：</w:t>
            </w:r>
          </w:p>
          <w:p w14:paraId="2A0E47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表2-10 相邻车站概况对比表</w:t>
            </w:r>
          </w:p>
          <w:tbl>
            <w:tblPr>
              <w:tblStyle w:val="23"/>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215"/>
              <w:gridCol w:w="4018"/>
              <w:gridCol w:w="2015"/>
            </w:tblGrid>
            <w:tr w14:paraId="6F99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left w:val="nil"/>
                  </w:tcBorders>
                </w:tcPr>
                <w:p w14:paraId="5DC24D14">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车站</w:t>
                  </w:r>
                </w:p>
              </w:tc>
              <w:tc>
                <w:tcPr>
                  <w:tcW w:w="1215" w:type="dxa"/>
                </w:tcPr>
                <w:p w14:paraId="75FED371">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性质</w:t>
                  </w:r>
                </w:p>
              </w:tc>
              <w:tc>
                <w:tcPr>
                  <w:tcW w:w="4018" w:type="dxa"/>
                </w:tcPr>
                <w:p w14:paraId="42130CDF">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规模</w:t>
                  </w:r>
                </w:p>
              </w:tc>
              <w:tc>
                <w:tcPr>
                  <w:tcW w:w="2015" w:type="dxa"/>
                  <w:tcBorders>
                    <w:right w:val="nil"/>
                  </w:tcBorders>
                </w:tcPr>
                <w:p w14:paraId="0744DC7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距本项目距离</w:t>
                  </w:r>
                </w:p>
              </w:tc>
            </w:tr>
            <w:tr w14:paraId="278A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left w:val="nil"/>
                  </w:tcBorders>
                </w:tcPr>
                <w:p w14:paraId="13AC3629">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峨山</w:t>
                  </w:r>
                </w:p>
              </w:tc>
              <w:tc>
                <w:tcPr>
                  <w:tcW w:w="1215" w:type="dxa"/>
                </w:tcPr>
                <w:p w14:paraId="787EB7E0">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中间站</w:t>
                  </w:r>
                </w:p>
              </w:tc>
              <w:tc>
                <w:tcPr>
                  <w:tcW w:w="4018" w:type="dxa"/>
                  <w:vAlign w:val="center"/>
                </w:tcPr>
                <w:p w14:paraId="3F9E26D3">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spacing w:val="0"/>
                      <w:position w:val="0"/>
                      <w:sz w:val="18"/>
                      <w:szCs w:val="18"/>
                    </w:rPr>
                    <w:t>2台4线（含正线）</w:t>
                  </w:r>
                </w:p>
              </w:tc>
              <w:tc>
                <w:tcPr>
                  <w:tcW w:w="2015" w:type="dxa"/>
                  <w:tcBorders>
                    <w:right w:val="nil"/>
                  </w:tcBorders>
                </w:tcPr>
                <w:p w14:paraId="578B9CC2">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28.7km</w:t>
                  </w:r>
                </w:p>
              </w:tc>
            </w:tr>
            <w:tr w14:paraId="5D90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left w:val="nil"/>
                  </w:tcBorders>
                </w:tcPr>
                <w:p w14:paraId="19D7D5ED">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化念</w:t>
                  </w:r>
                </w:p>
              </w:tc>
              <w:tc>
                <w:tcPr>
                  <w:tcW w:w="1215" w:type="dxa"/>
                </w:tcPr>
                <w:p w14:paraId="65AD375B">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中间站</w:t>
                  </w:r>
                </w:p>
              </w:tc>
              <w:tc>
                <w:tcPr>
                  <w:tcW w:w="4018" w:type="dxa"/>
                  <w:vAlign w:val="center"/>
                </w:tcPr>
                <w:p w14:paraId="66CCC5C1">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spacing w:val="0"/>
                      <w:position w:val="0"/>
                      <w:sz w:val="18"/>
                      <w:szCs w:val="18"/>
                    </w:rPr>
                    <w:t>发线8条（含正线），货物线1条，牵出线1条</w:t>
                  </w:r>
                </w:p>
              </w:tc>
              <w:tc>
                <w:tcPr>
                  <w:tcW w:w="2015" w:type="dxa"/>
                  <w:tcBorders>
                    <w:right w:val="nil"/>
                  </w:tcBorders>
                </w:tcPr>
                <w:p w14:paraId="4EB0EE75">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6.1km</w:t>
                  </w:r>
                </w:p>
              </w:tc>
            </w:tr>
            <w:tr w14:paraId="4138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left w:val="nil"/>
                  </w:tcBorders>
                </w:tcPr>
                <w:p w14:paraId="265C47B8">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立新</w:t>
                  </w:r>
                </w:p>
              </w:tc>
              <w:tc>
                <w:tcPr>
                  <w:tcW w:w="1215" w:type="dxa"/>
                </w:tcPr>
                <w:p w14:paraId="7B2D63E5">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预留越行站</w:t>
                  </w:r>
                </w:p>
              </w:tc>
              <w:tc>
                <w:tcPr>
                  <w:tcW w:w="4018" w:type="dxa"/>
                  <w:vAlign w:val="center"/>
                </w:tcPr>
                <w:p w14:paraId="1AA4D44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spacing w:val="0"/>
                      <w:position w:val="0"/>
                      <w:sz w:val="18"/>
                      <w:szCs w:val="18"/>
                    </w:rPr>
                    <w:t>按4线设计（含正线），其中2条发线为预留</w:t>
                  </w:r>
                </w:p>
              </w:tc>
              <w:tc>
                <w:tcPr>
                  <w:tcW w:w="2015" w:type="dxa"/>
                  <w:tcBorders>
                    <w:right w:val="nil"/>
                  </w:tcBorders>
                </w:tcPr>
                <w:p w14:paraId="54325F97">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18.8km</w:t>
                  </w:r>
                </w:p>
              </w:tc>
            </w:tr>
          </w:tbl>
          <w:p w14:paraId="7A41559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从距离上分析：本项目距离峨山站、化念站、立新站的距离分别为</w:t>
            </w:r>
            <w:r>
              <w:rPr>
                <w:rFonts w:hint="default" w:ascii="Times New Roman" w:hAnsi="Times New Roman" w:eastAsia="宋体" w:cs="Times New Roman"/>
                <w:color w:val="auto"/>
                <w:sz w:val="24"/>
                <w:szCs w:val="24"/>
                <w:highlight w:val="none"/>
                <w:lang w:val="en-US" w:eastAsia="zh-CN"/>
              </w:rPr>
              <w:t>28.7km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6.1km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18.8km</w:t>
            </w:r>
            <w:r>
              <w:rPr>
                <w:rFonts w:hint="eastAsia" w:ascii="Times New Roman" w:hAnsi="Times New Roman" w:eastAsia="宋体" w:cs="Times New Roman"/>
                <w:color w:val="auto"/>
                <w:sz w:val="24"/>
                <w:szCs w:val="24"/>
                <w:highlight w:val="none"/>
                <w:lang w:val="en-US" w:eastAsia="zh-CN"/>
              </w:rPr>
              <w:t>；因此从距离上分析，从化念站接轨最近。</w:t>
            </w:r>
          </w:p>
          <w:p w14:paraId="0EFF78D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从接轨条件分析：峨山站设计以客运作业为主，不办理货运作业；立新站设计为远期开通的越行站，且受地形影响，接轨条件差；化念站设计为兼顾客货运作业的中间站；因此从接轨条件分析，化念站接轨条件较好。</w:t>
            </w:r>
          </w:p>
          <w:p w14:paraId="2804A51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综上，从距离分析，化念站距本项目最近；从接轨条件分析，化念站接轨条件最好，因此推荐本铁路专用线从化念站接轨。</w:t>
            </w:r>
          </w:p>
          <w:p w14:paraId="1E052BA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接轨站（化念站）设有</w:t>
            </w: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条到发线（含正线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条货物线、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条牵出线、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条机待线、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条安全线，以及其他相关配套设施设备，可满足本铁路专用线相关作业需求。</w:t>
            </w:r>
          </w:p>
          <w:p w14:paraId="78FA56D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②接轨方案比选及推荐意见</w:t>
            </w:r>
          </w:p>
          <w:p w14:paraId="5E75D32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玉溪市大化产业园区铁路专用线规划设计过程中，已考虑了本铁路专用线的接轨需求，且规划设计了化念南至仙福钢铁厂间</w:t>
            </w:r>
            <w:r>
              <w:rPr>
                <w:rFonts w:hint="default" w:ascii="Times New Roman" w:hAnsi="Times New Roman" w:eastAsia="宋体" w:cs="Times New Roman"/>
                <w:color w:val="auto"/>
                <w:sz w:val="24"/>
                <w:szCs w:val="24"/>
                <w:highlight w:val="none"/>
                <w:lang w:val="en-US" w:eastAsia="zh-CN"/>
              </w:rPr>
              <w:t>3.295km</w:t>
            </w:r>
            <w:r>
              <w:rPr>
                <w:rFonts w:hint="eastAsia" w:ascii="Times New Roman" w:hAnsi="Times New Roman" w:eastAsia="宋体" w:cs="Times New Roman"/>
                <w:color w:val="auto"/>
                <w:sz w:val="24"/>
                <w:szCs w:val="24"/>
                <w:highlight w:val="none"/>
                <w:lang w:val="en-US" w:eastAsia="zh-CN"/>
              </w:rPr>
              <w:t>长的区间线路（</w:t>
            </w:r>
            <w:r>
              <w:rPr>
                <w:rFonts w:hint="default" w:ascii="Times New Roman" w:hAnsi="Times New Roman" w:eastAsia="宋体" w:cs="Times New Roman"/>
                <w:color w:val="auto"/>
                <w:sz w:val="24"/>
                <w:szCs w:val="24"/>
                <w:highlight w:val="none"/>
                <w:lang w:val="en-US" w:eastAsia="zh-CN"/>
              </w:rPr>
              <w:t>DXK0+000</w:t>
            </w:r>
            <w:r>
              <w:rPr>
                <w:rFonts w:hint="eastAsia" w:ascii="Times New Roman" w:hAnsi="Times New Roman" w:eastAsia="宋体" w:cs="Times New Roman"/>
                <w:color w:val="auto"/>
                <w:sz w:val="24"/>
                <w:szCs w:val="24"/>
                <w:highlight w:val="none"/>
                <w:lang w:val="en-US" w:eastAsia="zh-CN"/>
              </w:rPr>
              <w:t>至</w:t>
            </w:r>
            <w:r>
              <w:rPr>
                <w:rFonts w:hint="default" w:ascii="Times New Roman" w:hAnsi="Times New Roman" w:eastAsia="宋体" w:cs="Times New Roman"/>
                <w:color w:val="auto"/>
                <w:sz w:val="24"/>
                <w:szCs w:val="24"/>
                <w:highlight w:val="none"/>
                <w:lang w:val="en-US" w:eastAsia="zh-CN"/>
              </w:rPr>
              <w:t>DXK3+295.11</w:t>
            </w:r>
            <w:r>
              <w:rPr>
                <w:rFonts w:hint="eastAsia" w:ascii="Times New Roman" w:hAnsi="Times New Roman" w:eastAsia="宋体" w:cs="Times New Roman"/>
                <w:color w:val="auto"/>
                <w:sz w:val="24"/>
                <w:szCs w:val="24"/>
                <w:highlight w:val="none"/>
                <w:lang w:val="en-US" w:eastAsia="zh-CN"/>
              </w:rPr>
              <w:t>），本铁路专用线直接从区间线路设计终点</w:t>
            </w:r>
            <w:r>
              <w:rPr>
                <w:rFonts w:hint="default" w:ascii="Times New Roman" w:hAnsi="Times New Roman" w:eastAsia="宋体" w:cs="Times New Roman"/>
                <w:color w:val="auto"/>
                <w:sz w:val="24"/>
                <w:szCs w:val="24"/>
                <w:highlight w:val="none"/>
                <w:lang w:val="en-US" w:eastAsia="zh-CN"/>
              </w:rPr>
              <w:t>DXK3+295.11</w:t>
            </w:r>
            <w:r>
              <w:rPr>
                <w:rFonts w:hint="eastAsia" w:ascii="Times New Roman" w:hAnsi="Times New Roman" w:eastAsia="宋体" w:cs="Times New Roman"/>
                <w:color w:val="auto"/>
                <w:sz w:val="24"/>
                <w:szCs w:val="24"/>
                <w:highlight w:val="none"/>
                <w:lang w:val="en-US" w:eastAsia="zh-CN"/>
              </w:rPr>
              <w:t>处接轨。</w:t>
            </w:r>
          </w:p>
          <w:p w14:paraId="4FB96A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pPr>
            <w:r>
              <w:drawing>
                <wp:inline distT="0" distB="0" distL="114300" distR="114300">
                  <wp:extent cx="4733290" cy="2667635"/>
                  <wp:effectExtent l="0" t="0" r="10160" b="184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4733290" cy="2667635"/>
                          </a:xfrm>
                          <a:prstGeom prst="rect">
                            <a:avLst/>
                          </a:prstGeom>
                          <a:noFill/>
                          <a:ln>
                            <a:noFill/>
                          </a:ln>
                        </pic:spPr>
                      </pic:pic>
                    </a:graphicData>
                  </a:graphic>
                </wp:inline>
              </w:drawing>
            </w:r>
          </w:p>
          <w:p w14:paraId="14DB98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lang w:val="en-US" w:eastAsia="zh-CN"/>
              </w:rPr>
            </w:pPr>
            <w:r>
              <w:rPr>
                <w:rFonts w:hint="eastAsia"/>
                <w:b/>
                <w:bCs/>
                <w:lang w:val="en-US" w:eastAsia="zh-CN"/>
              </w:rPr>
              <w:t>图2-6  仙福钢铁厂铁路专用线接轨方案示意图</w:t>
            </w:r>
          </w:p>
          <w:p w14:paraId="76AE37D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化念南主要为满足本铁路专用线、玉昆钢铁厂铁路专用线及部分社会物流到发、解编等技术作业需求而新建，其规划设计之初，已充分考虑上述作业需求。化念南设到发线</w:t>
            </w:r>
            <w:r>
              <w:rPr>
                <w:rFonts w:hint="default" w:ascii="Times New Roman" w:hAnsi="Times New Roman" w:eastAsia="宋体"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条，可适应本铁路专用线接轨需求。</w:t>
            </w:r>
          </w:p>
          <w:p w14:paraId="7774ECA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③装卸场选址</w:t>
            </w:r>
          </w:p>
          <w:p w14:paraId="5B8B2AD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根据仙福钢铁集团厂区总体规划布局，本铁路专用线项目布设于厂区西侧。</w:t>
            </w:r>
          </w:p>
          <w:p w14:paraId="054DA6E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kern w:val="0"/>
                <w:sz w:val="24"/>
                <w:szCs w:val="24"/>
                <w:highlight w:val="none"/>
                <w:vertAlign w:val="baseline"/>
                <w:lang w:val="en-US" w:eastAsia="zh-CN" w:bidi="ar"/>
              </w:rPr>
            </w:pPr>
            <w:r>
              <w:rPr>
                <w:rFonts w:hint="eastAsia" w:cs="Times New Roman"/>
                <w:b/>
                <w:bCs/>
                <w:color w:val="auto"/>
                <w:kern w:val="0"/>
                <w:sz w:val="24"/>
                <w:szCs w:val="24"/>
                <w:highlight w:val="none"/>
                <w:vertAlign w:val="baseline"/>
                <w:lang w:val="en-US" w:eastAsia="zh-CN" w:bidi="ar"/>
              </w:rPr>
              <w:t>二、项目建设方案</w:t>
            </w:r>
          </w:p>
          <w:p w14:paraId="6A14035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．技术方案</w:t>
            </w:r>
          </w:p>
          <w:p w14:paraId="0D3766B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根据仙福钢铁厂装卸模式、用地情况，本次研究了</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个场站布设方案，分别为两个龙门吊装卸区设于翻车机作业区两侧方案（方案</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）、两个龙门吊装卸区设于翻车机作业区左侧方案（方案</w:t>
            </w:r>
            <w:r>
              <w:rPr>
                <w:rFonts w:hint="default" w:ascii="Times New Roman" w:hAnsi="Times New Roman" w:eastAsia="宋体" w:cs="Times New Roman"/>
                <w:color w:val="auto"/>
                <w:sz w:val="24"/>
                <w:szCs w:val="24"/>
                <w:highlight w:val="none"/>
                <w:lang w:val="en-US" w:eastAsia="zh-CN"/>
              </w:rPr>
              <w:t>II</w:t>
            </w:r>
            <w:r>
              <w:rPr>
                <w:rFonts w:hint="eastAsia" w:ascii="Times New Roman" w:hAnsi="Times New Roman" w:eastAsia="宋体" w:cs="Times New Roman"/>
                <w:color w:val="auto"/>
                <w:sz w:val="24"/>
                <w:szCs w:val="24"/>
                <w:highlight w:val="none"/>
                <w:lang w:val="en-US" w:eastAsia="zh-CN"/>
              </w:rPr>
              <w:t>）。</w:t>
            </w:r>
          </w:p>
          <w:p w14:paraId="5FAEF8A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）方案说明</w:t>
            </w:r>
          </w:p>
          <w:p w14:paraId="5EE9D3E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）方案</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两个龙门吊装卸区设于翻车机作业区两侧方案该方案装卸场由龙门吊装卸区（左右两处）、翻车机卸车区、调车区组成。车场自预留接轨点引出后，在仙福钢铁厂原料场侧和配煤棚侧各设一处龙门吊装卸区，场区中部设置翻车机卸车区和调车区。</w:t>
            </w:r>
          </w:p>
          <w:p w14:paraId="28F3B2F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①左侧（原料场侧）龙门吊装卸区：设货物线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690m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736m</w:t>
            </w:r>
            <w:r>
              <w:rPr>
                <w:rFonts w:hint="eastAsia" w:ascii="Times New Roman" w:hAnsi="Times New Roman" w:eastAsia="宋体" w:cs="Times New Roman"/>
                <w:color w:val="auto"/>
                <w:sz w:val="24"/>
                <w:szCs w:val="24"/>
                <w:highlight w:val="none"/>
                <w:lang w:val="en-US" w:eastAsia="zh-CN"/>
              </w:rPr>
              <w:t>，配套设</w:t>
            </w:r>
            <w:r>
              <w:rPr>
                <w:rFonts w:hint="default" w:ascii="Times New Roman" w:hAnsi="Times New Roman" w:eastAsia="宋体" w:cs="Times New Roman"/>
                <w:color w:val="auto"/>
                <w:sz w:val="24"/>
                <w:szCs w:val="24"/>
                <w:highlight w:val="none"/>
                <w:lang w:val="en-US" w:eastAsia="zh-CN"/>
              </w:rPr>
              <w:t>40m</w:t>
            </w:r>
            <w:r>
              <w:rPr>
                <w:rFonts w:hint="eastAsia" w:ascii="Times New Roman" w:hAnsi="Times New Roman" w:eastAsia="宋体" w:cs="Times New Roman"/>
                <w:color w:val="auto"/>
                <w:sz w:val="24"/>
                <w:szCs w:val="24"/>
                <w:highlight w:val="none"/>
                <w:lang w:val="en-US" w:eastAsia="zh-CN"/>
              </w:rPr>
              <w:t>跨度龙门吊设备，用于装载成品钢材，并利用</w:t>
            </w:r>
            <w:r>
              <w:rPr>
                <w:rFonts w:hint="eastAsia" w:cs="Times New Roman"/>
                <w:color w:val="auto"/>
                <w:sz w:val="24"/>
                <w:szCs w:val="24"/>
                <w:highlight w:val="none"/>
                <w:lang w:val="en-US" w:eastAsia="zh-CN"/>
              </w:rPr>
              <w:t>富余</w:t>
            </w:r>
            <w:r>
              <w:rPr>
                <w:rFonts w:hint="eastAsia" w:ascii="Times New Roman" w:hAnsi="Times New Roman" w:eastAsia="宋体" w:cs="Times New Roman"/>
                <w:color w:val="auto"/>
                <w:sz w:val="24"/>
                <w:szCs w:val="24"/>
                <w:highlight w:val="none"/>
                <w:lang w:val="en-US" w:eastAsia="zh-CN"/>
              </w:rPr>
              <w:t>能力卸载部分到达集装箱。</w:t>
            </w:r>
          </w:p>
          <w:p w14:paraId="498E005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②调车区：设调存线</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条、有效长均满足</w:t>
            </w:r>
            <w:r>
              <w:rPr>
                <w:rFonts w:hint="default" w:ascii="Times New Roman" w:hAnsi="Times New Roman" w:eastAsia="宋体" w:cs="Times New Roman"/>
                <w:color w:val="auto"/>
                <w:sz w:val="24"/>
                <w:szCs w:val="24"/>
                <w:highlight w:val="none"/>
                <w:lang w:val="en-US" w:eastAsia="zh-CN"/>
              </w:rPr>
              <w:t>680m</w:t>
            </w:r>
            <w:r>
              <w:rPr>
                <w:rFonts w:hint="eastAsia" w:ascii="Times New Roman" w:hAnsi="Times New Roman" w:eastAsia="宋体" w:cs="Times New Roman"/>
                <w:color w:val="auto"/>
                <w:sz w:val="24"/>
                <w:szCs w:val="24"/>
                <w:highlight w:val="none"/>
                <w:lang w:val="en-US" w:eastAsia="zh-CN"/>
              </w:rPr>
              <w:t>，尾部设机待线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lang w:val="en-US" w:eastAsia="zh-CN"/>
              </w:rPr>
              <w:t>。</w:t>
            </w:r>
          </w:p>
          <w:p w14:paraId="17689B8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③翻车机卸车区：设双翻翻车机</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台，配套设重车线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745m</w:t>
            </w:r>
            <w:r>
              <w:rPr>
                <w:rFonts w:hint="eastAsia" w:ascii="Times New Roman" w:hAnsi="Times New Roman" w:eastAsia="宋体" w:cs="Times New Roman"/>
                <w:color w:val="auto"/>
                <w:sz w:val="24"/>
                <w:szCs w:val="24"/>
                <w:highlight w:val="none"/>
                <w:lang w:val="en-US" w:eastAsia="zh-CN"/>
              </w:rPr>
              <w:t>，空车线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736m</w:t>
            </w:r>
            <w:r>
              <w:rPr>
                <w:rFonts w:hint="eastAsia" w:ascii="Times New Roman" w:hAnsi="Times New Roman" w:eastAsia="宋体" w:cs="Times New Roman"/>
                <w:color w:val="auto"/>
                <w:sz w:val="24"/>
                <w:szCs w:val="24"/>
                <w:highlight w:val="none"/>
                <w:lang w:val="en-US" w:eastAsia="zh-CN"/>
              </w:rPr>
              <w:t>，机走线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596m</w:t>
            </w:r>
            <w:r>
              <w:rPr>
                <w:rFonts w:hint="eastAsia" w:cs="Times New Roman"/>
                <w:color w:val="auto"/>
                <w:sz w:val="24"/>
                <w:szCs w:val="24"/>
                <w:highlight w:val="none"/>
                <w:lang w:val="en-US" w:eastAsia="zh-CN"/>
              </w:rPr>
              <w:t>，根据场地条件，远期预留存车线2条</w:t>
            </w:r>
            <w:r>
              <w:rPr>
                <w:rFonts w:hint="eastAsia" w:ascii="Times New Roman" w:hAnsi="Times New Roman" w:eastAsia="宋体" w:cs="Times New Roman"/>
                <w:color w:val="auto"/>
                <w:sz w:val="24"/>
                <w:szCs w:val="24"/>
                <w:highlight w:val="none"/>
                <w:lang w:val="en-US" w:eastAsia="zh-CN"/>
              </w:rPr>
              <w:t>。</w:t>
            </w:r>
          </w:p>
          <w:p w14:paraId="5054F79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④右侧（配煤棚侧）龙门吊装卸区：设货物线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89</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687m</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尾部设</w:t>
            </w:r>
            <w:r>
              <w:rPr>
                <w:rFonts w:hint="eastAsia" w:ascii="Times New Roman" w:hAnsi="Times New Roman" w:eastAsia="宋体" w:cs="Times New Roman"/>
                <w:color w:val="auto"/>
                <w:sz w:val="24"/>
                <w:szCs w:val="24"/>
                <w:highlight w:val="none"/>
                <w:lang w:val="en-US" w:eastAsia="zh-CN"/>
              </w:rPr>
              <w:t>机待线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lang w:val="en-US" w:eastAsia="zh-CN"/>
              </w:rPr>
              <w:t>，配套设</w:t>
            </w:r>
            <w:r>
              <w:rPr>
                <w:rFonts w:hint="default" w:ascii="Times New Roman" w:hAnsi="Times New Roman" w:eastAsia="宋体" w:cs="Times New Roman"/>
                <w:color w:val="auto"/>
                <w:sz w:val="24"/>
                <w:szCs w:val="24"/>
                <w:highlight w:val="none"/>
                <w:lang w:val="en-US" w:eastAsia="zh-CN"/>
              </w:rPr>
              <w:t>35m</w:t>
            </w:r>
            <w:r>
              <w:rPr>
                <w:rFonts w:hint="eastAsia" w:ascii="Times New Roman" w:hAnsi="Times New Roman" w:eastAsia="宋体" w:cs="Times New Roman"/>
                <w:color w:val="auto"/>
                <w:sz w:val="24"/>
                <w:szCs w:val="24"/>
                <w:highlight w:val="none"/>
                <w:lang w:val="en-US" w:eastAsia="zh-CN"/>
              </w:rPr>
              <w:t>跨度龙门吊设备，用于卸载无法采用翻车机卸车的集装箱。</w:t>
            </w:r>
          </w:p>
          <w:p w14:paraId="5A0A9A4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⑤专用线小里程端咽喉设牵出线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350m</w:t>
            </w:r>
            <w:r>
              <w:rPr>
                <w:rFonts w:hint="eastAsia" w:cs="Times New Roman"/>
                <w:color w:val="auto"/>
                <w:sz w:val="24"/>
                <w:szCs w:val="24"/>
                <w:highlight w:val="none"/>
                <w:lang w:val="en-US" w:eastAsia="zh-CN"/>
              </w:rPr>
              <w:t>，远期预留延长至650m</w:t>
            </w:r>
            <w:r>
              <w:rPr>
                <w:rFonts w:hint="eastAsia" w:ascii="Times New Roman" w:hAnsi="Times New Roman" w:eastAsia="宋体" w:cs="Times New Roman"/>
                <w:color w:val="auto"/>
                <w:sz w:val="24"/>
                <w:szCs w:val="24"/>
                <w:highlight w:val="none"/>
                <w:lang w:val="en-US" w:eastAsia="zh-CN"/>
              </w:rPr>
              <w:t>；设轨道衡</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台、生产生活设施场坪</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处，配套设置货场道路。</w:t>
            </w:r>
          </w:p>
          <w:p w14:paraId="7458068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）方案</w:t>
            </w:r>
            <w:r>
              <w:rPr>
                <w:rFonts w:hint="default" w:ascii="Times New Roman" w:hAnsi="Times New Roman" w:eastAsia="宋体" w:cs="Times New Roman"/>
                <w:color w:val="auto"/>
                <w:sz w:val="24"/>
                <w:szCs w:val="24"/>
                <w:highlight w:val="none"/>
                <w:lang w:val="en-US" w:eastAsia="zh-CN"/>
              </w:rPr>
              <w:t>II</w:t>
            </w:r>
            <w:r>
              <w:rPr>
                <w:rFonts w:hint="eastAsia" w:ascii="Times New Roman" w:hAnsi="Times New Roman" w:eastAsia="宋体" w:cs="Times New Roman"/>
                <w:color w:val="auto"/>
                <w:sz w:val="24"/>
                <w:szCs w:val="24"/>
                <w:highlight w:val="none"/>
                <w:lang w:val="en-US" w:eastAsia="zh-CN"/>
              </w:rPr>
              <w:t>：两个龙门吊装卸区设于翻车机作业区左侧方案该方案装卸场由龙门吊装卸区、翻车机卸车区、调车区组成。车场自预留接轨点引出后，由北至南依次设置两处龙门吊装卸区、调车区和翻车机卸车区。</w:t>
            </w:r>
          </w:p>
          <w:p w14:paraId="5E9B45A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①调车区、翻车机卸车区股道布设形式及数量同方案</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w:t>
            </w:r>
          </w:p>
          <w:p w14:paraId="2149DF1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②左侧龙门吊装卸区龙门吊装卸区设货物线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724m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680m</w:t>
            </w:r>
            <w:r>
              <w:rPr>
                <w:rFonts w:hint="eastAsia" w:ascii="Times New Roman" w:hAnsi="Times New Roman" w:eastAsia="宋体" w:cs="Times New Roman"/>
                <w:color w:val="auto"/>
                <w:sz w:val="24"/>
                <w:szCs w:val="24"/>
                <w:highlight w:val="none"/>
                <w:lang w:val="en-US" w:eastAsia="zh-CN"/>
              </w:rPr>
              <w:t>，机待线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lang w:val="en-US" w:eastAsia="zh-CN"/>
              </w:rPr>
              <w:t>，机走线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条，配套设</w:t>
            </w:r>
            <w:r>
              <w:rPr>
                <w:rFonts w:hint="default" w:ascii="Times New Roman" w:hAnsi="Times New Roman" w:eastAsia="宋体" w:cs="Times New Roman"/>
                <w:color w:val="auto"/>
                <w:sz w:val="24"/>
                <w:szCs w:val="24"/>
                <w:highlight w:val="none"/>
                <w:lang w:val="en-US" w:eastAsia="zh-CN"/>
              </w:rPr>
              <w:t>40m</w:t>
            </w:r>
            <w:r>
              <w:rPr>
                <w:rFonts w:hint="eastAsia" w:ascii="Times New Roman" w:hAnsi="Times New Roman" w:eastAsia="宋体" w:cs="Times New Roman"/>
                <w:color w:val="auto"/>
                <w:sz w:val="24"/>
                <w:szCs w:val="24"/>
                <w:highlight w:val="none"/>
                <w:lang w:val="en-US" w:eastAsia="zh-CN"/>
              </w:rPr>
              <w:t>跨度龙门吊设备，用于装载成品钢材，并利用</w:t>
            </w:r>
            <w:r>
              <w:rPr>
                <w:rFonts w:hint="eastAsia" w:cs="Times New Roman"/>
                <w:color w:val="auto"/>
                <w:sz w:val="24"/>
                <w:szCs w:val="24"/>
                <w:highlight w:val="none"/>
                <w:lang w:val="en-US" w:eastAsia="zh-CN"/>
              </w:rPr>
              <w:t>富余</w:t>
            </w:r>
            <w:r>
              <w:rPr>
                <w:rFonts w:hint="eastAsia" w:ascii="Times New Roman" w:hAnsi="Times New Roman" w:eastAsia="宋体" w:cs="Times New Roman"/>
                <w:color w:val="auto"/>
                <w:sz w:val="24"/>
                <w:szCs w:val="24"/>
                <w:highlight w:val="none"/>
                <w:lang w:val="en-US" w:eastAsia="zh-CN"/>
              </w:rPr>
              <w:t>能力卸载部分到达集装箱。</w:t>
            </w:r>
          </w:p>
          <w:p w14:paraId="253ED59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③右侧龙门吊装卸区设货物线</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条、有效长分别为</w:t>
            </w:r>
            <w:r>
              <w:rPr>
                <w:rFonts w:hint="default" w:ascii="Times New Roman" w:hAnsi="Times New Roman" w:eastAsia="宋体" w:cs="Times New Roman"/>
                <w:color w:val="auto"/>
                <w:sz w:val="24"/>
                <w:szCs w:val="24"/>
                <w:highlight w:val="none"/>
                <w:lang w:val="en-US" w:eastAsia="zh-CN"/>
              </w:rPr>
              <w:t>808m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734m</w:t>
            </w:r>
            <w:r>
              <w:rPr>
                <w:rFonts w:hint="eastAsia" w:ascii="Times New Roman" w:hAnsi="Times New Roman" w:eastAsia="宋体" w:cs="Times New Roman"/>
                <w:color w:val="auto"/>
                <w:sz w:val="24"/>
                <w:szCs w:val="24"/>
                <w:highlight w:val="none"/>
                <w:lang w:val="en-US" w:eastAsia="zh-CN"/>
              </w:rPr>
              <w:t>，机待线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lang w:val="en-US" w:eastAsia="zh-CN"/>
              </w:rPr>
              <w:t>，配套设</w:t>
            </w:r>
            <w:r>
              <w:rPr>
                <w:rFonts w:hint="default" w:ascii="Times New Roman" w:hAnsi="Times New Roman" w:eastAsia="宋体" w:cs="Times New Roman"/>
                <w:color w:val="auto"/>
                <w:sz w:val="24"/>
                <w:szCs w:val="24"/>
                <w:highlight w:val="none"/>
                <w:lang w:val="en-US" w:eastAsia="zh-CN"/>
              </w:rPr>
              <w:t>35m</w:t>
            </w:r>
            <w:r>
              <w:rPr>
                <w:rFonts w:hint="eastAsia" w:ascii="Times New Roman" w:hAnsi="Times New Roman" w:eastAsia="宋体" w:cs="Times New Roman"/>
                <w:color w:val="auto"/>
                <w:sz w:val="24"/>
                <w:szCs w:val="24"/>
                <w:highlight w:val="none"/>
                <w:lang w:val="en-US" w:eastAsia="zh-CN"/>
              </w:rPr>
              <w:t>跨度龙门吊设备，用于卸载无法采用翻车机卸车的集装箱。</w:t>
            </w:r>
          </w:p>
          <w:p w14:paraId="5B0BC2E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④专用线小里程端咽喉设牵出线</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条、有效长</w:t>
            </w:r>
            <w:r>
              <w:rPr>
                <w:rFonts w:hint="default" w:ascii="Times New Roman" w:hAnsi="Times New Roman" w:eastAsia="宋体" w:cs="Times New Roman"/>
                <w:color w:val="auto"/>
                <w:sz w:val="24"/>
                <w:szCs w:val="24"/>
                <w:highlight w:val="none"/>
                <w:lang w:val="en-US" w:eastAsia="zh-CN"/>
              </w:rPr>
              <w:t>350m</w:t>
            </w:r>
            <w:r>
              <w:rPr>
                <w:rFonts w:hint="eastAsia" w:ascii="Times New Roman" w:hAnsi="Times New Roman" w:eastAsia="宋体" w:cs="Times New Roman"/>
                <w:color w:val="auto"/>
                <w:sz w:val="24"/>
                <w:szCs w:val="24"/>
                <w:highlight w:val="none"/>
                <w:lang w:val="en-US" w:eastAsia="zh-CN"/>
              </w:rPr>
              <w:t>；设轨道衡</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台、生产生活设施场坪</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处，配套设置货场道路。</w:t>
            </w:r>
          </w:p>
          <w:p w14:paraId="768B403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）方案比选及推荐意见</w:t>
            </w:r>
          </w:p>
          <w:p w14:paraId="4C3A1A9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）方案优缺点比较</w:t>
            </w:r>
          </w:p>
          <w:p w14:paraId="1F759DB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两个龙门吊装卸区设于翻车机作业区两侧方案（方案</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）与两个龙门吊装卸区设于翻车机作业区左侧方案（方案</w:t>
            </w:r>
            <w:r>
              <w:rPr>
                <w:rFonts w:hint="default" w:ascii="Times New Roman" w:hAnsi="Times New Roman" w:eastAsia="宋体" w:cs="Times New Roman"/>
                <w:color w:val="auto"/>
                <w:sz w:val="24"/>
                <w:szCs w:val="24"/>
                <w:highlight w:val="none"/>
                <w:lang w:val="en-US" w:eastAsia="zh-CN"/>
              </w:rPr>
              <w:t>II</w:t>
            </w:r>
            <w:r>
              <w:rPr>
                <w:rFonts w:hint="eastAsia" w:ascii="Times New Roman" w:hAnsi="Times New Roman" w:eastAsia="宋体" w:cs="Times New Roman"/>
                <w:color w:val="auto"/>
                <w:sz w:val="24"/>
                <w:szCs w:val="24"/>
                <w:highlight w:val="none"/>
                <w:lang w:val="en-US" w:eastAsia="zh-CN"/>
              </w:rPr>
              <w:t>），优缺点比较详见下表：</w:t>
            </w:r>
          </w:p>
          <w:p w14:paraId="520DE50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kern w:val="0"/>
                <w:sz w:val="21"/>
                <w:szCs w:val="21"/>
                <w:highlight w:val="none"/>
                <w:vertAlign w:val="baseline"/>
                <w:lang w:val="en-US" w:eastAsia="zh-CN" w:bidi="ar"/>
              </w:rPr>
            </w:pPr>
            <w:r>
              <w:rPr>
                <w:rFonts w:hint="eastAsia" w:ascii="黑体" w:hAnsi="黑体" w:eastAsia="黑体" w:cs="黑体"/>
                <w:b w:val="0"/>
                <w:bCs w:val="0"/>
                <w:color w:val="auto"/>
                <w:kern w:val="0"/>
                <w:sz w:val="21"/>
                <w:szCs w:val="21"/>
                <w:highlight w:val="none"/>
                <w:vertAlign w:val="baseline"/>
                <w:lang w:val="en-US" w:eastAsia="zh-CN" w:bidi="ar"/>
              </w:rPr>
              <w:t>表2-11 优缺点比较表</w:t>
            </w:r>
          </w:p>
          <w:tbl>
            <w:tblPr>
              <w:tblStyle w:val="23"/>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2690"/>
              <w:gridCol w:w="2691"/>
            </w:tblGrid>
            <w:tr w14:paraId="28F79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l2br w:val="nil"/>
                    <w:tr2bl w:val="nil"/>
                  </w:tcBorders>
                  <w:vAlign w:val="center"/>
                </w:tcPr>
                <w:p w14:paraId="36DD5A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b w:val="0"/>
                      <w:bCs w:val="0"/>
                      <w:color w:val="auto"/>
                      <w:kern w:val="0"/>
                      <w:sz w:val="18"/>
                      <w:szCs w:val="18"/>
                      <w:highlight w:val="none"/>
                      <w:vertAlign w:val="baseline"/>
                      <w:lang w:val="en-US" w:eastAsia="zh-CN" w:bidi="ar"/>
                    </w:rPr>
                    <w:t>方案类别</w:t>
                  </w:r>
                </w:p>
              </w:tc>
              <w:tc>
                <w:tcPr>
                  <w:tcW w:w="1666" w:type="pct"/>
                  <w:tcBorders>
                    <w:tl2br w:val="nil"/>
                    <w:tr2bl w:val="nil"/>
                  </w:tcBorders>
                  <w:vAlign w:val="center"/>
                </w:tcPr>
                <w:p w14:paraId="28C32F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b w:val="0"/>
                      <w:bCs w:val="0"/>
                      <w:color w:val="auto"/>
                      <w:kern w:val="0"/>
                      <w:sz w:val="18"/>
                      <w:szCs w:val="18"/>
                      <w:highlight w:val="none"/>
                      <w:vertAlign w:val="baseline"/>
                      <w:lang w:val="en-US" w:eastAsia="zh-CN" w:bidi="ar"/>
                    </w:rPr>
                    <w:t>优点</w:t>
                  </w:r>
                </w:p>
              </w:tc>
              <w:tc>
                <w:tcPr>
                  <w:tcW w:w="1667" w:type="pct"/>
                  <w:tcBorders>
                    <w:tl2br w:val="nil"/>
                    <w:tr2bl w:val="nil"/>
                  </w:tcBorders>
                  <w:vAlign w:val="center"/>
                </w:tcPr>
                <w:p w14:paraId="5C46CE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b w:val="0"/>
                      <w:bCs w:val="0"/>
                      <w:color w:val="auto"/>
                      <w:kern w:val="0"/>
                      <w:sz w:val="18"/>
                      <w:szCs w:val="18"/>
                      <w:highlight w:val="none"/>
                      <w:vertAlign w:val="baseline"/>
                      <w:lang w:val="en-US" w:eastAsia="zh-CN" w:bidi="ar"/>
                    </w:rPr>
                    <w:t>缺点</w:t>
                  </w:r>
                </w:p>
              </w:tc>
            </w:tr>
            <w:tr w14:paraId="754DE1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l2br w:val="nil"/>
                    <w:tr2bl w:val="nil"/>
                  </w:tcBorders>
                  <w:vAlign w:val="center"/>
                </w:tcPr>
                <w:p w14:paraId="6AF18E08">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color w:val="000000"/>
                      <w:kern w:val="0"/>
                      <w:sz w:val="18"/>
                      <w:szCs w:val="18"/>
                      <w:lang w:val="en-US" w:eastAsia="zh-CN" w:bidi="ar"/>
                    </w:rPr>
                    <w:t>方案I</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两个龙门吊装卸区设于翻车机作业区两侧方案</w:t>
                  </w:r>
                </w:p>
              </w:tc>
              <w:tc>
                <w:tcPr>
                  <w:tcW w:w="1666" w:type="pct"/>
                  <w:tcBorders>
                    <w:tl2br w:val="nil"/>
                    <w:tr2bl w:val="nil"/>
                  </w:tcBorders>
                  <w:vAlign w:val="center"/>
                </w:tcPr>
                <w:p w14:paraId="495ED290">
                  <w:pPr>
                    <w:keepNext w:val="0"/>
                    <w:keepLines w:val="0"/>
                    <w:widowControl/>
                    <w:suppressLineNumbers w:val="0"/>
                    <w:ind w:left="0" w:leftChars="0" w:right="0" w:righ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val="en-US" w:eastAsia="zh-CN" w:bidi="ar"/>
                    </w:rPr>
                    <w:t>A.一处龙门吊装卸区距配煤棚较近，集装箱到达货物倒运方便。</w:t>
                  </w:r>
                </w:p>
                <w:p w14:paraId="6C6C61E8">
                  <w:pPr>
                    <w:keepNext w:val="0"/>
                    <w:keepLines w:val="0"/>
                    <w:widowControl/>
                    <w:suppressLineNumbers w:val="0"/>
                    <w:ind w:left="0" w:leftChars="0" w:right="0" w:righ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val="en-US" w:eastAsia="zh-CN" w:bidi="ar"/>
                    </w:rPr>
                    <w:t>B.龙门吊装卸区均毗邻环场道路设置，与道路联系方便。</w:t>
                  </w:r>
                </w:p>
                <w:p w14:paraId="06CF775B">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color w:val="000000"/>
                      <w:kern w:val="0"/>
                      <w:sz w:val="18"/>
                      <w:szCs w:val="18"/>
                      <w:lang w:val="en-US" w:eastAsia="zh-CN" w:bidi="ar"/>
                    </w:rPr>
                    <w:t>C.咽喉区布置紧凑，用地较为集中。</w:t>
                  </w:r>
                </w:p>
              </w:tc>
              <w:tc>
                <w:tcPr>
                  <w:tcW w:w="1667" w:type="pct"/>
                  <w:tcBorders>
                    <w:tl2br w:val="nil"/>
                    <w:tr2bl w:val="nil"/>
                  </w:tcBorders>
                  <w:vAlign w:val="center"/>
                </w:tcPr>
                <w:p w14:paraId="375B82ED">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color w:val="000000"/>
                      <w:kern w:val="0"/>
                      <w:sz w:val="18"/>
                      <w:szCs w:val="18"/>
                      <w:lang w:val="en-US" w:eastAsia="zh-CN" w:bidi="ar"/>
                    </w:rPr>
                    <w:t>A.原料场侧龙门吊装卸区距集装箱堆场较远，不便于利用富裕能力卸载集装箱货物。</w:t>
                  </w:r>
                </w:p>
              </w:tc>
            </w:tr>
            <w:tr w14:paraId="7E9192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Borders>
                    <w:tl2br w:val="nil"/>
                    <w:tr2bl w:val="nil"/>
                  </w:tcBorders>
                  <w:vAlign w:val="center"/>
                </w:tcPr>
                <w:p w14:paraId="05FC9574">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color w:val="000000"/>
                      <w:kern w:val="0"/>
                      <w:sz w:val="18"/>
                      <w:szCs w:val="18"/>
                      <w:lang w:val="en-US" w:eastAsia="zh-CN" w:bidi="ar"/>
                    </w:rPr>
                    <w:t>方案II</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两个龙门吊装卸区设于翻车机作业区左侧方案</w:t>
                  </w:r>
                </w:p>
              </w:tc>
              <w:tc>
                <w:tcPr>
                  <w:tcW w:w="1666" w:type="pct"/>
                  <w:tcBorders>
                    <w:tl2br w:val="nil"/>
                    <w:tr2bl w:val="nil"/>
                  </w:tcBorders>
                  <w:vAlign w:val="center"/>
                </w:tcPr>
                <w:p w14:paraId="0A90C02C">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color w:val="000000"/>
                      <w:kern w:val="0"/>
                      <w:sz w:val="18"/>
                      <w:szCs w:val="18"/>
                      <w:lang w:val="en-US" w:eastAsia="zh-CN" w:bidi="ar"/>
                    </w:rPr>
                    <w:t>A.两处龙门吊装卸区距集装箱堆场较近，便于原料场侧龙门吊装卸区利用</w:t>
                  </w:r>
                  <w:r>
                    <w:rPr>
                      <w:rFonts w:hint="eastAsia" w:cs="Times New Roman"/>
                      <w:color w:val="000000"/>
                      <w:kern w:val="0"/>
                      <w:sz w:val="18"/>
                      <w:szCs w:val="18"/>
                      <w:lang w:val="en-US" w:eastAsia="zh-CN" w:bidi="ar"/>
                    </w:rPr>
                    <w:t>富余</w:t>
                  </w:r>
                  <w:r>
                    <w:rPr>
                      <w:rFonts w:hint="default" w:ascii="Times New Roman" w:hAnsi="Times New Roman" w:eastAsia="宋体" w:cs="Times New Roman"/>
                      <w:color w:val="000000"/>
                      <w:kern w:val="0"/>
                      <w:sz w:val="18"/>
                      <w:szCs w:val="18"/>
                      <w:lang w:val="en-US" w:eastAsia="zh-CN" w:bidi="ar"/>
                    </w:rPr>
                    <w:t>能力卸载集装箱货物。</w:t>
                  </w:r>
                </w:p>
              </w:tc>
              <w:tc>
                <w:tcPr>
                  <w:tcW w:w="1667" w:type="pct"/>
                  <w:tcBorders>
                    <w:tl2br w:val="nil"/>
                    <w:tr2bl w:val="nil"/>
                  </w:tcBorders>
                  <w:vAlign w:val="center"/>
                </w:tcPr>
                <w:p w14:paraId="312BA819">
                  <w:pPr>
                    <w:keepNext w:val="0"/>
                    <w:keepLines w:val="0"/>
                    <w:widowControl/>
                    <w:suppressLineNumbers w:val="0"/>
                    <w:ind w:left="0" w:leftChars="0" w:right="0" w:righ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val="en-US" w:eastAsia="zh-CN" w:bidi="ar"/>
                    </w:rPr>
                    <w:t>A.龙门吊装卸区距配煤棚较远，不便于集装箱货物倒运。</w:t>
                  </w:r>
                </w:p>
                <w:p w14:paraId="2A00C9DB">
                  <w:pPr>
                    <w:keepNext w:val="0"/>
                    <w:keepLines w:val="0"/>
                    <w:widowControl/>
                    <w:suppressLineNumbers w:val="0"/>
                    <w:ind w:left="0" w:leftChars="0" w:right="0" w:righ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val="en-US" w:eastAsia="zh-CN" w:bidi="ar"/>
                    </w:rPr>
                    <w:t>B.右侧龙门吊装卸区设于场区中部，与道路衔接不便。</w:t>
                  </w:r>
                </w:p>
                <w:p w14:paraId="1B2AED32">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kern w:val="0"/>
                      <w:sz w:val="18"/>
                      <w:szCs w:val="18"/>
                      <w:highlight w:val="none"/>
                      <w:vertAlign w:val="baseline"/>
                      <w:lang w:val="en-US" w:eastAsia="zh-CN" w:bidi="ar"/>
                    </w:rPr>
                  </w:pPr>
                  <w:r>
                    <w:rPr>
                      <w:rFonts w:hint="default" w:ascii="Times New Roman" w:hAnsi="Times New Roman" w:eastAsia="宋体" w:cs="Times New Roman"/>
                      <w:color w:val="000000"/>
                      <w:kern w:val="0"/>
                      <w:sz w:val="18"/>
                      <w:szCs w:val="18"/>
                      <w:lang w:val="en-US" w:eastAsia="zh-CN" w:bidi="ar"/>
                    </w:rPr>
                    <w:t>C.咽喉处存在部分三角地带，用地较为分散。</w:t>
                  </w:r>
                </w:p>
              </w:tc>
            </w:tr>
          </w:tbl>
          <w:p w14:paraId="2B596E6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）推荐意见</w:t>
            </w:r>
          </w:p>
          <w:p w14:paraId="6D7BE5A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综上所述，虽然方案</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原料场侧龙门吊装卸区距集装箱堆场较远，不便于利用富裕能力卸载集装箱货物，但具备一处龙门吊装卸区距配煤棚较近，集装箱到达货物倒运方便；龙门吊装卸区均毗邻环场道路设置，与道路联系方便；咽喉区布置紧凑，用地较为集中的优点，故本研究暂推荐两个龙门吊装卸区设于翻车机作业区两侧方案（方案</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w:t>
            </w:r>
          </w:p>
          <w:p w14:paraId="45B4939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77D4343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764833D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74C63C8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5E6D8416">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28A306EC">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1466308A">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666D844C">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430C1525">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46118499">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4DE7E905">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7FE1F5FC">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6B1812A1">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3CE1D7BF">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32DF6CDF">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2DA63B9B">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val="0"/>
                <w:bCs w:val="0"/>
                <w:color w:val="auto"/>
                <w:kern w:val="0"/>
                <w:sz w:val="21"/>
                <w:szCs w:val="21"/>
                <w:highlight w:val="none"/>
                <w:vertAlign w:val="baseline"/>
                <w:lang w:val="en-US" w:eastAsia="zh-CN" w:bidi="ar"/>
              </w:rPr>
            </w:pPr>
          </w:p>
          <w:p w14:paraId="56B244FA">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both"/>
              <w:textAlignment w:val="auto"/>
              <w:rPr>
                <w:rFonts w:hint="default" w:ascii="黑体" w:hAnsi="黑体" w:eastAsia="黑体" w:cs="黑体"/>
                <w:b w:val="0"/>
                <w:bCs w:val="0"/>
                <w:color w:val="auto"/>
                <w:kern w:val="0"/>
                <w:sz w:val="21"/>
                <w:szCs w:val="21"/>
                <w:highlight w:val="none"/>
                <w:vertAlign w:val="baseline"/>
                <w:lang w:val="en-US" w:eastAsia="zh-CN" w:bidi="ar"/>
              </w:rPr>
            </w:pPr>
          </w:p>
        </w:tc>
      </w:tr>
    </w:tbl>
    <w:p w14:paraId="13CD1A5F">
      <w:pPr>
        <w:ind w:left="0" w:leftChars="0" w:right="0" w:rightChars="0" w:firstLine="0" w:firstLineChars="0"/>
        <w:jc w:val="center"/>
        <w:rPr>
          <w:rFonts w:eastAsia="楷体_GB2312"/>
          <w:sz w:val="36"/>
          <w:szCs w:val="36"/>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9E37FEA">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bookmarkStart w:id="9" w:name="_Toc23664"/>
      <w:bookmarkStart w:id="10" w:name="_Toc31030"/>
      <w:bookmarkStart w:id="11" w:name="_Toc25695"/>
      <w:r>
        <w:rPr>
          <w:rFonts w:hint="eastAsia"/>
          <w:color w:val="auto"/>
          <w:highlight w:val="none"/>
          <w:lang w:val="en-US" w:eastAsia="zh-CN"/>
        </w:rPr>
        <w:t>三、生态环境现状、保护目标及评价标准</w:t>
      </w:r>
      <w:bookmarkEnd w:id="9"/>
      <w:bookmarkEnd w:id="10"/>
      <w:bookmarkEnd w:id="11"/>
    </w:p>
    <w:tbl>
      <w:tblPr>
        <w:tblStyle w:val="23"/>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312"/>
      </w:tblGrid>
      <w:tr w14:paraId="5EEE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27" w:type="dxa"/>
            <w:vAlign w:val="center"/>
          </w:tcPr>
          <w:p w14:paraId="6F3022F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生态环境现状</w:t>
            </w:r>
          </w:p>
        </w:tc>
        <w:tc>
          <w:tcPr>
            <w:tcW w:w="8312" w:type="dxa"/>
          </w:tcPr>
          <w:p w14:paraId="4339C5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3.1重要生态功能区划</w:t>
            </w:r>
          </w:p>
          <w:p w14:paraId="61C0A1CF">
            <w:pPr>
              <w:pStyle w:val="2"/>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3.1.1</w:t>
            </w:r>
            <w:r>
              <w:rPr>
                <w:rFonts w:hint="eastAsia" w:ascii="Times New Roman" w:hAnsi="Times New Roman" w:cs="Times New Roman"/>
                <w:b/>
                <w:bCs/>
                <w:color w:val="auto"/>
                <w:sz w:val="24"/>
                <w:szCs w:val="24"/>
                <w:highlight w:val="none"/>
                <w:lang w:val="en-US" w:eastAsia="zh-CN"/>
              </w:rPr>
              <w:t>云南省主体功能区划</w:t>
            </w:r>
          </w:p>
          <w:p w14:paraId="2B1B4F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根据《云南省主体功能区划》（云政发〔</w:t>
            </w:r>
            <w:r>
              <w:rPr>
                <w:rFonts w:hint="default" w:ascii="Times New Roman" w:hAnsi="Times New Roman" w:eastAsia="宋体" w:cs="Times New Roman"/>
                <w:color w:val="000000"/>
                <w:kern w:val="0"/>
                <w:sz w:val="24"/>
                <w:szCs w:val="24"/>
                <w:lang w:val="en-US" w:eastAsia="zh-CN" w:bidi="ar"/>
              </w:rPr>
              <w:t>2014</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号）并结合云南省重点区域开发分布图，</w:t>
            </w:r>
            <w:r>
              <w:rPr>
                <w:rFonts w:hint="eastAsia" w:cs="Times New Roman"/>
                <w:color w:val="000000"/>
                <w:kern w:val="0"/>
                <w:sz w:val="24"/>
                <w:szCs w:val="24"/>
                <w:lang w:val="en-US" w:eastAsia="zh-CN" w:bidi="ar"/>
              </w:rPr>
              <w:t>项目区域</w:t>
            </w:r>
            <w:r>
              <w:rPr>
                <w:rFonts w:hint="eastAsia" w:ascii="Times New Roman" w:hAnsi="Times New Roman" w:eastAsia="宋体" w:cs="Times New Roman"/>
                <w:color w:val="000000"/>
                <w:kern w:val="0"/>
                <w:sz w:val="24"/>
                <w:szCs w:val="24"/>
                <w:lang w:val="en-US" w:eastAsia="zh-CN" w:bidi="ar"/>
              </w:rPr>
              <w:t>属</w:t>
            </w:r>
            <w:r>
              <w:rPr>
                <w:rFonts w:hint="eastAsia" w:cs="Times New Roman"/>
                <w:color w:val="000000"/>
                <w:kern w:val="0"/>
                <w:sz w:val="24"/>
                <w:szCs w:val="24"/>
                <w:lang w:val="en-US" w:eastAsia="zh-CN" w:bidi="ar"/>
              </w:rPr>
              <w:t>于</w:t>
            </w:r>
            <w:r>
              <w:rPr>
                <w:rFonts w:hint="eastAsia" w:ascii="Times New Roman" w:hAnsi="Times New Roman" w:eastAsia="宋体" w:cs="Times New Roman"/>
                <w:color w:val="000000"/>
                <w:kern w:val="0"/>
                <w:sz w:val="24"/>
                <w:szCs w:val="24"/>
                <w:lang w:val="en-US" w:eastAsia="zh-CN" w:bidi="ar"/>
              </w:rPr>
              <w:t>国家农产品主产区</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项目所在位置</w:t>
            </w:r>
            <w:r>
              <w:rPr>
                <w:rFonts w:hint="eastAsia" w:cs="Times New Roman"/>
                <w:color w:val="000000"/>
                <w:kern w:val="0"/>
                <w:sz w:val="24"/>
                <w:szCs w:val="24"/>
                <w:lang w:val="en-US" w:eastAsia="zh-CN" w:bidi="ar"/>
              </w:rPr>
              <w:t>与</w:t>
            </w:r>
            <w:r>
              <w:rPr>
                <w:rFonts w:hint="eastAsia" w:ascii="Times New Roman" w:hAnsi="Times New Roman" w:eastAsia="宋体" w:cs="Times New Roman"/>
                <w:color w:val="000000"/>
                <w:kern w:val="0"/>
                <w:sz w:val="24"/>
                <w:szCs w:val="24"/>
                <w:lang w:val="en-US" w:eastAsia="zh-CN" w:bidi="ar"/>
              </w:rPr>
              <w:t>云南省</w:t>
            </w:r>
            <w:r>
              <w:rPr>
                <w:rFonts w:hint="eastAsia" w:cs="Times New Roman"/>
                <w:color w:val="000000"/>
                <w:kern w:val="0"/>
                <w:sz w:val="24"/>
                <w:szCs w:val="24"/>
                <w:lang w:val="en-US" w:eastAsia="zh-CN" w:bidi="ar"/>
              </w:rPr>
              <w:t>主体功能区划关系详见</w:t>
            </w:r>
            <w:r>
              <w:rPr>
                <w:rFonts w:hint="eastAsia" w:cs="Times New Roman"/>
                <w:color w:val="auto"/>
                <w:kern w:val="0"/>
                <w:sz w:val="24"/>
                <w:szCs w:val="24"/>
                <w:highlight w:val="none"/>
                <w:lang w:val="en-US" w:eastAsia="zh-CN" w:bidi="ar"/>
              </w:rPr>
              <w:t>附图5</w:t>
            </w:r>
            <w:r>
              <w:rPr>
                <w:rFonts w:hint="eastAsia" w:cs="Times New Roman"/>
                <w:color w:val="000000"/>
                <w:kern w:val="0"/>
                <w:sz w:val="24"/>
                <w:szCs w:val="24"/>
                <w:lang w:val="en-US" w:eastAsia="zh-CN" w:bidi="ar"/>
              </w:rPr>
              <w:t>。</w:t>
            </w:r>
          </w:p>
          <w:p w14:paraId="2AFD4B71">
            <w:pPr>
              <w:pStyle w:val="2"/>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3.1.</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云南省生态功能区划</w:t>
            </w:r>
          </w:p>
          <w:p w14:paraId="56E0B7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根据《云南省</w:t>
            </w:r>
            <w:r>
              <w:rPr>
                <w:rFonts w:hint="eastAsia" w:cs="Times New Roman"/>
                <w:color w:val="000000"/>
                <w:kern w:val="0"/>
                <w:sz w:val="24"/>
                <w:szCs w:val="24"/>
                <w:lang w:val="en-US" w:eastAsia="zh-CN" w:bidi="ar"/>
              </w:rPr>
              <w:t>生态功能区划简本（最终）</w:t>
            </w:r>
            <w:r>
              <w:rPr>
                <w:rFonts w:hint="eastAsia" w:ascii="Times New Roman" w:hAnsi="Times New Roman" w:eastAsia="宋体" w:cs="Times New Roman"/>
                <w:color w:val="000000"/>
                <w:kern w:val="0"/>
                <w:sz w:val="24"/>
                <w:szCs w:val="24"/>
                <w:lang w:val="en-US" w:eastAsia="zh-CN" w:bidi="ar"/>
              </w:rPr>
              <w:t>》，项目位于</w:t>
            </w:r>
            <w:r>
              <w:rPr>
                <w:rFonts w:hint="eastAsia" w:ascii="Times New Roman" w:hAnsi="Times New Roman" w:eastAsia="宋体" w:cs="Times New Roman"/>
                <w:i w:val="0"/>
                <w:iCs w:val="0"/>
                <w:color w:val="auto"/>
                <w:sz w:val="24"/>
                <w:szCs w:val="24"/>
                <w:highlight w:val="none"/>
                <w:u w:val="none"/>
                <w:lang w:val="en-US" w:eastAsia="zh-CN"/>
              </w:rPr>
              <w:t>云南新平产业园区内绿色钢城片区，区域属于</w:t>
            </w:r>
            <w:r>
              <w:rPr>
                <w:rFonts w:hint="default" w:ascii="Times New Roman" w:hAnsi="Times New Roman" w:eastAsia="宋体" w:cs="Times New Roman"/>
                <w:color w:val="000000"/>
                <w:kern w:val="0"/>
                <w:sz w:val="24"/>
                <w:szCs w:val="24"/>
                <w:lang w:val="en-US" w:eastAsia="zh-CN" w:bidi="ar"/>
              </w:rPr>
              <w:t>Ⅱ4-3新平撮科河中山山原林业与水源涵养生态功能区</w:t>
            </w:r>
            <w:r>
              <w:rPr>
                <w:rFonts w:hint="eastAsia" w:cs="Times New Roman"/>
                <w:color w:val="000000"/>
                <w:kern w:val="0"/>
                <w:sz w:val="24"/>
                <w:szCs w:val="24"/>
                <w:lang w:val="en-US" w:eastAsia="zh-CN" w:bidi="ar"/>
              </w:rPr>
              <w:t>，生态功能区划概况见表3-1。</w:t>
            </w:r>
          </w:p>
          <w:p w14:paraId="29CB80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本</w:t>
            </w:r>
            <w:r>
              <w:rPr>
                <w:rFonts w:hint="eastAsia" w:ascii="Times New Roman" w:hAnsi="Times New Roman" w:eastAsia="宋体" w:cs="Times New Roman"/>
                <w:color w:val="000000"/>
                <w:kern w:val="0"/>
                <w:sz w:val="24"/>
                <w:szCs w:val="24"/>
                <w:lang w:val="en-US" w:eastAsia="zh-CN" w:bidi="ar"/>
              </w:rPr>
              <w:t>项目不占用基本农田及基本农田保护区，与《云南省生态功能区区划》相协调</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项目所在位置</w:t>
            </w:r>
            <w:r>
              <w:rPr>
                <w:rFonts w:hint="eastAsia" w:cs="Times New Roman"/>
                <w:color w:val="000000"/>
                <w:kern w:val="0"/>
                <w:sz w:val="24"/>
                <w:szCs w:val="24"/>
                <w:lang w:val="en-US" w:eastAsia="zh-CN" w:bidi="ar"/>
              </w:rPr>
              <w:t>与</w:t>
            </w:r>
            <w:r>
              <w:rPr>
                <w:rFonts w:hint="eastAsia" w:ascii="Times New Roman" w:hAnsi="Times New Roman" w:eastAsia="宋体" w:cs="Times New Roman"/>
                <w:color w:val="000000"/>
                <w:kern w:val="0"/>
                <w:sz w:val="24"/>
                <w:szCs w:val="24"/>
                <w:lang w:val="en-US" w:eastAsia="zh-CN" w:bidi="ar"/>
              </w:rPr>
              <w:t>云南省生态功能</w:t>
            </w:r>
            <w:r>
              <w:rPr>
                <w:rFonts w:hint="eastAsia" w:cs="Times New Roman"/>
                <w:color w:val="000000"/>
                <w:kern w:val="0"/>
                <w:sz w:val="24"/>
                <w:szCs w:val="24"/>
                <w:lang w:val="en-US" w:eastAsia="zh-CN" w:bidi="ar"/>
              </w:rPr>
              <w:t>区划</w:t>
            </w:r>
            <w:r>
              <w:rPr>
                <w:rFonts w:hint="eastAsia" w:ascii="Times New Roman" w:hAnsi="Times New Roman" w:eastAsia="宋体" w:cs="Times New Roman"/>
                <w:color w:val="000000"/>
                <w:kern w:val="0"/>
                <w:sz w:val="24"/>
                <w:szCs w:val="24"/>
                <w:lang w:val="en-US" w:eastAsia="zh-CN" w:bidi="ar"/>
              </w:rPr>
              <w:t>类型</w:t>
            </w:r>
            <w:r>
              <w:rPr>
                <w:rFonts w:hint="eastAsia" w:cs="Times New Roman"/>
                <w:color w:val="000000"/>
                <w:kern w:val="0"/>
                <w:sz w:val="24"/>
                <w:szCs w:val="24"/>
                <w:lang w:val="en-US" w:eastAsia="zh-CN" w:bidi="ar"/>
              </w:rPr>
              <w:t>关系详见</w:t>
            </w:r>
            <w:r>
              <w:rPr>
                <w:rFonts w:hint="eastAsia" w:cs="Times New Roman"/>
                <w:color w:val="000000"/>
                <w:kern w:val="0"/>
                <w:sz w:val="24"/>
                <w:szCs w:val="24"/>
                <w:highlight w:val="none"/>
                <w:lang w:val="en-US" w:eastAsia="zh-CN" w:bidi="ar"/>
              </w:rPr>
              <w:t>附图4</w:t>
            </w:r>
            <w:r>
              <w:rPr>
                <w:rFonts w:hint="eastAsia" w:ascii="Times New Roman" w:hAnsi="Times New Roman" w:eastAsia="宋体" w:cs="Times New Roman"/>
                <w:color w:val="000000"/>
                <w:kern w:val="0"/>
                <w:sz w:val="24"/>
                <w:szCs w:val="24"/>
                <w:lang w:val="en-US" w:eastAsia="zh-CN" w:bidi="ar"/>
              </w:rPr>
              <w:t>。</w:t>
            </w:r>
          </w:p>
          <w:p w14:paraId="66D7D27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表3-1  生态功能区划概况</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22"/>
              <w:gridCol w:w="850"/>
              <w:gridCol w:w="943"/>
              <w:gridCol w:w="1200"/>
              <w:gridCol w:w="857"/>
              <w:gridCol w:w="786"/>
              <w:gridCol w:w="871"/>
              <w:gridCol w:w="1137"/>
            </w:tblGrid>
            <w:tr w14:paraId="7040A9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gridSpan w:val="3"/>
                  <w:tcBorders>
                    <w:tl2br w:val="nil"/>
                    <w:tr2bl w:val="nil"/>
                  </w:tcBorders>
                  <w:vAlign w:val="center"/>
                </w:tcPr>
                <w:p w14:paraId="6128144B">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生态功能分区单元</w:t>
                  </w:r>
                </w:p>
              </w:tc>
              <w:tc>
                <w:tcPr>
                  <w:tcW w:w="582" w:type="pct"/>
                  <w:vMerge w:val="restart"/>
                  <w:tcBorders>
                    <w:tl2br w:val="nil"/>
                    <w:tr2bl w:val="nil"/>
                  </w:tcBorders>
                  <w:vAlign w:val="center"/>
                </w:tcPr>
                <w:p w14:paraId="74D0C160">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所在区域及面积</w:t>
                  </w:r>
                </w:p>
              </w:tc>
              <w:tc>
                <w:tcPr>
                  <w:tcW w:w="741" w:type="pct"/>
                  <w:vMerge w:val="restart"/>
                  <w:tcBorders>
                    <w:tl2br w:val="nil"/>
                    <w:tr2bl w:val="nil"/>
                  </w:tcBorders>
                  <w:vAlign w:val="center"/>
                </w:tcPr>
                <w:p w14:paraId="6DB0CEBC">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主要生态特征</w:t>
                  </w:r>
                </w:p>
              </w:tc>
              <w:tc>
                <w:tcPr>
                  <w:tcW w:w="529" w:type="pct"/>
                  <w:vMerge w:val="restart"/>
                  <w:tcBorders>
                    <w:tl2br w:val="nil"/>
                    <w:tr2bl w:val="nil"/>
                  </w:tcBorders>
                  <w:vAlign w:val="center"/>
                </w:tcPr>
                <w:p w14:paraId="7E38C3E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主要生态环境问题</w:t>
                  </w:r>
                </w:p>
              </w:tc>
              <w:tc>
                <w:tcPr>
                  <w:tcW w:w="485" w:type="pct"/>
                  <w:vMerge w:val="restart"/>
                  <w:tcBorders>
                    <w:tl2br w:val="nil"/>
                    <w:tr2bl w:val="nil"/>
                  </w:tcBorders>
                  <w:vAlign w:val="center"/>
                </w:tcPr>
                <w:p w14:paraId="0EF5D76C">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生态环境敏感性</w:t>
                  </w:r>
                </w:p>
              </w:tc>
              <w:tc>
                <w:tcPr>
                  <w:tcW w:w="538" w:type="pct"/>
                  <w:vMerge w:val="restart"/>
                  <w:tcBorders>
                    <w:tl2br w:val="nil"/>
                    <w:tr2bl w:val="nil"/>
                  </w:tcBorders>
                  <w:vAlign w:val="center"/>
                </w:tcPr>
                <w:p w14:paraId="180D73A9">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主要生态系统服务功能</w:t>
                  </w:r>
                </w:p>
              </w:tc>
              <w:tc>
                <w:tcPr>
                  <w:tcW w:w="702" w:type="pct"/>
                  <w:vMerge w:val="restart"/>
                  <w:tcBorders>
                    <w:tl2br w:val="nil"/>
                    <w:tr2bl w:val="nil"/>
                  </w:tcBorders>
                  <w:vAlign w:val="center"/>
                </w:tcPr>
                <w:p w14:paraId="7D47CF03">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保护措施与发展方向</w:t>
                  </w:r>
                </w:p>
              </w:tc>
            </w:tr>
            <w:tr w14:paraId="0ED07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tcBorders>
                    <w:tl2br w:val="nil"/>
                    <w:tr2bl w:val="nil"/>
                  </w:tcBorders>
                  <w:vAlign w:val="center"/>
                </w:tcPr>
                <w:p w14:paraId="05043A8C">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生态区</w:t>
                  </w:r>
                </w:p>
              </w:tc>
              <w:tc>
                <w:tcPr>
                  <w:tcW w:w="446" w:type="pct"/>
                  <w:tcBorders>
                    <w:tl2br w:val="nil"/>
                    <w:tr2bl w:val="nil"/>
                  </w:tcBorders>
                  <w:vAlign w:val="center"/>
                </w:tcPr>
                <w:p w14:paraId="2D26BCE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w:t>
                  </w:r>
                </w:p>
                <w:p w14:paraId="574CD2D6">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亚区</w:t>
                  </w:r>
                </w:p>
              </w:tc>
              <w:tc>
                <w:tcPr>
                  <w:tcW w:w="524" w:type="pct"/>
                  <w:tcBorders>
                    <w:tl2br w:val="nil"/>
                    <w:tr2bl w:val="nil"/>
                  </w:tcBorders>
                  <w:vAlign w:val="center"/>
                </w:tcPr>
                <w:p w14:paraId="482F34D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生态功能分区</w:t>
                  </w:r>
                </w:p>
              </w:tc>
              <w:tc>
                <w:tcPr>
                  <w:tcW w:w="582" w:type="pct"/>
                  <w:vMerge w:val="continue"/>
                  <w:tcBorders>
                    <w:tl2br w:val="nil"/>
                    <w:tr2bl w:val="nil"/>
                  </w:tcBorders>
                  <w:vAlign w:val="center"/>
                </w:tcPr>
                <w:p w14:paraId="617C41E1">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741" w:type="pct"/>
                  <w:vMerge w:val="continue"/>
                  <w:tcBorders>
                    <w:tl2br w:val="nil"/>
                    <w:tr2bl w:val="nil"/>
                  </w:tcBorders>
                  <w:vAlign w:val="center"/>
                </w:tcPr>
                <w:p w14:paraId="0F7A8D8E">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29" w:type="pct"/>
                  <w:vMerge w:val="continue"/>
                  <w:tcBorders>
                    <w:tl2br w:val="nil"/>
                    <w:tr2bl w:val="nil"/>
                  </w:tcBorders>
                  <w:vAlign w:val="center"/>
                </w:tcPr>
                <w:p w14:paraId="6879DA11">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485" w:type="pct"/>
                  <w:vMerge w:val="continue"/>
                  <w:tcBorders>
                    <w:tl2br w:val="nil"/>
                    <w:tr2bl w:val="nil"/>
                  </w:tcBorders>
                  <w:vAlign w:val="center"/>
                </w:tcPr>
                <w:p w14:paraId="40742AE0">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38" w:type="pct"/>
                  <w:vMerge w:val="continue"/>
                  <w:tcBorders>
                    <w:tl2br w:val="nil"/>
                    <w:tr2bl w:val="nil"/>
                  </w:tcBorders>
                  <w:vAlign w:val="center"/>
                </w:tcPr>
                <w:p w14:paraId="1CE423A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702" w:type="pct"/>
                  <w:vMerge w:val="continue"/>
                  <w:tcBorders>
                    <w:tl2br w:val="nil"/>
                    <w:tr2bl w:val="nil"/>
                  </w:tcBorders>
                  <w:vAlign w:val="center"/>
                </w:tcPr>
                <w:p w14:paraId="38E2726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r>
            <w:tr w14:paraId="62086D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tcBorders>
                    <w:tl2br w:val="nil"/>
                    <w:tr2bl w:val="nil"/>
                  </w:tcBorders>
                  <w:vAlign w:val="center"/>
                </w:tcPr>
                <w:p w14:paraId="4A420CA3">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Ⅱ高原亚热带南部常绿阔叶林生态区</w:t>
                  </w:r>
                </w:p>
              </w:tc>
              <w:tc>
                <w:tcPr>
                  <w:tcW w:w="446" w:type="pct"/>
                  <w:tcBorders>
                    <w:tl2br w:val="nil"/>
                    <w:tr2bl w:val="nil"/>
                  </w:tcBorders>
                  <w:vAlign w:val="center"/>
                </w:tcPr>
                <w:p w14:paraId="1BC528E3">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napToGrid w:val="0"/>
                      <w:color w:val="000000"/>
                      <w:kern w:val="2"/>
                      <w:sz w:val="18"/>
                      <w:szCs w:val="18"/>
                    </w:rPr>
                    <w:t>Ⅱ4蒙自、元江岩溶山原暖性针叶林生态亚区</w:t>
                  </w:r>
                </w:p>
              </w:tc>
              <w:tc>
                <w:tcPr>
                  <w:tcW w:w="524" w:type="pct"/>
                  <w:tcBorders>
                    <w:tl2br w:val="nil"/>
                    <w:tr2bl w:val="nil"/>
                  </w:tcBorders>
                  <w:vAlign w:val="center"/>
                </w:tcPr>
                <w:p w14:paraId="19E1E97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napToGrid w:val="0"/>
                      <w:color w:val="000000"/>
                      <w:kern w:val="2"/>
                      <w:sz w:val="18"/>
                      <w:szCs w:val="18"/>
                    </w:rPr>
                    <w:t>Ⅱ4-3新平撮科河中山山原林业与水源涵养生态功能区</w:t>
                  </w:r>
                </w:p>
              </w:tc>
              <w:tc>
                <w:tcPr>
                  <w:tcW w:w="582" w:type="pct"/>
                  <w:tcBorders>
                    <w:tl2br w:val="nil"/>
                    <w:tr2bl w:val="nil"/>
                  </w:tcBorders>
                  <w:vAlign w:val="center"/>
                </w:tcPr>
                <w:p w14:paraId="7620F99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rPr>
                    <w:t>新平、峨山、石屏、元江四县交界地带，面积3170.28平方公里</w:t>
                  </w:r>
                </w:p>
              </w:tc>
              <w:tc>
                <w:tcPr>
                  <w:tcW w:w="741" w:type="pct"/>
                  <w:tcBorders>
                    <w:tl2br w:val="nil"/>
                    <w:tr2bl w:val="nil"/>
                  </w:tcBorders>
                  <w:vAlign w:val="center"/>
                </w:tcPr>
                <w:p w14:paraId="37263A09">
                  <w:pPr>
                    <w:jc w:val="both"/>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z w:val="18"/>
                      <w:szCs w:val="18"/>
                    </w:rPr>
                    <w:t>以中山河谷地貌为主。降雨量偏少，仅为800-900毫米，主要植被类型为云南松林和思茅松林</w:t>
                  </w:r>
                  <w:r>
                    <w:rPr>
                      <w:rFonts w:hint="eastAsia" w:cs="Times New Roman"/>
                      <w:sz w:val="18"/>
                      <w:szCs w:val="18"/>
                      <w:lang w:eastAsia="zh-CN"/>
                    </w:rPr>
                    <w:t>，</w:t>
                  </w:r>
                  <w:r>
                    <w:rPr>
                      <w:rFonts w:hint="default" w:ascii="Times New Roman" w:hAnsi="Times New Roman" w:eastAsia="宋体" w:cs="Times New Roman"/>
                      <w:sz w:val="18"/>
                      <w:szCs w:val="18"/>
                    </w:rPr>
                    <w:t>土壤以紫色土为主</w:t>
                  </w:r>
                  <w:r>
                    <w:rPr>
                      <w:rFonts w:hint="eastAsia" w:cs="Times New Roman"/>
                      <w:sz w:val="18"/>
                      <w:szCs w:val="18"/>
                      <w:lang w:eastAsia="zh-CN"/>
                    </w:rPr>
                    <w:t>。</w:t>
                  </w:r>
                </w:p>
              </w:tc>
              <w:tc>
                <w:tcPr>
                  <w:tcW w:w="529" w:type="pct"/>
                  <w:tcBorders>
                    <w:tl2br w:val="nil"/>
                    <w:tr2bl w:val="nil"/>
                  </w:tcBorders>
                  <w:vAlign w:val="center"/>
                </w:tcPr>
                <w:p w14:paraId="0E5F5105">
                  <w:pPr>
                    <w:topLinePunct/>
                    <w:spacing w:after="100" w:afterAutospacing="1"/>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000000"/>
                      <w:kern w:val="2"/>
                      <w:sz w:val="18"/>
                      <w:szCs w:val="18"/>
                    </w:rPr>
                    <w:t>矿山开采造成的水源林破坏，森林质量差、林种单一</w:t>
                  </w:r>
                  <w:r>
                    <w:rPr>
                      <w:rFonts w:hint="eastAsia" w:cs="Times New Roman"/>
                      <w:snapToGrid w:val="0"/>
                      <w:color w:val="000000"/>
                      <w:kern w:val="2"/>
                      <w:sz w:val="18"/>
                      <w:szCs w:val="18"/>
                      <w:lang w:eastAsia="zh-CN"/>
                    </w:rPr>
                    <w:t>。</w:t>
                  </w:r>
                </w:p>
              </w:tc>
              <w:tc>
                <w:tcPr>
                  <w:tcW w:w="485" w:type="pct"/>
                  <w:tcBorders>
                    <w:tl2br w:val="nil"/>
                    <w:tr2bl w:val="nil"/>
                  </w:tcBorders>
                  <w:vAlign w:val="center"/>
                </w:tcPr>
                <w:p w14:paraId="208540D6">
                  <w:pPr>
                    <w:topLinePunct/>
                    <w:spacing w:after="100" w:afterAutospacing="1"/>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snapToGrid w:val="0"/>
                      <w:color w:val="000000"/>
                      <w:kern w:val="2"/>
                      <w:sz w:val="18"/>
                      <w:szCs w:val="18"/>
                    </w:rPr>
                    <w:t>土壤侵蚀中度和高度敏感</w:t>
                  </w:r>
                </w:p>
              </w:tc>
              <w:tc>
                <w:tcPr>
                  <w:tcW w:w="538" w:type="pct"/>
                  <w:tcBorders>
                    <w:tl2br w:val="nil"/>
                    <w:tr2bl w:val="nil"/>
                  </w:tcBorders>
                  <w:vAlign w:val="center"/>
                </w:tcPr>
                <w:p w14:paraId="0E534241">
                  <w:pPr>
                    <w:topLinePunct/>
                    <w:spacing w:after="100" w:afterAutospacing="1"/>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napToGrid w:val="0"/>
                      <w:color w:val="000000"/>
                      <w:kern w:val="2"/>
                      <w:sz w:val="18"/>
                      <w:szCs w:val="18"/>
                    </w:rPr>
                    <w:t>元江上游地区的水源涵养、预防水土流失</w:t>
                  </w:r>
                  <w:r>
                    <w:rPr>
                      <w:rFonts w:hint="eastAsia" w:cs="Times New Roman"/>
                      <w:snapToGrid w:val="0"/>
                      <w:color w:val="000000"/>
                      <w:kern w:val="2"/>
                      <w:sz w:val="18"/>
                      <w:szCs w:val="18"/>
                      <w:lang w:eastAsia="zh-CN"/>
                    </w:rPr>
                    <w:t>。</w:t>
                  </w:r>
                </w:p>
              </w:tc>
              <w:tc>
                <w:tcPr>
                  <w:tcW w:w="702" w:type="pct"/>
                  <w:tcBorders>
                    <w:tl2br w:val="nil"/>
                    <w:tr2bl w:val="nil"/>
                  </w:tcBorders>
                  <w:vAlign w:val="center"/>
                </w:tcPr>
                <w:p w14:paraId="7513B41C">
                  <w:pPr>
                    <w:pStyle w:val="2"/>
                    <w:topLinePunct/>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000000"/>
                      <w:sz w:val="18"/>
                      <w:szCs w:val="18"/>
                    </w:rPr>
                    <w:t>封山育林、提高森林的数量和质量，调整土地利用方式、严格退耕还林、提高区域的水源涵养能力</w:t>
                  </w:r>
                  <w:r>
                    <w:rPr>
                      <w:rFonts w:hint="eastAsia" w:ascii="Times New Roman" w:hAnsi="Times New Roman" w:cs="Times New Roman"/>
                      <w:snapToGrid w:val="0"/>
                      <w:color w:val="000000"/>
                      <w:sz w:val="18"/>
                      <w:szCs w:val="18"/>
                      <w:lang w:eastAsia="zh-CN"/>
                    </w:rPr>
                    <w:t>。</w:t>
                  </w:r>
                </w:p>
              </w:tc>
            </w:tr>
          </w:tbl>
          <w:p w14:paraId="6999C3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2生态环境质量现状</w:t>
            </w:r>
          </w:p>
          <w:p w14:paraId="28413161">
            <w:pPr>
              <w:pStyle w:val="2"/>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1植物</w:t>
            </w:r>
          </w:p>
          <w:p w14:paraId="45632E39">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color w:val="000000"/>
                <w:kern w:val="0"/>
                <w:sz w:val="24"/>
                <w:szCs w:val="24"/>
                <w:lang w:val="en-US" w:eastAsia="zh-CN" w:bidi="ar"/>
              </w:rPr>
              <w:t>（1）植物区划</w:t>
            </w:r>
          </w:p>
          <w:p w14:paraId="2D3CE8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根据《云南植被》对云南省植被的区划，本项目拟建站址属于</w:t>
            </w:r>
            <w:r>
              <w:rPr>
                <w:rFonts w:hint="default" w:ascii="Times New Roman" w:hAnsi="Times New Roman" w:eastAsia="宋体" w:cs="Times New Roman"/>
                <w:sz w:val="24"/>
                <w:szCs w:val="24"/>
              </w:rPr>
              <w:t>II亚热带常绿阔叶林区域，IIA西部（半湿润）常绿阔叶林亚区域，IIAi高原亚热带北南部季风常绿阔叶林地带，IIAi-2滇东南岩溶山原峡谷季风常绿阔叶林区，IIAi-2a滇东南岩溶山原峡谷云南松、红木荷林、木棉、虾子花草丛亚区。由于人为干扰频繁，元江干热河谷海拔1200m以下的山地残存的森林植被寥寥无几。按照《云南植被》的植被分类原则、单位和系统，以及野外调查、整理出的样地资料，将评价内自然植被划分成2个植被型、2个植被亚型、3个主要群系，具体的分类系统如下表所示。植被类型详情见</w:t>
            </w:r>
            <w:r>
              <w:rPr>
                <w:rFonts w:hint="eastAsia" w:cs="Times New Roman"/>
                <w:sz w:val="24"/>
                <w:szCs w:val="24"/>
                <w:lang w:val="en-US" w:eastAsia="zh-CN"/>
              </w:rPr>
              <w:t>下</w:t>
            </w:r>
            <w:r>
              <w:rPr>
                <w:rFonts w:hint="default" w:ascii="Times New Roman" w:hAnsi="Times New Roman" w:eastAsia="宋体" w:cs="Times New Roman"/>
                <w:sz w:val="24"/>
                <w:szCs w:val="24"/>
              </w:rPr>
              <w:t>表。</w:t>
            </w:r>
          </w:p>
          <w:p w14:paraId="61CD7A54">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sz w:val="21"/>
                <w:szCs w:val="21"/>
                <w:lang w:val="en-US" w:eastAsia="zh-CN" w:bidi="ar-SA"/>
              </w:rPr>
            </w:pPr>
            <w:r>
              <w:rPr>
                <w:rFonts w:hint="eastAsia" w:ascii="黑体" w:hAnsi="黑体" w:eastAsia="黑体" w:cs="黑体"/>
                <w:b w:val="0"/>
                <w:bCs w:val="0"/>
                <w:color w:val="auto"/>
                <w:sz w:val="21"/>
                <w:szCs w:val="21"/>
                <w:lang w:val="en-US" w:eastAsia="zh-CN" w:bidi="ar-SA"/>
              </w:rPr>
              <w:t>表3-2 调查评价区内主要植被类型</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096"/>
            </w:tblGrid>
            <w:tr w14:paraId="77DB76D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65BB5B78">
                  <w:pPr>
                    <w:ind w:left="0" w:leftChars="0" w:right="0" w:rightChars="0" w:firstLine="0" w:firstLineChars="0"/>
                    <w:jc w:val="both"/>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A自然植被</w:t>
                  </w:r>
                </w:p>
              </w:tc>
            </w:tr>
            <w:tr w14:paraId="26F1559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29EC82E4">
                  <w:pPr>
                    <w:keepNext w:val="0"/>
                    <w:keepLines w:val="0"/>
                    <w:pageBreakBefore w:val="0"/>
                    <w:widowControl w:val="0"/>
                    <w:kinsoku/>
                    <w:wordWrap/>
                    <w:overflowPunct/>
                    <w:topLinePunct w:val="0"/>
                    <w:autoSpaceDE/>
                    <w:autoSpaceDN/>
                    <w:bidi w:val="0"/>
                    <w:adjustRightInd/>
                    <w:snapToGrid/>
                    <w:ind w:left="420" w:leftChars="2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Ⅰ暖性针叶林</w:t>
                  </w:r>
                </w:p>
              </w:tc>
            </w:tr>
            <w:tr w14:paraId="2540A8B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4BDF932A">
                  <w:pPr>
                    <w:keepNext w:val="0"/>
                    <w:keepLines w:val="0"/>
                    <w:pageBreakBefore w:val="0"/>
                    <w:widowControl w:val="0"/>
                    <w:kinsoku/>
                    <w:wordWrap/>
                    <w:overflowPunct/>
                    <w:topLinePunct w:val="0"/>
                    <w:autoSpaceDE/>
                    <w:autoSpaceDN/>
                    <w:bidi w:val="0"/>
                    <w:adjustRightInd/>
                    <w:snapToGrid/>
                    <w:ind w:left="840" w:leftChars="4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（Ⅰ）暖温性针叶林</w:t>
                  </w:r>
                </w:p>
              </w:tc>
            </w:tr>
            <w:tr w14:paraId="30757F9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3D4DC8F7">
                  <w:pPr>
                    <w:keepNext w:val="0"/>
                    <w:keepLines w:val="0"/>
                    <w:pageBreakBefore w:val="0"/>
                    <w:widowControl w:val="0"/>
                    <w:kinsoku/>
                    <w:wordWrap/>
                    <w:overflowPunct/>
                    <w:topLinePunct w:val="0"/>
                    <w:autoSpaceDE/>
                    <w:autoSpaceDN/>
                    <w:bidi w:val="0"/>
                    <w:adjustRightInd/>
                    <w:snapToGrid/>
                    <w:ind w:left="1260" w:leftChars="6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（一）云南松林</w:t>
                  </w:r>
                </w:p>
              </w:tc>
            </w:tr>
            <w:tr w14:paraId="2D126A1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1146B523">
                  <w:pPr>
                    <w:keepNext w:val="0"/>
                    <w:keepLines w:val="0"/>
                    <w:pageBreakBefore w:val="0"/>
                    <w:widowControl w:val="0"/>
                    <w:kinsoku/>
                    <w:wordWrap/>
                    <w:overflowPunct/>
                    <w:topLinePunct w:val="0"/>
                    <w:autoSpaceDE/>
                    <w:autoSpaceDN/>
                    <w:bidi w:val="0"/>
                    <w:adjustRightInd/>
                    <w:snapToGrid/>
                    <w:ind w:left="420" w:leftChars="2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Ⅱ稀树灌木草丛</w:t>
                  </w:r>
                </w:p>
              </w:tc>
            </w:tr>
            <w:tr w14:paraId="4AB9E85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21D455F2">
                  <w:pPr>
                    <w:keepNext w:val="0"/>
                    <w:keepLines w:val="0"/>
                    <w:pageBreakBefore w:val="0"/>
                    <w:widowControl w:val="0"/>
                    <w:kinsoku/>
                    <w:wordWrap/>
                    <w:overflowPunct/>
                    <w:topLinePunct w:val="0"/>
                    <w:autoSpaceDE/>
                    <w:autoSpaceDN/>
                    <w:bidi w:val="0"/>
                    <w:adjustRightInd/>
                    <w:snapToGrid/>
                    <w:ind w:left="840" w:leftChars="4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（Ⅱ）干热性稀树灌木草丛</w:t>
                  </w:r>
                </w:p>
              </w:tc>
            </w:tr>
            <w:tr w14:paraId="02EA444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3FF0A8F4">
                  <w:pPr>
                    <w:keepNext w:val="0"/>
                    <w:keepLines w:val="0"/>
                    <w:pageBreakBefore w:val="0"/>
                    <w:widowControl w:val="0"/>
                    <w:kinsoku/>
                    <w:wordWrap/>
                    <w:overflowPunct/>
                    <w:topLinePunct w:val="0"/>
                    <w:autoSpaceDE/>
                    <w:autoSpaceDN/>
                    <w:bidi w:val="0"/>
                    <w:adjustRightInd/>
                    <w:snapToGrid/>
                    <w:ind w:left="1260" w:leftChars="6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（二）含豆腐果、藿香蓟、扭鞘香茅的中草草丛</w:t>
                  </w:r>
                </w:p>
              </w:tc>
            </w:tr>
            <w:tr w14:paraId="5BDEA88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4F4C0B03">
                  <w:pPr>
                    <w:keepNext w:val="0"/>
                    <w:keepLines w:val="0"/>
                    <w:pageBreakBefore w:val="0"/>
                    <w:widowControl w:val="0"/>
                    <w:kinsoku/>
                    <w:wordWrap/>
                    <w:overflowPunct/>
                    <w:topLinePunct w:val="0"/>
                    <w:autoSpaceDE/>
                    <w:autoSpaceDN/>
                    <w:bidi w:val="0"/>
                    <w:adjustRightInd/>
                    <w:snapToGrid/>
                    <w:ind w:left="1260" w:leftChars="6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（三）厚皮树、艾草、扭黄茅的中草草丛</w:t>
                  </w:r>
                </w:p>
              </w:tc>
            </w:tr>
            <w:tr w14:paraId="53161A1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47CC3F26">
                  <w:pPr>
                    <w:ind w:left="0" w:leftChars="0" w:right="0" w:rightChars="0" w:firstLine="0" w:firstLineChars="0"/>
                    <w:jc w:val="both"/>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B人工植被</w:t>
                  </w:r>
                </w:p>
              </w:tc>
            </w:tr>
            <w:tr w14:paraId="2F7847C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jc w:val="center"/>
              </w:trPr>
              <w:tc>
                <w:tcPr>
                  <w:tcW w:w="5000" w:type="pct"/>
                  <w:tcBorders>
                    <w:tl2br w:val="nil"/>
                    <w:tr2bl w:val="nil"/>
                  </w:tcBorders>
                  <w:vAlign w:val="center"/>
                </w:tcPr>
                <w:p w14:paraId="0D0D01C3">
                  <w:pPr>
                    <w:keepNext w:val="0"/>
                    <w:keepLines w:val="0"/>
                    <w:pageBreakBefore w:val="0"/>
                    <w:widowControl w:val="0"/>
                    <w:kinsoku/>
                    <w:wordWrap/>
                    <w:overflowPunct/>
                    <w:topLinePunct w:val="0"/>
                    <w:autoSpaceDE/>
                    <w:autoSpaceDN/>
                    <w:bidi w:val="0"/>
                    <w:adjustRightInd/>
                    <w:snapToGrid/>
                    <w:ind w:left="420" w:leftChars="2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Ⅰ经济作物</w:t>
                  </w:r>
                </w:p>
              </w:tc>
            </w:tr>
            <w:tr w14:paraId="168F548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center"/>
                </w:tcPr>
                <w:p w14:paraId="2C793FDF">
                  <w:pPr>
                    <w:keepNext w:val="0"/>
                    <w:keepLines w:val="0"/>
                    <w:pageBreakBefore w:val="0"/>
                    <w:widowControl w:val="0"/>
                    <w:kinsoku/>
                    <w:wordWrap/>
                    <w:overflowPunct/>
                    <w:topLinePunct w:val="0"/>
                    <w:autoSpaceDE/>
                    <w:autoSpaceDN/>
                    <w:bidi w:val="0"/>
                    <w:adjustRightInd/>
                    <w:snapToGrid/>
                    <w:ind w:left="420" w:leftChars="200" w:right="0" w:rightChars="0" w:firstLine="0" w:firstLineChars="0"/>
                    <w:jc w:val="both"/>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玉米、甘蔗、剑麻</w:t>
                  </w:r>
                </w:p>
              </w:tc>
            </w:tr>
          </w:tbl>
          <w:p w14:paraId="05F0F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lang w:val="en-US" w:eastAsia="zh-CN"/>
              </w:rPr>
            </w:pPr>
            <w:r>
              <w:rPr>
                <w:rFonts w:hint="default" w:ascii="Times New Roman" w:hAnsi="Times New Roman" w:eastAsia="宋体" w:cs="Times New Roman"/>
                <w:sz w:val="18"/>
                <w:szCs w:val="18"/>
                <w:vertAlign w:val="baseline"/>
                <w:lang w:val="en-US" w:eastAsia="zh-CN"/>
              </w:rPr>
              <w:t>注：“Ⅰ”表示植被型，“</w:t>
            </w: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Ⅰ</w:t>
            </w:r>
            <w:r>
              <w:rPr>
                <w:rFonts w:hint="eastAsia" w:cs="Times New Roman"/>
                <w:sz w:val="18"/>
                <w:szCs w:val="18"/>
                <w:vertAlign w:val="baseline"/>
                <w:lang w:val="en-US" w:eastAsia="zh-CN"/>
              </w:rPr>
              <w:t>）</w:t>
            </w:r>
            <w:r>
              <w:rPr>
                <w:rFonts w:hint="default" w:ascii="Times New Roman" w:hAnsi="Times New Roman" w:eastAsia="宋体" w:cs="Times New Roman"/>
                <w:sz w:val="18"/>
                <w:szCs w:val="18"/>
                <w:vertAlign w:val="baseline"/>
                <w:lang w:val="en-US" w:eastAsia="zh-CN"/>
              </w:rPr>
              <w:t>”表示植被亚型，“（一）”表示群系，“1、”表示群落。</w:t>
            </w:r>
          </w:p>
          <w:p w14:paraId="49B46D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主要植被类型特征</w:t>
            </w:r>
          </w:p>
          <w:p w14:paraId="15C226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暖性针叶林</w:t>
            </w:r>
          </w:p>
          <w:p w14:paraId="731511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该群落类型分</w:t>
            </w:r>
            <w:r>
              <w:rPr>
                <w:rFonts w:hint="eastAsia" w:cs="Times New Roman"/>
                <w:sz w:val="24"/>
                <w:szCs w:val="24"/>
                <w:lang w:eastAsia="zh-CN"/>
              </w:rPr>
              <w:t>布在</w:t>
            </w:r>
            <w:r>
              <w:rPr>
                <w:rFonts w:hint="eastAsia" w:ascii="Times New Roman" w:hAnsi="Times New Roman" w:eastAsia="宋体" w:cs="Times New Roman"/>
                <w:sz w:val="24"/>
                <w:szCs w:val="24"/>
                <w:lang w:val="en-US" w:eastAsia="zh-CN"/>
              </w:rPr>
              <w:t>厂区</w:t>
            </w:r>
            <w:r>
              <w:rPr>
                <w:rFonts w:hint="default" w:ascii="Times New Roman" w:hAnsi="Times New Roman" w:eastAsia="宋体" w:cs="Times New Roman"/>
                <w:sz w:val="24"/>
                <w:szCs w:val="24"/>
              </w:rPr>
              <w:t>周围，工程建设均将对其进行干扰、直接占用。云南松林为滇中高原上最为常见，分布最广的群落类型，评价区内的云南松林为幼龄林，多处于与一些阔叶树种混交的状态，次生性质明显。群落的乔木层物种较为单一，一般仅见云南松</w:t>
            </w:r>
            <w:r>
              <w:rPr>
                <w:rFonts w:hint="default" w:ascii="Times New Roman" w:hAnsi="Times New Roman" w:eastAsia="宋体" w:cs="Times New Roman"/>
                <w:i/>
                <w:iCs/>
                <w:sz w:val="24"/>
                <w:szCs w:val="24"/>
              </w:rPr>
              <w:t>Pinus yunnanensis</w:t>
            </w:r>
            <w:r>
              <w:rPr>
                <w:rFonts w:hint="default" w:ascii="Times New Roman" w:hAnsi="Times New Roman" w:eastAsia="宋体" w:cs="Times New Roman"/>
                <w:sz w:val="24"/>
                <w:szCs w:val="24"/>
              </w:rPr>
              <w:t>，高度约2~3m，盖度约50~60%；在很多地段可见一些落叶或常绿阔叶树种，如滇石栎</w:t>
            </w:r>
            <w:r>
              <w:rPr>
                <w:rFonts w:hint="default" w:ascii="Times New Roman" w:hAnsi="Times New Roman" w:eastAsia="宋体" w:cs="Times New Roman"/>
                <w:i/>
                <w:iCs/>
                <w:sz w:val="24"/>
                <w:szCs w:val="24"/>
              </w:rPr>
              <w:t>Lithocarpusdealbatus</w:t>
            </w:r>
            <w:r>
              <w:rPr>
                <w:rFonts w:hint="default" w:ascii="Times New Roman" w:hAnsi="Times New Roman" w:eastAsia="宋体" w:cs="Times New Roman"/>
                <w:sz w:val="24"/>
                <w:szCs w:val="24"/>
              </w:rPr>
              <w:t>、红木荷</w:t>
            </w:r>
            <w:r>
              <w:rPr>
                <w:rFonts w:hint="default" w:ascii="Times New Roman" w:hAnsi="Times New Roman" w:eastAsia="宋体" w:cs="Times New Roman"/>
                <w:i/>
                <w:iCs/>
                <w:sz w:val="24"/>
                <w:szCs w:val="24"/>
              </w:rPr>
              <w:t>Schima wallichii</w:t>
            </w:r>
            <w:r>
              <w:rPr>
                <w:rFonts w:hint="default" w:ascii="Times New Roman" w:hAnsi="Times New Roman" w:eastAsia="宋体" w:cs="Times New Roman"/>
                <w:sz w:val="24"/>
                <w:szCs w:val="24"/>
              </w:rPr>
              <w:t>、槲栎</w:t>
            </w:r>
            <w:r>
              <w:rPr>
                <w:rFonts w:hint="default" w:ascii="Times New Roman" w:hAnsi="Times New Roman" w:eastAsia="宋体" w:cs="Times New Roman"/>
                <w:i/>
                <w:iCs/>
                <w:sz w:val="24"/>
                <w:szCs w:val="24"/>
              </w:rPr>
              <w:t>Quercus aliena</w:t>
            </w:r>
            <w:r>
              <w:rPr>
                <w:rFonts w:hint="default" w:ascii="Times New Roman" w:hAnsi="Times New Roman" w:eastAsia="宋体" w:cs="Times New Roman"/>
                <w:sz w:val="24"/>
                <w:szCs w:val="24"/>
              </w:rPr>
              <w:t>等。灌木层的高度约1.0~3.0m，盖度约40%，主要物种有余柑子</w:t>
            </w:r>
            <w:r>
              <w:rPr>
                <w:rFonts w:hint="default" w:ascii="Times New Roman" w:hAnsi="Times New Roman" w:eastAsia="宋体" w:cs="Times New Roman"/>
                <w:i/>
                <w:iCs/>
                <w:sz w:val="24"/>
                <w:szCs w:val="24"/>
              </w:rPr>
              <w:t>Pbyllanthus emblica</w:t>
            </w:r>
            <w:r>
              <w:rPr>
                <w:rFonts w:hint="default" w:ascii="Times New Roman" w:hAnsi="Times New Roman" w:eastAsia="宋体" w:cs="Times New Roman"/>
                <w:sz w:val="24"/>
                <w:szCs w:val="24"/>
              </w:rPr>
              <w:t>、薄叶鼠李</w:t>
            </w:r>
            <w:r>
              <w:rPr>
                <w:rFonts w:hint="default" w:ascii="Times New Roman" w:hAnsi="Times New Roman" w:eastAsia="宋体" w:cs="Times New Roman"/>
                <w:i/>
                <w:iCs/>
                <w:sz w:val="24"/>
                <w:szCs w:val="24"/>
              </w:rPr>
              <w:t>Rhamnus leptophylla</w:t>
            </w:r>
            <w:r>
              <w:rPr>
                <w:rFonts w:hint="default" w:ascii="Times New Roman" w:hAnsi="Times New Roman" w:eastAsia="宋体" w:cs="Times New Roman"/>
                <w:sz w:val="24"/>
                <w:szCs w:val="24"/>
              </w:rPr>
              <w:t>、米饭花</w:t>
            </w:r>
            <w:r>
              <w:rPr>
                <w:rFonts w:hint="default" w:ascii="Times New Roman" w:hAnsi="Times New Roman" w:eastAsia="宋体" w:cs="Times New Roman"/>
                <w:i/>
                <w:iCs/>
                <w:sz w:val="24"/>
                <w:szCs w:val="24"/>
              </w:rPr>
              <w:t>Vaccinium Sorengel1ii</w:t>
            </w:r>
            <w:r>
              <w:rPr>
                <w:rFonts w:hint="default" w:ascii="Times New Roman" w:hAnsi="Times New Roman" w:eastAsia="宋体" w:cs="Times New Roman"/>
                <w:sz w:val="24"/>
                <w:szCs w:val="24"/>
              </w:rPr>
              <w:t>、滇丁香</w:t>
            </w:r>
            <w:r>
              <w:rPr>
                <w:rFonts w:hint="default" w:ascii="Times New Roman" w:hAnsi="Times New Roman" w:eastAsia="宋体" w:cs="Times New Roman"/>
                <w:i/>
                <w:iCs/>
                <w:sz w:val="24"/>
                <w:szCs w:val="24"/>
              </w:rPr>
              <w:t>Anaphalis yunnanensis</w:t>
            </w:r>
            <w:r>
              <w:rPr>
                <w:rFonts w:hint="default" w:ascii="Times New Roman" w:hAnsi="Times New Roman" w:eastAsia="宋体" w:cs="Times New Roman"/>
                <w:sz w:val="24"/>
                <w:szCs w:val="24"/>
              </w:rPr>
              <w:t>、西南金丝桃</w:t>
            </w:r>
            <w:r>
              <w:rPr>
                <w:rFonts w:hint="default" w:ascii="Times New Roman" w:hAnsi="Times New Roman" w:eastAsia="宋体" w:cs="Times New Roman"/>
                <w:i/>
                <w:iCs/>
                <w:sz w:val="24"/>
                <w:szCs w:val="24"/>
              </w:rPr>
              <w:t>Hypericum henryi</w:t>
            </w:r>
            <w:r>
              <w:rPr>
                <w:rFonts w:hint="default" w:ascii="Times New Roman" w:hAnsi="Times New Roman" w:eastAsia="宋体" w:cs="Times New Roman"/>
                <w:sz w:val="24"/>
                <w:szCs w:val="24"/>
              </w:rPr>
              <w:t>、马桑</w:t>
            </w:r>
            <w:r>
              <w:rPr>
                <w:rFonts w:hint="default" w:ascii="Times New Roman" w:hAnsi="Times New Roman" w:eastAsia="宋体" w:cs="Times New Roman"/>
                <w:i/>
                <w:iCs/>
                <w:sz w:val="24"/>
                <w:szCs w:val="24"/>
              </w:rPr>
              <w:t>Coriaria nepalensis</w:t>
            </w:r>
            <w:r>
              <w:rPr>
                <w:rFonts w:hint="default" w:ascii="Times New Roman" w:hAnsi="Times New Roman" w:eastAsia="宋体" w:cs="Times New Roman"/>
                <w:sz w:val="24"/>
                <w:szCs w:val="24"/>
              </w:rPr>
              <w:t>、车桑子</w:t>
            </w:r>
            <w:r>
              <w:rPr>
                <w:rFonts w:hint="default" w:ascii="Times New Roman" w:hAnsi="Times New Roman" w:eastAsia="宋体" w:cs="Times New Roman"/>
                <w:i/>
                <w:iCs/>
                <w:sz w:val="24"/>
                <w:szCs w:val="24"/>
              </w:rPr>
              <w:t>Dodonaea viscosa</w:t>
            </w:r>
            <w:r>
              <w:rPr>
                <w:rFonts w:hint="default" w:ascii="Times New Roman" w:hAnsi="Times New Roman" w:eastAsia="宋体" w:cs="Times New Roman"/>
                <w:sz w:val="24"/>
                <w:szCs w:val="24"/>
              </w:rPr>
              <w:t>、清香木</w:t>
            </w:r>
            <w:r>
              <w:rPr>
                <w:rFonts w:hint="default" w:ascii="Times New Roman" w:hAnsi="Times New Roman" w:eastAsia="宋体" w:cs="Times New Roman"/>
                <w:i/>
                <w:iCs/>
                <w:sz w:val="24"/>
                <w:szCs w:val="24"/>
              </w:rPr>
              <w:t>Pistacia weinmanniifolia</w:t>
            </w:r>
            <w:r>
              <w:rPr>
                <w:rFonts w:hint="default" w:ascii="Times New Roman" w:hAnsi="Times New Roman" w:eastAsia="宋体" w:cs="Times New Roman"/>
                <w:sz w:val="24"/>
                <w:szCs w:val="24"/>
              </w:rPr>
              <w:t>等。草本层的高度约0.1~0.4m，盖度约30%，主要物种有白茅</w:t>
            </w:r>
            <w:r>
              <w:rPr>
                <w:rFonts w:hint="default" w:ascii="Times New Roman" w:hAnsi="Times New Roman" w:eastAsia="宋体" w:cs="Times New Roman"/>
                <w:i/>
                <w:iCs/>
                <w:sz w:val="24"/>
                <w:szCs w:val="24"/>
              </w:rPr>
              <w:t>Imperata cylindricavar.major</w:t>
            </w:r>
            <w:r>
              <w:rPr>
                <w:rFonts w:hint="default" w:ascii="Times New Roman" w:hAnsi="Times New Roman" w:eastAsia="宋体" w:cs="Times New Roman"/>
                <w:sz w:val="24"/>
                <w:szCs w:val="24"/>
              </w:rPr>
              <w:t>、紫茎泽兰</w:t>
            </w:r>
            <w:r>
              <w:rPr>
                <w:rFonts w:hint="default" w:ascii="Times New Roman" w:hAnsi="Times New Roman" w:eastAsia="宋体" w:cs="Times New Roman"/>
                <w:i/>
                <w:iCs/>
                <w:sz w:val="24"/>
                <w:szCs w:val="24"/>
              </w:rPr>
              <w:t>Ageratina adenophora</w:t>
            </w:r>
            <w:r>
              <w:rPr>
                <w:rFonts w:hint="default" w:ascii="Times New Roman" w:hAnsi="Times New Roman" w:eastAsia="宋体" w:cs="Times New Roman"/>
                <w:sz w:val="24"/>
                <w:szCs w:val="24"/>
              </w:rPr>
              <w:t>、小叶荩草</w:t>
            </w:r>
            <w:r>
              <w:rPr>
                <w:rFonts w:hint="default" w:ascii="Times New Roman" w:hAnsi="Times New Roman" w:eastAsia="宋体" w:cs="Times New Roman"/>
                <w:i/>
                <w:iCs/>
                <w:sz w:val="24"/>
                <w:szCs w:val="24"/>
              </w:rPr>
              <w:t>Arthraxon lancifolius</w:t>
            </w:r>
            <w:r>
              <w:rPr>
                <w:rFonts w:hint="default" w:ascii="Times New Roman" w:hAnsi="Times New Roman" w:eastAsia="宋体" w:cs="Times New Roman"/>
                <w:sz w:val="24"/>
                <w:szCs w:val="24"/>
              </w:rPr>
              <w:t>、白牛胆</w:t>
            </w:r>
            <w:r>
              <w:rPr>
                <w:rFonts w:hint="default" w:ascii="Times New Roman" w:hAnsi="Times New Roman" w:eastAsia="宋体" w:cs="Times New Roman"/>
                <w:i/>
                <w:iCs/>
                <w:sz w:val="24"/>
                <w:szCs w:val="24"/>
              </w:rPr>
              <w:t>Inula cappa</w:t>
            </w:r>
            <w:r>
              <w:rPr>
                <w:rFonts w:hint="default" w:ascii="Times New Roman" w:hAnsi="Times New Roman" w:eastAsia="宋体" w:cs="Times New Roman"/>
                <w:sz w:val="24"/>
                <w:szCs w:val="24"/>
              </w:rPr>
              <w:t>、凤尾蕨</w:t>
            </w:r>
            <w:r>
              <w:rPr>
                <w:rFonts w:hint="default" w:ascii="Times New Roman" w:hAnsi="Times New Roman" w:eastAsia="宋体" w:cs="Times New Roman"/>
                <w:i/>
                <w:iCs/>
                <w:sz w:val="24"/>
                <w:szCs w:val="24"/>
              </w:rPr>
              <w:t>Pteris nervosa</w:t>
            </w:r>
            <w:r>
              <w:rPr>
                <w:rFonts w:hint="default" w:ascii="Times New Roman" w:hAnsi="Times New Roman" w:eastAsia="宋体" w:cs="Times New Roman"/>
                <w:sz w:val="24"/>
                <w:szCs w:val="24"/>
              </w:rPr>
              <w:t>等。</w:t>
            </w:r>
          </w:p>
          <w:p w14:paraId="6A083C8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Ⅱ.稀树灌木草丛</w:t>
            </w:r>
          </w:p>
          <w:p w14:paraId="76B5C55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稀树灌木草丛是评价区分布的典型及主要植被类型，其形成与特殊的自然环境有关，也与长期人为活动的影响及干扰有一定关系。但是总体来说，该类型群落具有相对的群落稳定性。根据具体的生境等差异，评价区主要分布含豆腐果、藿香蓟、扭鞘香茅的中草草丛及含厚皮树、艾草、扭黄茅的中草草丛两种群从类别，两种植被类型在评价区时常相互重合叠加。含豆腐果、藿香蓟、扭鞘香茅的中草草丛群落高1-4m，群落总盖度在75%左右。乔木盖度为15%左右，主要树种有豆腐果</w:t>
            </w:r>
            <w:r>
              <w:rPr>
                <w:rFonts w:hint="default" w:ascii="Times New Roman" w:hAnsi="Times New Roman" w:eastAsia="宋体" w:cs="Times New Roman"/>
                <w:i/>
                <w:iCs/>
                <w:kern w:val="2"/>
                <w:sz w:val="24"/>
                <w:szCs w:val="24"/>
                <w:lang w:val="en-US" w:eastAsia="zh-CN" w:bidi="ar-SA"/>
              </w:rPr>
              <w:t>Buchananialatifolia</w:t>
            </w:r>
            <w:r>
              <w:rPr>
                <w:rFonts w:hint="default" w:ascii="Times New Roman" w:hAnsi="Times New Roman" w:eastAsia="宋体" w:cs="Times New Roman"/>
                <w:kern w:val="2"/>
                <w:sz w:val="24"/>
                <w:szCs w:val="24"/>
                <w:lang w:val="en-US" w:eastAsia="zh-CN" w:bidi="ar-SA"/>
              </w:rPr>
              <w:t>、三叶漆</w:t>
            </w:r>
            <w:r>
              <w:rPr>
                <w:rFonts w:hint="default" w:ascii="Times New Roman" w:hAnsi="Times New Roman" w:eastAsia="宋体" w:cs="Times New Roman"/>
                <w:i/>
                <w:iCs/>
                <w:kern w:val="2"/>
                <w:sz w:val="24"/>
                <w:szCs w:val="24"/>
                <w:lang w:val="en-US" w:eastAsia="zh-CN" w:bidi="ar-SA"/>
              </w:rPr>
              <w:t>Terminthia paniculata</w:t>
            </w:r>
            <w:r>
              <w:rPr>
                <w:rFonts w:hint="default" w:ascii="Times New Roman" w:hAnsi="Times New Roman" w:eastAsia="宋体" w:cs="Times New Roman"/>
                <w:kern w:val="2"/>
                <w:sz w:val="24"/>
                <w:szCs w:val="24"/>
                <w:lang w:val="en-US" w:eastAsia="zh-CN" w:bidi="ar-SA"/>
              </w:rPr>
              <w:t>、心叶蚬木</w:t>
            </w:r>
            <w:r>
              <w:rPr>
                <w:rFonts w:hint="default" w:ascii="Times New Roman" w:hAnsi="Times New Roman" w:eastAsia="宋体" w:cs="Times New Roman"/>
                <w:i/>
                <w:iCs/>
                <w:kern w:val="2"/>
                <w:sz w:val="24"/>
                <w:szCs w:val="24"/>
                <w:lang w:val="en-US" w:eastAsia="zh-CN" w:bidi="ar-SA"/>
              </w:rPr>
              <w:t>Burretiodendron esquirolii</w:t>
            </w:r>
            <w:r>
              <w:rPr>
                <w:rFonts w:hint="default" w:ascii="Times New Roman" w:hAnsi="Times New Roman" w:eastAsia="宋体" w:cs="Times New Roman"/>
                <w:kern w:val="2"/>
                <w:sz w:val="24"/>
                <w:szCs w:val="24"/>
                <w:lang w:val="en-US" w:eastAsia="zh-CN" w:bidi="ar-SA"/>
              </w:rPr>
              <w:t>、厚皮树</w:t>
            </w:r>
            <w:r>
              <w:rPr>
                <w:rFonts w:hint="default" w:ascii="Times New Roman" w:hAnsi="Times New Roman" w:eastAsia="宋体" w:cs="Times New Roman"/>
                <w:i/>
                <w:iCs/>
                <w:kern w:val="2"/>
                <w:sz w:val="24"/>
                <w:szCs w:val="24"/>
                <w:lang w:val="en-US" w:eastAsia="zh-CN" w:bidi="ar-SA"/>
              </w:rPr>
              <w:t>Lannea coromandelica</w:t>
            </w:r>
            <w:r>
              <w:rPr>
                <w:rFonts w:hint="default" w:ascii="Times New Roman" w:hAnsi="Times New Roman" w:eastAsia="宋体" w:cs="Times New Roman"/>
                <w:kern w:val="2"/>
                <w:sz w:val="24"/>
                <w:szCs w:val="24"/>
                <w:lang w:val="en-US" w:eastAsia="zh-CN" w:bidi="ar-SA"/>
              </w:rPr>
              <w:t>等耐旱树种。灌木层与乔木层界限不明显，平均高度1-2m左右，层盖度为15%左右。主要植物有：虾子花</w:t>
            </w:r>
            <w:r>
              <w:rPr>
                <w:rFonts w:hint="default" w:ascii="Times New Roman" w:hAnsi="Times New Roman" w:eastAsia="宋体" w:cs="Times New Roman"/>
                <w:i/>
                <w:iCs/>
                <w:kern w:val="2"/>
                <w:sz w:val="24"/>
                <w:szCs w:val="24"/>
                <w:lang w:val="en-US" w:eastAsia="zh-CN" w:bidi="ar-SA"/>
              </w:rPr>
              <w:t>Woodfordia fruticosa</w:t>
            </w:r>
            <w:r>
              <w:rPr>
                <w:rFonts w:hint="default" w:ascii="Times New Roman" w:hAnsi="Times New Roman" w:eastAsia="宋体" w:cs="Times New Roman"/>
                <w:kern w:val="2"/>
                <w:sz w:val="24"/>
                <w:szCs w:val="24"/>
                <w:lang w:val="en-US" w:eastAsia="zh-CN" w:bidi="ar-SA"/>
              </w:rPr>
              <w:t>、余甘子</w:t>
            </w:r>
            <w:r>
              <w:rPr>
                <w:rFonts w:hint="default" w:ascii="Times New Roman" w:hAnsi="Times New Roman" w:eastAsia="宋体" w:cs="Times New Roman"/>
                <w:i/>
                <w:iCs/>
                <w:kern w:val="2"/>
                <w:sz w:val="24"/>
                <w:szCs w:val="24"/>
                <w:lang w:val="en-US" w:eastAsia="zh-CN" w:bidi="ar-SA"/>
              </w:rPr>
              <w:t>Phyllanthus emblica</w:t>
            </w:r>
            <w:r>
              <w:rPr>
                <w:rFonts w:hint="default" w:ascii="Times New Roman" w:hAnsi="Times New Roman" w:eastAsia="宋体" w:cs="Times New Roman"/>
                <w:i w:val="0"/>
                <w:iCs w:val="0"/>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盐肤木</w:t>
            </w:r>
            <w:r>
              <w:rPr>
                <w:rFonts w:hint="default" w:ascii="Times New Roman" w:hAnsi="Times New Roman" w:eastAsia="宋体" w:cs="Times New Roman"/>
                <w:i/>
                <w:iCs/>
                <w:kern w:val="2"/>
                <w:sz w:val="24"/>
                <w:szCs w:val="24"/>
                <w:lang w:val="en-US" w:eastAsia="zh-CN" w:bidi="ar-SA"/>
              </w:rPr>
              <w:t>Rhus chinensis</w:t>
            </w:r>
            <w:r>
              <w:rPr>
                <w:rFonts w:hint="default" w:ascii="Times New Roman" w:hAnsi="Times New Roman" w:eastAsia="宋体" w:cs="Times New Roman"/>
                <w:kern w:val="2"/>
                <w:sz w:val="24"/>
                <w:szCs w:val="24"/>
                <w:lang w:val="en-US" w:eastAsia="zh-CN" w:bidi="ar-SA"/>
              </w:rPr>
              <w:t>、黄连木</w:t>
            </w:r>
            <w:r>
              <w:rPr>
                <w:rFonts w:hint="default" w:ascii="Times New Roman" w:hAnsi="Times New Roman" w:eastAsia="宋体" w:cs="Times New Roman"/>
                <w:i/>
                <w:iCs/>
                <w:kern w:val="2"/>
                <w:sz w:val="24"/>
                <w:szCs w:val="24"/>
                <w:lang w:val="en-US" w:eastAsia="zh-CN" w:bidi="ar-SA"/>
              </w:rPr>
              <w:t>Pistacia chinensis</w:t>
            </w:r>
            <w:r>
              <w:rPr>
                <w:rFonts w:hint="default" w:ascii="Times New Roman" w:hAnsi="Times New Roman" w:eastAsia="宋体" w:cs="Times New Roman"/>
                <w:kern w:val="2"/>
                <w:sz w:val="24"/>
                <w:szCs w:val="24"/>
                <w:lang w:val="en-US" w:eastAsia="zh-CN" w:bidi="ar-SA"/>
              </w:rPr>
              <w:t>、扁担杆一种</w:t>
            </w:r>
            <w:r>
              <w:rPr>
                <w:rFonts w:hint="default" w:ascii="Times New Roman" w:hAnsi="Times New Roman" w:eastAsia="宋体" w:cs="Times New Roman"/>
                <w:i/>
                <w:iCs/>
                <w:kern w:val="2"/>
                <w:sz w:val="24"/>
                <w:szCs w:val="24"/>
                <w:lang w:val="en-US" w:eastAsia="zh-CN" w:bidi="ar-SA"/>
              </w:rPr>
              <w:t>Grewiasp</w:t>
            </w:r>
            <w:r>
              <w:rPr>
                <w:rFonts w:hint="default" w:ascii="Times New Roman" w:hAnsi="Times New Roman" w:eastAsia="宋体" w:cs="Times New Roman"/>
                <w:kern w:val="2"/>
                <w:sz w:val="24"/>
                <w:szCs w:val="24"/>
                <w:lang w:val="en-US" w:eastAsia="zh-CN" w:bidi="ar-SA"/>
              </w:rPr>
              <w:t>、毛刺蒴麻</w:t>
            </w:r>
            <w:r>
              <w:rPr>
                <w:rFonts w:hint="default" w:ascii="Times New Roman" w:hAnsi="Times New Roman" w:eastAsia="宋体" w:cs="Times New Roman"/>
                <w:i/>
                <w:iCs/>
                <w:kern w:val="2"/>
                <w:sz w:val="24"/>
                <w:szCs w:val="24"/>
                <w:lang w:val="en-US" w:eastAsia="zh-CN" w:bidi="ar-SA"/>
              </w:rPr>
              <w:t>Triumfettatomentosa</w:t>
            </w:r>
            <w:r>
              <w:rPr>
                <w:rFonts w:hint="default" w:ascii="Times New Roman" w:hAnsi="Times New Roman" w:eastAsia="宋体" w:cs="Times New Roman"/>
                <w:kern w:val="2"/>
                <w:sz w:val="24"/>
                <w:szCs w:val="24"/>
                <w:lang w:val="en-US" w:eastAsia="zh-CN" w:bidi="ar-SA"/>
              </w:rPr>
              <w:t>、大青属一种</w:t>
            </w:r>
            <w:r>
              <w:rPr>
                <w:rFonts w:hint="default" w:ascii="Times New Roman" w:hAnsi="Times New Roman" w:eastAsia="宋体" w:cs="Times New Roman"/>
                <w:i/>
                <w:iCs/>
                <w:kern w:val="2"/>
                <w:sz w:val="24"/>
                <w:szCs w:val="24"/>
                <w:lang w:val="en-US" w:eastAsia="zh-CN" w:bidi="ar-SA"/>
              </w:rPr>
              <w:t>Clerodendrum sp</w:t>
            </w:r>
            <w:r>
              <w:rPr>
                <w:rFonts w:hint="default" w:ascii="Times New Roman" w:hAnsi="Times New Roman" w:eastAsia="宋体" w:cs="Times New Roman"/>
                <w:kern w:val="2"/>
                <w:sz w:val="24"/>
                <w:szCs w:val="24"/>
                <w:lang w:val="en-US" w:eastAsia="zh-CN" w:bidi="ar-SA"/>
              </w:rPr>
              <w:t>等。草本层以中小禾草为主，高多在0.2-0.6m左右，层盖度达60%；常见种类有藿香蓟</w:t>
            </w:r>
            <w:r>
              <w:rPr>
                <w:rFonts w:hint="default" w:ascii="Times New Roman" w:hAnsi="Times New Roman" w:eastAsia="宋体" w:cs="Times New Roman"/>
                <w:i/>
                <w:iCs/>
                <w:kern w:val="2"/>
                <w:sz w:val="24"/>
                <w:szCs w:val="24"/>
                <w:lang w:val="en-US" w:eastAsia="zh-CN" w:bidi="ar-SA"/>
              </w:rPr>
              <w:t>Ageratum conyzoides</w:t>
            </w:r>
            <w:r>
              <w:rPr>
                <w:rFonts w:hint="default" w:ascii="Times New Roman" w:hAnsi="Times New Roman" w:eastAsia="宋体" w:cs="Times New Roman"/>
                <w:kern w:val="2"/>
                <w:sz w:val="24"/>
                <w:szCs w:val="24"/>
                <w:lang w:val="en-US" w:eastAsia="zh-CN" w:bidi="ar-SA"/>
              </w:rPr>
              <w:t>、双花草</w:t>
            </w:r>
            <w:r>
              <w:rPr>
                <w:rFonts w:hint="default" w:ascii="Times New Roman" w:hAnsi="Times New Roman" w:eastAsia="宋体" w:cs="Times New Roman"/>
                <w:i/>
                <w:iCs/>
                <w:kern w:val="2"/>
                <w:sz w:val="24"/>
                <w:szCs w:val="24"/>
                <w:lang w:val="en-US" w:eastAsia="zh-CN" w:bidi="ar-SA"/>
              </w:rPr>
              <w:t>Dichanthiumannulatum</w:t>
            </w:r>
            <w:r>
              <w:rPr>
                <w:rFonts w:hint="default" w:ascii="Times New Roman" w:hAnsi="Times New Roman" w:eastAsia="宋体" w:cs="Times New Roman"/>
                <w:kern w:val="2"/>
                <w:sz w:val="24"/>
                <w:szCs w:val="24"/>
                <w:lang w:val="en-US" w:eastAsia="zh-CN" w:bidi="ar-SA"/>
              </w:rPr>
              <w:t>、飞机草</w:t>
            </w:r>
            <w:r>
              <w:rPr>
                <w:rFonts w:hint="default" w:ascii="Times New Roman" w:hAnsi="Times New Roman" w:eastAsia="宋体" w:cs="Times New Roman"/>
                <w:i/>
                <w:iCs/>
                <w:kern w:val="2"/>
                <w:sz w:val="24"/>
                <w:szCs w:val="24"/>
                <w:lang w:val="en-US" w:eastAsia="zh-CN" w:bidi="ar-SA"/>
              </w:rPr>
              <w:t>FragrantEupatorium</w:t>
            </w:r>
            <w:r>
              <w:rPr>
                <w:rFonts w:hint="default" w:ascii="Times New Roman" w:hAnsi="Times New Roman" w:eastAsia="宋体" w:cs="Times New Roman"/>
                <w:i w:val="0"/>
                <w:iCs w:val="0"/>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旱茅</w:t>
            </w:r>
            <w:r>
              <w:rPr>
                <w:rFonts w:hint="default" w:ascii="Times New Roman" w:hAnsi="Times New Roman" w:eastAsia="宋体" w:cs="Times New Roman"/>
                <w:i/>
                <w:iCs/>
                <w:kern w:val="2"/>
                <w:sz w:val="24"/>
                <w:szCs w:val="24"/>
                <w:lang w:val="en-US" w:eastAsia="zh-CN" w:bidi="ar-SA"/>
              </w:rPr>
              <w:t>Eremopogondelavayi</w:t>
            </w:r>
            <w:r>
              <w:rPr>
                <w:rFonts w:hint="default" w:ascii="Times New Roman" w:hAnsi="Times New Roman" w:eastAsia="宋体" w:cs="Times New Roman"/>
                <w:kern w:val="2"/>
                <w:sz w:val="24"/>
                <w:szCs w:val="24"/>
                <w:lang w:val="en-US" w:eastAsia="zh-CN" w:bidi="ar-SA"/>
              </w:rPr>
              <w:t>、大独脚金</w:t>
            </w:r>
            <w:r>
              <w:rPr>
                <w:rFonts w:hint="default" w:ascii="Times New Roman" w:hAnsi="Times New Roman" w:eastAsia="宋体" w:cs="Times New Roman"/>
                <w:i/>
                <w:iCs/>
                <w:kern w:val="2"/>
                <w:sz w:val="24"/>
                <w:szCs w:val="24"/>
                <w:lang w:val="en-US" w:eastAsia="zh-CN" w:bidi="ar-SA"/>
              </w:rPr>
              <w:t>Strigamasuria</w:t>
            </w:r>
            <w:r>
              <w:rPr>
                <w:rFonts w:hint="default" w:ascii="Times New Roman" w:hAnsi="Times New Roman" w:eastAsia="宋体" w:cs="Times New Roman"/>
                <w:kern w:val="2"/>
                <w:sz w:val="24"/>
                <w:szCs w:val="24"/>
                <w:lang w:val="en-US" w:eastAsia="zh-CN" w:bidi="ar-SA"/>
              </w:rPr>
              <w:t>、肿柄菊</w:t>
            </w:r>
            <w:r>
              <w:rPr>
                <w:rFonts w:hint="default" w:ascii="Times New Roman" w:hAnsi="Times New Roman" w:eastAsia="宋体" w:cs="Times New Roman"/>
                <w:i/>
                <w:iCs/>
                <w:kern w:val="2"/>
                <w:sz w:val="24"/>
                <w:szCs w:val="24"/>
                <w:lang w:val="en-US" w:eastAsia="zh-CN" w:bidi="ar-SA"/>
              </w:rPr>
              <w:t>Tithonia diversifolia</w:t>
            </w:r>
            <w:r>
              <w:rPr>
                <w:rFonts w:hint="default" w:ascii="Times New Roman" w:hAnsi="Times New Roman" w:eastAsia="宋体" w:cs="Times New Roman"/>
                <w:kern w:val="2"/>
                <w:sz w:val="24"/>
                <w:szCs w:val="24"/>
                <w:lang w:val="en-US" w:eastAsia="zh-CN" w:bidi="ar-SA"/>
              </w:rPr>
              <w:t>、地石榴</w:t>
            </w:r>
            <w:r>
              <w:rPr>
                <w:rFonts w:hint="default" w:ascii="Times New Roman" w:hAnsi="Times New Roman" w:eastAsia="宋体" w:cs="Times New Roman"/>
                <w:i/>
                <w:iCs/>
                <w:kern w:val="2"/>
                <w:sz w:val="24"/>
                <w:szCs w:val="24"/>
                <w:lang w:val="en-US" w:eastAsia="zh-CN" w:bidi="ar-SA"/>
              </w:rPr>
              <w:t>Ficus tikoua</w:t>
            </w:r>
            <w:r>
              <w:rPr>
                <w:rFonts w:hint="default" w:ascii="Times New Roman" w:hAnsi="Times New Roman" w:eastAsia="宋体" w:cs="Times New Roman"/>
                <w:kern w:val="2"/>
                <w:sz w:val="24"/>
                <w:szCs w:val="24"/>
                <w:lang w:val="en-US" w:eastAsia="zh-CN" w:bidi="ar-SA"/>
              </w:rPr>
              <w:t>、藿香蓟</w:t>
            </w:r>
            <w:r>
              <w:rPr>
                <w:rFonts w:hint="default" w:ascii="Times New Roman" w:hAnsi="Times New Roman" w:eastAsia="宋体" w:cs="Times New Roman"/>
                <w:i/>
                <w:iCs/>
                <w:kern w:val="2"/>
                <w:sz w:val="24"/>
                <w:szCs w:val="24"/>
                <w:lang w:val="en-US" w:eastAsia="zh-CN" w:bidi="ar-SA"/>
              </w:rPr>
              <w:t>Ageratum conyzoides</w:t>
            </w:r>
            <w:r>
              <w:rPr>
                <w:rFonts w:hint="default" w:ascii="Times New Roman" w:hAnsi="Times New Roman" w:eastAsia="宋体" w:cs="Times New Roman"/>
                <w:kern w:val="2"/>
                <w:sz w:val="24"/>
                <w:szCs w:val="24"/>
                <w:lang w:val="en-US" w:eastAsia="zh-CN" w:bidi="ar-SA"/>
              </w:rPr>
              <w:t>、龙珠果</w:t>
            </w:r>
            <w:r>
              <w:rPr>
                <w:rFonts w:hint="default" w:ascii="Times New Roman" w:hAnsi="Times New Roman" w:eastAsia="宋体" w:cs="Times New Roman"/>
                <w:i/>
                <w:iCs/>
                <w:kern w:val="2"/>
                <w:sz w:val="24"/>
                <w:szCs w:val="24"/>
                <w:lang w:val="en-US" w:eastAsia="zh-CN" w:bidi="ar-SA"/>
              </w:rPr>
              <w:t>Passiflora foetida</w:t>
            </w:r>
            <w:r>
              <w:rPr>
                <w:rFonts w:hint="default" w:ascii="Times New Roman" w:hAnsi="Times New Roman" w:eastAsia="宋体" w:cs="Times New Roman"/>
                <w:kern w:val="2"/>
                <w:sz w:val="24"/>
                <w:szCs w:val="24"/>
                <w:lang w:val="en-US" w:eastAsia="zh-CN" w:bidi="ar-SA"/>
              </w:rPr>
              <w:t>、扭黄茅</w:t>
            </w:r>
            <w:r>
              <w:rPr>
                <w:rFonts w:hint="default" w:ascii="Times New Roman" w:hAnsi="Times New Roman" w:eastAsia="宋体" w:cs="Times New Roman"/>
                <w:i/>
                <w:iCs/>
                <w:kern w:val="2"/>
                <w:sz w:val="24"/>
                <w:szCs w:val="24"/>
                <w:lang w:val="en-US" w:eastAsia="zh-CN" w:bidi="ar-SA"/>
              </w:rPr>
              <w:t>Heteropogon contortus</w:t>
            </w:r>
            <w:r>
              <w:rPr>
                <w:rFonts w:hint="default" w:ascii="Times New Roman" w:hAnsi="Times New Roman" w:eastAsia="宋体" w:cs="Times New Roman"/>
                <w:kern w:val="2"/>
                <w:sz w:val="24"/>
                <w:szCs w:val="24"/>
                <w:lang w:val="en-US" w:eastAsia="zh-CN" w:bidi="ar-SA"/>
              </w:rPr>
              <w:t>、红花柴</w:t>
            </w:r>
            <w:r>
              <w:rPr>
                <w:rFonts w:hint="default" w:ascii="Times New Roman" w:hAnsi="Times New Roman" w:eastAsia="宋体" w:cs="Times New Roman"/>
                <w:i/>
                <w:iCs/>
                <w:kern w:val="2"/>
                <w:sz w:val="24"/>
                <w:szCs w:val="24"/>
                <w:lang w:val="en-US" w:eastAsia="zh-CN" w:bidi="ar-SA"/>
              </w:rPr>
              <w:t>Indigofera cassioides</w:t>
            </w:r>
            <w:r>
              <w:rPr>
                <w:rFonts w:hint="default" w:ascii="Times New Roman" w:hAnsi="Times New Roman" w:eastAsia="宋体" w:cs="Times New Roman"/>
                <w:kern w:val="2"/>
                <w:sz w:val="24"/>
                <w:szCs w:val="24"/>
                <w:lang w:val="en-US" w:eastAsia="zh-CN" w:bidi="ar-SA"/>
              </w:rPr>
              <w:t>、小菅草</w:t>
            </w:r>
            <w:r>
              <w:rPr>
                <w:rFonts w:hint="default" w:ascii="Times New Roman" w:hAnsi="Times New Roman" w:eastAsia="宋体" w:cs="Times New Roman"/>
                <w:i/>
                <w:iCs/>
                <w:kern w:val="2"/>
                <w:sz w:val="24"/>
                <w:szCs w:val="24"/>
                <w:lang w:val="en-US" w:eastAsia="zh-CN" w:bidi="ar-SA"/>
              </w:rPr>
              <w:t>Themeda triandra</w:t>
            </w:r>
            <w:r>
              <w:rPr>
                <w:rFonts w:hint="default" w:ascii="Times New Roman" w:hAnsi="Times New Roman" w:eastAsia="宋体" w:cs="Times New Roman"/>
                <w:kern w:val="2"/>
                <w:sz w:val="24"/>
                <w:szCs w:val="24"/>
                <w:lang w:val="en-US" w:eastAsia="zh-CN" w:bidi="ar-SA"/>
              </w:rPr>
              <w:t>、白木豆</w:t>
            </w:r>
            <w:r>
              <w:rPr>
                <w:rFonts w:hint="default" w:ascii="Times New Roman" w:hAnsi="Times New Roman" w:eastAsia="宋体" w:cs="Times New Roman"/>
                <w:i/>
                <w:iCs/>
                <w:kern w:val="2"/>
                <w:sz w:val="24"/>
                <w:szCs w:val="24"/>
                <w:lang w:val="en-US" w:eastAsia="zh-CN" w:bidi="ar-SA"/>
              </w:rPr>
              <w:t>Cajanus niveus</w:t>
            </w:r>
            <w:r>
              <w:rPr>
                <w:rFonts w:hint="default" w:ascii="Times New Roman" w:hAnsi="Times New Roman" w:eastAsia="宋体" w:cs="Times New Roman"/>
                <w:kern w:val="2"/>
                <w:sz w:val="24"/>
                <w:szCs w:val="24"/>
                <w:lang w:val="en-US" w:eastAsia="zh-CN" w:bidi="ar-SA"/>
              </w:rPr>
              <w:t>、磨盘草</w:t>
            </w:r>
            <w:r>
              <w:rPr>
                <w:rFonts w:hint="default" w:ascii="Times New Roman" w:hAnsi="Times New Roman" w:eastAsia="宋体" w:cs="Times New Roman"/>
                <w:i/>
                <w:iCs/>
                <w:kern w:val="2"/>
                <w:sz w:val="24"/>
                <w:szCs w:val="24"/>
                <w:lang w:val="en-US" w:eastAsia="zh-CN" w:bidi="ar-SA"/>
              </w:rPr>
              <w:t>Abutilonindicum</w:t>
            </w:r>
            <w:r>
              <w:rPr>
                <w:rFonts w:hint="default" w:ascii="Times New Roman" w:hAnsi="Times New Roman" w:eastAsia="宋体" w:cs="Times New Roman"/>
                <w:kern w:val="2"/>
                <w:sz w:val="24"/>
                <w:szCs w:val="24"/>
                <w:lang w:val="en-US" w:eastAsia="zh-CN" w:bidi="ar-SA"/>
              </w:rPr>
              <w:t>、苞叶藤</w:t>
            </w:r>
            <w:r>
              <w:rPr>
                <w:rFonts w:hint="default" w:ascii="Times New Roman" w:hAnsi="Times New Roman" w:eastAsia="宋体" w:cs="Times New Roman"/>
                <w:i/>
                <w:iCs/>
                <w:kern w:val="2"/>
                <w:sz w:val="24"/>
                <w:szCs w:val="24"/>
                <w:lang w:val="en-US" w:eastAsia="zh-CN" w:bidi="ar-SA"/>
              </w:rPr>
              <w:t>Blinkworthia convolvuloides</w:t>
            </w:r>
            <w:r>
              <w:rPr>
                <w:rFonts w:hint="default" w:ascii="Times New Roman" w:hAnsi="Times New Roman" w:eastAsia="宋体" w:cs="Times New Roman"/>
                <w:kern w:val="2"/>
                <w:sz w:val="24"/>
                <w:szCs w:val="24"/>
                <w:lang w:val="en-US" w:eastAsia="zh-CN" w:bidi="ar-SA"/>
              </w:rPr>
              <w:t>、糙点栝楼</w:t>
            </w:r>
            <w:r>
              <w:rPr>
                <w:rFonts w:hint="default" w:ascii="Times New Roman" w:hAnsi="Times New Roman" w:eastAsia="宋体" w:cs="Times New Roman"/>
                <w:i/>
                <w:iCs/>
                <w:kern w:val="2"/>
                <w:sz w:val="24"/>
                <w:szCs w:val="24"/>
                <w:lang w:val="en-US" w:eastAsia="zh-CN" w:bidi="ar-SA"/>
              </w:rPr>
              <w:t>Trichosanthesdunniana</w:t>
            </w:r>
            <w:r>
              <w:rPr>
                <w:rFonts w:hint="default" w:ascii="Times New Roman" w:hAnsi="Times New Roman" w:eastAsia="宋体" w:cs="Times New Roman"/>
                <w:kern w:val="2"/>
                <w:sz w:val="24"/>
                <w:szCs w:val="24"/>
                <w:lang w:val="en-US" w:eastAsia="zh-CN" w:bidi="ar-SA"/>
              </w:rPr>
              <w:t>、圆叶西番莲</w:t>
            </w:r>
            <w:r>
              <w:rPr>
                <w:rFonts w:hint="default" w:ascii="Times New Roman" w:hAnsi="Times New Roman" w:eastAsia="宋体" w:cs="Times New Roman"/>
                <w:i/>
                <w:iCs/>
                <w:kern w:val="2"/>
                <w:sz w:val="24"/>
                <w:szCs w:val="24"/>
                <w:lang w:val="en-US" w:eastAsia="zh-CN" w:bidi="ar-SA"/>
              </w:rPr>
              <w:t>Passiflorahenryi</w:t>
            </w:r>
            <w:r>
              <w:rPr>
                <w:rFonts w:hint="default" w:ascii="Times New Roman" w:hAnsi="Times New Roman" w:eastAsia="宋体" w:cs="Times New Roman"/>
                <w:kern w:val="2"/>
                <w:sz w:val="24"/>
                <w:szCs w:val="24"/>
                <w:lang w:val="en-US" w:eastAsia="zh-CN" w:bidi="ar-SA"/>
              </w:rPr>
              <w:t>等。含厚皮树、艾草、扭黄茅的中草草丛该群落类型更多分布于评价区山体的东坡面与南坡面，群落高2-4m，群落总盖度在75%-90%左右。乔木盖度为10%左右，主要树种有厚皮树</w:t>
            </w:r>
            <w:r>
              <w:rPr>
                <w:rFonts w:hint="default" w:ascii="Times New Roman" w:hAnsi="Times New Roman" w:eastAsia="宋体" w:cs="Times New Roman"/>
                <w:i/>
                <w:iCs/>
                <w:kern w:val="2"/>
                <w:sz w:val="24"/>
                <w:szCs w:val="24"/>
                <w:u w:val="none"/>
                <w:lang w:val="en-US" w:eastAsia="zh-CN" w:bidi="ar-SA"/>
              </w:rPr>
              <w:t>Lanneacoromandelica</w:t>
            </w:r>
            <w:r>
              <w:rPr>
                <w:rFonts w:hint="default" w:ascii="Times New Roman" w:hAnsi="Times New Roman" w:eastAsia="宋体" w:cs="Times New Roman"/>
                <w:kern w:val="2"/>
                <w:sz w:val="24"/>
                <w:szCs w:val="24"/>
                <w:lang w:val="en-US" w:eastAsia="zh-CN" w:bidi="ar-SA"/>
              </w:rPr>
              <w:t>、心叶蚬木</w:t>
            </w:r>
            <w:r>
              <w:rPr>
                <w:rFonts w:hint="default" w:ascii="Times New Roman" w:hAnsi="Times New Roman" w:eastAsia="宋体" w:cs="Times New Roman"/>
                <w:i/>
                <w:iCs/>
                <w:kern w:val="2"/>
                <w:sz w:val="24"/>
                <w:szCs w:val="24"/>
                <w:lang w:val="en-US" w:eastAsia="zh-CN" w:bidi="ar-SA"/>
              </w:rPr>
              <w:t>Burretiodendronesquirolii</w:t>
            </w:r>
            <w:r>
              <w:rPr>
                <w:rFonts w:hint="default" w:ascii="Times New Roman" w:hAnsi="Times New Roman" w:eastAsia="宋体" w:cs="Times New Roman"/>
                <w:kern w:val="2"/>
                <w:sz w:val="24"/>
                <w:szCs w:val="24"/>
                <w:lang w:val="en-US" w:eastAsia="zh-CN" w:bidi="ar-SA"/>
              </w:rPr>
              <w:t>、三叶漆</w:t>
            </w:r>
            <w:r>
              <w:rPr>
                <w:rFonts w:hint="default" w:ascii="Times New Roman" w:hAnsi="Times New Roman" w:eastAsia="宋体" w:cs="Times New Roman"/>
                <w:i/>
                <w:iCs/>
                <w:kern w:val="2"/>
                <w:sz w:val="24"/>
                <w:szCs w:val="24"/>
                <w:lang w:val="en-US" w:eastAsia="zh-CN" w:bidi="ar-SA"/>
              </w:rPr>
              <w:t>Terminthiapaniculata</w:t>
            </w:r>
            <w:r>
              <w:rPr>
                <w:rFonts w:hint="default" w:ascii="Times New Roman" w:hAnsi="Times New Roman" w:eastAsia="宋体" w:cs="Times New Roman"/>
                <w:kern w:val="2"/>
                <w:sz w:val="24"/>
                <w:szCs w:val="24"/>
                <w:lang w:val="en-US" w:eastAsia="zh-CN" w:bidi="ar-SA"/>
              </w:rPr>
              <w:t>等。灌木层平均高度1-1.5m左右，层盖度为20%左右。主要植物有：余甘子</w:t>
            </w:r>
            <w:r>
              <w:rPr>
                <w:rFonts w:hint="default" w:ascii="Times New Roman" w:hAnsi="Times New Roman" w:eastAsia="宋体" w:cs="Times New Roman"/>
                <w:i/>
                <w:iCs/>
                <w:kern w:val="2"/>
                <w:sz w:val="24"/>
                <w:szCs w:val="24"/>
                <w:lang w:val="en-US" w:eastAsia="zh-CN" w:bidi="ar-SA"/>
              </w:rPr>
              <w:t>Phyllanthus emblica</w:t>
            </w:r>
            <w:r>
              <w:rPr>
                <w:rFonts w:hint="default" w:ascii="Times New Roman" w:hAnsi="Times New Roman" w:eastAsia="宋体" w:cs="Times New Roman"/>
                <w:kern w:val="2"/>
                <w:sz w:val="24"/>
                <w:szCs w:val="24"/>
                <w:lang w:val="en-US" w:eastAsia="zh-CN" w:bidi="ar-SA"/>
              </w:rPr>
              <w:t>、扁担杆</w:t>
            </w:r>
            <w:r>
              <w:rPr>
                <w:rFonts w:hint="default" w:ascii="Times New Roman" w:hAnsi="Times New Roman" w:eastAsia="宋体" w:cs="Times New Roman"/>
                <w:i/>
                <w:iCs/>
                <w:kern w:val="2"/>
                <w:sz w:val="24"/>
                <w:szCs w:val="24"/>
                <w:lang w:val="en-US" w:eastAsia="zh-CN" w:bidi="ar-SA"/>
              </w:rPr>
              <w:t>Grewiasp</w:t>
            </w:r>
            <w:r>
              <w:rPr>
                <w:rFonts w:hint="default" w:ascii="Times New Roman" w:hAnsi="Times New Roman" w:eastAsia="宋体" w:cs="Times New Roman"/>
                <w:kern w:val="2"/>
                <w:sz w:val="24"/>
                <w:szCs w:val="24"/>
                <w:lang w:val="en-US" w:eastAsia="zh-CN" w:bidi="ar-SA"/>
              </w:rPr>
              <w:t>、土蜜树</w:t>
            </w:r>
            <w:r>
              <w:rPr>
                <w:rFonts w:hint="default" w:ascii="Times New Roman" w:hAnsi="Times New Roman" w:eastAsia="宋体" w:cs="Times New Roman"/>
                <w:i/>
                <w:iCs/>
                <w:kern w:val="2"/>
                <w:sz w:val="24"/>
                <w:szCs w:val="24"/>
                <w:lang w:val="en-US" w:eastAsia="zh-CN" w:bidi="ar-SA"/>
              </w:rPr>
              <w:t>Brideliatomentosa</w:t>
            </w:r>
            <w:r>
              <w:rPr>
                <w:rFonts w:hint="default" w:ascii="Times New Roman" w:hAnsi="Times New Roman" w:eastAsia="宋体" w:cs="Times New Roman"/>
                <w:kern w:val="2"/>
                <w:sz w:val="24"/>
                <w:szCs w:val="24"/>
                <w:lang w:val="en-US" w:eastAsia="zh-CN" w:bidi="ar-SA"/>
              </w:rPr>
              <w:t>、毛刺蒴麻</w:t>
            </w:r>
            <w:r>
              <w:rPr>
                <w:rFonts w:hint="default" w:ascii="Times New Roman" w:hAnsi="Times New Roman" w:eastAsia="宋体" w:cs="Times New Roman"/>
                <w:i/>
                <w:iCs/>
                <w:kern w:val="2"/>
                <w:sz w:val="24"/>
                <w:szCs w:val="24"/>
                <w:lang w:val="en-US" w:eastAsia="zh-CN" w:bidi="ar-SA"/>
              </w:rPr>
              <w:t>Triumfetta tomentosa</w:t>
            </w:r>
            <w:r>
              <w:rPr>
                <w:rFonts w:hint="default" w:ascii="Times New Roman" w:hAnsi="Times New Roman" w:eastAsia="宋体" w:cs="Times New Roman"/>
                <w:kern w:val="2"/>
                <w:sz w:val="24"/>
                <w:szCs w:val="24"/>
                <w:lang w:val="en-US" w:eastAsia="zh-CN" w:bidi="ar-SA"/>
              </w:rPr>
              <w:t>、木薯</w:t>
            </w:r>
            <w:r>
              <w:rPr>
                <w:rFonts w:hint="default" w:ascii="Times New Roman" w:hAnsi="Times New Roman" w:eastAsia="宋体" w:cs="Times New Roman"/>
                <w:i/>
                <w:iCs/>
                <w:kern w:val="2"/>
                <w:sz w:val="24"/>
                <w:szCs w:val="24"/>
                <w:lang w:val="en-US" w:eastAsia="zh-CN" w:bidi="ar-SA"/>
              </w:rPr>
              <w:t>Manihot esculenta</w:t>
            </w:r>
            <w:r>
              <w:rPr>
                <w:rFonts w:hint="default" w:ascii="Times New Roman" w:hAnsi="Times New Roman" w:eastAsia="宋体" w:cs="Times New Roman"/>
                <w:kern w:val="2"/>
                <w:sz w:val="24"/>
                <w:szCs w:val="24"/>
                <w:lang w:val="en-US" w:eastAsia="zh-CN" w:bidi="ar-SA"/>
              </w:rPr>
              <w:t>、滇刺枣</w:t>
            </w:r>
            <w:r>
              <w:rPr>
                <w:rFonts w:hint="default" w:ascii="Times New Roman" w:hAnsi="Times New Roman" w:eastAsia="宋体" w:cs="Times New Roman"/>
                <w:i/>
                <w:iCs/>
                <w:kern w:val="2"/>
                <w:sz w:val="24"/>
                <w:szCs w:val="24"/>
                <w:lang w:val="en-US" w:eastAsia="zh-CN" w:bidi="ar-SA"/>
              </w:rPr>
              <w:t>Ziziphusmauritiana</w:t>
            </w:r>
            <w:r>
              <w:rPr>
                <w:rFonts w:hint="default" w:ascii="Times New Roman" w:hAnsi="Times New Roman" w:eastAsia="宋体" w:cs="Times New Roman"/>
                <w:kern w:val="2"/>
                <w:sz w:val="24"/>
                <w:szCs w:val="24"/>
                <w:lang w:val="en-US" w:eastAsia="zh-CN" w:bidi="ar-SA"/>
              </w:rPr>
              <w:t>、虾子花</w:t>
            </w:r>
            <w:r>
              <w:rPr>
                <w:rFonts w:hint="default" w:ascii="Times New Roman" w:hAnsi="Times New Roman" w:eastAsia="宋体" w:cs="Times New Roman"/>
                <w:i/>
                <w:iCs/>
                <w:kern w:val="2"/>
                <w:sz w:val="24"/>
                <w:szCs w:val="24"/>
                <w:lang w:val="en-US" w:eastAsia="zh-CN" w:bidi="ar-SA"/>
              </w:rPr>
              <w:t>Woodfordia fruticosa</w:t>
            </w:r>
            <w:r>
              <w:rPr>
                <w:rFonts w:hint="default" w:ascii="Times New Roman" w:hAnsi="Times New Roman" w:eastAsia="宋体" w:cs="Times New Roman"/>
                <w:kern w:val="2"/>
                <w:sz w:val="24"/>
                <w:szCs w:val="24"/>
                <w:lang w:val="en-US" w:eastAsia="zh-CN" w:bidi="ar-SA"/>
              </w:rPr>
              <w:t>等。草本层高多在0.2-1.0m左右，层盖度达70%，以禾草为主；常见种类有艾草</w:t>
            </w:r>
            <w:r>
              <w:rPr>
                <w:rFonts w:hint="default" w:ascii="Times New Roman" w:hAnsi="Times New Roman" w:eastAsia="宋体" w:cs="Times New Roman"/>
                <w:i/>
                <w:iCs/>
                <w:kern w:val="2"/>
                <w:sz w:val="24"/>
                <w:szCs w:val="24"/>
                <w:lang w:val="en-US" w:eastAsia="zh-CN" w:bidi="ar-SA"/>
              </w:rPr>
              <w:t>Artemisiaargyi</w:t>
            </w:r>
            <w:r>
              <w:rPr>
                <w:rFonts w:hint="default" w:ascii="Times New Roman" w:hAnsi="Times New Roman" w:eastAsia="宋体" w:cs="Times New Roman"/>
                <w:kern w:val="2"/>
                <w:sz w:val="24"/>
                <w:szCs w:val="24"/>
                <w:lang w:val="en-US" w:eastAsia="zh-CN" w:bidi="ar-SA"/>
              </w:rPr>
              <w:t>、扭鞘香茅</w:t>
            </w:r>
            <w:r>
              <w:rPr>
                <w:rFonts w:hint="default" w:ascii="Times New Roman" w:hAnsi="Times New Roman" w:eastAsia="宋体" w:cs="Times New Roman"/>
                <w:i/>
                <w:iCs/>
                <w:kern w:val="2"/>
                <w:sz w:val="24"/>
                <w:szCs w:val="24"/>
                <w:lang w:val="en-US" w:eastAsia="zh-CN" w:bidi="ar-SA"/>
              </w:rPr>
              <w:t>Cymbopogontortilis</w:t>
            </w:r>
            <w:r>
              <w:rPr>
                <w:rFonts w:hint="default" w:ascii="Times New Roman" w:hAnsi="Times New Roman" w:eastAsia="宋体" w:cs="Times New Roman"/>
                <w:kern w:val="2"/>
                <w:sz w:val="24"/>
                <w:szCs w:val="24"/>
                <w:lang w:val="en-US" w:eastAsia="zh-CN" w:bidi="ar-SA"/>
              </w:rPr>
              <w:t>、飞机草</w:t>
            </w:r>
            <w:r>
              <w:rPr>
                <w:rFonts w:hint="default" w:ascii="Times New Roman" w:hAnsi="Times New Roman" w:eastAsia="宋体" w:cs="Times New Roman"/>
                <w:i/>
                <w:iCs/>
                <w:kern w:val="2"/>
                <w:sz w:val="24"/>
                <w:szCs w:val="24"/>
                <w:lang w:val="en-US" w:eastAsia="zh-CN" w:bidi="ar-SA"/>
              </w:rPr>
              <w:t>Fragrant Eupatorium</w:t>
            </w:r>
            <w:r>
              <w:rPr>
                <w:rFonts w:hint="default" w:ascii="Times New Roman" w:hAnsi="Times New Roman" w:eastAsia="宋体" w:cs="Times New Roman"/>
                <w:kern w:val="2"/>
                <w:sz w:val="24"/>
                <w:szCs w:val="24"/>
                <w:lang w:val="en-US" w:eastAsia="zh-CN" w:bidi="ar-SA"/>
              </w:rPr>
              <w:t>、密序野古草</w:t>
            </w:r>
            <w:r>
              <w:rPr>
                <w:rFonts w:hint="default" w:ascii="Times New Roman" w:hAnsi="Times New Roman" w:eastAsia="宋体" w:cs="Times New Roman"/>
                <w:i/>
                <w:iCs/>
                <w:kern w:val="2"/>
                <w:sz w:val="24"/>
                <w:szCs w:val="24"/>
                <w:lang w:val="en-US" w:eastAsia="zh-CN" w:bidi="ar-SA"/>
              </w:rPr>
              <w:t>Arundinellabengalensis</w:t>
            </w:r>
            <w:r>
              <w:rPr>
                <w:rFonts w:hint="default" w:ascii="Times New Roman" w:hAnsi="Times New Roman" w:eastAsia="宋体" w:cs="Times New Roman"/>
                <w:kern w:val="2"/>
                <w:sz w:val="24"/>
                <w:szCs w:val="24"/>
                <w:lang w:val="en-US" w:eastAsia="zh-CN" w:bidi="ar-SA"/>
              </w:rPr>
              <w:t>、白木豆</w:t>
            </w:r>
            <w:r>
              <w:rPr>
                <w:rFonts w:hint="default" w:ascii="Times New Roman" w:hAnsi="Times New Roman" w:eastAsia="宋体" w:cs="Times New Roman"/>
                <w:i/>
                <w:iCs/>
                <w:kern w:val="2"/>
                <w:sz w:val="24"/>
                <w:szCs w:val="24"/>
                <w:lang w:val="en-US" w:eastAsia="zh-CN" w:bidi="ar-SA"/>
              </w:rPr>
              <w:t>Cajanus niveus</w:t>
            </w:r>
            <w:r>
              <w:rPr>
                <w:rFonts w:hint="default" w:ascii="Times New Roman" w:hAnsi="Times New Roman" w:eastAsia="宋体" w:cs="Times New Roman"/>
                <w:kern w:val="2"/>
                <w:sz w:val="24"/>
                <w:szCs w:val="24"/>
                <w:lang w:val="en-US" w:eastAsia="zh-CN" w:bidi="ar-SA"/>
              </w:rPr>
              <w:t>、垂穗莎草</w:t>
            </w:r>
            <w:r>
              <w:rPr>
                <w:rFonts w:hint="default" w:ascii="Times New Roman" w:hAnsi="Times New Roman" w:eastAsia="宋体" w:cs="Times New Roman"/>
                <w:i/>
                <w:iCs/>
                <w:kern w:val="2"/>
                <w:sz w:val="24"/>
                <w:szCs w:val="24"/>
                <w:u w:val="none"/>
                <w:lang w:val="en-US" w:eastAsia="zh-CN" w:bidi="ar-SA"/>
              </w:rPr>
              <w:t>Cyperus nutans</w:t>
            </w:r>
            <w:r>
              <w:rPr>
                <w:rFonts w:hint="default" w:ascii="Times New Roman" w:hAnsi="Times New Roman" w:eastAsia="宋体" w:cs="Times New Roman"/>
                <w:kern w:val="2"/>
                <w:sz w:val="24"/>
                <w:szCs w:val="24"/>
                <w:lang w:val="en-US" w:eastAsia="zh-CN" w:bidi="ar-SA"/>
              </w:rPr>
              <w:t>、大白茅</w:t>
            </w:r>
            <w:r>
              <w:rPr>
                <w:rFonts w:hint="default" w:ascii="Times New Roman" w:hAnsi="Times New Roman" w:eastAsia="宋体" w:cs="Times New Roman"/>
                <w:i/>
                <w:iCs/>
                <w:kern w:val="2"/>
                <w:sz w:val="24"/>
                <w:szCs w:val="24"/>
                <w:lang w:val="en-US" w:eastAsia="zh-CN" w:bidi="ar-SA"/>
              </w:rPr>
              <w:t>Imperata cylindricavar.major</w:t>
            </w:r>
            <w:r>
              <w:rPr>
                <w:rFonts w:hint="default" w:ascii="Times New Roman" w:hAnsi="Times New Roman" w:eastAsia="宋体" w:cs="Times New Roman"/>
                <w:kern w:val="2"/>
                <w:sz w:val="24"/>
                <w:szCs w:val="24"/>
                <w:lang w:val="en-US" w:eastAsia="zh-CN" w:bidi="ar-SA"/>
              </w:rPr>
              <w:t>、拔毒散</w:t>
            </w:r>
            <w:r>
              <w:rPr>
                <w:rFonts w:hint="default" w:ascii="Times New Roman" w:hAnsi="Times New Roman" w:eastAsia="宋体" w:cs="Times New Roman"/>
                <w:i/>
                <w:iCs/>
                <w:kern w:val="2"/>
                <w:sz w:val="24"/>
                <w:szCs w:val="24"/>
                <w:lang w:val="en-US" w:eastAsia="zh-CN" w:bidi="ar-SA"/>
              </w:rPr>
              <w:t>Sida szechuensis</w:t>
            </w:r>
            <w:r>
              <w:rPr>
                <w:rFonts w:hint="default" w:ascii="Times New Roman" w:hAnsi="Times New Roman" w:eastAsia="宋体" w:cs="Times New Roman"/>
                <w:kern w:val="2"/>
                <w:sz w:val="24"/>
                <w:szCs w:val="24"/>
                <w:lang w:val="en-US" w:eastAsia="zh-CN" w:bidi="ar-SA"/>
              </w:rPr>
              <w:t>、五节芒</w:t>
            </w:r>
            <w:r>
              <w:rPr>
                <w:rFonts w:hint="default" w:ascii="Times New Roman" w:hAnsi="Times New Roman" w:eastAsia="宋体" w:cs="Times New Roman"/>
                <w:i/>
                <w:iCs/>
                <w:kern w:val="2"/>
                <w:sz w:val="24"/>
                <w:szCs w:val="24"/>
                <w:lang w:val="en-US" w:eastAsia="zh-CN" w:bidi="ar-SA"/>
              </w:rPr>
              <w:t>Miscanthus floridulus</w:t>
            </w:r>
            <w:r>
              <w:rPr>
                <w:rFonts w:hint="default" w:ascii="Times New Roman" w:hAnsi="Times New Roman" w:eastAsia="宋体" w:cs="Times New Roman"/>
                <w:kern w:val="2"/>
                <w:sz w:val="24"/>
                <w:szCs w:val="24"/>
                <w:lang w:val="en-US" w:eastAsia="zh-CN" w:bidi="ar-SA"/>
              </w:rPr>
              <w:t>、双耳草</w:t>
            </w:r>
            <w:r>
              <w:rPr>
                <w:rFonts w:hint="default" w:ascii="Times New Roman" w:hAnsi="Times New Roman" w:eastAsia="宋体" w:cs="Times New Roman"/>
                <w:i/>
                <w:iCs/>
                <w:kern w:val="2"/>
                <w:sz w:val="24"/>
                <w:szCs w:val="24"/>
                <w:lang w:val="en-US" w:eastAsia="zh-CN" w:bidi="ar-SA"/>
              </w:rPr>
              <w:t>Paspalum conjugatum</w:t>
            </w:r>
            <w:r>
              <w:rPr>
                <w:rFonts w:hint="default" w:ascii="Times New Roman" w:hAnsi="Times New Roman" w:eastAsia="宋体" w:cs="Times New Roman"/>
                <w:i w:val="0"/>
                <w:iCs w:val="0"/>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排钱金不换</w:t>
            </w:r>
            <w:r>
              <w:rPr>
                <w:rFonts w:hint="default" w:ascii="Times New Roman" w:hAnsi="Times New Roman" w:eastAsia="宋体" w:cs="Times New Roman"/>
                <w:i/>
                <w:iCs/>
                <w:kern w:val="2"/>
                <w:sz w:val="24"/>
                <w:szCs w:val="24"/>
                <w:lang w:val="en-US" w:eastAsia="zh-CN" w:bidi="ar-SA"/>
              </w:rPr>
              <w:t>Polygala subopposita</w:t>
            </w:r>
            <w:r>
              <w:rPr>
                <w:rFonts w:hint="default" w:ascii="Times New Roman" w:hAnsi="Times New Roman" w:eastAsia="宋体" w:cs="Times New Roman"/>
                <w:kern w:val="2"/>
                <w:sz w:val="24"/>
                <w:szCs w:val="24"/>
                <w:lang w:val="en-US" w:eastAsia="zh-CN" w:bidi="ar-SA"/>
              </w:rPr>
              <w:t>、钮子瓜</w:t>
            </w:r>
            <w:r>
              <w:rPr>
                <w:rFonts w:hint="default" w:ascii="Times New Roman" w:hAnsi="Times New Roman" w:eastAsia="宋体" w:cs="Times New Roman"/>
                <w:i/>
                <w:iCs/>
                <w:kern w:val="2"/>
                <w:sz w:val="24"/>
                <w:szCs w:val="24"/>
                <w:lang w:val="en-US" w:eastAsia="zh-CN" w:bidi="ar-SA"/>
              </w:rPr>
              <w:t>Zehneria maysorensis</w:t>
            </w:r>
            <w:r>
              <w:rPr>
                <w:rFonts w:hint="default" w:ascii="Times New Roman" w:hAnsi="Times New Roman" w:eastAsia="宋体" w:cs="Times New Roman"/>
                <w:kern w:val="2"/>
                <w:sz w:val="24"/>
                <w:szCs w:val="24"/>
                <w:lang w:val="en-US" w:eastAsia="zh-CN" w:bidi="ar-SA"/>
              </w:rPr>
              <w:t>、龙珠果</w:t>
            </w:r>
            <w:r>
              <w:rPr>
                <w:rFonts w:hint="default" w:ascii="Times New Roman" w:hAnsi="Times New Roman" w:eastAsia="宋体" w:cs="Times New Roman"/>
                <w:i/>
                <w:iCs/>
                <w:kern w:val="2"/>
                <w:sz w:val="24"/>
                <w:szCs w:val="24"/>
                <w:lang w:val="en-US" w:eastAsia="zh-CN" w:bidi="ar-SA"/>
              </w:rPr>
              <w:t>Passiflora foetida</w:t>
            </w:r>
            <w:r>
              <w:rPr>
                <w:rFonts w:hint="default" w:ascii="Times New Roman" w:hAnsi="Times New Roman" w:eastAsia="宋体" w:cs="Times New Roman"/>
                <w:kern w:val="2"/>
                <w:sz w:val="24"/>
                <w:szCs w:val="24"/>
                <w:lang w:val="en-US" w:eastAsia="zh-CN" w:bidi="ar-SA"/>
              </w:rPr>
              <w:t>、苞叶藤</w:t>
            </w:r>
            <w:r>
              <w:rPr>
                <w:rFonts w:hint="default" w:ascii="Times New Roman" w:hAnsi="Times New Roman" w:eastAsia="宋体" w:cs="Times New Roman"/>
                <w:i/>
                <w:iCs/>
                <w:kern w:val="2"/>
                <w:sz w:val="24"/>
                <w:szCs w:val="24"/>
                <w:lang w:val="en-US" w:eastAsia="zh-CN" w:bidi="ar-SA"/>
              </w:rPr>
              <w:t>Blinkworthia convolvuloides</w:t>
            </w:r>
            <w:r>
              <w:rPr>
                <w:rFonts w:hint="default" w:ascii="Times New Roman" w:hAnsi="Times New Roman" w:eastAsia="宋体" w:cs="Times New Roman"/>
                <w:kern w:val="2"/>
                <w:sz w:val="24"/>
                <w:szCs w:val="24"/>
                <w:lang w:val="en-US" w:eastAsia="zh-CN" w:bidi="ar-SA"/>
              </w:rPr>
              <w:t>、糙点栝楼</w:t>
            </w:r>
            <w:r>
              <w:rPr>
                <w:rFonts w:hint="default" w:ascii="Times New Roman" w:hAnsi="Times New Roman" w:eastAsia="宋体" w:cs="Times New Roman"/>
                <w:i/>
                <w:iCs/>
                <w:kern w:val="2"/>
                <w:sz w:val="24"/>
                <w:szCs w:val="24"/>
                <w:lang w:val="en-US" w:eastAsia="zh-CN" w:bidi="ar-SA"/>
              </w:rPr>
              <w:t>Trichosanthes dunniana</w:t>
            </w:r>
            <w:r>
              <w:rPr>
                <w:rFonts w:hint="default" w:ascii="Times New Roman" w:hAnsi="Times New Roman" w:eastAsia="宋体" w:cs="Times New Roman"/>
                <w:kern w:val="2"/>
                <w:sz w:val="24"/>
                <w:szCs w:val="24"/>
                <w:lang w:val="en-US" w:eastAsia="zh-CN" w:bidi="ar-SA"/>
              </w:rPr>
              <w:t>等。</w:t>
            </w:r>
          </w:p>
          <w:p w14:paraId="0B1078C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III.人工植被</w:t>
            </w:r>
          </w:p>
          <w:p w14:paraId="34605B6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评价区内的耕地主要种植有玉米、甘蔗、剑麻等较为耐旱的经济作物，主要分布于评价区内较为平缓的山脚平地或者山顶平缓区域。</w:t>
            </w:r>
          </w:p>
          <w:p w14:paraId="304FA37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（3）植物资源</w:t>
            </w:r>
          </w:p>
          <w:p w14:paraId="17578A9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Ⅰ.植物种类及区系特征</w:t>
            </w:r>
          </w:p>
          <w:p w14:paraId="2288F1E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经现场踏勘，项目占地范围内人类活动历史悠久，人类干扰强度较大，有少部分人工植被（旱地），非永久基本农田，主要种植玉米、甘蔗等。自然植被以稀树灌木草丛为主，绝大部分呈现次生化，为砍伐后长出的低矮草丛，植物种类主要为藿香蓟、艾草、扭鞘香茅等，基本无乔木树种。占地范围内植物种类较少，物种简单。</w:t>
            </w:r>
          </w:p>
          <w:p w14:paraId="54B1EFFC">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Ⅱ.评价区内的珍稀保护植物</w:t>
            </w:r>
          </w:p>
          <w:p w14:paraId="4365E62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根据野外考察结果，评价区内无《国家重点保护野生植物名录》（2021）记载的野生保护植物，无《云南省重点保护野生植物名录（2023年）》记载的野生保护植物。现场调查未发现区域局域分布的物种。</w:t>
            </w:r>
          </w:p>
          <w:p w14:paraId="2D11C26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Ⅲ.名木古树</w:t>
            </w:r>
          </w:p>
          <w:p w14:paraId="6F514E3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
              </w:rPr>
              <w:t>根据相关资料记录和野外考察结果，该评价区没有分布《国家重点保护野生植物名录》（2021年，国家林业和草原局农业农村部公告第15号）、《云南省第一批省级保护野生植物名录》（1989）和《</w:t>
            </w:r>
            <w:r>
              <w:rPr>
                <w:rFonts w:hint="eastAsia" w:ascii="Times New Roman" w:hAnsi="Times New Roman" w:eastAsia="宋体" w:cs="Times New Roman"/>
                <w:color w:val="auto"/>
                <w:kern w:val="0"/>
                <w:sz w:val="24"/>
                <w:szCs w:val="24"/>
                <w:lang w:val="en-US" w:eastAsia="zh-CN" w:bidi="ar"/>
              </w:rPr>
              <w:t>玉溪市</w:t>
            </w:r>
            <w:r>
              <w:rPr>
                <w:rFonts w:hint="default" w:ascii="Times New Roman" w:hAnsi="Times New Roman" w:eastAsia="宋体" w:cs="Times New Roman"/>
                <w:color w:val="auto"/>
                <w:kern w:val="0"/>
                <w:sz w:val="24"/>
                <w:szCs w:val="24"/>
                <w:lang w:val="en-US" w:eastAsia="zh-CN" w:bidi="ar"/>
              </w:rPr>
              <w:t>分布的国家重点保护野生动植物目录（2021年）》记载的珍稀保护植物，评价区内没有云南省重点保护的野生珍稀植物，野外调查未发现区域局域分布的物种、古树名木</w:t>
            </w:r>
            <w:r>
              <w:rPr>
                <w:rFonts w:hint="eastAsia" w:ascii="Times New Roman" w:hAnsi="Times New Roman" w:eastAsia="宋体" w:cs="Times New Roman"/>
                <w:color w:val="auto"/>
                <w:kern w:val="0"/>
                <w:sz w:val="24"/>
                <w:szCs w:val="24"/>
                <w:lang w:val="en-US" w:eastAsia="zh-CN" w:bidi="ar"/>
              </w:rPr>
              <w:t>。</w:t>
            </w:r>
          </w:p>
          <w:p w14:paraId="5FB6B35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（4）植被及植物资源现状评价小结</w:t>
            </w:r>
          </w:p>
          <w:p w14:paraId="71C49D72">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项目评价区受人为耕作等扰动较大，原生生态系统受到人为破坏，取而代之的是暖性针叶林、稀树灌木草丛等植被类型，生物多样性降低，生态系统整体性和完整性已受到严重的影响。评价区</w:t>
            </w:r>
            <w:r>
              <w:rPr>
                <w:rFonts w:hint="default" w:ascii="Times New Roman" w:hAnsi="Times New Roman" w:eastAsia="宋体" w:cs="Times New Roman"/>
                <w:kern w:val="2"/>
                <w:sz w:val="24"/>
                <w:szCs w:val="24"/>
                <w:lang w:val="en-US" w:eastAsia="zh-CN" w:bidi="ar-SA"/>
              </w:rPr>
              <w:t>内没有国家和省级珍稀保护野生植物种类、没有古树名木。总体上看，区域生态系统次生性较强，生境破碎化程度大。但现有的植被覆盖对区域水土保持有一定作用。</w:t>
            </w:r>
          </w:p>
          <w:p w14:paraId="2961FBFD">
            <w:pPr>
              <w:pStyle w:val="2"/>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2动物</w:t>
            </w:r>
          </w:p>
          <w:p w14:paraId="30024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现场踏勘及调查，项目占地区域人类活动较为频繁，植被主要为杂草和低矮灌木，大部分地段为荒坡地，未见大型野生动物分布，区域动物多为适应人类活动的啮齿目动物和小型鸟类。项目调查区内存在的动物主要为小型哺乳类动物、两栖爬行类动物、鸟类，如大蹼铃蟾</w:t>
            </w:r>
            <w:r>
              <w:rPr>
                <w:rFonts w:hint="default" w:ascii="Times New Roman" w:hAnsi="Times New Roman" w:eastAsia="宋体" w:cs="Times New Roman"/>
                <w:i/>
                <w:iCs/>
                <w:kern w:val="2"/>
                <w:sz w:val="24"/>
                <w:szCs w:val="24"/>
                <w:lang w:val="en-US" w:eastAsia="zh-CN" w:bidi="ar-SA"/>
              </w:rPr>
              <w:t>Bombinamaxima</w:t>
            </w:r>
            <w:r>
              <w:rPr>
                <w:rFonts w:hint="default" w:ascii="Times New Roman" w:hAnsi="Times New Roman" w:eastAsia="宋体" w:cs="Times New Roman"/>
                <w:kern w:val="2"/>
                <w:sz w:val="24"/>
                <w:szCs w:val="24"/>
                <w:lang w:val="en-US" w:eastAsia="zh-CN" w:bidi="ar-SA"/>
              </w:rPr>
              <w:t>无指盘臭蛙</w:t>
            </w:r>
            <w:r>
              <w:rPr>
                <w:rFonts w:hint="default" w:ascii="Times New Roman" w:hAnsi="Times New Roman" w:eastAsia="宋体" w:cs="Times New Roman"/>
                <w:i/>
                <w:iCs/>
                <w:kern w:val="2"/>
                <w:sz w:val="24"/>
                <w:szCs w:val="24"/>
                <w:lang w:val="en-US" w:eastAsia="zh-CN" w:bidi="ar-SA"/>
              </w:rPr>
              <w:t>Ranagrahami</w:t>
            </w:r>
            <w:r>
              <w:rPr>
                <w:rFonts w:hint="default" w:ascii="Times New Roman" w:hAnsi="Times New Roman" w:eastAsia="宋体" w:cs="Times New Roman"/>
                <w:kern w:val="2"/>
                <w:sz w:val="24"/>
                <w:szCs w:val="24"/>
                <w:lang w:val="en-US" w:eastAsia="zh-CN" w:bidi="ar-SA"/>
              </w:rPr>
              <w:t>、大山雀</w:t>
            </w:r>
            <w:r>
              <w:rPr>
                <w:rFonts w:hint="default" w:ascii="Times New Roman" w:hAnsi="Times New Roman" w:eastAsia="宋体" w:cs="Times New Roman"/>
                <w:i/>
                <w:iCs/>
                <w:kern w:val="2"/>
                <w:sz w:val="24"/>
                <w:szCs w:val="24"/>
                <w:lang w:val="en-US" w:eastAsia="zh-CN" w:bidi="ar-SA"/>
              </w:rPr>
              <w:t>Parusmajor</w:t>
            </w:r>
            <w:r>
              <w:rPr>
                <w:rFonts w:hint="default" w:ascii="Times New Roman" w:hAnsi="Times New Roman" w:eastAsia="宋体" w:cs="Times New Roman"/>
                <w:kern w:val="2"/>
                <w:sz w:val="24"/>
                <w:szCs w:val="24"/>
                <w:lang w:val="en-US" w:eastAsia="zh-CN" w:bidi="ar-SA"/>
              </w:rPr>
              <w:t>、山斑鸠</w:t>
            </w:r>
            <w:r>
              <w:rPr>
                <w:rFonts w:hint="default" w:ascii="Times New Roman" w:hAnsi="Times New Roman" w:eastAsia="宋体" w:cs="Times New Roman"/>
                <w:i/>
                <w:iCs/>
                <w:kern w:val="2"/>
                <w:sz w:val="24"/>
                <w:szCs w:val="24"/>
                <w:lang w:val="en-US" w:eastAsia="zh-CN" w:bidi="ar-SA"/>
              </w:rPr>
              <w:t>Streptopelia orcentalis</w:t>
            </w:r>
            <w:r>
              <w:rPr>
                <w:rFonts w:hint="default" w:ascii="Times New Roman" w:hAnsi="Times New Roman" w:eastAsia="宋体" w:cs="Times New Roman"/>
                <w:kern w:val="2"/>
                <w:sz w:val="24"/>
                <w:szCs w:val="24"/>
                <w:lang w:val="en-US" w:eastAsia="zh-CN" w:bidi="ar-SA"/>
              </w:rPr>
              <w:t>、家燕</w:t>
            </w:r>
            <w:r>
              <w:rPr>
                <w:rFonts w:hint="default" w:ascii="Times New Roman" w:hAnsi="Times New Roman" w:eastAsia="宋体" w:cs="Times New Roman"/>
                <w:i/>
                <w:iCs/>
                <w:kern w:val="2"/>
                <w:sz w:val="24"/>
                <w:szCs w:val="24"/>
                <w:lang w:val="en-US" w:eastAsia="zh-CN" w:bidi="ar-SA"/>
              </w:rPr>
              <w:t>Hirundorustica</w:t>
            </w:r>
            <w:r>
              <w:rPr>
                <w:rFonts w:hint="default" w:ascii="Times New Roman" w:hAnsi="Times New Roman" w:eastAsia="宋体" w:cs="Times New Roman"/>
                <w:kern w:val="2"/>
                <w:sz w:val="24"/>
                <w:szCs w:val="24"/>
                <w:lang w:val="en-US" w:eastAsia="zh-CN" w:bidi="ar-SA"/>
              </w:rPr>
              <w:t>、树麻雀</w:t>
            </w:r>
            <w:r>
              <w:rPr>
                <w:rFonts w:hint="default" w:ascii="Times New Roman" w:hAnsi="Times New Roman" w:eastAsia="宋体" w:cs="Times New Roman"/>
                <w:i/>
                <w:iCs/>
                <w:kern w:val="2"/>
                <w:sz w:val="24"/>
                <w:szCs w:val="24"/>
                <w:lang w:val="en-US" w:eastAsia="zh-CN" w:bidi="ar-SA"/>
              </w:rPr>
              <w:t>Passermontanus</w:t>
            </w:r>
            <w:r>
              <w:rPr>
                <w:rFonts w:hint="default" w:ascii="Times New Roman" w:hAnsi="Times New Roman" w:eastAsia="宋体" w:cs="Times New Roman"/>
                <w:kern w:val="2"/>
                <w:sz w:val="24"/>
                <w:szCs w:val="24"/>
                <w:lang w:val="en-US" w:eastAsia="zh-CN" w:bidi="ar-SA"/>
              </w:rPr>
              <w:t>、褐家鼠</w:t>
            </w:r>
            <w:r>
              <w:rPr>
                <w:rFonts w:hint="default" w:ascii="Times New Roman" w:hAnsi="Times New Roman" w:eastAsia="宋体" w:cs="Times New Roman"/>
                <w:i/>
                <w:iCs/>
                <w:kern w:val="2"/>
                <w:sz w:val="24"/>
                <w:szCs w:val="24"/>
                <w:lang w:val="en-US" w:eastAsia="zh-CN" w:bidi="ar-SA"/>
              </w:rPr>
              <w:t>Rattus norvegicus</w:t>
            </w:r>
            <w:r>
              <w:rPr>
                <w:rFonts w:hint="default" w:ascii="Times New Roman" w:hAnsi="Times New Roman" w:eastAsia="宋体" w:cs="Times New Roman"/>
                <w:kern w:val="2"/>
                <w:sz w:val="24"/>
                <w:szCs w:val="24"/>
                <w:lang w:val="en-US" w:eastAsia="zh-CN" w:bidi="ar-SA"/>
              </w:rPr>
              <w:t>、小家鼠</w:t>
            </w:r>
            <w:r>
              <w:rPr>
                <w:rFonts w:hint="default" w:ascii="Times New Roman" w:hAnsi="Times New Roman" w:eastAsia="宋体" w:cs="Times New Roman"/>
                <w:i/>
                <w:iCs/>
                <w:kern w:val="2"/>
                <w:sz w:val="24"/>
                <w:szCs w:val="24"/>
                <w:lang w:val="en-US" w:eastAsia="zh-CN" w:bidi="ar-SA"/>
              </w:rPr>
              <w:t>Musmusculus</w:t>
            </w:r>
            <w:r>
              <w:rPr>
                <w:rFonts w:hint="default" w:ascii="Times New Roman" w:hAnsi="Times New Roman" w:eastAsia="宋体" w:cs="Times New Roman"/>
                <w:kern w:val="2"/>
                <w:sz w:val="24"/>
                <w:szCs w:val="24"/>
                <w:lang w:val="en-US" w:eastAsia="zh-CN" w:bidi="ar-SA"/>
              </w:rPr>
              <w:t>、明纹花松鼠</w:t>
            </w:r>
            <w:r>
              <w:rPr>
                <w:rFonts w:hint="default" w:ascii="Times New Roman" w:hAnsi="Times New Roman" w:eastAsia="宋体" w:cs="Times New Roman"/>
                <w:i/>
                <w:iCs/>
                <w:kern w:val="2"/>
                <w:sz w:val="24"/>
                <w:szCs w:val="24"/>
                <w:lang w:val="en-US" w:eastAsia="zh-CN" w:bidi="ar-SA"/>
              </w:rPr>
              <w:t>Tamiopsmacclellandi</w:t>
            </w:r>
            <w:r>
              <w:rPr>
                <w:rFonts w:hint="default" w:ascii="Times New Roman" w:hAnsi="Times New Roman" w:eastAsia="宋体" w:cs="Times New Roman"/>
                <w:kern w:val="2"/>
                <w:sz w:val="24"/>
                <w:szCs w:val="24"/>
                <w:lang w:val="en-US" w:eastAsia="zh-CN" w:bidi="ar-SA"/>
              </w:rPr>
              <w:t>、黄腹鼬</w:t>
            </w:r>
            <w:r>
              <w:rPr>
                <w:rFonts w:hint="default" w:ascii="Times New Roman" w:hAnsi="Times New Roman" w:eastAsia="宋体" w:cs="Times New Roman"/>
                <w:i/>
                <w:iCs/>
                <w:kern w:val="2"/>
                <w:sz w:val="24"/>
                <w:szCs w:val="24"/>
                <w:lang w:val="en-US" w:eastAsia="zh-CN" w:bidi="ar-SA"/>
              </w:rPr>
              <w:t>Mustela kathiah</w:t>
            </w:r>
            <w:r>
              <w:rPr>
                <w:rFonts w:hint="default" w:ascii="Times New Roman" w:hAnsi="Times New Roman" w:eastAsia="宋体" w:cs="Times New Roman"/>
                <w:kern w:val="2"/>
                <w:sz w:val="24"/>
                <w:szCs w:val="24"/>
                <w:lang w:val="en-US" w:eastAsia="zh-CN" w:bidi="ar-SA"/>
              </w:rPr>
              <w:t>。</w:t>
            </w:r>
          </w:p>
          <w:p w14:paraId="148A76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评价区内野生动物的种类和数量均不丰富，多是常见种，主要有蟾蜍、青蛙、鼠类、一般蛇类及鸟类等。评价区内未发现《国家重点保护野生动物名录》中的Ⅰ、Ⅱ级或被列入《云南省重点保护陆生野生动物名录》中的两栖类、爬行类以及珍稀鸟类，未发现《中国生物多样性红色名录》保护物种。</w:t>
            </w:r>
          </w:p>
          <w:p w14:paraId="4307B5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3环境空气质量现状</w:t>
            </w:r>
          </w:p>
          <w:p w14:paraId="51D564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1）环境空气功能区划及执行标准</w:t>
            </w:r>
          </w:p>
          <w:p w14:paraId="003D2A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eastAsia="zh-CN"/>
              </w:rPr>
            </w:pPr>
            <w:r>
              <w:rPr>
                <w:rFonts w:hint="default" w:ascii="Times New Roman" w:hAnsi="Times New Roman" w:eastAsia="宋体" w:cs="Times New Roman"/>
                <w:color w:val="000000"/>
                <w:kern w:val="0"/>
                <w:sz w:val="24"/>
                <w:szCs w:val="24"/>
                <w:lang w:val="en-US" w:eastAsia="zh-CN" w:bidi="ar"/>
              </w:rPr>
              <w:t>本项目位于玉溪市新平县</w:t>
            </w:r>
            <w:r>
              <w:rPr>
                <w:rFonts w:hint="default" w:ascii="Times New Roman" w:hAnsi="Times New Roman" w:cs="Times New Roman"/>
                <w:color w:val="000000"/>
                <w:kern w:val="0"/>
                <w:sz w:val="24"/>
                <w:szCs w:val="24"/>
                <w:lang w:val="en-US" w:eastAsia="zh-CN" w:bidi="ar"/>
              </w:rPr>
              <w:t>扬武镇</w:t>
            </w:r>
            <w:r>
              <w:rPr>
                <w:rFonts w:hint="default" w:ascii="Times New Roman" w:hAnsi="Times New Roman" w:eastAsia="宋体" w:cs="Times New Roman"/>
                <w:color w:val="000000"/>
                <w:kern w:val="0"/>
                <w:sz w:val="24"/>
                <w:szCs w:val="24"/>
                <w:lang w:val="en-US" w:eastAsia="zh-CN" w:bidi="ar"/>
              </w:rPr>
              <w:t>项目区属环境空气功能区二类区，环境空气质量六项基本因子执行《环境空气质量标准》（GB3095-</w:t>
            </w:r>
            <w:r>
              <w:rPr>
                <w:rFonts w:hint="eastAsia" w:cs="Times New Roman"/>
                <w:color w:val="000000"/>
                <w:kern w:val="0"/>
                <w:sz w:val="24"/>
                <w:szCs w:val="24"/>
                <w:lang w:val="en-US" w:eastAsia="zh-CN" w:bidi="ar"/>
              </w:rPr>
              <w:t>2026</w:t>
            </w:r>
            <w:r>
              <w:rPr>
                <w:rFonts w:hint="default" w:ascii="Times New Roman" w:hAnsi="Times New Roman" w:eastAsia="宋体" w:cs="Times New Roman"/>
                <w:color w:val="000000"/>
                <w:kern w:val="0"/>
                <w:sz w:val="24"/>
                <w:szCs w:val="24"/>
                <w:lang w:val="en-US" w:eastAsia="zh-CN" w:bidi="ar"/>
              </w:rPr>
              <w:t>）二级标准</w:t>
            </w:r>
            <w:r>
              <w:rPr>
                <w:rFonts w:hint="eastAsia" w:cs="Times New Roman"/>
                <w:sz w:val="24"/>
                <w:szCs w:val="24"/>
                <w:lang w:eastAsia="zh-CN"/>
              </w:rPr>
              <w:t>。</w:t>
            </w:r>
          </w:p>
          <w:p w14:paraId="41E0C7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2）</w:t>
            </w:r>
            <w:r>
              <w:rPr>
                <w:rFonts w:hint="eastAsia" w:ascii="Times New Roman" w:hAnsi="Times New Roman" w:eastAsia="宋体" w:cs="Times New Roman"/>
                <w:sz w:val="24"/>
                <w:szCs w:val="24"/>
                <w:lang w:val="en-US" w:eastAsia="zh-CN"/>
              </w:rPr>
              <w:t>所在区域达标判定</w:t>
            </w:r>
          </w:p>
          <w:p w14:paraId="6682AD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highlight w:val="none"/>
                <w:lang w:val="en-US" w:eastAsia="zh-CN"/>
              </w:rPr>
            </w:pPr>
            <w:r>
              <w:rPr>
                <w:rFonts w:hint="default" w:ascii="Times New Roman" w:hAnsi="Times New Roman" w:eastAsia="宋体" w:cs="Times New Roman"/>
                <w:sz w:val="24"/>
                <w:szCs w:val="24"/>
                <w:lang w:eastAsia="zh-CN"/>
              </w:rPr>
              <w:t>本项目位于玉溪市新平县</w:t>
            </w:r>
            <w:r>
              <w:rPr>
                <w:rFonts w:hint="eastAsia" w:ascii="Times New Roman" w:hAnsi="Times New Roman" w:eastAsia="宋体" w:cs="Times New Roman"/>
                <w:sz w:val="24"/>
                <w:szCs w:val="24"/>
                <w:lang w:val="en-US" w:eastAsia="zh-CN"/>
              </w:rPr>
              <w:t>扬武镇</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rPr>
              <w:t>2024年玉溪市生态环境状况公报</w:t>
            </w:r>
            <w:r>
              <w:rPr>
                <w:rFonts w:hint="default" w:ascii="Times New Roman" w:hAnsi="Times New Roman" w:eastAsia="宋体" w:cs="Times New Roman"/>
                <w:sz w:val="24"/>
                <w:szCs w:val="24"/>
                <w:lang w:val="en-US" w:eastAsia="zh-CN"/>
              </w:rPr>
              <w:t>》，2024年，中心城区环境空气质量一级240天，二级124天，超标2天。与去年同期相比，一级天数增加29天，二级天数减少18天，超标天数减少了10天。其中，细颗粒物（PM2.5）平均浓度为19.6μg/m²，中心城区环境空气质量优良天数比率为99.5%，较上年同期上升2.8个百分点；江川区、澄江市、通海县、华宁县、易门县、峨山县、新平县、元江县空气质量优良天数比率分别为99.4%、100%、99.4%、99.7%、99.7%、99.4%、99.7%、99.4%。</w:t>
            </w:r>
          </w:p>
          <w:p w14:paraId="730C59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本次评价收集新平县环境监测站的环境空气质量指数（AQI）有效监测数据进行环境质量现状调查与评价，基本污染物环境质量现状监测结果如下：</w:t>
            </w:r>
          </w:p>
          <w:p w14:paraId="14727A43">
            <w:pPr>
              <w:keepNext/>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3-3</w:t>
            </w:r>
            <w:r>
              <w:rPr>
                <w:rFonts w:hint="default" w:ascii="Times New Roman" w:hAnsi="Times New Roman" w:eastAsia="黑体" w:cs="Times New Roman"/>
                <w:b w:val="0"/>
                <w:bCs w:val="0"/>
                <w:snapToGrid w:val="0"/>
                <w:color w:val="000000" w:themeColor="text1"/>
                <w:kern w:val="2"/>
                <w:sz w:val="21"/>
                <w:szCs w:val="21"/>
                <w:highlight w:val="none"/>
                <w:lang w:val="en-US" w:eastAsia="zh-CN" w:bidi="ar-SA"/>
                <w14:textFill>
                  <w14:solidFill>
                    <w14:schemeClr w14:val="tx1"/>
                  </w14:solidFill>
                </w14:textFill>
              </w:rPr>
              <w:t xml:space="preserve">  2024年新平县空气质量现状评价表</w:t>
            </w:r>
          </w:p>
          <w:tbl>
            <w:tblPr>
              <w:tblStyle w:val="22"/>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250"/>
              <w:gridCol w:w="1489"/>
              <w:gridCol w:w="1227"/>
              <w:gridCol w:w="1103"/>
              <w:gridCol w:w="1128"/>
            </w:tblGrid>
            <w:tr w14:paraId="785E6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54" w:type="pct"/>
                  <w:tcBorders>
                    <w:tl2br w:val="nil"/>
                    <w:tr2bl w:val="nil"/>
                  </w:tcBorders>
                  <w:noWrap w:val="0"/>
                  <w:vAlign w:val="center"/>
                </w:tcPr>
                <w:p w14:paraId="602B1D70">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污染物</w:t>
                  </w:r>
                </w:p>
              </w:tc>
              <w:tc>
                <w:tcPr>
                  <w:tcW w:w="1389" w:type="pct"/>
                  <w:tcBorders>
                    <w:tl2br w:val="nil"/>
                    <w:tr2bl w:val="nil"/>
                  </w:tcBorders>
                  <w:noWrap w:val="0"/>
                  <w:vAlign w:val="center"/>
                </w:tcPr>
                <w:p w14:paraId="3DD3E104">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评价指标</w:t>
                  </w:r>
                </w:p>
              </w:tc>
              <w:tc>
                <w:tcPr>
                  <w:tcW w:w="919" w:type="pct"/>
                  <w:tcBorders>
                    <w:tl2br w:val="nil"/>
                    <w:tr2bl w:val="nil"/>
                  </w:tcBorders>
                  <w:noWrap w:val="0"/>
                  <w:vAlign w:val="center"/>
                </w:tcPr>
                <w:p w14:paraId="18075178">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现状浓度μg/m</w:t>
                  </w:r>
                  <w:r>
                    <w:rPr>
                      <w:rFonts w:hint="default" w:ascii="Times New Roman" w:hAnsi="Times New Roman" w:eastAsia="宋体" w:cs="Times New Roman"/>
                      <w:snapToGrid/>
                      <w:color w:val="000000" w:themeColor="text1"/>
                      <w:kern w:val="2"/>
                      <w:sz w:val="18"/>
                      <w:szCs w:val="18"/>
                      <w:highlight w:val="none"/>
                      <w:vertAlign w:val="superscript"/>
                      <w14:textFill>
                        <w14:solidFill>
                          <w14:schemeClr w14:val="tx1"/>
                        </w14:solidFill>
                      </w14:textFill>
                    </w:rPr>
                    <w:t>3</w:t>
                  </w:r>
                </w:p>
              </w:tc>
              <w:tc>
                <w:tcPr>
                  <w:tcW w:w="757" w:type="pct"/>
                  <w:tcBorders>
                    <w:tl2br w:val="nil"/>
                    <w:tr2bl w:val="nil"/>
                  </w:tcBorders>
                  <w:noWrap w:val="0"/>
                  <w:vAlign w:val="center"/>
                </w:tcPr>
                <w:p w14:paraId="74851E0C">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标准值μg/m</w:t>
                  </w:r>
                  <w:r>
                    <w:rPr>
                      <w:rFonts w:hint="default" w:ascii="Times New Roman" w:hAnsi="Times New Roman" w:eastAsia="宋体" w:cs="Times New Roman"/>
                      <w:snapToGrid/>
                      <w:color w:val="000000" w:themeColor="text1"/>
                      <w:kern w:val="2"/>
                      <w:sz w:val="18"/>
                      <w:szCs w:val="18"/>
                      <w:highlight w:val="none"/>
                      <w:vertAlign w:val="superscript"/>
                      <w14:textFill>
                        <w14:solidFill>
                          <w14:schemeClr w14:val="tx1"/>
                        </w14:solidFill>
                      </w14:textFill>
                    </w:rPr>
                    <w:t>3</w:t>
                  </w:r>
                </w:p>
              </w:tc>
              <w:tc>
                <w:tcPr>
                  <w:tcW w:w="681" w:type="pct"/>
                  <w:tcBorders>
                    <w:tl2br w:val="nil"/>
                    <w:tr2bl w:val="nil"/>
                  </w:tcBorders>
                  <w:noWrap w:val="0"/>
                  <w:vAlign w:val="center"/>
                </w:tcPr>
                <w:p w14:paraId="7DFF3078">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占标率%</w:t>
                  </w:r>
                </w:p>
              </w:tc>
              <w:tc>
                <w:tcPr>
                  <w:tcW w:w="697" w:type="pct"/>
                  <w:tcBorders>
                    <w:tl2br w:val="nil"/>
                    <w:tr2bl w:val="nil"/>
                  </w:tcBorders>
                  <w:noWrap w:val="0"/>
                  <w:vAlign w:val="center"/>
                </w:tcPr>
                <w:p w14:paraId="349A0DA7">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达标情况</w:t>
                  </w:r>
                </w:p>
              </w:tc>
            </w:tr>
            <w:tr w14:paraId="3C678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39D285ED">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SO</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2</w:t>
                  </w:r>
                </w:p>
              </w:tc>
              <w:tc>
                <w:tcPr>
                  <w:tcW w:w="1389" w:type="pct"/>
                  <w:tcBorders>
                    <w:tl2br w:val="nil"/>
                    <w:tr2bl w:val="nil"/>
                  </w:tcBorders>
                  <w:noWrap w:val="0"/>
                  <w:vAlign w:val="center"/>
                </w:tcPr>
                <w:p w14:paraId="297C20D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6B5A10D4">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6.09</w:t>
                  </w:r>
                </w:p>
              </w:tc>
              <w:tc>
                <w:tcPr>
                  <w:tcW w:w="757" w:type="pct"/>
                  <w:tcBorders>
                    <w:tl2br w:val="nil"/>
                    <w:tr2bl w:val="nil"/>
                  </w:tcBorders>
                  <w:noWrap w:val="0"/>
                  <w:vAlign w:val="center"/>
                </w:tcPr>
                <w:p w14:paraId="4D52437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60</w:t>
                  </w:r>
                </w:p>
              </w:tc>
              <w:tc>
                <w:tcPr>
                  <w:tcW w:w="1161" w:type="dxa"/>
                  <w:tcBorders>
                    <w:tl2br w:val="nil"/>
                    <w:tr2bl w:val="nil"/>
                  </w:tcBorders>
                  <w:noWrap w:val="0"/>
                  <w:vAlign w:val="center"/>
                </w:tcPr>
                <w:p w14:paraId="78D8F6B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10.15</w:t>
                  </w:r>
                </w:p>
              </w:tc>
              <w:tc>
                <w:tcPr>
                  <w:tcW w:w="697" w:type="pct"/>
                  <w:tcBorders>
                    <w:tl2br w:val="nil"/>
                    <w:tr2bl w:val="nil"/>
                  </w:tcBorders>
                  <w:noWrap w:val="0"/>
                  <w:vAlign w:val="center"/>
                </w:tcPr>
                <w:p w14:paraId="4F7AFF8A">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2B7C21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5D976A57">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7011AC1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24h平均第98百分位数</w:t>
                  </w:r>
                </w:p>
              </w:tc>
              <w:tc>
                <w:tcPr>
                  <w:tcW w:w="919" w:type="pct"/>
                  <w:tcBorders>
                    <w:tl2br w:val="nil"/>
                    <w:tr2bl w:val="nil"/>
                  </w:tcBorders>
                  <w:noWrap w:val="0"/>
                  <w:vAlign w:val="center"/>
                </w:tcPr>
                <w:p w14:paraId="785F5F9B">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10</w:t>
                  </w:r>
                </w:p>
              </w:tc>
              <w:tc>
                <w:tcPr>
                  <w:tcW w:w="757" w:type="pct"/>
                  <w:tcBorders>
                    <w:tl2br w:val="nil"/>
                    <w:tr2bl w:val="nil"/>
                  </w:tcBorders>
                  <w:noWrap w:val="0"/>
                  <w:vAlign w:val="center"/>
                </w:tcPr>
                <w:p w14:paraId="6B9F170F">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150</w:t>
                  </w:r>
                </w:p>
              </w:tc>
              <w:tc>
                <w:tcPr>
                  <w:tcW w:w="1161" w:type="dxa"/>
                  <w:tcBorders>
                    <w:tl2br w:val="nil"/>
                    <w:tr2bl w:val="nil"/>
                  </w:tcBorders>
                  <w:noWrap w:val="0"/>
                  <w:vAlign w:val="center"/>
                </w:tcPr>
                <w:p w14:paraId="1B593F78">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6.67</w:t>
                  </w:r>
                </w:p>
              </w:tc>
              <w:tc>
                <w:tcPr>
                  <w:tcW w:w="697" w:type="pct"/>
                  <w:tcBorders>
                    <w:tl2br w:val="nil"/>
                    <w:tr2bl w:val="nil"/>
                  </w:tcBorders>
                  <w:noWrap w:val="0"/>
                  <w:vAlign w:val="center"/>
                </w:tcPr>
                <w:p w14:paraId="7D51E5D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56CD1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3206C7A9">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NO</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2</w:t>
                  </w:r>
                </w:p>
              </w:tc>
              <w:tc>
                <w:tcPr>
                  <w:tcW w:w="1389" w:type="pct"/>
                  <w:tcBorders>
                    <w:tl2br w:val="nil"/>
                    <w:tr2bl w:val="nil"/>
                  </w:tcBorders>
                  <w:noWrap w:val="0"/>
                  <w:vAlign w:val="center"/>
                </w:tcPr>
                <w:p w14:paraId="459E06E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0C9F66D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7.31</w:t>
                  </w:r>
                </w:p>
              </w:tc>
              <w:tc>
                <w:tcPr>
                  <w:tcW w:w="757" w:type="pct"/>
                  <w:tcBorders>
                    <w:tl2br w:val="nil"/>
                    <w:tr2bl w:val="nil"/>
                  </w:tcBorders>
                  <w:noWrap w:val="0"/>
                  <w:vAlign w:val="center"/>
                </w:tcPr>
                <w:p w14:paraId="790BEA7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40</w:t>
                  </w:r>
                </w:p>
              </w:tc>
              <w:tc>
                <w:tcPr>
                  <w:tcW w:w="1161" w:type="dxa"/>
                  <w:tcBorders>
                    <w:tl2br w:val="nil"/>
                    <w:tr2bl w:val="nil"/>
                  </w:tcBorders>
                  <w:noWrap w:val="0"/>
                  <w:vAlign w:val="center"/>
                </w:tcPr>
                <w:p w14:paraId="4EBB9B4A">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18.28</w:t>
                  </w:r>
                </w:p>
              </w:tc>
              <w:tc>
                <w:tcPr>
                  <w:tcW w:w="697" w:type="pct"/>
                  <w:tcBorders>
                    <w:tl2br w:val="nil"/>
                    <w:tr2bl w:val="nil"/>
                  </w:tcBorders>
                  <w:noWrap w:val="0"/>
                  <w:vAlign w:val="center"/>
                </w:tcPr>
                <w:p w14:paraId="7B6A2FAF">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0AEEFA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45764153">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2FA4504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24h平均第98百分位数</w:t>
                  </w:r>
                </w:p>
              </w:tc>
              <w:tc>
                <w:tcPr>
                  <w:tcW w:w="919" w:type="pct"/>
                  <w:tcBorders>
                    <w:tl2br w:val="nil"/>
                    <w:tr2bl w:val="nil"/>
                  </w:tcBorders>
                  <w:noWrap w:val="0"/>
                  <w:vAlign w:val="center"/>
                </w:tcPr>
                <w:p w14:paraId="2854B2BD">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14</w:t>
                  </w:r>
                </w:p>
              </w:tc>
              <w:tc>
                <w:tcPr>
                  <w:tcW w:w="757" w:type="pct"/>
                  <w:tcBorders>
                    <w:tl2br w:val="nil"/>
                    <w:tr2bl w:val="nil"/>
                  </w:tcBorders>
                  <w:noWrap w:val="0"/>
                  <w:vAlign w:val="center"/>
                </w:tcPr>
                <w:p w14:paraId="715E5FD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80</w:t>
                  </w:r>
                </w:p>
              </w:tc>
              <w:tc>
                <w:tcPr>
                  <w:tcW w:w="1161" w:type="dxa"/>
                  <w:tcBorders>
                    <w:tl2br w:val="nil"/>
                    <w:tr2bl w:val="nil"/>
                  </w:tcBorders>
                  <w:noWrap w:val="0"/>
                  <w:vAlign w:val="center"/>
                </w:tcPr>
                <w:p w14:paraId="4230F31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17.50</w:t>
                  </w:r>
                </w:p>
              </w:tc>
              <w:tc>
                <w:tcPr>
                  <w:tcW w:w="697" w:type="pct"/>
                  <w:tcBorders>
                    <w:tl2br w:val="nil"/>
                    <w:tr2bl w:val="nil"/>
                  </w:tcBorders>
                  <w:noWrap w:val="0"/>
                  <w:vAlign w:val="center"/>
                </w:tcPr>
                <w:p w14:paraId="68DFFFB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28977F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0FD65CD2">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PM</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10</w:t>
                  </w:r>
                </w:p>
              </w:tc>
              <w:tc>
                <w:tcPr>
                  <w:tcW w:w="1389" w:type="pct"/>
                  <w:tcBorders>
                    <w:tl2br w:val="nil"/>
                    <w:tr2bl w:val="nil"/>
                  </w:tcBorders>
                  <w:noWrap w:val="0"/>
                  <w:vAlign w:val="center"/>
                </w:tcPr>
                <w:p w14:paraId="5ABCEEB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7507CC0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24.09</w:t>
                  </w:r>
                </w:p>
              </w:tc>
              <w:tc>
                <w:tcPr>
                  <w:tcW w:w="757" w:type="pct"/>
                  <w:tcBorders>
                    <w:tl2br w:val="nil"/>
                    <w:tr2bl w:val="nil"/>
                  </w:tcBorders>
                  <w:noWrap w:val="0"/>
                  <w:vAlign w:val="center"/>
                </w:tcPr>
                <w:p w14:paraId="30A2DFD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70</w:t>
                  </w:r>
                </w:p>
              </w:tc>
              <w:tc>
                <w:tcPr>
                  <w:tcW w:w="1161" w:type="dxa"/>
                  <w:tcBorders>
                    <w:tl2br w:val="nil"/>
                    <w:tr2bl w:val="nil"/>
                  </w:tcBorders>
                  <w:noWrap w:val="0"/>
                  <w:vAlign w:val="center"/>
                </w:tcPr>
                <w:p w14:paraId="4CEA372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34.41</w:t>
                  </w:r>
                </w:p>
              </w:tc>
              <w:tc>
                <w:tcPr>
                  <w:tcW w:w="697" w:type="pct"/>
                  <w:tcBorders>
                    <w:tl2br w:val="nil"/>
                    <w:tr2bl w:val="nil"/>
                  </w:tcBorders>
                  <w:noWrap w:val="0"/>
                  <w:vAlign w:val="center"/>
                </w:tcPr>
                <w:p w14:paraId="2142F198">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2CA83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5B5F9432">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09B9880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24h平均第95百分位数</w:t>
                  </w:r>
                </w:p>
              </w:tc>
              <w:tc>
                <w:tcPr>
                  <w:tcW w:w="919" w:type="pct"/>
                  <w:tcBorders>
                    <w:tl2br w:val="nil"/>
                    <w:tr2bl w:val="nil"/>
                  </w:tcBorders>
                  <w:noWrap w:val="0"/>
                  <w:vAlign w:val="center"/>
                </w:tcPr>
                <w:p w14:paraId="4E8AC4CD">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55</w:t>
                  </w:r>
                </w:p>
              </w:tc>
              <w:tc>
                <w:tcPr>
                  <w:tcW w:w="757" w:type="pct"/>
                  <w:tcBorders>
                    <w:tl2br w:val="nil"/>
                    <w:tr2bl w:val="nil"/>
                  </w:tcBorders>
                  <w:noWrap w:val="0"/>
                  <w:vAlign w:val="center"/>
                </w:tcPr>
                <w:p w14:paraId="77BE56A7">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150</w:t>
                  </w:r>
                </w:p>
              </w:tc>
              <w:tc>
                <w:tcPr>
                  <w:tcW w:w="1161" w:type="dxa"/>
                  <w:tcBorders>
                    <w:tl2br w:val="nil"/>
                    <w:tr2bl w:val="nil"/>
                  </w:tcBorders>
                  <w:noWrap w:val="0"/>
                  <w:vAlign w:val="center"/>
                </w:tcPr>
                <w:p w14:paraId="3A2771E8">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36.67</w:t>
                  </w:r>
                </w:p>
              </w:tc>
              <w:tc>
                <w:tcPr>
                  <w:tcW w:w="697" w:type="pct"/>
                  <w:tcBorders>
                    <w:tl2br w:val="nil"/>
                    <w:tr2bl w:val="nil"/>
                  </w:tcBorders>
                  <w:noWrap w:val="0"/>
                  <w:vAlign w:val="center"/>
                </w:tcPr>
                <w:p w14:paraId="7340470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2F5E6C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tcBorders>
                    <w:tl2br w:val="nil"/>
                    <w:tr2bl w:val="nil"/>
                  </w:tcBorders>
                  <w:noWrap w:val="0"/>
                  <w:vAlign w:val="center"/>
                </w:tcPr>
                <w:p w14:paraId="084D836D">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CO</w:t>
                  </w:r>
                </w:p>
              </w:tc>
              <w:tc>
                <w:tcPr>
                  <w:tcW w:w="1389" w:type="pct"/>
                  <w:tcBorders>
                    <w:tl2br w:val="nil"/>
                    <w:tr2bl w:val="nil"/>
                  </w:tcBorders>
                  <w:noWrap w:val="0"/>
                  <w:vAlign w:val="center"/>
                </w:tcPr>
                <w:p w14:paraId="673493E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24h平均第95百分位数</w:t>
                  </w:r>
                </w:p>
              </w:tc>
              <w:tc>
                <w:tcPr>
                  <w:tcW w:w="919" w:type="pct"/>
                  <w:tcBorders>
                    <w:tl2br w:val="nil"/>
                    <w:tr2bl w:val="nil"/>
                  </w:tcBorders>
                  <w:noWrap w:val="0"/>
                  <w:vAlign w:val="center"/>
                </w:tcPr>
                <w:p w14:paraId="3A9F3223">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600</w:t>
                  </w:r>
                </w:p>
              </w:tc>
              <w:tc>
                <w:tcPr>
                  <w:tcW w:w="757" w:type="pct"/>
                  <w:tcBorders>
                    <w:tl2br w:val="nil"/>
                    <w:tr2bl w:val="nil"/>
                  </w:tcBorders>
                  <w:noWrap w:val="0"/>
                  <w:vAlign w:val="center"/>
                </w:tcPr>
                <w:p w14:paraId="0D3D23DD">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4000</w:t>
                  </w:r>
                </w:p>
              </w:tc>
              <w:tc>
                <w:tcPr>
                  <w:tcW w:w="1161" w:type="dxa"/>
                  <w:tcBorders>
                    <w:tl2br w:val="nil"/>
                    <w:tr2bl w:val="nil"/>
                  </w:tcBorders>
                  <w:noWrap w:val="0"/>
                  <w:vAlign w:val="center"/>
                </w:tcPr>
                <w:p w14:paraId="483A3E2F">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15.00</w:t>
                  </w:r>
                </w:p>
              </w:tc>
              <w:tc>
                <w:tcPr>
                  <w:tcW w:w="697" w:type="pct"/>
                  <w:tcBorders>
                    <w:tl2br w:val="nil"/>
                    <w:tr2bl w:val="nil"/>
                  </w:tcBorders>
                  <w:noWrap w:val="0"/>
                  <w:vAlign w:val="center"/>
                </w:tcPr>
                <w:p w14:paraId="3C7BE96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176387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tcBorders>
                    <w:tl2br w:val="nil"/>
                    <w:tr2bl w:val="nil"/>
                  </w:tcBorders>
                  <w:noWrap w:val="0"/>
                  <w:vAlign w:val="center"/>
                </w:tcPr>
                <w:p w14:paraId="7231D75A">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O</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3</w:t>
                  </w:r>
                </w:p>
              </w:tc>
              <w:tc>
                <w:tcPr>
                  <w:tcW w:w="1389" w:type="pct"/>
                  <w:tcBorders>
                    <w:tl2br w:val="nil"/>
                    <w:tr2bl w:val="nil"/>
                  </w:tcBorders>
                  <w:noWrap w:val="0"/>
                  <w:vAlign w:val="center"/>
                </w:tcPr>
                <w:p w14:paraId="23A6C711">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8小时平均第90百分位数</w:t>
                  </w:r>
                </w:p>
              </w:tc>
              <w:tc>
                <w:tcPr>
                  <w:tcW w:w="919" w:type="pct"/>
                  <w:tcBorders>
                    <w:tl2br w:val="nil"/>
                    <w:tr2bl w:val="nil"/>
                  </w:tcBorders>
                  <w:noWrap w:val="0"/>
                  <w:vAlign w:val="center"/>
                </w:tcPr>
                <w:p w14:paraId="46CCADA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74</w:t>
                  </w:r>
                </w:p>
              </w:tc>
              <w:tc>
                <w:tcPr>
                  <w:tcW w:w="757" w:type="pct"/>
                  <w:tcBorders>
                    <w:tl2br w:val="nil"/>
                    <w:tr2bl w:val="nil"/>
                  </w:tcBorders>
                  <w:noWrap w:val="0"/>
                  <w:vAlign w:val="center"/>
                </w:tcPr>
                <w:p w14:paraId="4EF0694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160</w:t>
                  </w:r>
                </w:p>
              </w:tc>
              <w:tc>
                <w:tcPr>
                  <w:tcW w:w="1161" w:type="dxa"/>
                  <w:tcBorders>
                    <w:tl2br w:val="nil"/>
                    <w:tr2bl w:val="nil"/>
                  </w:tcBorders>
                  <w:noWrap w:val="0"/>
                  <w:vAlign w:val="center"/>
                </w:tcPr>
                <w:p w14:paraId="073D735D">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46.25</w:t>
                  </w:r>
                </w:p>
              </w:tc>
              <w:tc>
                <w:tcPr>
                  <w:tcW w:w="697" w:type="pct"/>
                  <w:tcBorders>
                    <w:tl2br w:val="nil"/>
                    <w:tr2bl w:val="nil"/>
                  </w:tcBorders>
                  <w:noWrap w:val="0"/>
                  <w:vAlign w:val="center"/>
                </w:tcPr>
                <w:p w14:paraId="131662EE">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2572DF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restart"/>
                  <w:tcBorders>
                    <w:tl2br w:val="nil"/>
                    <w:tr2bl w:val="nil"/>
                  </w:tcBorders>
                  <w:noWrap w:val="0"/>
                  <w:vAlign w:val="center"/>
                </w:tcPr>
                <w:p w14:paraId="61C4600B">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t>PM</w:t>
                  </w:r>
                  <w:r>
                    <w:rPr>
                      <w:rFonts w:hint="default" w:ascii="Times New Roman" w:hAnsi="Times New Roman" w:eastAsia="宋体" w:cs="Times New Roman"/>
                      <w:snapToGrid/>
                      <w:color w:val="000000" w:themeColor="text1"/>
                      <w:kern w:val="2"/>
                      <w:sz w:val="18"/>
                      <w:szCs w:val="18"/>
                      <w:highlight w:val="none"/>
                      <w:vertAlign w:val="subscript"/>
                      <w14:textFill>
                        <w14:solidFill>
                          <w14:schemeClr w14:val="tx1"/>
                        </w14:solidFill>
                      </w14:textFill>
                    </w:rPr>
                    <w:t>2.5</w:t>
                  </w:r>
                </w:p>
              </w:tc>
              <w:tc>
                <w:tcPr>
                  <w:tcW w:w="1389" w:type="pct"/>
                  <w:tcBorders>
                    <w:tl2br w:val="nil"/>
                    <w:tr2bl w:val="nil"/>
                  </w:tcBorders>
                  <w:noWrap w:val="0"/>
                  <w:vAlign w:val="center"/>
                </w:tcPr>
                <w:p w14:paraId="0A39464B">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年平均质量浓度</w:t>
                  </w:r>
                </w:p>
              </w:tc>
              <w:tc>
                <w:tcPr>
                  <w:tcW w:w="919" w:type="pct"/>
                  <w:tcBorders>
                    <w:tl2br w:val="nil"/>
                    <w:tr2bl w:val="nil"/>
                  </w:tcBorders>
                  <w:noWrap w:val="0"/>
                  <w:vAlign w:val="center"/>
                </w:tcPr>
                <w:p w14:paraId="558C7CA0">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16.78</w:t>
                  </w:r>
                </w:p>
              </w:tc>
              <w:tc>
                <w:tcPr>
                  <w:tcW w:w="757" w:type="pct"/>
                  <w:tcBorders>
                    <w:tl2br w:val="nil"/>
                    <w:tr2bl w:val="nil"/>
                  </w:tcBorders>
                  <w:noWrap w:val="0"/>
                  <w:vAlign w:val="center"/>
                </w:tcPr>
                <w:p w14:paraId="305E3F62">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35</w:t>
                  </w:r>
                </w:p>
              </w:tc>
              <w:tc>
                <w:tcPr>
                  <w:tcW w:w="1161" w:type="dxa"/>
                  <w:tcBorders>
                    <w:tl2br w:val="nil"/>
                    <w:tr2bl w:val="nil"/>
                  </w:tcBorders>
                  <w:noWrap w:val="0"/>
                  <w:vAlign w:val="center"/>
                </w:tcPr>
                <w:p w14:paraId="725BD0E6">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47.94</w:t>
                  </w:r>
                </w:p>
              </w:tc>
              <w:tc>
                <w:tcPr>
                  <w:tcW w:w="697" w:type="pct"/>
                  <w:tcBorders>
                    <w:tl2br w:val="nil"/>
                    <w:tr2bl w:val="nil"/>
                  </w:tcBorders>
                  <w:noWrap w:val="0"/>
                  <w:vAlign w:val="center"/>
                </w:tcPr>
                <w:p w14:paraId="4C1AA66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r w14:paraId="3F8F5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4" w:type="pct"/>
                  <w:vMerge w:val="continue"/>
                  <w:tcBorders>
                    <w:tl2br w:val="nil"/>
                    <w:tr2bl w:val="nil"/>
                  </w:tcBorders>
                  <w:noWrap w:val="0"/>
                  <w:vAlign w:val="center"/>
                </w:tcPr>
                <w:p w14:paraId="6ADE4DD6">
                  <w:pPr>
                    <w:keepNext w:val="0"/>
                    <w:keepLines w:val="0"/>
                    <w:pageBreakBefore w:val="0"/>
                    <w:widowControl/>
                    <w:kinsoku/>
                    <w:wordWrap/>
                    <w:overflowPunct/>
                    <w:topLinePunct w:val="0"/>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snapToGrid/>
                      <w:color w:val="000000" w:themeColor="text1"/>
                      <w:kern w:val="2"/>
                      <w:sz w:val="18"/>
                      <w:szCs w:val="18"/>
                      <w:highlight w:val="none"/>
                      <w14:textFill>
                        <w14:solidFill>
                          <w14:schemeClr w14:val="tx1"/>
                        </w14:solidFill>
                      </w14:textFill>
                    </w:rPr>
                  </w:pPr>
                </w:p>
              </w:tc>
              <w:tc>
                <w:tcPr>
                  <w:tcW w:w="1389" w:type="pct"/>
                  <w:tcBorders>
                    <w:tl2br w:val="nil"/>
                    <w:tr2bl w:val="nil"/>
                  </w:tcBorders>
                  <w:noWrap w:val="0"/>
                  <w:vAlign w:val="center"/>
                </w:tcPr>
                <w:p w14:paraId="0B46EFB5">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24h平均第95百分位数</w:t>
                  </w:r>
                </w:p>
              </w:tc>
              <w:tc>
                <w:tcPr>
                  <w:tcW w:w="919" w:type="pct"/>
                  <w:tcBorders>
                    <w:tl2br w:val="nil"/>
                    <w:tr2bl w:val="nil"/>
                  </w:tcBorders>
                  <w:noWrap w:val="0"/>
                  <w:vAlign w:val="center"/>
                </w:tcPr>
                <w:p w14:paraId="27999D2D">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43</w:t>
                  </w:r>
                </w:p>
              </w:tc>
              <w:tc>
                <w:tcPr>
                  <w:tcW w:w="757" w:type="pct"/>
                  <w:tcBorders>
                    <w:tl2br w:val="nil"/>
                    <w:tr2bl w:val="nil"/>
                  </w:tcBorders>
                  <w:noWrap w:val="0"/>
                  <w:vAlign w:val="center"/>
                </w:tcPr>
                <w:p w14:paraId="581EA209">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75</w:t>
                  </w:r>
                </w:p>
              </w:tc>
              <w:tc>
                <w:tcPr>
                  <w:tcW w:w="1161" w:type="dxa"/>
                  <w:tcBorders>
                    <w:tl2br w:val="nil"/>
                    <w:tr2bl w:val="nil"/>
                  </w:tcBorders>
                  <w:noWrap w:val="0"/>
                  <w:vAlign w:val="center"/>
                </w:tcPr>
                <w:p w14:paraId="7DAF630B">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57.33</w:t>
                  </w:r>
                </w:p>
              </w:tc>
              <w:tc>
                <w:tcPr>
                  <w:tcW w:w="697" w:type="pct"/>
                  <w:tcBorders>
                    <w:tl2br w:val="nil"/>
                    <w:tr2bl w:val="nil"/>
                  </w:tcBorders>
                  <w:noWrap w:val="0"/>
                  <w:vAlign w:val="center"/>
                </w:tcPr>
                <w:p w14:paraId="1C1E8B4C">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18"/>
                      <w:szCs w:val="18"/>
                      <w:highlight w:val="none"/>
                      <w:lang w:val="en-US" w:eastAsia="zh-CN"/>
                      <w14:textFill>
                        <w14:solidFill>
                          <w14:schemeClr w14:val="tx1"/>
                        </w14:solidFill>
                      </w14:textFill>
                    </w:rPr>
                    <w:t>达标</w:t>
                  </w:r>
                </w:p>
              </w:tc>
            </w:tr>
          </w:tbl>
          <w:p w14:paraId="3D5F3E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根据</w:t>
            </w:r>
            <w:r>
              <w:rPr>
                <w:rFonts w:hint="eastAsia" w:ascii="Times New Roman" w:hAnsi="Times New Roman" w:cs="Times New Roman"/>
                <w:sz w:val="24"/>
                <w:szCs w:val="24"/>
                <w:lang w:val="en-US" w:eastAsia="zh-CN"/>
              </w:rPr>
              <w:t>根据上表</w:t>
            </w:r>
            <w:r>
              <w:rPr>
                <w:rFonts w:hint="default" w:ascii="Times New Roman" w:hAnsi="Times New Roman" w:eastAsia="宋体" w:cs="Times New Roman"/>
                <w:sz w:val="24"/>
                <w:szCs w:val="24"/>
                <w:lang w:eastAsia="zh-CN"/>
              </w:rPr>
              <w:t>监测数据可知，SO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、NO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、PM</w:t>
            </w:r>
            <w:r>
              <w:rPr>
                <w:rFonts w:hint="default" w:ascii="Times New Roman" w:hAnsi="Times New Roman" w:eastAsia="宋体" w:cs="Times New Roman"/>
                <w:sz w:val="24"/>
                <w:szCs w:val="24"/>
                <w:vertAlign w:val="subscript"/>
                <w:lang w:eastAsia="zh-CN"/>
              </w:rPr>
              <w:t>10</w:t>
            </w:r>
            <w:r>
              <w:rPr>
                <w:rFonts w:hint="default" w:ascii="Times New Roman" w:hAnsi="Times New Roman" w:eastAsia="宋体" w:cs="Times New Roman"/>
                <w:sz w:val="24"/>
                <w:szCs w:val="24"/>
                <w:lang w:eastAsia="zh-CN"/>
              </w:rPr>
              <w:t>、PM</w:t>
            </w:r>
            <w:r>
              <w:rPr>
                <w:rFonts w:hint="default" w:ascii="Times New Roman" w:hAnsi="Times New Roman" w:eastAsia="宋体" w:cs="Times New Roman"/>
                <w:sz w:val="24"/>
                <w:szCs w:val="24"/>
                <w:vertAlign w:val="subscript"/>
                <w:lang w:eastAsia="zh-CN"/>
              </w:rPr>
              <w:t>2.5</w:t>
            </w:r>
            <w:r>
              <w:rPr>
                <w:rFonts w:hint="default" w:ascii="Times New Roman" w:hAnsi="Times New Roman" w:eastAsia="宋体" w:cs="Times New Roman"/>
                <w:sz w:val="24"/>
                <w:szCs w:val="24"/>
                <w:lang w:eastAsia="zh-CN"/>
              </w:rPr>
              <w:t>、O</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、CO六项污染物均满足《环境空气质量标准》（GB3095－</w:t>
            </w:r>
            <w:r>
              <w:rPr>
                <w:rFonts w:hint="eastAsia" w:cs="Times New Roman"/>
                <w:sz w:val="24"/>
                <w:szCs w:val="24"/>
                <w:lang w:val="en-US" w:eastAsia="zh-CN"/>
              </w:rPr>
              <w:t>2026</w:t>
            </w:r>
            <w:r>
              <w:rPr>
                <w:rFonts w:hint="default" w:ascii="Times New Roman" w:hAnsi="Times New Roman" w:eastAsia="宋体" w:cs="Times New Roman"/>
                <w:sz w:val="24"/>
                <w:szCs w:val="24"/>
                <w:lang w:eastAsia="zh-CN"/>
              </w:rPr>
              <w:t>）二级标准</w:t>
            </w:r>
            <w:r>
              <w:rPr>
                <w:rFonts w:hint="eastAsia" w:cs="Times New Roman"/>
                <w:sz w:val="24"/>
                <w:szCs w:val="24"/>
                <w:lang w:val="en-US" w:eastAsia="zh-CN"/>
              </w:rPr>
              <w:t>执行过渡阶段浓度限值</w:t>
            </w:r>
            <w:r>
              <w:rPr>
                <w:rFonts w:hint="default" w:ascii="Times New Roman" w:hAnsi="Times New Roman" w:eastAsia="宋体" w:cs="Times New Roman"/>
                <w:sz w:val="24"/>
                <w:szCs w:val="24"/>
                <w:lang w:eastAsia="zh-CN"/>
              </w:rPr>
              <w:t>，项目所在区域为达标区。</w:t>
            </w:r>
          </w:p>
          <w:p w14:paraId="050D9F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eastAsia="zh-CN"/>
              </w:rPr>
              <w:t>（</w:t>
            </w:r>
            <w:r>
              <w:rPr>
                <w:rFonts w:hint="eastAsia" w:cs="Times New Roman"/>
                <w:sz w:val="24"/>
                <w:szCs w:val="24"/>
                <w:lang w:val="en-US" w:eastAsia="zh-CN"/>
              </w:rPr>
              <w:t>3</w:t>
            </w:r>
            <w:r>
              <w:rPr>
                <w:rFonts w:hint="eastAsia" w:cs="Times New Roman"/>
                <w:sz w:val="24"/>
                <w:szCs w:val="24"/>
                <w:lang w:eastAsia="zh-CN"/>
              </w:rPr>
              <w:t>）</w:t>
            </w:r>
            <w:r>
              <w:rPr>
                <w:rFonts w:hint="eastAsia" w:cs="Times New Roman"/>
                <w:sz w:val="24"/>
                <w:szCs w:val="24"/>
                <w:lang w:val="en-US" w:eastAsia="zh-CN"/>
              </w:rPr>
              <w:t>项目所在区域环境质量现状</w:t>
            </w:r>
          </w:p>
          <w:p w14:paraId="7C92D1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项目特征污染物主要为颗粒物，</w:t>
            </w:r>
            <w:r>
              <w:rPr>
                <w:rFonts w:hint="eastAsia" w:ascii="Times New Roman" w:hAnsi="Times New Roman" w:eastAsia="宋体" w:cs="Times New Roman"/>
                <w:sz w:val="24"/>
                <w:szCs w:val="24"/>
                <w:lang w:val="en-US" w:eastAsia="zh-CN"/>
              </w:rPr>
              <w:t>引用《</w:t>
            </w:r>
            <w:r>
              <w:rPr>
                <w:rFonts w:hint="default" w:ascii="Times New Roman" w:hAnsi="Times New Roman" w:eastAsia="宋体" w:cs="Times New Roman"/>
                <w:color w:val="auto"/>
                <w:sz w:val="24"/>
                <w:highlight w:val="none"/>
                <w:lang w:val="en-US" w:eastAsia="zh-CN"/>
              </w:rPr>
              <w:t>云南玉溪仙福钢铁（集团）有限公司配套100万吨/年焦化建设项目</w:t>
            </w:r>
            <w:r>
              <w:rPr>
                <w:rFonts w:hint="eastAsia" w:ascii="Times New Roman" w:hAnsi="Times New Roman" w:eastAsia="宋体" w:cs="Times New Roman"/>
                <w:color w:val="auto"/>
                <w:sz w:val="24"/>
                <w:highlight w:val="none"/>
                <w:lang w:val="en-US" w:eastAsia="zh-CN"/>
              </w:rPr>
              <w:t>环境影响报告书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rPr>
              <w:t>中环境质量现状调查的监测数据，</w:t>
            </w:r>
            <w:r>
              <w:rPr>
                <w:rFonts w:hint="eastAsia" w:cs="Times New Roman"/>
                <w:color w:val="auto"/>
                <w:sz w:val="24"/>
                <w:szCs w:val="24"/>
                <w:lang w:val="en-US" w:eastAsia="zh-CN"/>
              </w:rPr>
              <w:t>引用监测点位于本项目红线外西北侧415m，</w:t>
            </w:r>
            <w:r>
              <w:rPr>
                <w:rFonts w:hint="default" w:ascii="Times New Roman" w:hAnsi="Times New Roman" w:eastAsia="宋体" w:cs="Times New Roman"/>
                <w:color w:val="auto"/>
                <w:sz w:val="24"/>
                <w:szCs w:val="24"/>
              </w:rPr>
              <w:t>监测时间为202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监测结果统计如下表</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rPr>
              <w:t>本项目区与引用项目</w:t>
            </w:r>
            <w:r>
              <w:rPr>
                <w:rFonts w:hint="default" w:ascii="Times New Roman" w:hAnsi="Times New Roman" w:eastAsia="宋体" w:cs="Times New Roman"/>
                <w:color w:val="auto"/>
                <w:sz w:val="24"/>
                <w:szCs w:val="24"/>
                <w:lang w:eastAsia="zh-CN"/>
              </w:rPr>
              <w:t>监测点位</w:t>
            </w:r>
            <w:r>
              <w:rPr>
                <w:rFonts w:hint="default" w:ascii="Times New Roman" w:hAnsi="Times New Roman" w:eastAsia="宋体" w:cs="Times New Roman"/>
                <w:color w:val="auto"/>
                <w:sz w:val="24"/>
                <w:szCs w:val="24"/>
              </w:rPr>
              <w:t>位置</w:t>
            </w:r>
            <w:r>
              <w:rPr>
                <w:rFonts w:hint="default" w:ascii="Times New Roman" w:hAnsi="Times New Roman" w:eastAsia="宋体" w:cs="Times New Roman"/>
                <w:color w:val="auto"/>
                <w:sz w:val="24"/>
                <w:szCs w:val="24"/>
                <w:lang w:eastAsia="zh-CN"/>
              </w:rPr>
              <w:t>相对位置</w:t>
            </w:r>
            <w:r>
              <w:rPr>
                <w:rFonts w:hint="default" w:ascii="Times New Roman" w:hAnsi="Times New Roman" w:eastAsia="宋体" w:cs="Times New Roman"/>
                <w:color w:val="auto"/>
                <w:sz w:val="24"/>
                <w:szCs w:val="24"/>
              </w:rPr>
              <w:t>见下图3-1。</w:t>
            </w:r>
          </w:p>
          <w:p w14:paraId="439CB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①监测项目：TSP</w:t>
            </w:r>
            <w:r>
              <w:rPr>
                <w:rFonts w:hint="eastAsia" w:ascii="Times New Roman" w:hAnsi="Times New Roman" w:eastAsia="宋体" w:cs="Times New Roman"/>
                <w:b w:val="0"/>
                <w:bCs w:val="0"/>
                <w:color w:val="auto"/>
                <w:sz w:val="24"/>
                <w:szCs w:val="24"/>
                <w:lang w:eastAsia="zh-CN"/>
              </w:rPr>
              <w:t>；</w:t>
            </w:r>
          </w:p>
          <w:p w14:paraId="6A51EB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②监测时间：202</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日-</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13</w:t>
            </w:r>
            <w:r>
              <w:rPr>
                <w:rFonts w:hint="default" w:ascii="Times New Roman" w:hAnsi="Times New Roman" w:eastAsia="宋体" w:cs="Times New Roman"/>
                <w:b w:val="0"/>
                <w:bCs w:val="0"/>
                <w:color w:val="auto"/>
                <w:sz w:val="24"/>
                <w:szCs w:val="24"/>
              </w:rPr>
              <w:t>日</w:t>
            </w:r>
            <w:r>
              <w:rPr>
                <w:rFonts w:hint="eastAsia" w:ascii="Times New Roman" w:hAnsi="Times New Roman" w:eastAsia="宋体" w:cs="Times New Roman"/>
                <w:b w:val="0"/>
                <w:bCs w:val="0"/>
                <w:color w:val="auto"/>
                <w:sz w:val="24"/>
                <w:szCs w:val="24"/>
                <w:lang w:eastAsia="zh-CN"/>
              </w:rPr>
              <w:t>；</w:t>
            </w:r>
          </w:p>
          <w:p w14:paraId="6892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③监测点位：</w:t>
            </w:r>
            <w:r>
              <w:rPr>
                <w:rFonts w:hint="default" w:ascii="Times New Roman" w:hAnsi="Times New Roman" w:eastAsia="宋体" w:cs="Times New Roman"/>
                <w:color w:val="auto"/>
                <w:sz w:val="24"/>
                <w:highlight w:val="none"/>
                <w:lang w:val="en-US" w:eastAsia="zh-CN"/>
              </w:rPr>
              <w:t>云南玉溪仙福钢铁（集团）有限公司配套100万吨/年焦化建设项目</w:t>
            </w:r>
            <w:r>
              <w:rPr>
                <w:rFonts w:hint="eastAsia" w:ascii="Times New Roman" w:hAnsi="Times New Roman" w:eastAsia="宋体" w:cs="Times New Roman"/>
                <w:color w:val="auto"/>
                <w:sz w:val="24"/>
                <w:highlight w:val="none"/>
                <w:lang w:val="en-US" w:eastAsia="zh-CN"/>
              </w:rPr>
              <w:t>拟建厂址；</w:t>
            </w:r>
          </w:p>
          <w:p w14:paraId="1F17CF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④监测频率：连续7天</w:t>
            </w:r>
            <w:r>
              <w:rPr>
                <w:rFonts w:hint="eastAsia" w:ascii="Times New Roman" w:hAnsi="Times New Roman" w:eastAsia="宋体" w:cs="Times New Roman"/>
                <w:b w:val="0"/>
                <w:bCs w:val="0"/>
                <w:color w:val="auto"/>
                <w:sz w:val="24"/>
                <w:szCs w:val="24"/>
                <w:lang w:eastAsia="zh-CN"/>
              </w:rPr>
              <w:t>。</w:t>
            </w:r>
          </w:p>
          <w:p w14:paraId="20FA2EF4">
            <w:pPr>
              <w:pStyle w:val="26"/>
              <w:keepNext w:val="0"/>
              <w:keepLines w:val="0"/>
              <w:pageBreakBefore w:val="0"/>
              <w:widowControl w:val="0"/>
              <w:kinsoku/>
              <w:wordWrap/>
              <w:overflowPunct/>
              <w:topLinePunct w:val="0"/>
              <w:autoSpaceDE/>
              <w:autoSpaceDN/>
              <w:bidi w:val="0"/>
              <w:spacing w:line="360" w:lineRule="auto"/>
              <w:textAlignment w:val="auto"/>
              <w:rPr>
                <w:rFonts w:hint="eastAsia" w:ascii="黑体" w:hAnsi="黑体" w:eastAsia="黑体" w:cs="黑体"/>
                <w:b w:val="0"/>
                <w:bCs w:val="0"/>
                <w:color w:val="auto"/>
              </w:rPr>
            </w:pPr>
            <w:r>
              <w:rPr>
                <w:rFonts w:hint="eastAsia" w:ascii="黑体" w:hAnsi="黑体" w:eastAsia="黑体" w:cs="黑体"/>
                <w:b w:val="0"/>
                <w:bCs w:val="0"/>
                <w:color w:val="auto"/>
              </w:rPr>
              <w:t>表3-</w:t>
            </w:r>
            <w:r>
              <w:rPr>
                <w:rFonts w:hint="eastAsia" w:ascii="黑体" w:hAnsi="黑体" w:eastAsia="黑体" w:cs="黑体"/>
                <w:b w:val="0"/>
                <w:bCs w:val="0"/>
                <w:color w:val="auto"/>
                <w:lang w:val="en-US" w:eastAsia="zh-CN"/>
              </w:rPr>
              <w:t>4</w:t>
            </w:r>
            <w:r>
              <w:rPr>
                <w:rFonts w:hint="default" w:ascii="黑体" w:hAnsi="黑体" w:eastAsia="黑体" w:cs="黑体"/>
                <w:b w:val="0"/>
                <w:bCs w:val="0"/>
                <w:color w:val="auto"/>
                <w:lang w:val="en-US" w:eastAsia="zh-CN"/>
              </w:rPr>
              <w:t>云南玉溪仙福钢铁（集团）有限公司配套100万吨/年焦化建设项目</w:t>
            </w:r>
            <w:r>
              <w:rPr>
                <w:rFonts w:hint="eastAsia" w:ascii="黑体" w:hAnsi="黑体" w:eastAsia="黑体" w:cs="黑体"/>
                <w:b w:val="0"/>
                <w:bCs w:val="0"/>
                <w:color w:val="auto"/>
              </w:rPr>
              <w:t>环境空气质量监测数据  单位：</w:t>
            </w:r>
            <w:r>
              <w:rPr>
                <w:rFonts w:hint="eastAsia" w:ascii="黑体" w:hAnsi="黑体" w:eastAsia="黑体" w:cs="黑体"/>
                <w:b w:val="0"/>
                <w:bCs w:val="0"/>
                <w:color w:val="auto"/>
                <w:lang w:val="en-US" w:eastAsia="zh-CN"/>
              </w:rPr>
              <w:t>u</w:t>
            </w:r>
            <w:r>
              <w:rPr>
                <w:rFonts w:hint="eastAsia" w:ascii="黑体" w:hAnsi="黑体" w:eastAsia="黑体" w:cs="黑体"/>
                <w:b w:val="0"/>
                <w:bCs w:val="0"/>
                <w:color w:val="auto"/>
              </w:rPr>
              <w:t>g/m³</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769"/>
              <w:gridCol w:w="960"/>
              <w:gridCol w:w="769"/>
              <w:gridCol w:w="985"/>
            </w:tblGrid>
            <w:tr w14:paraId="57B2F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96" w:type="pct"/>
                  <w:tcBorders>
                    <w:tl2br w:val="nil"/>
                    <w:tr2bl w:val="nil"/>
                  </w:tcBorders>
                  <w:noWrap w:val="0"/>
                  <w:vAlign w:val="center"/>
                </w:tcPr>
                <w:p w14:paraId="78E131CB">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采样点</w:t>
                  </w:r>
                </w:p>
              </w:tc>
              <w:tc>
                <w:tcPr>
                  <w:tcW w:w="2327" w:type="pct"/>
                  <w:tcBorders>
                    <w:tl2br w:val="nil"/>
                    <w:tr2bl w:val="nil"/>
                  </w:tcBorders>
                  <w:noWrap w:val="0"/>
                  <w:vAlign w:val="center"/>
                </w:tcPr>
                <w:p w14:paraId="075C2EAD">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采样日期</w:t>
                  </w:r>
                </w:p>
              </w:tc>
              <w:tc>
                <w:tcPr>
                  <w:tcW w:w="593" w:type="pct"/>
                  <w:tcBorders>
                    <w:tl2br w:val="nil"/>
                    <w:tr2bl w:val="nil"/>
                  </w:tcBorders>
                  <w:noWrap w:val="0"/>
                  <w:vAlign w:val="center"/>
                </w:tcPr>
                <w:p w14:paraId="4E749DDD">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监测结果</w:t>
                  </w:r>
                </w:p>
              </w:tc>
              <w:tc>
                <w:tcPr>
                  <w:tcW w:w="475" w:type="pct"/>
                  <w:tcBorders>
                    <w:tl2br w:val="nil"/>
                    <w:tr2bl w:val="nil"/>
                  </w:tcBorders>
                  <w:noWrap w:val="0"/>
                  <w:vAlign w:val="center"/>
                </w:tcPr>
                <w:p w14:paraId="74173DA6">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标准值</w:t>
                  </w:r>
                </w:p>
              </w:tc>
              <w:tc>
                <w:tcPr>
                  <w:tcW w:w="608" w:type="pct"/>
                  <w:tcBorders>
                    <w:tl2br w:val="nil"/>
                    <w:tr2bl w:val="nil"/>
                  </w:tcBorders>
                  <w:noWrap w:val="0"/>
                  <w:vAlign w:val="center"/>
                </w:tcPr>
                <w:p w14:paraId="3D249CFA">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达标情况</w:t>
                  </w:r>
                </w:p>
              </w:tc>
            </w:tr>
            <w:tr w14:paraId="72F3E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vMerge w:val="restart"/>
                  <w:tcBorders>
                    <w:tl2br w:val="nil"/>
                    <w:tr2bl w:val="nil"/>
                  </w:tcBorders>
                  <w:noWrap w:val="0"/>
                  <w:vAlign w:val="center"/>
                </w:tcPr>
                <w:p w14:paraId="0D484BA1">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云南玉溪仙福钢铁（集团）有限公司配套100万吨/年焦化建设项目拟建厂址</w:t>
                  </w:r>
                </w:p>
              </w:tc>
              <w:tc>
                <w:tcPr>
                  <w:tcW w:w="2327" w:type="pct"/>
                  <w:tcBorders>
                    <w:tl2br w:val="nil"/>
                    <w:tr2bl w:val="nil"/>
                  </w:tcBorders>
                  <w:noWrap w:val="0"/>
                  <w:vAlign w:val="center"/>
                </w:tcPr>
                <w:p w14:paraId="4EE3939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06</w:t>
                  </w:r>
                  <w:r>
                    <w:rPr>
                      <w:rFonts w:hint="eastAsia" w:ascii="Times New Roman" w:hAnsi="Times New Roman" w:eastAsia="黑体" w:cs="Times New Roman"/>
                      <w:color w:val="000000"/>
                      <w:kern w:val="0"/>
                      <w:sz w:val="18"/>
                      <w:szCs w:val="18"/>
                      <w:lang w:val="en-US" w:eastAsia="zh-CN" w:bidi="ar"/>
                    </w:rPr>
                    <w:t>（0</w:t>
                  </w:r>
                  <w:r>
                    <w:rPr>
                      <w:rFonts w:hint="default" w:ascii="Times New Roman" w:hAnsi="Times New Roman" w:eastAsia="黑体" w:cs="Times New Roman"/>
                      <w:color w:val="000000"/>
                      <w:kern w:val="0"/>
                      <w:sz w:val="18"/>
                      <w:szCs w:val="18"/>
                      <w:lang w:val="en-US" w:eastAsia="zh-CN" w:bidi="ar"/>
                    </w:rPr>
                    <w:t>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47</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47</w:t>
                  </w:r>
                  <w:r>
                    <w:rPr>
                      <w:rFonts w:hint="eastAsia" w:ascii="Times New Roman" w:hAnsi="Times New Roman" w:eastAsia="黑体" w:cs="Times New Roman"/>
                      <w:color w:val="000000"/>
                      <w:kern w:val="0"/>
                      <w:sz w:val="18"/>
                      <w:szCs w:val="18"/>
                      <w:lang w:val="en-US" w:eastAsia="zh-CN" w:bidi="ar"/>
                    </w:rPr>
                    <w:t>）</w:t>
                  </w:r>
                </w:p>
              </w:tc>
              <w:tc>
                <w:tcPr>
                  <w:tcW w:w="593" w:type="pct"/>
                  <w:tcBorders>
                    <w:tl2br w:val="nil"/>
                    <w:tr2bl w:val="nil"/>
                  </w:tcBorders>
                  <w:noWrap w:val="0"/>
                  <w:vAlign w:val="center"/>
                </w:tcPr>
                <w:p w14:paraId="74FF0B08">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105</w:t>
                  </w:r>
                </w:p>
              </w:tc>
              <w:tc>
                <w:tcPr>
                  <w:tcW w:w="475" w:type="pct"/>
                  <w:vMerge w:val="restart"/>
                  <w:tcBorders>
                    <w:tl2br w:val="nil"/>
                    <w:tr2bl w:val="nil"/>
                  </w:tcBorders>
                  <w:noWrap w:val="0"/>
                  <w:vAlign w:val="center"/>
                </w:tcPr>
                <w:p w14:paraId="2B9DCC75">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608" w:type="pct"/>
                  <w:tcBorders>
                    <w:tl2br w:val="nil"/>
                    <w:tr2bl w:val="nil"/>
                  </w:tcBorders>
                  <w:noWrap w:val="0"/>
                  <w:vAlign w:val="center"/>
                </w:tcPr>
                <w:p w14:paraId="08A406C0">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258AC0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noWrap w:val="0"/>
                  <w:vAlign w:val="center"/>
                </w:tcPr>
                <w:p w14:paraId="283D872C">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c>
                <w:tcPr>
                  <w:tcW w:w="2327" w:type="pct"/>
                  <w:tcBorders>
                    <w:tl2br w:val="nil"/>
                    <w:tr2bl w:val="nil"/>
                  </w:tcBorders>
                  <w:noWrap w:val="0"/>
                  <w:vAlign w:val="center"/>
                </w:tcPr>
                <w:p w14:paraId="77A22CC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12</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12</w:t>
                  </w:r>
                  <w:r>
                    <w:rPr>
                      <w:rFonts w:hint="eastAsia" w:ascii="Times New Roman" w:hAnsi="Times New Roman" w:eastAsia="黑体" w:cs="Times New Roman"/>
                      <w:color w:val="000000"/>
                      <w:kern w:val="0"/>
                      <w:sz w:val="18"/>
                      <w:szCs w:val="18"/>
                      <w:lang w:val="en-US" w:eastAsia="zh-CN" w:bidi="ar"/>
                    </w:rPr>
                    <w:t>）</w:t>
                  </w:r>
                </w:p>
              </w:tc>
              <w:tc>
                <w:tcPr>
                  <w:tcW w:w="593" w:type="pct"/>
                  <w:tcBorders>
                    <w:tl2br w:val="nil"/>
                    <w:tr2bl w:val="nil"/>
                  </w:tcBorders>
                  <w:noWrap w:val="0"/>
                  <w:vAlign w:val="center"/>
                </w:tcPr>
                <w:p w14:paraId="4BE57F13">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w:t>
                  </w:r>
                </w:p>
              </w:tc>
              <w:tc>
                <w:tcPr>
                  <w:tcW w:w="475" w:type="pct"/>
                  <w:vMerge w:val="continue"/>
                  <w:tcBorders>
                    <w:tl2br w:val="nil"/>
                    <w:tr2bl w:val="nil"/>
                  </w:tcBorders>
                  <w:noWrap w:val="0"/>
                  <w:vAlign w:val="center"/>
                </w:tcPr>
                <w:p w14:paraId="09416772">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608" w:type="pct"/>
                  <w:tcBorders>
                    <w:tl2br w:val="nil"/>
                    <w:tr2bl w:val="nil"/>
                  </w:tcBorders>
                  <w:noWrap w:val="0"/>
                  <w:vAlign w:val="center"/>
                </w:tcPr>
                <w:p w14:paraId="3D3CC6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7B3BB7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96" w:type="pct"/>
                  <w:vMerge w:val="continue"/>
                  <w:tcBorders>
                    <w:tl2br w:val="nil"/>
                    <w:tr2bl w:val="nil"/>
                  </w:tcBorders>
                  <w:noWrap w:val="0"/>
                  <w:vAlign w:val="center"/>
                </w:tcPr>
                <w:p w14:paraId="26CF2FA9">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327" w:type="pct"/>
                  <w:tcBorders>
                    <w:tl2br w:val="nil"/>
                    <w:tr2bl w:val="nil"/>
                  </w:tcBorders>
                  <w:noWrap w:val="0"/>
                  <w:vAlign w:val="center"/>
                </w:tcPr>
                <w:p w14:paraId="4DCC7B49">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2024.07.08</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：31）</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2024.07.09（09：31）</w:t>
                  </w:r>
                </w:p>
              </w:tc>
              <w:tc>
                <w:tcPr>
                  <w:tcW w:w="593" w:type="pct"/>
                  <w:tcBorders>
                    <w:tl2br w:val="nil"/>
                    <w:tr2bl w:val="nil"/>
                  </w:tcBorders>
                  <w:noWrap w:val="0"/>
                  <w:vAlign w:val="center"/>
                </w:tcPr>
                <w:p w14:paraId="3072C6AC">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w:t>
                  </w:r>
                </w:p>
              </w:tc>
              <w:tc>
                <w:tcPr>
                  <w:tcW w:w="475" w:type="pct"/>
                  <w:vMerge w:val="continue"/>
                  <w:tcBorders>
                    <w:tl2br w:val="nil"/>
                    <w:tr2bl w:val="nil"/>
                  </w:tcBorders>
                  <w:noWrap w:val="0"/>
                  <w:vAlign w:val="center"/>
                </w:tcPr>
                <w:p w14:paraId="35E80453">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608" w:type="pct"/>
                  <w:tcBorders>
                    <w:tl2br w:val="nil"/>
                    <w:tr2bl w:val="nil"/>
                  </w:tcBorders>
                  <w:noWrap w:val="0"/>
                  <w:vAlign w:val="center"/>
                </w:tcPr>
                <w:p w14:paraId="3AD4F1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3743D8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996" w:type="pct"/>
                  <w:vMerge w:val="continue"/>
                  <w:tcBorders>
                    <w:tl2br w:val="nil"/>
                    <w:tr2bl w:val="nil"/>
                  </w:tcBorders>
                  <w:noWrap w:val="0"/>
                  <w:vAlign w:val="center"/>
                </w:tcPr>
                <w:p w14:paraId="61C2FB0A">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327" w:type="pct"/>
                  <w:tcBorders>
                    <w:tl2br w:val="nil"/>
                    <w:tr2bl w:val="nil"/>
                  </w:tcBorders>
                  <w:noWrap w:val="0"/>
                  <w:vAlign w:val="center"/>
                </w:tcPr>
                <w:p w14:paraId="60FCEBB4">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09</w:t>
                  </w:r>
                  <w:r>
                    <w:rPr>
                      <w:rFonts w:hint="eastAsia" w:ascii="Times New Roman" w:hAnsi="Times New Roman" w:eastAsia="黑体" w:cs="Times New Roman"/>
                      <w:color w:val="000000"/>
                      <w:kern w:val="0"/>
                      <w:sz w:val="18"/>
                      <w:szCs w:val="18"/>
                      <w:lang w:val="en-US" w:eastAsia="zh-CN" w:bidi="ar"/>
                    </w:rPr>
                    <w:t>：55）</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2024.07.10（09：55）</w:t>
                  </w:r>
                </w:p>
              </w:tc>
              <w:tc>
                <w:tcPr>
                  <w:tcW w:w="593" w:type="pct"/>
                  <w:tcBorders>
                    <w:tl2br w:val="nil"/>
                    <w:tr2bl w:val="nil"/>
                  </w:tcBorders>
                  <w:noWrap w:val="0"/>
                  <w:vAlign w:val="center"/>
                </w:tcPr>
                <w:p w14:paraId="2E7BD7CB">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108</w:t>
                  </w:r>
                </w:p>
              </w:tc>
              <w:tc>
                <w:tcPr>
                  <w:tcW w:w="475" w:type="pct"/>
                  <w:vMerge w:val="continue"/>
                  <w:tcBorders>
                    <w:tl2br w:val="nil"/>
                    <w:tr2bl w:val="nil"/>
                  </w:tcBorders>
                  <w:noWrap w:val="0"/>
                  <w:vAlign w:val="center"/>
                </w:tcPr>
                <w:p w14:paraId="1FBE94AF">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608" w:type="pct"/>
                  <w:tcBorders>
                    <w:tl2br w:val="nil"/>
                    <w:tr2bl w:val="nil"/>
                  </w:tcBorders>
                  <w:noWrap w:val="0"/>
                  <w:vAlign w:val="center"/>
                </w:tcPr>
                <w:p w14:paraId="4671E0F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3F658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96" w:type="pct"/>
                  <w:vMerge w:val="continue"/>
                  <w:tcBorders>
                    <w:tl2br w:val="nil"/>
                    <w:tr2bl w:val="nil"/>
                  </w:tcBorders>
                  <w:noWrap w:val="0"/>
                  <w:vAlign w:val="center"/>
                </w:tcPr>
                <w:p w14:paraId="44019C9B">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327" w:type="pct"/>
                  <w:tcBorders>
                    <w:tl2br w:val="nil"/>
                    <w:tr2bl w:val="nil"/>
                  </w:tcBorders>
                  <w:noWrap w:val="0"/>
                  <w:vAlign w:val="center"/>
                </w:tcPr>
                <w:p w14:paraId="1E7D0281">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3</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w:t>
                  </w:r>
                  <w:r>
                    <w:rPr>
                      <w:rFonts w:hint="eastAsia" w:ascii="Times New Roman" w:hAnsi="Times New Roman" w:eastAsia="黑体" w:cs="Times New Roman"/>
                      <w:color w:val="000000"/>
                      <w:kern w:val="0"/>
                      <w:sz w:val="18"/>
                      <w:szCs w:val="18"/>
                      <w:lang w:val="en-US" w:eastAsia="zh-CN" w:bidi="ar"/>
                    </w:rPr>
                    <w:t>1（</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13</w:t>
                  </w:r>
                  <w:r>
                    <w:rPr>
                      <w:rFonts w:hint="eastAsia" w:ascii="Times New Roman" w:hAnsi="Times New Roman" w:eastAsia="黑体" w:cs="Times New Roman"/>
                      <w:color w:val="000000"/>
                      <w:kern w:val="0"/>
                      <w:sz w:val="18"/>
                      <w:szCs w:val="18"/>
                      <w:lang w:val="en-US" w:eastAsia="zh-CN" w:bidi="ar"/>
                    </w:rPr>
                    <w:t>）</w:t>
                  </w:r>
                </w:p>
              </w:tc>
              <w:tc>
                <w:tcPr>
                  <w:tcW w:w="593" w:type="pct"/>
                  <w:tcBorders>
                    <w:tl2br w:val="nil"/>
                    <w:tr2bl w:val="nil"/>
                  </w:tcBorders>
                  <w:noWrap w:val="0"/>
                  <w:vAlign w:val="center"/>
                </w:tcPr>
                <w:p w14:paraId="72705419">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106</w:t>
                  </w:r>
                </w:p>
              </w:tc>
              <w:tc>
                <w:tcPr>
                  <w:tcW w:w="475" w:type="pct"/>
                  <w:vMerge w:val="continue"/>
                  <w:tcBorders>
                    <w:tl2br w:val="nil"/>
                    <w:tr2bl w:val="nil"/>
                  </w:tcBorders>
                  <w:noWrap w:val="0"/>
                  <w:vAlign w:val="center"/>
                </w:tcPr>
                <w:p w14:paraId="576D0948">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608" w:type="pct"/>
                  <w:tcBorders>
                    <w:tl2br w:val="nil"/>
                    <w:tr2bl w:val="nil"/>
                  </w:tcBorders>
                  <w:noWrap w:val="0"/>
                  <w:vAlign w:val="center"/>
                </w:tcPr>
                <w:p w14:paraId="543D77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15635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96" w:type="pct"/>
                  <w:vMerge w:val="continue"/>
                  <w:tcBorders>
                    <w:tl2br w:val="nil"/>
                    <w:tr2bl w:val="nil"/>
                  </w:tcBorders>
                  <w:noWrap w:val="0"/>
                  <w:vAlign w:val="center"/>
                </w:tcPr>
                <w:p w14:paraId="7681CA62">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327" w:type="pct"/>
                  <w:tcBorders>
                    <w:tl2br w:val="nil"/>
                    <w:tr2bl w:val="nil"/>
                  </w:tcBorders>
                  <w:noWrap w:val="0"/>
                  <w:vAlign w:val="center"/>
                </w:tcPr>
                <w:p w14:paraId="3A6D4B5D">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07.11</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：29）</w:t>
                  </w:r>
                  <w:r>
                    <w:rPr>
                      <w:rFonts w:hint="eastAsia" w:ascii="宋体" w:hAnsi="宋体" w:eastAsia="宋体" w:cs="宋体"/>
                      <w:color w:val="000000"/>
                      <w:kern w:val="0"/>
                      <w:sz w:val="18"/>
                      <w:szCs w:val="18"/>
                      <w:lang w:val="en-US" w:eastAsia="zh-CN" w:bidi="ar"/>
                    </w:rPr>
                    <w:t>～</w:t>
                  </w:r>
                  <w:r>
                    <w:rPr>
                      <w:rFonts w:hint="eastAsia" w:ascii="Times New Roman" w:hAnsi="Times New Roman" w:eastAsia="黑体" w:cs="Times New Roman"/>
                      <w:color w:val="000000"/>
                      <w:kern w:val="0"/>
                      <w:sz w:val="18"/>
                      <w:szCs w:val="18"/>
                      <w:lang w:val="en-US" w:eastAsia="zh-CN" w:bidi="ar"/>
                    </w:rPr>
                    <w:t>2024.07.12（10：29）</w:t>
                  </w:r>
                </w:p>
              </w:tc>
              <w:tc>
                <w:tcPr>
                  <w:tcW w:w="593" w:type="pct"/>
                  <w:tcBorders>
                    <w:tl2br w:val="nil"/>
                    <w:tr2bl w:val="nil"/>
                  </w:tcBorders>
                  <w:noWrap w:val="0"/>
                  <w:vAlign w:val="center"/>
                </w:tcPr>
                <w:p w14:paraId="523F5E05">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108</w:t>
                  </w:r>
                </w:p>
              </w:tc>
              <w:tc>
                <w:tcPr>
                  <w:tcW w:w="475" w:type="pct"/>
                  <w:vMerge w:val="continue"/>
                  <w:tcBorders>
                    <w:tl2br w:val="nil"/>
                    <w:tr2bl w:val="nil"/>
                  </w:tcBorders>
                  <w:noWrap w:val="0"/>
                  <w:vAlign w:val="center"/>
                </w:tcPr>
                <w:p w14:paraId="27095F47">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608" w:type="pct"/>
                  <w:tcBorders>
                    <w:tl2br w:val="nil"/>
                    <w:tr2bl w:val="nil"/>
                  </w:tcBorders>
                  <w:noWrap w:val="0"/>
                  <w:vAlign w:val="center"/>
                </w:tcPr>
                <w:p w14:paraId="5B715A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678210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996" w:type="pct"/>
                  <w:vMerge w:val="continue"/>
                  <w:tcBorders>
                    <w:tl2br w:val="nil"/>
                    <w:tr2bl w:val="nil"/>
                  </w:tcBorders>
                  <w:noWrap w:val="0"/>
                  <w:vAlign w:val="center"/>
                </w:tcPr>
                <w:p w14:paraId="659274FF">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eastAsia="zh-CN"/>
                    </w:rPr>
                  </w:pPr>
                </w:p>
              </w:tc>
              <w:tc>
                <w:tcPr>
                  <w:tcW w:w="2327" w:type="pct"/>
                  <w:tcBorders>
                    <w:tl2br w:val="nil"/>
                    <w:tr2bl w:val="nil"/>
                  </w:tcBorders>
                  <w:noWrap w:val="0"/>
                  <w:vAlign w:val="center"/>
                </w:tcPr>
                <w:p w14:paraId="15CA70A2">
                  <w:pPr>
                    <w:keepNext w:val="0"/>
                    <w:keepLines w:val="0"/>
                    <w:widowControl/>
                    <w:suppressLineNumbers w:val="0"/>
                    <w:ind w:left="0" w:leftChars="0" w:right="0" w:rightChars="0" w:firstLine="0" w:firstLineChars="0"/>
                    <w:jc w:val="center"/>
                    <w:rPr>
                      <w:rFonts w:hint="default" w:ascii="Times New Roman" w:hAnsi="Times New Roman" w:eastAsia="黑体" w:cs="Times New Roman"/>
                      <w:color w:val="000000"/>
                      <w:kern w:val="0"/>
                      <w:sz w:val="18"/>
                      <w:szCs w:val="18"/>
                      <w:lang w:val="en-US" w:eastAsia="zh-CN" w:bidi="ar"/>
                    </w:rPr>
                  </w:pPr>
                  <w:r>
                    <w:rPr>
                      <w:rFonts w:hint="default" w:ascii="Times New Roman" w:hAnsi="Times New Roman" w:eastAsia="黑体" w:cs="Times New Roman"/>
                      <w:color w:val="000000"/>
                      <w:kern w:val="0"/>
                      <w:sz w:val="18"/>
                      <w:szCs w:val="18"/>
                      <w:lang w:val="en-US" w:eastAsia="zh-CN" w:bidi="ar"/>
                    </w:rPr>
                    <w:t>2024.07.12</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38</w:t>
                  </w:r>
                  <w:r>
                    <w:rPr>
                      <w:rFonts w:hint="eastAsia" w:ascii="Times New Roman" w:hAnsi="Times New Roman" w:eastAsia="黑体" w:cs="Times New Roman"/>
                      <w:color w:val="000000"/>
                      <w:kern w:val="0"/>
                      <w:sz w:val="18"/>
                      <w:szCs w:val="18"/>
                      <w:lang w:val="en-US" w:eastAsia="zh-CN" w:bidi="ar"/>
                    </w:rPr>
                    <w:t>）</w:t>
                  </w:r>
                  <w:r>
                    <w:rPr>
                      <w:rFonts w:hint="eastAsia" w:ascii="宋体" w:hAnsi="宋体" w:eastAsia="宋体" w:cs="宋体"/>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2024.07</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13</w:t>
                  </w:r>
                  <w:r>
                    <w:rPr>
                      <w:rFonts w:hint="eastAsia" w:ascii="Times New Roman" w:hAnsi="Times New Roman" w:eastAsia="黑体" w:cs="Times New Roman"/>
                      <w:color w:val="000000"/>
                      <w:kern w:val="0"/>
                      <w:sz w:val="18"/>
                      <w:szCs w:val="18"/>
                      <w:lang w:val="en-US" w:eastAsia="zh-CN" w:bidi="ar"/>
                    </w:rPr>
                    <w:t>（</w:t>
                  </w:r>
                  <w:r>
                    <w:rPr>
                      <w:rFonts w:hint="default" w:ascii="Times New Roman" w:hAnsi="Times New Roman" w:eastAsia="黑体" w:cs="Times New Roman"/>
                      <w:color w:val="000000"/>
                      <w:kern w:val="0"/>
                      <w:sz w:val="18"/>
                      <w:szCs w:val="18"/>
                      <w:lang w:val="en-US" w:eastAsia="zh-CN" w:bidi="ar"/>
                    </w:rPr>
                    <w:t>10</w:t>
                  </w:r>
                  <w:r>
                    <w:rPr>
                      <w:rFonts w:hint="eastAsia" w:ascii="Times New Roman" w:hAnsi="Times New Roman" w:eastAsia="黑体" w:cs="Times New Roman"/>
                      <w:color w:val="000000"/>
                      <w:kern w:val="0"/>
                      <w:sz w:val="18"/>
                      <w:szCs w:val="18"/>
                      <w:lang w:val="en-US" w:eastAsia="zh-CN" w:bidi="ar"/>
                    </w:rPr>
                    <w:t>：38）</w:t>
                  </w:r>
                </w:p>
              </w:tc>
              <w:tc>
                <w:tcPr>
                  <w:tcW w:w="593" w:type="pct"/>
                  <w:tcBorders>
                    <w:tl2br w:val="nil"/>
                    <w:tr2bl w:val="nil"/>
                  </w:tcBorders>
                  <w:noWrap w:val="0"/>
                  <w:vAlign w:val="center"/>
                </w:tcPr>
                <w:p w14:paraId="52274C64">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w:t>
                  </w:r>
                </w:p>
              </w:tc>
              <w:tc>
                <w:tcPr>
                  <w:tcW w:w="475" w:type="pct"/>
                  <w:vMerge w:val="continue"/>
                  <w:tcBorders>
                    <w:tl2br w:val="nil"/>
                    <w:tr2bl w:val="nil"/>
                  </w:tcBorders>
                  <w:noWrap w:val="0"/>
                  <w:vAlign w:val="center"/>
                </w:tcPr>
                <w:p w14:paraId="5946597C">
                  <w:pPr>
                    <w:pStyle w:val="43"/>
                    <w:keepNext w:val="0"/>
                    <w:keepLines w:val="0"/>
                    <w:pageBreakBefore w:val="0"/>
                    <w:widowControl/>
                    <w:tabs>
                      <w:tab w:val="left" w:pos="5530"/>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18"/>
                      <w:szCs w:val="18"/>
                      <w:lang w:val="en-US" w:eastAsia="zh-CN"/>
                    </w:rPr>
                  </w:pPr>
                </w:p>
              </w:tc>
              <w:tc>
                <w:tcPr>
                  <w:tcW w:w="608" w:type="pct"/>
                  <w:tcBorders>
                    <w:tl2br w:val="nil"/>
                    <w:tr2bl w:val="nil"/>
                  </w:tcBorders>
                  <w:noWrap w:val="0"/>
                  <w:vAlign w:val="center"/>
                </w:tcPr>
                <w:p w14:paraId="5D0404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bl>
          <w:p w14:paraId="38FE79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根据上表结果，</w:t>
            </w:r>
            <w:r>
              <w:rPr>
                <w:rFonts w:hint="default" w:ascii="Times New Roman" w:hAnsi="Times New Roman" w:eastAsia="宋体" w:cs="Times New Roman"/>
                <w:color w:val="auto"/>
                <w:sz w:val="24"/>
                <w:highlight w:val="none"/>
                <w:lang w:val="en-US" w:eastAsia="zh-CN"/>
              </w:rPr>
              <w:t>云南玉溪仙福钢铁（集团）有限公司配套100万吨/年焦化建设项目</w:t>
            </w:r>
            <w:r>
              <w:rPr>
                <w:rFonts w:hint="default" w:ascii="Times New Roman" w:hAnsi="Times New Roman" w:eastAsia="宋体" w:cs="Times New Roman"/>
                <w:sz w:val="24"/>
                <w:szCs w:val="24"/>
              </w:rPr>
              <w:t>区域监测点空气中监测因子TSP能够达到《环境空气质量标准》（GB3095-</w:t>
            </w:r>
            <w:r>
              <w:rPr>
                <w:rFonts w:hint="eastAsia" w:cs="Times New Roman"/>
                <w:sz w:val="24"/>
                <w:szCs w:val="24"/>
                <w:lang w:val="en-US" w:eastAsia="zh-CN"/>
              </w:rPr>
              <w:t>2026</w:t>
            </w:r>
            <w:r>
              <w:rPr>
                <w:rFonts w:hint="default" w:ascii="Times New Roman" w:hAnsi="Times New Roman" w:eastAsia="宋体" w:cs="Times New Roman"/>
                <w:sz w:val="24"/>
                <w:szCs w:val="24"/>
              </w:rPr>
              <w:t>）中的二级标准。因此，项目所在区域环境空气质量良好。</w:t>
            </w:r>
          </w:p>
          <w:p w14:paraId="7B7A98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sz w:val="24"/>
                <w:szCs w:val="24"/>
              </w:rPr>
              <w:t>综上所述，项目区域常规污染物和特征污染物均满足要求，所处区域属于环境空气质量现状达标区。</w:t>
            </w:r>
          </w:p>
          <w:p w14:paraId="47376A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5138420" cy="3671570"/>
                  <wp:effectExtent l="0" t="0" r="5080" b="5080"/>
                  <wp:docPr id="27" name="图片 2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5"/>
                          <pic:cNvPicPr>
                            <a:picLocks noChangeAspect="1"/>
                          </pic:cNvPicPr>
                        </pic:nvPicPr>
                        <pic:blipFill>
                          <a:blip r:embed="rId17"/>
                          <a:stretch>
                            <a:fillRect/>
                          </a:stretch>
                        </pic:blipFill>
                        <pic:spPr>
                          <a:xfrm>
                            <a:off x="0" y="0"/>
                            <a:ext cx="5138420" cy="3671570"/>
                          </a:xfrm>
                          <a:prstGeom prst="rect">
                            <a:avLst/>
                          </a:prstGeom>
                        </pic:spPr>
                      </pic:pic>
                    </a:graphicData>
                  </a:graphic>
                </wp:inline>
              </w:drawing>
            </w:r>
          </w:p>
          <w:p w14:paraId="2F5F9C96">
            <w:pPr>
              <w:pStyle w:val="26"/>
              <w:bidi w:val="0"/>
              <w:rPr>
                <w:rFonts w:hint="default" w:ascii="Times New Roman" w:hAnsi="Times New Roman" w:eastAsia="宋体"/>
                <w:color w:val="auto"/>
                <w:lang w:val="en-US" w:eastAsia="zh-CN"/>
              </w:rPr>
            </w:pPr>
            <w:r>
              <w:rPr>
                <w:rFonts w:hint="eastAsia" w:ascii="Times New Roman" w:hAnsi="Times New Roman"/>
                <w:color w:val="auto"/>
                <w:lang w:eastAsia="zh-CN"/>
              </w:rPr>
              <w:t>图</w:t>
            </w:r>
            <w:r>
              <w:rPr>
                <w:rFonts w:hint="eastAsia" w:ascii="Times New Roman" w:hAnsi="Times New Roman"/>
                <w:color w:val="auto"/>
                <w:lang w:val="en-US" w:eastAsia="zh-CN"/>
              </w:rPr>
              <w:t>3-1</w:t>
            </w:r>
            <w:r>
              <w:rPr>
                <w:rFonts w:hint="eastAsia"/>
                <w:color w:val="auto"/>
                <w:lang w:val="en-US" w:eastAsia="zh-CN"/>
              </w:rPr>
              <w:t>大气环境引用监测点与本项目位置关系</w:t>
            </w:r>
          </w:p>
          <w:p w14:paraId="16A9C2C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4地表水环境质量现状</w:t>
            </w:r>
          </w:p>
          <w:p w14:paraId="543B39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1、</w:t>
            </w:r>
            <w:r>
              <w:rPr>
                <w:rFonts w:hint="default" w:ascii="Times New Roman" w:hAnsi="Times New Roman" w:eastAsia="宋体" w:cs="Times New Roman"/>
                <w:sz w:val="24"/>
                <w:szCs w:val="24"/>
              </w:rPr>
              <w:t>地表水环境功能区划及执行标准</w:t>
            </w:r>
          </w:p>
          <w:p w14:paraId="00057D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本项目相关的地表水体为线路工程东南侧470m处为</w:t>
            </w:r>
            <w:r>
              <w:rPr>
                <w:rFonts w:hint="default" w:ascii="Times New Roman" w:hAnsi="Times New Roman" w:eastAsia="宋体" w:cs="Times New Roman"/>
                <w:sz w:val="24"/>
                <w:szCs w:val="24"/>
                <w:lang w:val="en-US" w:eastAsia="zh-CN"/>
              </w:rPr>
              <w:t>平甸河（大开门段），根据《云南省水功能区划（2014年修订）》，该段属于平甸河新平保留区，范围为平甸河水库坝址—入小河底河口，用水功能为农业、工业、景观用水，水环境功能类别为Ⅲ类</w:t>
            </w:r>
            <w:r>
              <w:rPr>
                <w:rFonts w:hint="eastAsia" w:ascii="Times New Roman" w:hAnsi="Times New Roman" w:eastAsia="宋体" w:cs="Times New Roman"/>
                <w:sz w:val="24"/>
                <w:szCs w:val="24"/>
                <w:lang w:val="en-US" w:eastAsia="zh-CN"/>
              </w:rPr>
              <w:t>。</w:t>
            </w:r>
          </w:p>
          <w:p w14:paraId="385BE0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地表水环境质量现状</w:t>
            </w:r>
          </w:p>
          <w:p w14:paraId="002728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（1）地表水体达标分析</w:t>
            </w:r>
          </w:p>
          <w:p w14:paraId="380BB0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2024年玉溪市生态环境状况公报》，2024年，全市17个河流水质监测断面中，水质状况优符合Ⅰ～Ⅱ类标准的断面12个，占70.6%；水质状况良好符合Ⅲ类标准的断面3个，占17.6%。断面水质优良率88.2%；水质状况轻度污染符合Ⅳ类标准断面2个，占11.8%；无中度、重度污染断面。</w:t>
            </w:r>
          </w:p>
          <w:p w14:paraId="7F5F9150">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项目属于嘎洒江</w:t>
            </w:r>
            <w:r>
              <w:rPr>
                <w:rFonts w:hint="eastAsia" w:ascii="Times New Roman" w:hAnsi="Times New Roman" w:eastAsia="宋体" w:cs="Times New Roman"/>
                <w:kern w:val="2"/>
                <w:sz w:val="24"/>
                <w:szCs w:val="24"/>
                <w:lang w:val="en-US" w:eastAsia="zh-CN" w:bidi="ar-SA"/>
              </w:rPr>
              <w:t>（元江）</w:t>
            </w:r>
            <w:r>
              <w:rPr>
                <w:rFonts w:hint="default" w:ascii="Times New Roman" w:hAnsi="Times New Roman" w:eastAsia="宋体" w:cs="Times New Roman"/>
                <w:kern w:val="2"/>
                <w:sz w:val="24"/>
                <w:szCs w:val="24"/>
                <w:lang w:val="en-US" w:eastAsia="zh-CN" w:bidi="ar-SA"/>
              </w:rPr>
              <w:t>水流，根据《2024年玉溪市生态环境状况公报》，项目下游</w:t>
            </w:r>
            <w:r>
              <w:rPr>
                <w:rFonts w:hint="eastAsia" w:ascii="Times New Roman" w:hAnsi="Times New Roman" w:eastAsia="宋体" w:cs="Times New Roman"/>
                <w:kern w:val="2"/>
                <w:sz w:val="24"/>
                <w:szCs w:val="24"/>
                <w:lang w:val="en-US" w:eastAsia="zh-CN" w:bidi="ar-SA"/>
              </w:rPr>
              <w:t>居拉里拉大桥（省控断面）</w:t>
            </w:r>
            <w:r>
              <w:rPr>
                <w:rFonts w:hint="default" w:ascii="Times New Roman" w:hAnsi="Times New Roman" w:eastAsia="宋体" w:cs="Times New Roman"/>
                <w:kern w:val="2"/>
                <w:sz w:val="24"/>
                <w:szCs w:val="24"/>
                <w:lang w:val="en-US" w:eastAsia="zh-CN" w:bidi="ar-SA"/>
              </w:rPr>
              <w:t>水质2024年可满足《地表水环境质量标准》</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GB3838-2002</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Ⅱ类标准</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项目所在区域为地表水环境质量达标区。</w:t>
            </w:r>
          </w:p>
          <w:p w14:paraId="2D5FCF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（2）补充监测</w:t>
            </w:r>
          </w:p>
          <w:p w14:paraId="5804C3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本次地表水环境质量现状监测引用《</w:t>
            </w:r>
            <w:r>
              <w:rPr>
                <w:rFonts w:hint="default" w:ascii="Times New Roman" w:hAnsi="Times New Roman" w:eastAsia="宋体" w:cs="Times New Roman"/>
                <w:color w:val="auto"/>
                <w:sz w:val="24"/>
                <w:highlight w:val="none"/>
                <w:lang w:val="en-US" w:eastAsia="zh-CN"/>
              </w:rPr>
              <w:t>云南玉溪仙福钢铁（集团）有限公司配套100万吨/年焦化建设项目</w:t>
            </w:r>
            <w:r>
              <w:rPr>
                <w:rFonts w:hint="eastAsia" w:ascii="Times New Roman" w:hAnsi="Times New Roman" w:eastAsia="宋体" w:cs="Times New Roman"/>
                <w:color w:val="auto"/>
                <w:sz w:val="24"/>
                <w:szCs w:val="24"/>
                <w:highlight w:val="none"/>
                <w:lang w:val="en-US" w:eastAsia="zh-CN"/>
              </w:rPr>
              <w:t>》数据，点位布设及数据有效性可以满足本次评价要求。</w:t>
            </w:r>
          </w:p>
          <w:p w14:paraId="00C3A5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监测项目：</w:t>
            </w:r>
            <w:r>
              <w:rPr>
                <w:rFonts w:hint="default" w:ascii="Times New Roman" w:hAnsi="Times New Roman" w:eastAsia="宋体" w:cs="Times New Roman"/>
                <w:color w:val="auto"/>
                <w:sz w:val="24"/>
                <w:szCs w:val="24"/>
                <w:highlight w:val="none"/>
                <w:lang w:val="en-US" w:eastAsia="zh-CN"/>
              </w:rPr>
              <w:t>pH、SS、溶解氧、高锰酸盐指数、COD、BOD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、氨氮、总磷、总氮、铜、锌、氟化物、硒、砷、汞、镉、六价铬、铅、氰化物、挥发酚、石油类、硫化物、硫酸盐、硝酸盐、氯化物、铁、锰、苯、</w:t>
            </w:r>
            <w:r>
              <w:rPr>
                <w:rFonts w:hint="default" w:ascii="Times New Roman" w:hAnsi="Times New Roman" w:eastAsia="宋体" w:cs="Times New Roman"/>
                <w:color w:val="auto"/>
                <w:sz w:val="24"/>
                <w:szCs w:val="24"/>
                <w:highlight w:val="none"/>
              </w:rPr>
              <w:t>苯并[a]芘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甲苯、荧蒽、苯并（b）荧蒽、苯并（k）荧蒽、苯并（1,2,3-cd）芘、苯并（g,h,i）苝</w:t>
            </w:r>
            <w:r>
              <w:rPr>
                <w:rFonts w:hint="default" w:ascii="Times New Roman" w:hAnsi="Times New Roman" w:eastAsia="宋体" w:cs="Times New Roman"/>
                <w:color w:val="auto"/>
                <w:sz w:val="24"/>
                <w:szCs w:val="24"/>
                <w:highlight w:val="none"/>
                <w:lang w:val="en-US" w:eastAsia="zh-CN"/>
              </w:rPr>
              <w:t>。</w:t>
            </w:r>
          </w:p>
          <w:p w14:paraId="231532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w:t>
            </w:r>
            <w:r>
              <w:rPr>
                <w:rFonts w:hint="default" w:ascii="Times New Roman" w:hAnsi="Times New Roman" w:cs="Times New Roman"/>
                <w:color w:val="auto"/>
                <w:sz w:val="24"/>
                <w:szCs w:val="24"/>
                <w:highlight w:val="none"/>
                <w:lang w:val="en-US" w:eastAsia="zh-CN"/>
              </w:rPr>
              <w:t>断面</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项目区上游500m平甸河断面，项目区上游500m化念河断面，项目区下游500m小河底河断面。</w:t>
            </w:r>
          </w:p>
          <w:p w14:paraId="7EBFCE48">
            <w:pPr>
              <w:keepNext w:val="0"/>
              <w:keepLines w:val="0"/>
              <w:pageBreakBefore w:val="0"/>
              <w:widowControl w:val="0"/>
              <w:kinsoku/>
              <w:wordWrap/>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监测频次：监测点的采样方法及样品分析方法均按国家环保总局颁布的技术规范及有关规定执行。采样3天，每天一次，采样时间为20</w:t>
            </w:r>
            <w:r>
              <w:rPr>
                <w:rFonts w:hint="default" w:ascii="Times New Roman" w:hAnsi="Times New Roman" w:cs="Times New Roman"/>
                <w:color w:val="auto"/>
                <w:sz w:val="24"/>
                <w:szCs w:val="24"/>
                <w:highlight w:val="none"/>
                <w:lang w:val="en-US"/>
              </w:rPr>
              <w:t>23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rPr>
              <w:t>5</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rPr>
              <w:t>10</w:t>
            </w:r>
            <w:r>
              <w:rPr>
                <w:rFonts w:hint="default" w:ascii="Times New Roman" w:hAnsi="Times New Roman" w:cs="Times New Roman"/>
                <w:color w:val="auto"/>
                <w:sz w:val="24"/>
                <w:szCs w:val="24"/>
                <w:highlight w:val="none"/>
              </w:rPr>
              <w:t>日至</w:t>
            </w:r>
            <w:r>
              <w:rPr>
                <w:rFonts w:hint="default" w:ascii="Times New Roman" w:hAnsi="Times New Roman" w:cs="Times New Roman"/>
                <w:color w:val="auto"/>
                <w:sz w:val="24"/>
                <w:szCs w:val="24"/>
                <w:highlight w:val="none"/>
                <w:lang w:val="en-US"/>
              </w:rPr>
              <w:t>13</w:t>
            </w:r>
            <w:r>
              <w:rPr>
                <w:rFonts w:hint="default" w:ascii="Times New Roman" w:hAnsi="Times New Roman" w:cs="Times New Roman"/>
                <w:color w:val="auto"/>
                <w:sz w:val="24"/>
                <w:szCs w:val="24"/>
                <w:highlight w:val="none"/>
              </w:rPr>
              <w:t>日，共监测三天。</w:t>
            </w:r>
          </w:p>
          <w:p w14:paraId="5854DE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highlight w:val="none"/>
              </w:rPr>
              <w:t>评价方法：评价采用导则推荐的单项污染指数法，即：</w:t>
            </w:r>
          </w:p>
          <w:p w14:paraId="7A255EF6">
            <w:pPr>
              <w:keepNext w:val="0"/>
              <w:keepLines w:val="0"/>
              <w:pageBreakBefore w:val="0"/>
              <w:widowControl w:val="0"/>
              <w:kinsoku/>
              <w:wordWrap/>
              <w:autoSpaceDE w:val="0"/>
              <w:autoSpaceDN w:val="0"/>
              <w:bidi w:val="0"/>
              <w:adjustRightInd w:val="0"/>
              <w:snapToGrid w:val="0"/>
              <w:spacing w:line="360" w:lineRule="auto"/>
              <w:ind w:firstLine="3000" w:firstLineChars="125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position w:val="-14"/>
                <w:sz w:val="24"/>
                <w:szCs w:val="24"/>
                <w:highlight w:val="none"/>
              </w:rPr>
              <w:object>
                <v:shape id="_x0000_i1026" o:spt="75" type="#_x0000_t75" style="height:21.75pt;width:65.25pt;" o:ole="t" filled="f" o:preferrelative="t" stroked="f" coordsize="21600,21600">
                  <v:path/>
                  <v:fill on="f" focussize="0,0"/>
                  <v:stroke on="f"/>
                  <v:imagedata r:id="rId19" o:title=""/>
                  <o:lock v:ext="edit" aspectratio="t"/>
                  <w10:wrap type="none"/>
                  <w10:anchorlock/>
                </v:shape>
                <o:OLEObject Type="Embed" ProgID="Equation.3" ShapeID="_x0000_i1026" DrawAspect="Content" ObjectID="_1468075726" r:id="rId18">
                  <o:LockedField>false</o:LockedField>
                </o:OLEObject>
              </w:object>
            </w:r>
          </w:p>
          <w:p w14:paraId="0153BA12">
            <w:pPr>
              <w:keepNext w:val="0"/>
              <w:keepLines w:val="0"/>
              <w:pageBreakBefore w:val="0"/>
              <w:widowControl w:val="0"/>
              <w:kinsoku/>
              <w:wordWrap/>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式中：S</w:t>
            </w:r>
            <w:r>
              <w:rPr>
                <w:rFonts w:hint="default" w:ascii="Times New Roman" w:hAnsi="Times New Roman" w:cs="Times New Roman"/>
                <w:color w:val="auto"/>
                <w:kern w:val="0"/>
                <w:sz w:val="24"/>
                <w:szCs w:val="24"/>
                <w:highlight w:val="none"/>
                <w:vertAlign w:val="subscript"/>
              </w:rPr>
              <w:t>ij</w:t>
            </w:r>
            <w:r>
              <w:rPr>
                <w:rFonts w:hint="default" w:ascii="Times New Roman" w:hAnsi="Times New Roman" w:cs="Times New Roman"/>
                <w:color w:val="auto"/>
                <w:kern w:val="0"/>
                <w:sz w:val="24"/>
                <w:szCs w:val="24"/>
                <w:highlight w:val="none"/>
              </w:rPr>
              <w:t>――单因子污染指数；</w:t>
            </w:r>
          </w:p>
          <w:p w14:paraId="0D44ED4A">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C</w:t>
            </w:r>
            <w:r>
              <w:rPr>
                <w:rFonts w:hint="default" w:ascii="Times New Roman" w:hAnsi="Times New Roman" w:cs="Times New Roman"/>
                <w:color w:val="auto"/>
                <w:kern w:val="0"/>
                <w:sz w:val="24"/>
                <w:szCs w:val="24"/>
                <w:highlight w:val="none"/>
                <w:vertAlign w:val="subscript"/>
              </w:rPr>
              <w:t>ij</w:t>
            </w:r>
            <w:r>
              <w:rPr>
                <w:rFonts w:hint="default" w:ascii="Times New Roman" w:hAnsi="Times New Roman" w:cs="Times New Roman"/>
                <w:color w:val="auto"/>
                <w:kern w:val="0"/>
                <w:sz w:val="24"/>
                <w:szCs w:val="24"/>
                <w:highlight w:val="none"/>
              </w:rPr>
              <w:t>――污染物浓度实测值，mg/L；</w:t>
            </w:r>
          </w:p>
          <w:p w14:paraId="00B0B2A9">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C</w:t>
            </w:r>
            <w:r>
              <w:rPr>
                <w:rFonts w:hint="default" w:ascii="Times New Roman" w:hAnsi="Times New Roman" w:cs="Times New Roman"/>
                <w:color w:val="auto"/>
                <w:kern w:val="0"/>
                <w:sz w:val="24"/>
                <w:szCs w:val="24"/>
                <w:highlight w:val="none"/>
                <w:vertAlign w:val="subscript"/>
              </w:rPr>
              <w:t>sj</w:t>
            </w:r>
            <w:r>
              <w:rPr>
                <w:rFonts w:hint="default" w:ascii="Times New Roman" w:hAnsi="Times New Roman" w:cs="Times New Roman"/>
                <w:color w:val="auto"/>
                <w:kern w:val="0"/>
                <w:sz w:val="24"/>
                <w:szCs w:val="24"/>
                <w:highlight w:val="none"/>
              </w:rPr>
              <w:t>――地表水水质标准，mg/L。</w:t>
            </w:r>
          </w:p>
          <w:p w14:paraId="7BC573EB">
            <w:pPr>
              <w:keepNext w:val="0"/>
              <w:keepLines w:val="0"/>
              <w:pageBreakBefore w:val="0"/>
              <w:widowControl w:val="0"/>
              <w:kinsoku/>
              <w:wordWrap/>
              <w:autoSpaceDE w:val="0"/>
              <w:autoSpaceDN w:val="0"/>
              <w:bidi w:val="0"/>
              <w:adjustRightInd w:val="0"/>
              <w:snapToGrid w:val="0"/>
              <w:spacing w:line="360" w:lineRule="auto"/>
              <w:ind w:firstLine="720" w:firstLineChars="3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pH的标准指数为：</w:t>
            </w:r>
          </w:p>
          <w:p w14:paraId="0FA195E9">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position w:val="-14"/>
                <w:sz w:val="24"/>
                <w:szCs w:val="24"/>
                <w:highlight w:val="none"/>
              </w:rPr>
              <w:object>
                <v:shape id="_x0000_i1027" o:spt="75" type="#_x0000_t75" style="height:21pt;width:157.6pt;" o:ole="t" filled="f" o:preferrelative="t"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 xml:space="preserve">≤7.0    </w:t>
            </w:r>
          </w:p>
          <w:p w14:paraId="51127101">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position w:val="-14"/>
                <w:sz w:val="24"/>
                <w:szCs w:val="24"/>
                <w:highlight w:val="none"/>
              </w:rPr>
              <w:object>
                <v:shape id="_x0000_i1028" o:spt="75" type="#_x0000_t75" style="height:21.75pt;width:157.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＞7.0</w:t>
            </w:r>
          </w:p>
          <w:p w14:paraId="5A22631C">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S</w:t>
            </w:r>
            <w:r>
              <w:rPr>
                <w:rFonts w:hint="default" w:ascii="Times New Roman" w:hAnsi="Times New Roman" w:cs="Times New Roman"/>
                <w:color w:val="auto"/>
                <w:kern w:val="0"/>
                <w:sz w:val="24"/>
                <w:szCs w:val="24"/>
                <w:highlight w:val="none"/>
                <w:vertAlign w:val="subscript"/>
              </w:rPr>
              <w:t>pHj</w:t>
            </w:r>
            <w:r>
              <w:rPr>
                <w:rFonts w:hint="default" w:ascii="Times New Roman" w:hAnsi="Times New Roman" w:cs="Times New Roman"/>
                <w:color w:val="auto"/>
                <w:kern w:val="0"/>
                <w:sz w:val="24"/>
                <w:szCs w:val="24"/>
                <w:highlight w:val="none"/>
              </w:rPr>
              <w:t>――pH单因子污染指数；</w:t>
            </w:r>
          </w:p>
          <w:p w14:paraId="56F37A2E">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――pH实测值；</w:t>
            </w:r>
          </w:p>
          <w:p w14:paraId="6124C1EB">
            <w:pPr>
              <w:keepNext w:val="0"/>
              <w:keepLines w:val="0"/>
              <w:pageBreakBefore w:val="0"/>
              <w:widowControl w:val="0"/>
              <w:kinsoku/>
              <w:wordWrap/>
              <w:autoSpaceDE w:val="0"/>
              <w:autoSpaceDN w:val="0"/>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ab/>
            </w:r>
            <w:r>
              <w:rPr>
                <w:rFonts w:hint="default" w:ascii="Times New Roman" w:hAnsi="Times New Roman" w:cs="Times New Roman"/>
                <w:color w:val="auto"/>
                <w:kern w:val="0"/>
                <w:sz w:val="24"/>
                <w:szCs w:val="24"/>
                <w:highlight w:val="none"/>
              </w:rPr>
              <w:t xml:space="preserve">      pH</w:t>
            </w:r>
            <w:r>
              <w:rPr>
                <w:rFonts w:hint="default" w:ascii="Times New Roman" w:hAnsi="Times New Roman" w:cs="Times New Roman"/>
                <w:color w:val="auto"/>
                <w:kern w:val="0"/>
                <w:sz w:val="24"/>
                <w:szCs w:val="24"/>
                <w:highlight w:val="none"/>
                <w:vertAlign w:val="subscript"/>
              </w:rPr>
              <w:t>sd</w:t>
            </w:r>
            <w:r>
              <w:rPr>
                <w:rFonts w:hint="default" w:ascii="Times New Roman" w:hAnsi="Times New Roman" w:cs="Times New Roman"/>
                <w:color w:val="auto"/>
                <w:kern w:val="0"/>
                <w:sz w:val="24"/>
                <w:szCs w:val="24"/>
                <w:highlight w:val="none"/>
              </w:rPr>
              <w:t>、pH</w:t>
            </w:r>
            <w:r>
              <w:rPr>
                <w:rFonts w:hint="default" w:ascii="Times New Roman" w:hAnsi="Times New Roman" w:cs="Times New Roman"/>
                <w:color w:val="auto"/>
                <w:kern w:val="0"/>
                <w:sz w:val="24"/>
                <w:szCs w:val="24"/>
                <w:highlight w:val="none"/>
                <w:vertAlign w:val="subscript"/>
              </w:rPr>
              <w:t>su</w:t>
            </w:r>
            <w:r>
              <w:rPr>
                <w:rFonts w:hint="default" w:ascii="Times New Roman" w:hAnsi="Times New Roman" w:cs="Times New Roman"/>
                <w:color w:val="auto"/>
                <w:kern w:val="0"/>
                <w:sz w:val="24"/>
                <w:szCs w:val="24"/>
                <w:highlight w:val="none"/>
              </w:rPr>
              <w:t>――标准上限或下限值。</w:t>
            </w:r>
          </w:p>
          <w:p w14:paraId="62A18945">
            <w:pPr>
              <w:pStyle w:val="7"/>
              <w:keepNext w:val="0"/>
              <w:keepLines w:val="0"/>
              <w:pageBreakBefore w:val="0"/>
              <w:widowControl w:val="0"/>
              <w:tabs>
                <w:tab w:val="left" w:pos="540"/>
              </w:tabs>
              <w:kinsoku/>
              <w:wordWrap/>
              <w:bidi w:val="0"/>
              <w:adjustRightInd w:val="0"/>
              <w:snapToGrid w:val="0"/>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 xml:space="preserve">  DO</w:t>
            </w:r>
            <w:r>
              <w:rPr>
                <w:rFonts w:hint="default" w:ascii="Times New Roman" w:hAnsi="Times New Roman" w:cs="Times New Roman"/>
                <w:color w:val="auto"/>
                <w:kern w:val="0"/>
                <w:sz w:val="24"/>
                <w:szCs w:val="24"/>
                <w:highlight w:val="none"/>
              </w:rPr>
              <w:t>的标准指数为：</w:t>
            </w:r>
          </w:p>
          <w:p w14:paraId="2E658B46">
            <w:pPr>
              <w:pStyle w:val="7"/>
              <w:keepNext w:val="0"/>
              <w:keepLines w:val="0"/>
              <w:pageBreakBefore w:val="0"/>
              <w:widowControl w:val="0"/>
              <w:tabs>
                <w:tab w:val="left" w:pos="540"/>
              </w:tabs>
              <w:kinsoku/>
              <w:wordWrap/>
              <w:bidi w:val="0"/>
              <w:adjustRightInd w:val="0"/>
              <w:snapToGrid w:val="0"/>
              <w:spacing w:line="360" w:lineRule="auto"/>
              <w:ind w:right="400"/>
              <w:jc w:val="center"/>
              <w:textAlignment w:val="auto"/>
              <w:rPr>
                <w:rFonts w:hint="default" w:ascii="Times New Roman" w:hAnsi="Times New Roman" w:cs="Times New Roman"/>
                <w:color w:val="auto"/>
                <w:position w:val="-32"/>
                <w:sz w:val="24"/>
                <w:szCs w:val="24"/>
                <w:highlight w:val="none"/>
              </w:rPr>
            </w:pPr>
            <w:r>
              <w:rPr>
                <w:rFonts w:hint="default" w:ascii="Times New Roman" w:hAnsi="Times New Roman" w:cs="Times New Roman"/>
                <w:color w:val="auto"/>
                <w:position w:val="-32"/>
                <w:sz w:val="24"/>
                <w:szCs w:val="24"/>
                <w:highlight w:val="none"/>
              </w:rPr>
              <w:drawing>
                <wp:inline distT="0" distB="0" distL="114300" distR="114300">
                  <wp:extent cx="2134235" cy="504825"/>
                  <wp:effectExtent l="0" t="0" r="18415" b="889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4"/>
                          <a:stretch>
                            <a:fillRect/>
                          </a:stretch>
                        </pic:blipFill>
                        <pic:spPr>
                          <a:xfrm>
                            <a:off x="0" y="0"/>
                            <a:ext cx="2134235" cy="504825"/>
                          </a:xfrm>
                          <a:prstGeom prst="rect">
                            <a:avLst/>
                          </a:prstGeom>
                          <a:noFill/>
                          <a:ln>
                            <a:noFill/>
                          </a:ln>
                        </pic:spPr>
                      </pic:pic>
                    </a:graphicData>
                  </a:graphic>
                </wp:inline>
              </w:drawing>
            </w:r>
          </w:p>
          <w:p w14:paraId="49A5076F">
            <w:pPr>
              <w:pStyle w:val="7"/>
              <w:keepNext w:val="0"/>
              <w:keepLines w:val="0"/>
              <w:pageBreakBefore w:val="0"/>
              <w:widowControl w:val="0"/>
              <w:tabs>
                <w:tab w:val="left" w:pos="540"/>
              </w:tabs>
              <w:kinsoku/>
              <w:wordWrap/>
              <w:bidi w:val="0"/>
              <w:adjustRightInd w:val="0"/>
              <w:snapToGrid w:val="0"/>
              <w:spacing w:line="360" w:lineRule="auto"/>
              <w:ind w:right="4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30"/>
                <w:sz w:val="24"/>
                <w:szCs w:val="24"/>
                <w:highlight w:val="none"/>
              </w:rPr>
              <w:drawing>
                <wp:inline distT="0" distB="0" distL="114300" distR="114300">
                  <wp:extent cx="2011045" cy="457835"/>
                  <wp:effectExtent l="0" t="0" r="8255" b="1841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5"/>
                          <a:stretch>
                            <a:fillRect/>
                          </a:stretch>
                        </pic:blipFill>
                        <pic:spPr>
                          <a:xfrm>
                            <a:off x="0" y="0"/>
                            <a:ext cx="2011045" cy="457835"/>
                          </a:xfrm>
                          <a:prstGeom prst="rect">
                            <a:avLst/>
                          </a:prstGeom>
                          <a:noFill/>
                          <a:ln>
                            <a:noFill/>
                          </a:ln>
                        </pic:spPr>
                      </pic:pic>
                    </a:graphicData>
                  </a:graphic>
                </wp:inline>
              </w:drawing>
            </w:r>
          </w:p>
          <w:p w14:paraId="06D11BE2">
            <w:pPr>
              <w:pStyle w:val="7"/>
              <w:keepNext w:val="0"/>
              <w:keepLines w:val="0"/>
              <w:pageBreakBefore w:val="0"/>
              <w:widowControl w:val="0"/>
              <w:tabs>
                <w:tab w:val="left" w:pos="540"/>
              </w:tabs>
              <w:kinsoku/>
              <w:wordWrap/>
              <w:bidi w:val="0"/>
              <w:adjustRightInd w:val="0"/>
              <w:snapToGrid w:val="0"/>
              <w:spacing w:line="360" w:lineRule="auto"/>
              <w:ind w:right="400"/>
              <w:jc w:val="center"/>
              <w:textAlignment w:val="auto"/>
              <w:rPr>
                <w:rFonts w:hint="default" w:ascii="Times New Roman" w:hAnsi="Times New Roman" w:cs="Times New Roman"/>
                <w:color w:val="auto"/>
                <w:position w:val="-14"/>
                <w:sz w:val="24"/>
                <w:szCs w:val="24"/>
                <w:highlight w:val="none"/>
              </w:rPr>
            </w:pPr>
            <w:r>
              <w:rPr>
                <w:rFonts w:hint="default" w:ascii="Times New Roman" w:hAnsi="Times New Roman" w:cs="Times New Roman"/>
                <w:color w:val="auto"/>
                <w:position w:val="-14"/>
                <w:sz w:val="24"/>
                <w:szCs w:val="24"/>
                <w:highlight w:val="none"/>
              </w:rPr>
              <w:drawing>
                <wp:inline distT="0" distB="0" distL="114300" distR="114300">
                  <wp:extent cx="1429385" cy="238760"/>
                  <wp:effectExtent l="0" t="0" r="18415" b="762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6"/>
                          <a:stretch>
                            <a:fillRect/>
                          </a:stretch>
                        </pic:blipFill>
                        <pic:spPr>
                          <a:xfrm>
                            <a:off x="0" y="0"/>
                            <a:ext cx="1429385" cy="238760"/>
                          </a:xfrm>
                          <a:prstGeom prst="rect">
                            <a:avLst/>
                          </a:prstGeom>
                          <a:noFill/>
                          <a:ln>
                            <a:noFill/>
                          </a:ln>
                        </pic:spPr>
                      </pic:pic>
                    </a:graphicData>
                  </a:graphic>
                </wp:inline>
              </w:drawing>
            </w:r>
          </w:p>
          <w:p w14:paraId="7220C34F">
            <w:pPr>
              <w:keepNext w:val="0"/>
              <w:keepLines w:val="0"/>
              <w:pageBreakBefore w:val="0"/>
              <w:widowControl w:val="0"/>
              <w:kinsoku/>
              <w:wordWrap/>
              <w:autoSpaceDE w:val="0"/>
              <w:autoSpaceDN w:val="0"/>
              <w:bidi w:val="0"/>
              <w:adjustRightInd w:val="0"/>
              <w:snapToGrid w:val="0"/>
              <w:spacing w:line="360" w:lineRule="auto"/>
              <w:ind w:firstLine="2640" w:firstLineChars="11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i/>
                <w:iCs/>
                <w:color w:val="auto"/>
                <w:kern w:val="0"/>
                <w:sz w:val="24"/>
                <w:szCs w:val="24"/>
                <w:highlight w:val="none"/>
              </w:rPr>
              <w:t>S</w:t>
            </w:r>
            <w:r>
              <w:rPr>
                <w:rFonts w:hint="default" w:ascii="Times New Roman" w:hAnsi="Times New Roman" w:cs="Times New Roman"/>
                <w:i/>
                <w:iCs/>
                <w:color w:val="auto"/>
                <w:kern w:val="0"/>
                <w:sz w:val="24"/>
                <w:szCs w:val="24"/>
                <w:highlight w:val="none"/>
                <w:vertAlign w:val="subscript"/>
              </w:rPr>
              <w:t>DO,j</w:t>
            </w:r>
            <w:r>
              <w:rPr>
                <w:rFonts w:hint="default" w:ascii="Times New Roman" w:hAnsi="Times New Roman" w:cs="Times New Roman"/>
                <w:color w:val="auto"/>
                <w:kern w:val="0"/>
                <w:sz w:val="24"/>
                <w:szCs w:val="24"/>
                <w:highlight w:val="none"/>
              </w:rPr>
              <w:t>――pH单因子污染指数；</w:t>
            </w:r>
          </w:p>
          <w:p w14:paraId="3697FC8C">
            <w:pPr>
              <w:keepNext w:val="0"/>
              <w:keepLines w:val="0"/>
              <w:pageBreakBefore w:val="0"/>
              <w:widowControl w:val="0"/>
              <w:kinsoku/>
              <w:wordWrap/>
              <w:autoSpaceDE w:val="0"/>
              <w:autoSpaceDN w:val="0"/>
              <w:bidi w:val="0"/>
              <w:adjustRightInd w:val="0"/>
              <w:snapToGrid w:val="0"/>
              <w:spacing w:line="360" w:lineRule="auto"/>
              <w:ind w:firstLine="2640" w:firstLineChars="11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i/>
                <w:iCs/>
                <w:color w:val="auto"/>
                <w:kern w:val="0"/>
                <w:sz w:val="24"/>
                <w:szCs w:val="24"/>
                <w:highlight w:val="none"/>
              </w:rPr>
              <w:t>DO</w:t>
            </w:r>
            <w:r>
              <w:rPr>
                <w:rFonts w:hint="default" w:ascii="Times New Roman" w:hAnsi="Times New Roman" w:cs="Times New Roman"/>
                <w:i/>
                <w:iCs/>
                <w:color w:val="auto"/>
                <w:kern w:val="0"/>
                <w:sz w:val="24"/>
                <w:szCs w:val="24"/>
                <w:highlight w:val="none"/>
                <w:vertAlign w:val="subscript"/>
              </w:rPr>
              <w:t>j</w:t>
            </w:r>
            <w:r>
              <w:rPr>
                <w:rFonts w:hint="default" w:ascii="Times New Roman" w:hAnsi="Times New Roman" w:cs="Times New Roman"/>
                <w:color w:val="auto"/>
                <w:kern w:val="0"/>
                <w:sz w:val="24"/>
                <w:szCs w:val="24"/>
                <w:highlight w:val="none"/>
              </w:rPr>
              <w:t>――j点溶解氧的实测值；</w:t>
            </w:r>
          </w:p>
          <w:p w14:paraId="6A24813C">
            <w:pPr>
              <w:keepNext w:val="0"/>
              <w:keepLines w:val="0"/>
              <w:pageBreakBefore w:val="0"/>
              <w:widowControl w:val="0"/>
              <w:kinsoku/>
              <w:wordWrap/>
              <w:autoSpaceDE w:val="0"/>
              <w:autoSpaceDN w:val="0"/>
              <w:bidi w:val="0"/>
              <w:adjustRightInd w:val="0"/>
              <w:snapToGrid w:val="0"/>
              <w:spacing w:line="360" w:lineRule="auto"/>
              <w:ind w:firstLine="2400" w:firstLineChars="10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i/>
                <w:iCs/>
                <w:color w:val="auto"/>
                <w:kern w:val="0"/>
                <w:sz w:val="24"/>
                <w:szCs w:val="24"/>
                <w:highlight w:val="none"/>
              </w:rPr>
              <w:t>DO</w:t>
            </w:r>
            <w:r>
              <w:rPr>
                <w:rFonts w:hint="default" w:ascii="Times New Roman" w:hAnsi="Times New Roman" w:cs="Times New Roman"/>
                <w:i/>
                <w:iCs/>
                <w:color w:val="auto"/>
                <w:kern w:val="0"/>
                <w:sz w:val="24"/>
                <w:szCs w:val="24"/>
                <w:highlight w:val="none"/>
                <w:vertAlign w:val="subscript"/>
              </w:rPr>
              <w:t>f</w:t>
            </w:r>
            <w:r>
              <w:rPr>
                <w:rFonts w:hint="default" w:ascii="Times New Roman" w:hAnsi="Times New Roman" w:cs="Times New Roman"/>
                <w:color w:val="auto"/>
                <w:kern w:val="0"/>
                <w:sz w:val="24"/>
                <w:szCs w:val="24"/>
                <w:highlight w:val="none"/>
              </w:rPr>
              <w:t>――饱和溶解氧浓度。</w:t>
            </w:r>
          </w:p>
          <w:p w14:paraId="73A9EBDC">
            <w:pPr>
              <w:pStyle w:val="2"/>
              <w:keepNext w:val="0"/>
              <w:keepLines w:val="0"/>
              <w:pageBreakBefore w:val="0"/>
              <w:widowControl w:val="0"/>
              <w:kinsoku/>
              <w:wordWrap/>
              <w:bidi w:val="0"/>
              <w:adjustRightInd w:val="0"/>
              <w:snapToGrid w:val="0"/>
              <w:ind w:firstLine="2640" w:firstLineChars="1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T――水温，℃</w:t>
            </w:r>
          </w:p>
          <w:p w14:paraId="2FC69E23">
            <w:pPr>
              <w:pStyle w:val="7"/>
              <w:keepNext w:val="0"/>
              <w:keepLines w:val="0"/>
              <w:pageBreakBefore w:val="0"/>
              <w:widowControl w:val="0"/>
              <w:tabs>
                <w:tab w:val="left" w:pos="540"/>
              </w:tabs>
              <w:kinsoku/>
              <w:wordWrap/>
              <w:bidi w:val="0"/>
              <w:adjustRightInd w:val="0"/>
              <w:snapToGrid w:val="0"/>
              <w:spacing w:line="360" w:lineRule="auto"/>
              <w:ind w:firstLine="48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评价标准：</w:t>
            </w:r>
            <w:r>
              <w:rPr>
                <w:rFonts w:hint="default" w:ascii="Times New Roman" w:hAnsi="Times New Roman" w:cs="Times New Roman"/>
                <w:color w:val="auto"/>
                <w:kern w:val="0"/>
                <w:sz w:val="24"/>
                <w:szCs w:val="24"/>
                <w:highlight w:val="none"/>
              </w:rPr>
              <w:t>《地表水环境质量标准（GB3838-2002）》中规定的Ⅲ类</w:t>
            </w:r>
            <w:r>
              <w:rPr>
                <w:rFonts w:hint="default" w:ascii="Times New Roman" w:hAnsi="Times New Roman" w:cs="Times New Roman"/>
                <w:color w:val="auto"/>
                <w:kern w:val="0"/>
                <w:sz w:val="24"/>
                <w:szCs w:val="24"/>
                <w:highlight w:val="none"/>
                <w:lang w:eastAsia="zh-CN"/>
              </w:rPr>
              <w:t>水质标准</w:t>
            </w:r>
            <w:r>
              <w:rPr>
                <w:rFonts w:hint="default" w:ascii="Times New Roman" w:hAnsi="Times New Roman" w:cs="Times New Roman"/>
                <w:color w:val="auto"/>
                <w:kern w:val="0"/>
                <w:sz w:val="24"/>
                <w:szCs w:val="24"/>
                <w:highlight w:val="none"/>
              </w:rPr>
              <w:t>执行。</w:t>
            </w:r>
          </w:p>
          <w:p w14:paraId="1F2927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经整理归纳后，主要结果列于</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7EDCED8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napToGrid w:val="0"/>
                <w:color w:val="auto"/>
                <w:kern w:val="2"/>
                <w:sz w:val="21"/>
                <w:szCs w:val="21"/>
                <w:highlight w:val="none"/>
                <w:lang w:val="en-US" w:eastAsia="zh-CN" w:bidi="ar-SA"/>
              </w:rPr>
            </w:pPr>
            <w:r>
              <w:rPr>
                <w:rFonts w:hint="eastAsia" w:ascii="黑体" w:hAnsi="黑体" w:eastAsia="黑体" w:cs="黑体"/>
                <w:b w:val="0"/>
                <w:bCs w:val="0"/>
                <w:snapToGrid w:val="0"/>
                <w:color w:val="auto"/>
                <w:kern w:val="2"/>
                <w:sz w:val="21"/>
                <w:szCs w:val="21"/>
                <w:highlight w:val="none"/>
                <w:lang w:val="en-US" w:eastAsia="zh-CN" w:bidi="ar-SA"/>
              </w:rPr>
              <w:t>表3-5  引用地表水监测结果 （注：pH无量纲，其余单位均为：mg/L）</w:t>
            </w:r>
          </w:p>
          <w:tbl>
            <w:tblPr>
              <w:tblStyle w:val="23"/>
              <w:tblW w:w="82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12"/>
              <w:gridCol w:w="1032"/>
              <w:gridCol w:w="997"/>
              <w:gridCol w:w="962"/>
              <w:gridCol w:w="777"/>
              <w:gridCol w:w="882"/>
              <w:gridCol w:w="697"/>
              <w:gridCol w:w="660"/>
              <w:gridCol w:w="396"/>
            </w:tblGrid>
            <w:tr w14:paraId="7DA41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tcBorders>
                    <w:tl2br w:val="nil"/>
                    <w:tr2bl w:val="nil"/>
                  </w:tcBorders>
                  <w:vAlign w:val="center"/>
                </w:tcPr>
                <w:p w14:paraId="23AB122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w:t>
                  </w:r>
                </w:p>
              </w:tc>
              <w:tc>
                <w:tcPr>
                  <w:tcW w:w="1112" w:type="dxa"/>
                  <w:tcBorders>
                    <w:tl2br w:val="nil"/>
                    <w:tr2bl w:val="nil"/>
                  </w:tcBorders>
                  <w:vAlign w:val="center"/>
                </w:tcPr>
                <w:p w14:paraId="6131A8B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采样日期</w:t>
                  </w:r>
                </w:p>
              </w:tc>
              <w:tc>
                <w:tcPr>
                  <w:tcW w:w="1032" w:type="dxa"/>
                  <w:tcBorders>
                    <w:tl2br w:val="nil"/>
                    <w:tr2bl w:val="nil"/>
                  </w:tcBorders>
                  <w:vAlign w:val="center"/>
                </w:tcPr>
                <w:p w14:paraId="59D4FE4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项目区上游500m平甸河断面（DB01）</w:t>
                  </w:r>
                </w:p>
              </w:tc>
              <w:tc>
                <w:tcPr>
                  <w:tcW w:w="997" w:type="dxa"/>
                  <w:tcBorders>
                    <w:tl2br w:val="nil"/>
                    <w:tr2bl w:val="nil"/>
                  </w:tcBorders>
                  <w:vAlign w:val="center"/>
                </w:tcPr>
                <w:p w14:paraId="1E3F124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项目区上游500m化念河断面（DB02）</w:t>
                  </w:r>
                </w:p>
              </w:tc>
              <w:tc>
                <w:tcPr>
                  <w:tcW w:w="962" w:type="dxa"/>
                  <w:tcBorders>
                    <w:tl2br w:val="nil"/>
                    <w:tr2bl w:val="nil"/>
                  </w:tcBorders>
                  <w:vAlign w:val="center"/>
                </w:tcPr>
                <w:p w14:paraId="3BC2AAC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项目区下游500m小河底河断面（DB03）</w:t>
                  </w:r>
                </w:p>
              </w:tc>
              <w:tc>
                <w:tcPr>
                  <w:tcW w:w="777" w:type="dxa"/>
                  <w:tcBorders>
                    <w:tl2br w:val="nil"/>
                    <w:tr2bl w:val="nil"/>
                  </w:tcBorders>
                  <w:vAlign w:val="center"/>
                </w:tcPr>
                <w:p w14:paraId="3E454C7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top"/>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（GB3838－2002）Ⅲ类</w:t>
                  </w:r>
                </w:p>
              </w:tc>
              <w:tc>
                <w:tcPr>
                  <w:tcW w:w="882" w:type="dxa"/>
                  <w:tcBorders>
                    <w:tl2br w:val="nil"/>
                    <w:tr2bl w:val="nil"/>
                  </w:tcBorders>
                  <w:vAlign w:val="center"/>
                </w:tcPr>
                <w:p w14:paraId="40A1A06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（DB01）标准指数</w:t>
                  </w:r>
                </w:p>
              </w:tc>
              <w:tc>
                <w:tcPr>
                  <w:tcW w:w="697" w:type="dxa"/>
                  <w:tcBorders>
                    <w:tl2br w:val="nil"/>
                    <w:tr2bl w:val="nil"/>
                  </w:tcBorders>
                  <w:vAlign w:val="center"/>
                </w:tcPr>
                <w:p w14:paraId="7C5EAC0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（DB02）标准指数</w:t>
                  </w:r>
                </w:p>
              </w:tc>
              <w:tc>
                <w:tcPr>
                  <w:tcW w:w="660" w:type="dxa"/>
                  <w:tcBorders>
                    <w:tl2br w:val="nil"/>
                    <w:tr2bl w:val="nil"/>
                  </w:tcBorders>
                  <w:vAlign w:val="center"/>
                </w:tcPr>
                <w:p w14:paraId="59BCBA3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（DB03）标准指数</w:t>
                  </w:r>
                </w:p>
              </w:tc>
              <w:tc>
                <w:tcPr>
                  <w:tcW w:w="396" w:type="dxa"/>
                  <w:tcBorders>
                    <w:tl2br w:val="nil"/>
                    <w:tr2bl w:val="nil"/>
                  </w:tcBorders>
                  <w:vAlign w:val="center"/>
                </w:tcPr>
                <w:p w14:paraId="30613C8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达标情况</w:t>
                  </w:r>
                </w:p>
              </w:tc>
            </w:tr>
            <w:tr w14:paraId="70AF24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6C2D9A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pH</w:t>
                  </w:r>
                </w:p>
              </w:tc>
              <w:tc>
                <w:tcPr>
                  <w:tcW w:w="1112" w:type="dxa"/>
                  <w:tcBorders>
                    <w:tl2br w:val="nil"/>
                    <w:tr2bl w:val="nil"/>
                  </w:tcBorders>
                  <w:vAlign w:val="center"/>
                </w:tcPr>
                <w:p w14:paraId="540EF3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537588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7.73</w:t>
                  </w:r>
                </w:p>
              </w:tc>
              <w:tc>
                <w:tcPr>
                  <w:tcW w:w="997" w:type="dxa"/>
                  <w:tcBorders>
                    <w:tl2br w:val="nil"/>
                    <w:tr2bl w:val="nil"/>
                  </w:tcBorders>
                  <w:vAlign w:val="center"/>
                </w:tcPr>
                <w:p w14:paraId="3BF9AF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7.68</w:t>
                  </w:r>
                </w:p>
              </w:tc>
              <w:tc>
                <w:tcPr>
                  <w:tcW w:w="962" w:type="dxa"/>
                  <w:tcBorders>
                    <w:tl2br w:val="nil"/>
                    <w:tr2bl w:val="nil"/>
                  </w:tcBorders>
                  <w:vAlign w:val="center"/>
                </w:tcPr>
                <w:p w14:paraId="239EB4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7.72</w:t>
                  </w:r>
                </w:p>
              </w:tc>
              <w:tc>
                <w:tcPr>
                  <w:tcW w:w="777" w:type="dxa"/>
                  <w:vMerge w:val="restart"/>
                  <w:tcBorders>
                    <w:tl2br w:val="nil"/>
                    <w:tr2bl w:val="nil"/>
                  </w:tcBorders>
                  <w:vAlign w:val="center"/>
                </w:tcPr>
                <w:p w14:paraId="1DC143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882" w:type="dxa"/>
                  <w:tcBorders>
                    <w:tl2br w:val="nil"/>
                    <w:tr2bl w:val="nil"/>
                  </w:tcBorders>
                  <w:vAlign w:val="center"/>
                </w:tcPr>
                <w:p w14:paraId="062881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0.365</w:t>
                  </w:r>
                </w:p>
              </w:tc>
              <w:tc>
                <w:tcPr>
                  <w:tcW w:w="697" w:type="dxa"/>
                  <w:tcBorders>
                    <w:tl2br w:val="nil"/>
                    <w:tr2bl w:val="nil"/>
                  </w:tcBorders>
                  <w:vAlign w:val="center"/>
                </w:tcPr>
                <w:p w14:paraId="10E952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0.34</w:t>
                  </w:r>
                </w:p>
              </w:tc>
              <w:tc>
                <w:tcPr>
                  <w:tcW w:w="660" w:type="dxa"/>
                  <w:tcBorders>
                    <w:tl2br w:val="nil"/>
                    <w:tr2bl w:val="nil"/>
                  </w:tcBorders>
                  <w:vAlign w:val="center"/>
                </w:tcPr>
                <w:p w14:paraId="774933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0.36</w:t>
                  </w:r>
                </w:p>
              </w:tc>
              <w:tc>
                <w:tcPr>
                  <w:tcW w:w="396" w:type="dxa"/>
                  <w:tcBorders>
                    <w:tl2br w:val="nil"/>
                    <w:tr2bl w:val="nil"/>
                  </w:tcBorders>
                  <w:vAlign w:val="center"/>
                </w:tcPr>
                <w:p w14:paraId="68BEB4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87574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23D2C8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31635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2A4711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7.75</w:t>
                  </w:r>
                </w:p>
              </w:tc>
              <w:tc>
                <w:tcPr>
                  <w:tcW w:w="997" w:type="dxa"/>
                  <w:tcBorders>
                    <w:tl2br w:val="nil"/>
                    <w:tr2bl w:val="nil"/>
                  </w:tcBorders>
                  <w:vAlign w:val="center"/>
                </w:tcPr>
                <w:p w14:paraId="2AE4A3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7.66</w:t>
                  </w:r>
                </w:p>
              </w:tc>
              <w:tc>
                <w:tcPr>
                  <w:tcW w:w="962" w:type="dxa"/>
                  <w:tcBorders>
                    <w:tl2br w:val="nil"/>
                    <w:tr2bl w:val="nil"/>
                  </w:tcBorders>
                  <w:vAlign w:val="center"/>
                </w:tcPr>
                <w:p w14:paraId="79219D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7.69</w:t>
                  </w:r>
                </w:p>
              </w:tc>
              <w:tc>
                <w:tcPr>
                  <w:tcW w:w="777" w:type="dxa"/>
                  <w:vMerge w:val="continue"/>
                  <w:tcBorders>
                    <w:tl2br w:val="nil"/>
                    <w:tr2bl w:val="nil"/>
                  </w:tcBorders>
                  <w:vAlign w:val="center"/>
                </w:tcPr>
                <w:p w14:paraId="22AE7E9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CD2C2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0.375</w:t>
                  </w:r>
                </w:p>
              </w:tc>
              <w:tc>
                <w:tcPr>
                  <w:tcW w:w="697" w:type="dxa"/>
                  <w:tcBorders>
                    <w:tl2br w:val="nil"/>
                    <w:tr2bl w:val="nil"/>
                  </w:tcBorders>
                  <w:vAlign w:val="center"/>
                </w:tcPr>
                <w:p w14:paraId="5CCAC3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0.33</w:t>
                  </w:r>
                </w:p>
              </w:tc>
              <w:tc>
                <w:tcPr>
                  <w:tcW w:w="660" w:type="dxa"/>
                  <w:tcBorders>
                    <w:tl2br w:val="nil"/>
                    <w:tr2bl w:val="nil"/>
                  </w:tcBorders>
                  <w:vAlign w:val="center"/>
                </w:tcPr>
                <w:p w14:paraId="6DCFBF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0.345</w:t>
                  </w:r>
                </w:p>
              </w:tc>
              <w:tc>
                <w:tcPr>
                  <w:tcW w:w="396" w:type="dxa"/>
                  <w:tcBorders>
                    <w:tl2br w:val="nil"/>
                    <w:tr2bl w:val="nil"/>
                  </w:tcBorders>
                  <w:vAlign w:val="center"/>
                </w:tcPr>
                <w:p w14:paraId="216EC8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E733A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F5EA01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8FB2B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60CD91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7.71</w:t>
                  </w:r>
                </w:p>
              </w:tc>
              <w:tc>
                <w:tcPr>
                  <w:tcW w:w="997" w:type="dxa"/>
                  <w:tcBorders>
                    <w:tl2br w:val="nil"/>
                    <w:tr2bl w:val="nil"/>
                  </w:tcBorders>
                  <w:vAlign w:val="center"/>
                </w:tcPr>
                <w:p w14:paraId="6B37EF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7.69</w:t>
                  </w:r>
                </w:p>
              </w:tc>
              <w:tc>
                <w:tcPr>
                  <w:tcW w:w="962" w:type="dxa"/>
                  <w:tcBorders>
                    <w:tl2br w:val="nil"/>
                    <w:tr2bl w:val="nil"/>
                  </w:tcBorders>
                  <w:vAlign w:val="center"/>
                </w:tcPr>
                <w:p w14:paraId="10DC81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7.64</w:t>
                  </w:r>
                </w:p>
              </w:tc>
              <w:tc>
                <w:tcPr>
                  <w:tcW w:w="777" w:type="dxa"/>
                  <w:vMerge w:val="continue"/>
                  <w:tcBorders>
                    <w:tl2br w:val="nil"/>
                    <w:tr2bl w:val="nil"/>
                  </w:tcBorders>
                  <w:vAlign w:val="center"/>
                </w:tcPr>
                <w:p w14:paraId="75CA5C9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AA503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0.355</w:t>
                  </w:r>
                </w:p>
              </w:tc>
              <w:tc>
                <w:tcPr>
                  <w:tcW w:w="697" w:type="dxa"/>
                  <w:tcBorders>
                    <w:tl2br w:val="nil"/>
                    <w:tr2bl w:val="nil"/>
                  </w:tcBorders>
                  <w:vAlign w:val="center"/>
                </w:tcPr>
                <w:p w14:paraId="6251C0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0.345</w:t>
                  </w:r>
                </w:p>
              </w:tc>
              <w:tc>
                <w:tcPr>
                  <w:tcW w:w="660" w:type="dxa"/>
                  <w:tcBorders>
                    <w:tl2br w:val="nil"/>
                    <w:tr2bl w:val="nil"/>
                  </w:tcBorders>
                  <w:vAlign w:val="center"/>
                </w:tcPr>
                <w:p w14:paraId="1364DB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0.32</w:t>
                  </w:r>
                </w:p>
              </w:tc>
              <w:tc>
                <w:tcPr>
                  <w:tcW w:w="396" w:type="dxa"/>
                  <w:tcBorders>
                    <w:tl2br w:val="nil"/>
                    <w:tr2bl w:val="nil"/>
                  </w:tcBorders>
                  <w:vAlign w:val="center"/>
                </w:tcPr>
                <w:p w14:paraId="0BFEAA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638EB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491645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悬浮物</w:t>
                  </w:r>
                </w:p>
              </w:tc>
              <w:tc>
                <w:tcPr>
                  <w:tcW w:w="1112" w:type="dxa"/>
                  <w:tcBorders>
                    <w:tl2br w:val="nil"/>
                    <w:tr2bl w:val="nil"/>
                  </w:tcBorders>
                  <w:vAlign w:val="center"/>
                </w:tcPr>
                <w:p w14:paraId="457418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F4C73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997" w:type="dxa"/>
                  <w:tcBorders>
                    <w:tl2br w:val="nil"/>
                    <w:tr2bl w:val="nil"/>
                  </w:tcBorders>
                  <w:vAlign w:val="center"/>
                </w:tcPr>
                <w:p w14:paraId="37EA0D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962" w:type="dxa"/>
                  <w:tcBorders>
                    <w:tl2br w:val="nil"/>
                    <w:tr2bl w:val="nil"/>
                  </w:tcBorders>
                  <w:vAlign w:val="center"/>
                </w:tcPr>
                <w:p w14:paraId="222C31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777" w:type="dxa"/>
                  <w:vMerge w:val="restart"/>
                  <w:tcBorders>
                    <w:tl2br w:val="nil"/>
                    <w:tr2bl w:val="nil"/>
                  </w:tcBorders>
                  <w:vAlign w:val="center"/>
                </w:tcPr>
                <w:p w14:paraId="780A73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7EA4BD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5210DB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1F7FEF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394B3D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2C1B7E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B855D1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5DAC3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3D8A44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997" w:type="dxa"/>
                  <w:tcBorders>
                    <w:tl2br w:val="nil"/>
                    <w:tr2bl w:val="nil"/>
                  </w:tcBorders>
                  <w:vAlign w:val="center"/>
                </w:tcPr>
                <w:p w14:paraId="4B0E21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962" w:type="dxa"/>
                  <w:tcBorders>
                    <w:tl2br w:val="nil"/>
                    <w:tr2bl w:val="nil"/>
                  </w:tcBorders>
                  <w:vAlign w:val="center"/>
                </w:tcPr>
                <w:p w14:paraId="3C2D88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77" w:type="dxa"/>
                  <w:vMerge w:val="continue"/>
                  <w:tcBorders>
                    <w:tl2br w:val="nil"/>
                    <w:tr2bl w:val="nil"/>
                  </w:tcBorders>
                  <w:vAlign w:val="center"/>
                </w:tcPr>
                <w:p w14:paraId="03573CE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B3300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41543F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B18C9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7E6BA4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E6C2F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95BBFE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E2F453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21608F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997" w:type="dxa"/>
                  <w:tcBorders>
                    <w:tl2br w:val="nil"/>
                    <w:tr2bl w:val="nil"/>
                  </w:tcBorders>
                  <w:vAlign w:val="center"/>
                </w:tcPr>
                <w:p w14:paraId="521208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962" w:type="dxa"/>
                  <w:tcBorders>
                    <w:tl2br w:val="nil"/>
                    <w:tr2bl w:val="nil"/>
                  </w:tcBorders>
                  <w:vAlign w:val="center"/>
                </w:tcPr>
                <w:p w14:paraId="5B9C8B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777" w:type="dxa"/>
                  <w:vMerge w:val="continue"/>
                  <w:tcBorders>
                    <w:tl2br w:val="nil"/>
                    <w:tr2bl w:val="nil"/>
                  </w:tcBorders>
                  <w:vAlign w:val="center"/>
                </w:tcPr>
                <w:p w14:paraId="34F740F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A1AAC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4344AF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17166A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117203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3A63E8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25C27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溶解氧</w:t>
                  </w:r>
                </w:p>
              </w:tc>
              <w:tc>
                <w:tcPr>
                  <w:tcW w:w="1112" w:type="dxa"/>
                  <w:tcBorders>
                    <w:tl2br w:val="nil"/>
                    <w:tr2bl w:val="nil"/>
                  </w:tcBorders>
                  <w:vAlign w:val="center"/>
                </w:tcPr>
                <w:p w14:paraId="7E23F3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3D79C8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13.33</w:t>
                  </w:r>
                </w:p>
              </w:tc>
              <w:tc>
                <w:tcPr>
                  <w:tcW w:w="997" w:type="dxa"/>
                  <w:tcBorders>
                    <w:tl2br w:val="nil"/>
                    <w:tr2bl w:val="nil"/>
                  </w:tcBorders>
                  <w:vAlign w:val="center"/>
                </w:tcPr>
                <w:p w14:paraId="340F1B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13.17</w:t>
                  </w:r>
                </w:p>
              </w:tc>
              <w:tc>
                <w:tcPr>
                  <w:tcW w:w="962" w:type="dxa"/>
                  <w:tcBorders>
                    <w:tl2br w:val="nil"/>
                    <w:tr2bl w:val="nil"/>
                  </w:tcBorders>
                  <w:vAlign w:val="center"/>
                </w:tcPr>
                <w:p w14:paraId="27780E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13.42</w:t>
                  </w:r>
                </w:p>
              </w:tc>
              <w:tc>
                <w:tcPr>
                  <w:tcW w:w="777" w:type="dxa"/>
                  <w:vMerge w:val="restart"/>
                  <w:tcBorders>
                    <w:tl2br w:val="nil"/>
                    <w:tr2bl w:val="nil"/>
                  </w:tcBorders>
                  <w:vAlign w:val="center"/>
                </w:tcPr>
                <w:p w14:paraId="78FABB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882" w:type="dxa"/>
                  <w:tcBorders>
                    <w:tl2br w:val="nil"/>
                    <w:tr2bl w:val="nil"/>
                  </w:tcBorders>
                  <w:vAlign w:val="center"/>
                </w:tcPr>
                <w:p w14:paraId="4E98EF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97" w:type="dxa"/>
                  <w:tcBorders>
                    <w:tl2br w:val="nil"/>
                    <w:tr2bl w:val="nil"/>
                  </w:tcBorders>
                  <w:vAlign w:val="center"/>
                </w:tcPr>
                <w:p w14:paraId="5590FC7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60" w:type="dxa"/>
                  <w:tcBorders>
                    <w:tl2br w:val="nil"/>
                    <w:tr2bl w:val="nil"/>
                  </w:tcBorders>
                  <w:vAlign w:val="center"/>
                </w:tcPr>
                <w:p w14:paraId="443828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396" w:type="dxa"/>
                  <w:tcBorders>
                    <w:tl2br w:val="nil"/>
                    <w:tr2bl w:val="nil"/>
                  </w:tcBorders>
                  <w:vAlign w:val="center"/>
                </w:tcPr>
                <w:p w14:paraId="38DA6D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CC45B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41C6B6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5E51B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0E14F3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13.12</w:t>
                  </w:r>
                </w:p>
              </w:tc>
              <w:tc>
                <w:tcPr>
                  <w:tcW w:w="997" w:type="dxa"/>
                  <w:tcBorders>
                    <w:tl2br w:val="nil"/>
                    <w:tr2bl w:val="nil"/>
                  </w:tcBorders>
                  <w:vAlign w:val="center"/>
                </w:tcPr>
                <w:p w14:paraId="583FC0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13.26</w:t>
                  </w:r>
                </w:p>
              </w:tc>
              <w:tc>
                <w:tcPr>
                  <w:tcW w:w="962" w:type="dxa"/>
                  <w:tcBorders>
                    <w:tl2br w:val="nil"/>
                    <w:tr2bl w:val="nil"/>
                  </w:tcBorders>
                  <w:vAlign w:val="center"/>
                </w:tcPr>
                <w:p w14:paraId="792710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13.45</w:t>
                  </w:r>
                </w:p>
              </w:tc>
              <w:tc>
                <w:tcPr>
                  <w:tcW w:w="777" w:type="dxa"/>
                  <w:vMerge w:val="continue"/>
                  <w:tcBorders>
                    <w:tl2br w:val="nil"/>
                    <w:tr2bl w:val="nil"/>
                  </w:tcBorders>
                  <w:vAlign w:val="center"/>
                </w:tcPr>
                <w:p w14:paraId="098A270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912FD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97" w:type="dxa"/>
                  <w:tcBorders>
                    <w:tl2br w:val="nil"/>
                    <w:tr2bl w:val="nil"/>
                  </w:tcBorders>
                  <w:vAlign w:val="center"/>
                </w:tcPr>
                <w:p w14:paraId="1B765B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60" w:type="dxa"/>
                  <w:tcBorders>
                    <w:tl2br w:val="nil"/>
                    <w:tr2bl w:val="nil"/>
                  </w:tcBorders>
                  <w:vAlign w:val="center"/>
                </w:tcPr>
                <w:p w14:paraId="3ECB9D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396" w:type="dxa"/>
                  <w:tcBorders>
                    <w:tl2br w:val="nil"/>
                    <w:tr2bl w:val="nil"/>
                  </w:tcBorders>
                  <w:vAlign w:val="center"/>
                </w:tcPr>
                <w:p w14:paraId="617CF5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7F5A9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2716AC9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AA8BF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488EF8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13.25</w:t>
                  </w:r>
                </w:p>
              </w:tc>
              <w:tc>
                <w:tcPr>
                  <w:tcW w:w="997" w:type="dxa"/>
                  <w:tcBorders>
                    <w:tl2br w:val="nil"/>
                    <w:tr2bl w:val="nil"/>
                  </w:tcBorders>
                  <w:vAlign w:val="center"/>
                </w:tcPr>
                <w:p w14:paraId="297A10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13.19</w:t>
                  </w:r>
                </w:p>
              </w:tc>
              <w:tc>
                <w:tcPr>
                  <w:tcW w:w="962" w:type="dxa"/>
                  <w:tcBorders>
                    <w:tl2br w:val="nil"/>
                    <w:tr2bl w:val="nil"/>
                  </w:tcBorders>
                  <w:vAlign w:val="center"/>
                </w:tcPr>
                <w:p w14:paraId="113074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13.48</w:t>
                  </w:r>
                </w:p>
              </w:tc>
              <w:tc>
                <w:tcPr>
                  <w:tcW w:w="777" w:type="dxa"/>
                  <w:vMerge w:val="continue"/>
                  <w:tcBorders>
                    <w:tl2br w:val="nil"/>
                    <w:tr2bl w:val="nil"/>
                  </w:tcBorders>
                  <w:vAlign w:val="center"/>
                </w:tcPr>
                <w:p w14:paraId="53B57C3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5220D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97" w:type="dxa"/>
                  <w:tcBorders>
                    <w:tl2br w:val="nil"/>
                    <w:tr2bl w:val="nil"/>
                  </w:tcBorders>
                  <w:vAlign w:val="center"/>
                </w:tcPr>
                <w:p w14:paraId="2D1025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60" w:type="dxa"/>
                  <w:tcBorders>
                    <w:tl2br w:val="nil"/>
                    <w:tr2bl w:val="nil"/>
                  </w:tcBorders>
                  <w:vAlign w:val="center"/>
                </w:tcPr>
                <w:p w14:paraId="1DC01E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396" w:type="dxa"/>
                  <w:tcBorders>
                    <w:tl2br w:val="nil"/>
                    <w:tr2bl w:val="nil"/>
                  </w:tcBorders>
                  <w:vAlign w:val="center"/>
                </w:tcPr>
                <w:p w14:paraId="21350E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AF7A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F217F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高锰酸盐指数</w:t>
                  </w:r>
                </w:p>
              </w:tc>
              <w:tc>
                <w:tcPr>
                  <w:tcW w:w="1112" w:type="dxa"/>
                  <w:tcBorders>
                    <w:tl2br w:val="nil"/>
                    <w:tr2bl w:val="nil"/>
                  </w:tcBorders>
                  <w:vAlign w:val="center"/>
                </w:tcPr>
                <w:p w14:paraId="66169E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381929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997" w:type="dxa"/>
                  <w:tcBorders>
                    <w:tl2br w:val="nil"/>
                    <w:tr2bl w:val="nil"/>
                  </w:tcBorders>
                  <w:vAlign w:val="center"/>
                </w:tcPr>
                <w:p w14:paraId="2A1891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962" w:type="dxa"/>
                  <w:tcBorders>
                    <w:tl2br w:val="nil"/>
                    <w:tr2bl w:val="nil"/>
                  </w:tcBorders>
                  <w:vAlign w:val="center"/>
                </w:tcPr>
                <w:p w14:paraId="0B97E3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777" w:type="dxa"/>
                  <w:vMerge w:val="restart"/>
                  <w:tcBorders>
                    <w:tl2br w:val="nil"/>
                    <w:tr2bl w:val="nil"/>
                  </w:tcBorders>
                  <w:vAlign w:val="center"/>
                </w:tcPr>
                <w:p w14:paraId="29CB5A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882" w:type="dxa"/>
                  <w:tcBorders>
                    <w:tl2br w:val="nil"/>
                    <w:tr2bl w:val="nil"/>
                  </w:tcBorders>
                  <w:vAlign w:val="center"/>
                </w:tcPr>
                <w:p w14:paraId="2E11D2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0.63</w:t>
                  </w:r>
                </w:p>
              </w:tc>
              <w:tc>
                <w:tcPr>
                  <w:tcW w:w="697" w:type="dxa"/>
                  <w:tcBorders>
                    <w:tl2br w:val="nil"/>
                    <w:tr2bl w:val="nil"/>
                  </w:tcBorders>
                  <w:vAlign w:val="center"/>
                </w:tcPr>
                <w:p w14:paraId="3C12A8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660" w:type="dxa"/>
                  <w:tcBorders>
                    <w:tl2br w:val="nil"/>
                    <w:tr2bl w:val="nil"/>
                  </w:tcBorders>
                  <w:vAlign w:val="center"/>
                </w:tcPr>
                <w:p w14:paraId="2CE6B5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0.50</w:t>
                  </w:r>
                </w:p>
              </w:tc>
              <w:tc>
                <w:tcPr>
                  <w:tcW w:w="396" w:type="dxa"/>
                  <w:tcBorders>
                    <w:tl2br w:val="nil"/>
                    <w:tr2bl w:val="nil"/>
                  </w:tcBorders>
                  <w:vAlign w:val="center"/>
                </w:tcPr>
                <w:p w14:paraId="535E5C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A091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52A927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5399E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633040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997" w:type="dxa"/>
                  <w:tcBorders>
                    <w:tl2br w:val="nil"/>
                    <w:tr2bl w:val="nil"/>
                  </w:tcBorders>
                  <w:vAlign w:val="center"/>
                </w:tcPr>
                <w:p w14:paraId="17209D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962" w:type="dxa"/>
                  <w:tcBorders>
                    <w:tl2br w:val="nil"/>
                    <w:tr2bl w:val="nil"/>
                  </w:tcBorders>
                  <w:vAlign w:val="center"/>
                </w:tcPr>
                <w:p w14:paraId="37C23F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777" w:type="dxa"/>
                  <w:vMerge w:val="continue"/>
                  <w:tcBorders>
                    <w:tl2br w:val="nil"/>
                    <w:tr2bl w:val="nil"/>
                  </w:tcBorders>
                  <w:vAlign w:val="center"/>
                </w:tcPr>
                <w:p w14:paraId="458906E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1D996F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0.68</w:t>
                  </w:r>
                </w:p>
              </w:tc>
              <w:tc>
                <w:tcPr>
                  <w:tcW w:w="697" w:type="dxa"/>
                  <w:tcBorders>
                    <w:tl2br w:val="nil"/>
                    <w:tr2bl w:val="nil"/>
                  </w:tcBorders>
                  <w:vAlign w:val="center"/>
                </w:tcPr>
                <w:p w14:paraId="1F93DE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660" w:type="dxa"/>
                  <w:tcBorders>
                    <w:tl2br w:val="nil"/>
                    <w:tr2bl w:val="nil"/>
                  </w:tcBorders>
                  <w:vAlign w:val="center"/>
                </w:tcPr>
                <w:p w14:paraId="0A497B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396" w:type="dxa"/>
                  <w:tcBorders>
                    <w:tl2br w:val="nil"/>
                    <w:tr2bl w:val="nil"/>
                  </w:tcBorders>
                  <w:vAlign w:val="center"/>
                </w:tcPr>
                <w:p w14:paraId="603E9D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C2C6C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FE1191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E2544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39465F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997" w:type="dxa"/>
                  <w:tcBorders>
                    <w:tl2br w:val="nil"/>
                    <w:tr2bl w:val="nil"/>
                  </w:tcBorders>
                  <w:vAlign w:val="center"/>
                </w:tcPr>
                <w:p w14:paraId="7ACF25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962" w:type="dxa"/>
                  <w:tcBorders>
                    <w:tl2br w:val="nil"/>
                    <w:tr2bl w:val="nil"/>
                  </w:tcBorders>
                  <w:vAlign w:val="center"/>
                </w:tcPr>
                <w:p w14:paraId="3BCB43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777" w:type="dxa"/>
                  <w:vMerge w:val="continue"/>
                  <w:tcBorders>
                    <w:tl2br w:val="nil"/>
                    <w:tr2bl w:val="nil"/>
                  </w:tcBorders>
                  <w:vAlign w:val="center"/>
                </w:tcPr>
                <w:p w14:paraId="1AA615E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234EE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697" w:type="dxa"/>
                  <w:tcBorders>
                    <w:tl2br w:val="nil"/>
                    <w:tr2bl w:val="nil"/>
                  </w:tcBorders>
                  <w:vAlign w:val="center"/>
                </w:tcPr>
                <w:p w14:paraId="79BCFC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660" w:type="dxa"/>
                  <w:tcBorders>
                    <w:tl2br w:val="nil"/>
                    <w:tr2bl w:val="nil"/>
                  </w:tcBorders>
                  <w:vAlign w:val="center"/>
                </w:tcPr>
                <w:p w14:paraId="5D0F6C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396" w:type="dxa"/>
                  <w:tcBorders>
                    <w:tl2br w:val="nil"/>
                    <w:tr2bl w:val="nil"/>
                  </w:tcBorders>
                  <w:vAlign w:val="center"/>
                </w:tcPr>
                <w:p w14:paraId="7592C9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58157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6B38CE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化学需氧量</w:t>
                  </w:r>
                </w:p>
              </w:tc>
              <w:tc>
                <w:tcPr>
                  <w:tcW w:w="1112" w:type="dxa"/>
                  <w:tcBorders>
                    <w:tl2br w:val="nil"/>
                    <w:tr2bl w:val="nil"/>
                  </w:tcBorders>
                  <w:vAlign w:val="center"/>
                </w:tcPr>
                <w:p w14:paraId="49A535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560D2BB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997" w:type="dxa"/>
                  <w:tcBorders>
                    <w:tl2br w:val="nil"/>
                    <w:tr2bl w:val="nil"/>
                  </w:tcBorders>
                  <w:vAlign w:val="center"/>
                </w:tcPr>
                <w:p w14:paraId="1DB0AE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962" w:type="dxa"/>
                  <w:tcBorders>
                    <w:tl2br w:val="nil"/>
                    <w:tr2bl w:val="nil"/>
                  </w:tcBorders>
                  <w:vAlign w:val="center"/>
                </w:tcPr>
                <w:p w14:paraId="54F021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7" w:type="dxa"/>
                  <w:vMerge w:val="restart"/>
                  <w:tcBorders>
                    <w:tl2br w:val="nil"/>
                    <w:tr2bl w:val="nil"/>
                  </w:tcBorders>
                  <w:vAlign w:val="center"/>
                </w:tcPr>
                <w:p w14:paraId="6C27DBF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882" w:type="dxa"/>
                  <w:tcBorders>
                    <w:tl2br w:val="nil"/>
                    <w:tr2bl w:val="nil"/>
                  </w:tcBorders>
                  <w:vAlign w:val="center"/>
                </w:tcPr>
                <w:p w14:paraId="4110F1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697" w:type="dxa"/>
                  <w:tcBorders>
                    <w:tl2br w:val="nil"/>
                    <w:tr2bl w:val="nil"/>
                  </w:tcBorders>
                  <w:vAlign w:val="center"/>
                </w:tcPr>
                <w:p w14:paraId="625734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660" w:type="dxa"/>
                  <w:tcBorders>
                    <w:tl2br w:val="nil"/>
                    <w:tr2bl w:val="nil"/>
                  </w:tcBorders>
                  <w:vAlign w:val="center"/>
                </w:tcPr>
                <w:p w14:paraId="24A7E0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396" w:type="dxa"/>
                  <w:tcBorders>
                    <w:tl2br w:val="nil"/>
                    <w:tr2bl w:val="nil"/>
                  </w:tcBorders>
                  <w:vAlign w:val="center"/>
                </w:tcPr>
                <w:p w14:paraId="7038CD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CF4DB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A6232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B709A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3E654A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997" w:type="dxa"/>
                  <w:tcBorders>
                    <w:tl2br w:val="nil"/>
                    <w:tr2bl w:val="nil"/>
                  </w:tcBorders>
                  <w:vAlign w:val="center"/>
                </w:tcPr>
                <w:p w14:paraId="671862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962" w:type="dxa"/>
                  <w:tcBorders>
                    <w:tl2br w:val="nil"/>
                    <w:tr2bl w:val="nil"/>
                  </w:tcBorders>
                  <w:vAlign w:val="center"/>
                </w:tcPr>
                <w:p w14:paraId="3D50E5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777" w:type="dxa"/>
                  <w:vMerge w:val="continue"/>
                  <w:tcBorders>
                    <w:tl2br w:val="nil"/>
                    <w:tr2bl w:val="nil"/>
                  </w:tcBorders>
                  <w:vAlign w:val="center"/>
                </w:tcPr>
                <w:p w14:paraId="030F48B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F97F2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697" w:type="dxa"/>
                  <w:tcBorders>
                    <w:tl2br w:val="nil"/>
                    <w:tr2bl w:val="nil"/>
                  </w:tcBorders>
                  <w:vAlign w:val="center"/>
                </w:tcPr>
                <w:p w14:paraId="5B88CF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660" w:type="dxa"/>
                  <w:tcBorders>
                    <w:tl2br w:val="nil"/>
                    <w:tr2bl w:val="nil"/>
                  </w:tcBorders>
                  <w:vAlign w:val="center"/>
                </w:tcPr>
                <w:p w14:paraId="00F9B3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396" w:type="dxa"/>
                  <w:tcBorders>
                    <w:tl2br w:val="nil"/>
                    <w:tr2bl w:val="nil"/>
                  </w:tcBorders>
                  <w:vAlign w:val="center"/>
                </w:tcPr>
                <w:p w14:paraId="4195FE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23AD3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0DD4FD8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308BCB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0F43F9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997" w:type="dxa"/>
                  <w:tcBorders>
                    <w:tl2br w:val="nil"/>
                    <w:tr2bl w:val="nil"/>
                  </w:tcBorders>
                  <w:vAlign w:val="center"/>
                </w:tcPr>
                <w:p w14:paraId="0C530B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962" w:type="dxa"/>
                  <w:tcBorders>
                    <w:tl2br w:val="nil"/>
                    <w:tr2bl w:val="nil"/>
                  </w:tcBorders>
                  <w:vAlign w:val="center"/>
                </w:tcPr>
                <w:p w14:paraId="6EEF93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7" w:type="dxa"/>
                  <w:vMerge w:val="continue"/>
                  <w:tcBorders>
                    <w:tl2br w:val="nil"/>
                    <w:tr2bl w:val="nil"/>
                  </w:tcBorders>
                  <w:vAlign w:val="center"/>
                </w:tcPr>
                <w:p w14:paraId="20DA879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44207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0.8</w:t>
                  </w:r>
                </w:p>
              </w:tc>
              <w:tc>
                <w:tcPr>
                  <w:tcW w:w="697" w:type="dxa"/>
                  <w:tcBorders>
                    <w:tl2br w:val="nil"/>
                    <w:tr2bl w:val="nil"/>
                  </w:tcBorders>
                  <w:vAlign w:val="center"/>
                </w:tcPr>
                <w:p w14:paraId="3DD9A5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660" w:type="dxa"/>
                  <w:tcBorders>
                    <w:tl2br w:val="nil"/>
                    <w:tr2bl w:val="nil"/>
                  </w:tcBorders>
                  <w:vAlign w:val="center"/>
                </w:tcPr>
                <w:p w14:paraId="52D5DF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396" w:type="dxa"/>
                  <w:tcBorders>
                    <w:tl2br w:val="nil"/>
                    <w:tr2bl w:val="nil"/>
                  </w:tcBorders>
                  <w:vAlign w:val="center"/>
                </w:tcPr>
                <w:p w14:paraId="485B6C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7C1D9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446E4A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五日生化需氧量</w:t>
                  </w:r>
                </w:p>
              </w:tc>
              <w:tc>
                <w:tcPr>
                  <w:tcW w:w="1112" w:type="dxa"/>
                  <w:tcBorders>
                    <w:tl2br w:val="nil"/>
                    <w:tr2bl w:val="nil"/>
                  </w:tcBorders>
                  <w:vAlign w:val="center"/>
                </w:tcPr>
                <w:p w14:paraId="576787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2CBF7E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997" w:type="dxa"/>
                  <w:tcBorders>
                    <w:tl2br w:val="nil"/>
                    <w:tr2bl w:val="nil"/>
                  </w:tcBorders>
                  <w:vAlign w:val="center"/>
                </w:tcPr>
                <w:p w14:paraId="7C7BBB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962" w:type="dxa"/>
                  <w:tcBorders>
                    <w:tl2br w:val="nil"/>
                    <w:tr2bl w:val="nil"/>
                  </w:tcBorders>
                  <w:vAlign w:val="center"/>
                </w:tcPr>
                <w:p w14:paraId="4B266E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777" w:type="dxa"/>
                  <w:vMerge w:val="restart"/>
                  <w:tcBorders>
                    <w:tl2br w:val="nil"/>
                    <w:tr2bl w:val="nil"/>
                  </w:tcBorders>
                  <w:vAlign w:val="center"/>
                </w:tcPr>
                <w:p w14:paraId="3D15E7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882" w:type="dxa"/>
                  <w:tcBorders>
                    <w:tl2br w:val="nil"/>
                    <w:tr2bl w:val="nil"/>
                  </w:tcBorders>
                  <w:vAlign w:val="center"/>
                </w:tcPr>
                <w:p w14:paraId="278125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697" w:type="dxa"/>
                  <w:tcBorders>
                    <w:tl2br w:val="nil"/>
                    <w:tr2bl w:val="nil"/>
                  </w:tcBorders>
                  <w:vAlign w:val="center"/>
                </w:tcPr>
                <w:p w14:paraId="79B8E7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660" w:type="dxa"/>
                  <w:tcBorders>
                    <w:tl2br w:val="nil"/>
                    <w:tr2bl w:val="nil"/>
                  </w:tcBorders>
                  <w:vAlign w:val="center"/>
                </w:tcPr>
                <w:p w14:paraId="23778F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0.475</w:t>
                  </w:r>
                </w:p>
              </w:tc>
              <w:tc>
                <w:tcPr>
                  <w:tcW w:w="396" w:type="dxa"/>
                  <w:tcBorders>
                    <w:tl2br w:val="nil"/>
                    <w:tr2bl w:val="nil"/>
                  </w:tcBorders>
                  <w:vAlign w:val="center"/>
                </w:tcPr>
                <w:p w14:paraId="7B3350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E40E9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493EA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E1C92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31096F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997" w:type="dxa"/>
                  <w:tcBorders>
                    <w:tl2br w:val="nil"/>
                    <w:tr2bl w:val="nil"/>
                  </w:tcBorders>
                  <w:vAlign w:val="center"/>
                </w:tcPr>
                <w:p w14:paraId="638831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962" w:type="dxa"/>
                  <w:tcBorders>
                    <w:tl2br w:val="nil"/>
                    <w:tr2bl w:val="nil"/>
                  </w:tcBorders>
                  <w:vAlign w:val="center"/>
                </w:tcPr>
                <w:p w14:paraId="4D7CA9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777" w:type="dxa"/>
                  <w:vMerge w:val="continue"/>
                  <w:tcBorders>
                    <w:tl2br w:val="nil"/>
                    <w:tr2bl w:val="nil"/>
                  </w:tcBorders>
                  <w:vAlign w:val="center"/>
                </w:tcPr>
                <w:p w14:paraId="11D347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FCA96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697" w:type="dxa"/>
                  <w:tcBorders>
                    <w:tl2br w:val="nil"/>
                    <w:tr2bl w:val="nil"/>
                  </w:tcBorders>
                  <w:vAlign w:val="center"/>
                </w:tcPr>
                <w:p w14:paraId="4276D8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0.575</w:t>
                  </w:r>
                </w:p>
              </w:tc>
              <w:tc>
                <w:tcPr>
                  <w:tcW w:w="660" w:type="dxa"/>
                  <w:tcBorders>
                    <w:tl2br w:val="nil"/>
                    <w:tr2bl w:val="nil"/>
                  </w:tcBorders>
                  <w:vAlign w:val="center"/>
                </w:tcPr>
                <w:p w14:paraId="6435CE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0.525</w:t>
                  </w:r>
                </w:p>
              </w:tc>
              <w:tc>
                <w:tcPr>
                  <w:tcW w:w="396" w:type="dxa"/>
                  <w:tcBorders>
                    <w:tl2br w:val="nil"/>
                    <w:tr2bl w:val="nil"/>
                  </w:tcBorders>
                  <w:vAlign w:val="center"/>
                </w:tcPr>
                <w:p w14:paraId="15168B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18654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D3D60D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7AEAD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1C1C69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997" w:type="dxa"/>
                  <w:tcBorders>
                    <w:tl2br w:val="nil"/>
                    <w:tr2bl w:val="nil"/>
                  </w:tcBorders>
                  <w:vAlign w:val="center"/>
                </w:tcPr>
                <w:p w14:paraId="04C880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962" w:type="dxa"/>
                  <w:tcBorders>
                    <w:tl2br w:val="nil"/>
                    <w:tr2bl w:val="nil"/>
                  </w:tcBorders>
                  <w:vAlign w:val="center"/>
                </w:tcPr>
                <w:p w14:paraId="5A6E4F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777" w:type="dxa"/>
                  <w:vMerge w:val="continue"/>
                  <w:tcBorders>
                    <w:tl2br w:val="nil"/>
                    <w:tr2bl w:val="nil"/>
                  </w:tcBorders>
                  <w:vAlign w:val="center"/>
                </w:tcPr>
                <w:p w14:paraId="750A90A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02825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697" w:type="dxa"/>
                  <w:tcBorders>
                    <w:tl2br w:val="nil"/>
                    <w:tr2bl w:val="nil"/>
                  </w:tcBorders>
                  <w:vAlign w:val="center"/>
                </w:tcPr>
                <w:p w14:paraId="46DD97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660" w:type="dxa"/>
                  <w:tcBorders>
                    <w:tl2br w:val="nil"/>
                    <w:tr2bl w:val="nil"/>
                  </w:tcBorders>
                  <w:vAlign w:val="center"/>
                </w:tcPr>
                <w:p w14:paraId="0B0261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396" w:type="dxa"/>
                  <w:tcBorders>
                    <w:tl2br w:val="nil"/>
                    <w:tr2bl w:val="nil"/>
                  </w:tcBorders>
                  <w:vAlign w:val="center"/>
                </w:tcPr>
                <w:p w14:paraId="71AF62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65546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5236E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氨氮</w:t>
                  </w:r>
                </w:p>
              </w:tc>
              <w:tc>
                <w:tcPr>
                  <w:tcW w:w="1112" w:type="dxa"/>
                  <w:tcBorders>
                    <w:tl2br w:val="nil"/>
                    <w:tr2bl w:val="nil"/>
                  </w:tcBorders>
                  <w:vAlign w:val="center"/>
                </w:tcPr>
                <w:p w14:paraId="23EF4C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2706D5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0.144</w:t>
                  </w:r>
                </w:p>
              </w:tc>
              <w:tc>
                <w:tcPr>
                  <w:tcW w:w="997" w:type="dxa"/>
                  <w:tcBorders>
                    <w:tl2br w:val="nil"/>
                    <w:tr2bl w:val="nil"/>
                  </w:tcBorders>
                  <w:vAlign w:val="center"/>
                </w:tcPr>
                <w:p w14:paraId="31A64A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0.077</w:t>
                  </w:r>
                </w:p>
              </w:tc>
              <w:tc>
                <w:tcPr>
                  <w:tcW w:w="962" w:type="dxa"/>
                  <w:tcBorders>
                    <w:tl2br w:val="nil"/>
                    <w:tr2bl w:val="nil"/>
                  </w:tcBorders>
                  <w:vAlign w:val="center"/>
                </w:tcPr>
                <w:p w14:paraId="3C3DD5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0.117</w:t>
                  </w:r>
                </w:p>
              </w:tc>
              <w:tc>
                <w:tcPr>
                  <w:tcW w:w="777" w:type="dxa"/>
                  <w:vMerge w:val="restart"/>
                  <w:tcBorders>
                    <w:tl2br w:val="nil"/>
                    <w:tr2bl w:val="nil"/>
                  </w:tcBorders>
                  <w:vAlign w:val="center"/>
                </w:tcPr>
                <w:p w14:paraId="362373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82" w:type="dxa"/>
                  <w:tcBorders>
                    <w:tl2br w:val="nil"/>
                    <w:tr2bl w:val="nil"/>
                  </w:tcBorders>
                  <w:vAlign w:val="center"/>
                </w:tcPr>
                <w:p w14:paraId="608E27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0.144</w:t>
                  </w:r>
                </w:p>
              </w:tc>
              <w:tc>
                <w:tcPr>
                  <w:tcW w:w="697" w:type="dxa"/>
                  <w:tcBorders>
                    <w:tl2br w:val="nil"/>
                    <w:tr2bl w:val="nil"/>
                  </w:tcBorders>
                  <w:vAlign w:val="center"/>
                </w:tcPr>
                <w:p w14:paraId="3B5250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0.077</w:t>
                  </w:r>
                </w:p>
              </w:tc>
              <w:tc>
                <w:tcPr>
                  <w:tcW w:w="660" w:type="dxa"/>
                  <w:tcBorders>
                    <w:tl2br w:val="nil"/>
                    <w:tr2bl w:val="nil"/>
                  </w:tcBorders>
                  <w:vAlign w:val="center"/>
                </w:tcPr>
                <w:p w14:paraId="17E2E14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0.117</w:t>
                  </w:r>
                </w:p>
              </w:tc>
              <w:tc>
                <w:tcPr>
                  <w:tcW w:w="396" w:type="dxa"/>
                  <w:tcBorders>
                    <w:tl2br w:val="nil"/>
                    <w:tr2bl w:val="nil"/>
                  </w:tcBorders>
                  <w:vAlign w:val="center"/>
                </w:tcPr>
                <w:p w14:paraId="22BF27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F089F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F0CAF3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71F7B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5B50CE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997" w:type="dxa"/>
                  <w:tcBorders>
                    <w:tl2br w:val="nil"/>
                    <w:tr2bl w:val="nil"/>
                  </w:tcBorders>
                  <w:vAlign w:val="center"/>
                </w:tcPr>
                <w:p w14:paraId="5147D5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0.086</w:t>
                  </w:r>
                </w:p>
              </w:tc>
              <w:tc>
                <w:tcPr>
                  <w:tcW w:w="962" w:type="dxa"/>
                  <w:tcBorders>
                    <w:tl2br w:val="nil"/>
                    <w:tr2bl w:val="nil"/>
                  </w:tcBorders>
                  <w:vAlign w:val="center"/>
                </w:tcPr>
                <w:p w14:paraId="25847B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777" w:type="dxa"/>
                  <w:vMerge w:val="continue"/>
                  <w:tcBorders>
                    <w:tl2br w:val="nil"/>
                    <w:tr2bl w:val="nil"/>
                  </w:tcBorders>
                  <w:vAlign w:val="center"/>
                </w:tcPr>
                <w:p w14:paraId="7C4E05C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C712E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697" w:type="dxa"/>
                  <w:tcBorders>
                    <w:tl2br w:val="nil"/>
                    <w:tr2bl w:val="nil"/>
                  </w:tcBorders>
                  <w:vAlign w:val="center"/>
                </w:tcPr>
                <w:p w14:paraId="6FC154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0.086</w:t>
                  </w:r>
                </w:p>
              </w:tc>
              <w:tc>
                <w:tcPr>
                  <w:tcW w:w="660" w:type="dxa"/>
                  <w:tcBorders>
                    <w:tl2br w:val="nil"/>
                    <w:tr2bl w:val="nil"/>
                  </w:tcBorders>
                  <w:vAlign w:val="center"/>
                </w:tcPr>
                <w:p w14:paraId="6399AD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0.126</w:t>
                  </w:r>
                </w:p>
              </w:tc>
              <w:tc>
                <w:tcPr>
                  <w:tcW w:w="396" w:type="dxa"/>
                  <w:tcBorders>
                    <w:tl2br w:val="nil"/>
                    <w:tr2bl w:val="nil"/>
                  </w:tcBorders>
                  <w:vAlign w:val="center"/>
                </w:tcPr>
                <w:p w14:paraId="1263FC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BB24A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68FA87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4E801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1F4D88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0.158</w:t>
                  </w:r>
                </w:p>
              </w:tc>
              <w:tc>
                <w:tcPr>
                  <w:tcW w:w="997" w:type="dxa"/>
                  <w:tcBorders>
                    <w:tl2br w:val="nil"/>
                    <w:tr2bl w:val="nil"/>
                  </w:tcBorders>
                  <w:vAlign w:val="center"/>
                </w:tcPr>
                <w:p w14:paraId="4C1B40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0.068</w:t>
                  </w:r>
                </w:p>
              </w:tc>
              <w:tc>
                <w:tcPr>
                  <w:tcW w:w="962" w:type="dxa"/>
                  <w:tcBorders>
                    <w:tl2br w:val="nil"/>
                    <w:tr2bl w:val="nil"/>
                  </w:tcBorders>
                  <w:vAlign w:val="center"/>
                </w:tcPr>
                <w:p w14:paraId="614588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0.112</w:t>
                  </w:r>
                </w:p>
              </w:tc>
              <w:tc>
                <w:tcPr>
                  <w:tcW w:w="777" w:type="dxa"/>
                  <w:vMerge w:val="continue"/>
                  <w:tcBorders>
                    <w:tl2br w:val="nil"/>
                    <w:tr2bl w:val="nil"/>
                  </w:tcBorders>
                  <w:vAlign w:val="center"/>
                </w:tcPr>
                <w:p w14:paraId="1A5EF50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4C661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0.158</w:t>
                  </w:r>
                </w:p>
              </w:tc>
              <w:tc>
                <w:tcPr>
                  <w:tcW w:w="697" w:type="dxa"/>
                  <w:tcBorders>
                    <w:tl2br w:val="nil"/>
                    <w:tr2bl w:val="nil"/>
                  </w:tcBorders>
                  <w:vAlign w:val="center"/>
                </w:tcPr>
                <w:p w14:paraId="109770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0.068</w:t>
                  </w:r>
                </w:p>
              </w:tc>
              <w:tc>
                <w:tcPr>
                  <w:tcW w:w="660" w:type="dxa"/>
                  <w:tcBorders>
                    <w:tl2br w:val="nil"/>
                    <w:tr2bl w:val="nil"/>
                  </w:tcBorders>
                  <w:vAlign w:val="center"/>
                </w:tcPr>
                <w:p w14:paraId="591E57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0.112</w:t>
                  </w:r>
                </w:p>
              </w:tc>
              <w:tc>
                <w:tcPr>
                  <w:tcW w:w="396" w:type="dxa"/>
                  <w:tcBorders>
                    <w:tl2br w:val="nil"/>
                    <w:tr2bl w:val="nil"/>
                  </w:tcBorders>
                  <w:vAlign w:val="center"/>
                </w:tcPr>
                <w:p w14:paraId="581CB8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6F3DE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22D3DD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总磷</w:t>
                  </w:r>
                </w:p>
              </w:tc>
              <w:tc>
                <w:tcPr>
                  <w:tcW w:w="1112" w:type="dxa"/>
                  <w:tcBorders>
                    <w:tl2br w:val="nil"/>
                    <w:tr2bl w:val="nil"/>
                  </w:tcBorders>
                  <w:vAlign w:val="center"/>
                </w:tcPr>
                <w:p w14:paraId="668E80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6B55EC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997" w:type="dxa"/>
                  <w:tcBorders>
                    <w:tl2br w:val="nil"/>
                    <w:tr2bl w:val="nil"/>
                  </w:tcBorders>
                  <w:vAlign w:val="center"/>
                </w:tcPr>
                <w:p w14:paraId="0A9FEF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962" w:type="dxa"/>
                  <w:tcBorders>
                    <w:tl2br w:val="nil"/>
                    <w:tr2bl w:val="nil"/>
                  </w:tcBorders>
                  <w:vAlign w:val="center"/>
                </w:tcPr>
                <w:p w14:paraId="615954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777" w:type="dxa"/>
                  <w:vMerge w:val="restart"/>
                  <w:tcBorders>
                    <w:tl2br w:val="nil"/>
                    <w:tr2bl w:val="nil"/>
                  </w:tcBorders>
                  <w:vAlign w:val="center"/>
                </w:tcPr>
                <w:p w14:paraId="671BFC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82" w:type="dxa"/>
                  <w:tcBorders>
                    <w:tl2br w:val="nil"/>
                    <w:tr2bl w:val="nil"/>
                  </w:tcBorders>
                  <w:vAlign w:val="center"/>
                </w:tcPr>
                <w:p w14:paraId="3E5878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0.25</w:t>
                  </w:r>
                </w:p>
              </w:tc>
              <w:tc>
                <w:tcPr>
                  <w:tcW w:w="697" w:type="dxa"/>
                  <w:tcBorders>
                    <w:tl2br w:val="nil"/>
                    <w:tr2bl w:val="nil"/>
                  </w:tcBorders>
                  <w:vAlign w:val="center"/>
                </w:tcPr>
                <w:p w14:paraId="3F60AC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w:t>
                  </w:r>
                </w:p>
              </w:tc>
              <w:tc>
                <w:tcPr>
                  <w:tcW w:w="660" w:type="dxa"/>
                  <w:tcBorders>
                    <w:tl2br w:val="nil"/>
                    <w:tr2bl w:val="nil"/>
                  </w:tcBorders>
                  <w:vAlign w:val="center"/>
                </w:tcPr>
                <w:p w14:paraId="5ED7BE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0.15</w:t>
                  </w:r>
                </w:p>
              </w:tc>
              <w:tc>
                <w:tcPr>
                  <w:tcW w:w="396" w:type="dxa"/>
                  <w:tcBorders>
                    <w:tl2br w:val="nil"/>
                    <w:tr2bl w:val="nil"/>
                  </w:tcBorders>
                  <w:vAlign w:val="center"/>
                </w:tcPr>
                <w:p w14:paraId="402F1D6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37F50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8F792E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2AE68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52B789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w:t>
                  </w:r>
                </w:p>
              </w:tc>
              <w:tc>
                <w:tcPr>
                  <w:tcW w:w="997" w:type="dxa"/>
                  <w:tcBorders>
                    <w:tl2br w:val="nil"/>
                    <w:tr2bl w:val="nil"/>
                  </w:tcBorders>
                  <w:vAlign w:val="center"/>
                </w:tcPr>
                <w:p w14:paraId="123537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0.13</w:t>
                  </w:r>
                </w:p>
              </w:tc>
              <w:tc>
                <w:tcPr>
                  <w:tcW w:w="962" w:type="dxa"/>
                  <w:tcBorders>
                    <w:tl2br w:val="nil"/>
                    <w:tr2bl w:val="nil"/>
                  </w:tcBorders>
                  <w:vAlign w:val="center"/>
                </w:tcPr>
                <w:p w14:paraId="6CF689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777" w:type="dxa"/>
                  <w:vMerge w:val="continue"/>
                  <w:tcBorders>
                    <w:tl2br w:val="nil"/>
                    <w:tr2bl w:val="nil"/>
                  </w:tcBorders>
                  <w:vAlign w:val="center"/>
                </w:tcPr>
                <w:p w14:paraId="6DD4EC9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E62CC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0.35</w:t>
                  </w:r>
                </w:p>
              </w:tc>
              <w:tc>
                <w:tcPr>
                  <w:tcW w:w="697" w:type="dxa"/>
                  <w:tcBorders>
                    <w:tl2br w:val="nil"/>
                    <w:tr2bl w:val="nil"/>
                  </w:tcBorders>
                  <w:vAlign w:val="center"/>
                </w:tcPr>
                <w:p w14:paraId="3B9784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0.65</w:t>
                  </w:r>
                </w:p>
              </w:tc>
              <w:tc>
                <w:tcPr>
                  <w:tcW w:w="660" w:type="dxa"/>
                  <w:tcBorders>
                    <w:tl2br w:val="nil"/>
                    <w:tr2bl w:val="nil"/>
                  </w:tcBorders>
                  <w:vAlign w:val="center"/>
                </w:tcPr>
                <w:p w14:paraId="4DFFD2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396" w:type="dxa"/>
                  <w:tcBorders>
                    <w:tl2br w:val="nil"/>
                    <w:tr2bl w:val="nil"/>
                  </w:tcBorders>
                  <w:vAlign w:val="center"/>
                </w:tcPr>
                <w:p w14:paraId="7EE498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9009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0AB9A8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3E668D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0DFEB4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997" w:type="dxa"/>
                  <w:tcBorders>
                    <w:tl2br w:val="nil"/>
                    <w:tr2bl w:val="nil"/>
                  </w:tcBorders>
                  <w:vAlign w:val="center"/>
                </w:tcPr>
                <w:p w14:paraId="654D7F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962" w:type="dxa"/>
                  <w:tcBorders>
                    <w:tl2br w:val="nil"/>
                    <w:tr2bl w:val="nil"/>
                  </w:tcBorders>
                  <w:vAlign w:val="center"/>
                </w:tcPr>
                <w:p w14:paraId="13E4A0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777" w:type="dxa"/>
                  <w:vMerge w:val="continue"/>
                  <w:tcBorders>
                    <w:tl2br w:val="nil"/>
                    <w:tr2bl w:val="nil"/>
                  </w:tcBorders>
                  <w:vAlign w:val="center"/>
                </w:tcPr>
                <w:p w14:paraId="6E779B5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D8752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0.25</w:t>
                  </w:r>
                </w:p>
              </w:tc>
              <w:tc>
                <w:tcPr>
                  <w:tcW w:w="697" w:type="dxa"/>
                  <w:tcBorders>
                    <w:tl2br w:val="nil"/>
                    <w:tr2bl w:val="nil"/>
                  </w:tcBorders>
                  <w:vAlign w:val="center"/>
                </w:tcPr>
                <w:p w14:paraId="6EEB63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660" w:type="dxa"/>
                  <w:tcBorders>
                    <w:tl2br w:val="nil"/>
                    <w:tr2bl w:val="nil"/>
                  </w:tcBorders>
                  <w:vAlign w:val="center"/>
                </w:tcPr>
                <w:p w14:paraId="601F77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396" w:type="dxa"/>
                  <w:tcBorders>
                    <w:tl2br w:val="nil"/>
                    <w:tr2bl w:val="nil"/>
                  </w:tcBorders>
                  <w:vAlign w:val="center"/>
                </w:tcPr>
                <w:p w14:paraId="247214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19BE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43765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总氮</w:t>
                  </w:r>
                </w:p>
              </w:tc>
              <w:tc>
                <w:tcPr>
                  <w:tcW w:w="1112" w:type="dxa"/>
                  <w:tcBorders>
                    <w:tl2br w:val="nil"/>
                    <w:tr2bl w:val="nil"/>
                  </w:tcBorders>
                  <w:vAlign w:val="center"/>
                </w:tcPr>
                <w:p w14:paraId="54EC07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74B5A1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997" w:type="dxa"/>
                  <w:tcBorders>
                    <w:tl2br w:val="nil"/>
                    <w:tr2bl w:val="nil"/>
                  </w:tcBorders>
                  <w:vAlign w:val="center"/>
                </w:tcPr>
                <w:p w14:paraId="67624F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962" w:type="dxa"/>
                  <w:tcBorders>
                    <w:tl2br w:val="nil"/>
                    <w:tr2bl w:val="nil"/>
                  </w:tcBorders>
                  <w:vAlign w:val="center"/>
                </w:tcPr>
                <w:p w14:paraId="103C6B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0.86</w:t>
                  </w:r>
                </w:p>
              </w:tc>
              <w:tc>
                <w:tcPr>
                  <w:tcW w:w="777" w:type="dxa"/>
                  <w:vMerge w:val="restart"/>
                  <w:tcBorders>
                    <w:tl2br w:val="nil"/>
                    <w:tr2bl w:val="nil"/>
                  </w:tcBorders>
                  <w:vAlign w:val="center"/>
                </w:tcPr>
                <w:p w14:paraId="5B834C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82" w:type="dxa"/>
                  <w:tcBorders>
                    <w:tl2br w:val="nil"/>
                    <w:tr2bl w:val="nil"/>
                  </w:tcBorders>
                  <w:vAlign w:val="center"/>
                </w:tcPr>
                <w:p w14:paraId="44798B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697" w:type="dxa"/>
                  <w:tcBorders>
                    <w:tl2br w:val="nil"/>
                    <w:tr2bl w:val="nil"/>
                  </w:tcBorders>
                  <w:vAlign w:val="center"/>
                </w:tcPr>
                <w:p w14:paraId="019ADC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660" w:type="dxa"/>
                  <w:tcBorders>
                    <w:tl2br w:val="nil"/>
                    <w:tr2bl w:val="nil"/>
                  </w:tcBorders>
                  <w:vAlign w:val="center"/>
                </w:tcPr>
                <w:p w14:paraId="2520612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0.86</w:t>
                  </w:r>
                </w:p>
              </w:tc>
              <w:tc>
                <w:tcPr>
                  <w:tcW w:w="396" w:type="dxa"/>
                  <w:tcBorders>
                    <w:tl2br w:val="nil"/>
                    <w:tr2bl w:val="nil"/>
                  </w:tcBorders>
                  <w:vAlign w:val="center"/>
                </w:tcPr>
                <w:p w14:paraId="4A03F2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7D679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61FA2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39FF23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221030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0.91</w:t>
                  </w:r>
                </w:p>
              </w:tc>
              <w:tc>
                <w:tcPr>
                  <w:tcW w:w="997" w:type="dxa"/>
                  <w:tcBorders>
                    <w:tl2br w:val="nil"/>
                    <w:tr2bl w:val="nil"/>
                  </w:tcBorders>
                  <w:vAlign w:val="center"/>
                </w:tcPr>
                <w:p w14:paraId="4A0A57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0.82</w:t>
                  </w:r>
                </w:p>
              </w:tc>
              <w:tc>
                <w:tcPr>
                  <w:tcW w:w="962" w:type="dxa"/>
                  <w:tcBorders>
                    <w:tl2br w:val="nil"/>
                    <w:tr2bl w:val="nil"/>
                  </w:tcBorders>
                  <w:vAlign w:val="center"/>
                </w:tcPr>
                <w:p w14:paraId="688CAA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777" w:type="dxa"/>
                  <w:vMerge w:val="continue"/>
                  <w:tcBorders>
                    <w:tl2br w:val="nil"/>
                    <w:tr2bl w:val="nil"/>
                  </w:tcBorders>
                  <w:vAlign w:val="center"/>
                </w:tcPr>
                <w:p w14:paraId="740F5BA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04924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0.91</w:t>
                  </w:r>
                </w:p>
              </w:tc>
              <w:tc>
                <w:tcPr>
                  <w:tcW w:w="697" w:type="dxa"/>
                  <w:tcBorders>
                    <w:tl2br w:val="nil"/>
                    <w:tr2bl w:val="nil"/>
                  </w:tcBorders>
                  <w:vAlign w:val="center"/>
                </w:tcPr>
                <w:p w14:paraId="4F205D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0.82</w:t>
                  </w:r>
                </w:p>
              </w:tc>
              <w:tc>
                <w:tcPr>
                  <w:tcW w:w="660" w:type="dxa"/>
                  <w:tcBorders>
                    <w:tl2br w:val="nil"/>
                    <w:tr2bl w:val="nil"/>
                  </w:tcBorders>
                  <w:vAlign w:val="center"/>
                </w:tcPr>
                <w:p w14:paraId="1CA7B1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c>
                <w:tcPr>
                  <w:tcW w:w="396" w:type="dxa"/>
                  <w:tcBorders>
                    <w:tl2br w:val="nil"/>
                    <w:tr2bl w:val="nil"/>
                  </w:tcBorders>
                  <w:vAlign w:val="center"/>
                </w:tcPr>
                <w:p w14:paraId="543DC1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6073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040FE31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E7EF3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00CBAB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0.93</w:t>
                  </w:r>
                </w:p>
              </w:tc>
              <w:tc>
                <w:tcPr>
                  <w:tcW w:w="997" w:type="dxa"/>
                  <w:tcBorders>
                    <w:tl2br w:val="nil"/>
                    <w:tr2bl w:val="nil"/>
                  </w:tcBorders>
                  <w:vAlign w:val="center"/>
                </w:tcPr>
                <w:p w14:paraId="7FA1E4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0.79</w:t>
                  </w:r>
                </w:p>
              </w:tc>
              <w:tc>
                <w:tcPr>
                  <w:tcW w:w="962" w:type="dxa"/>
                  <w:tcBorders>
                    <w:tl2br w:val="nil"/>
                    <w:tr2bl w:val="nil"/>
                  </w:tcBorders>
                  <w:vAlign w:val="center"/>
                </w:tcPr>
                <w:p w14:paraId="364923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777" w:type="dxa"/>
                  <w:vMerge w:val="continue"/>
                  <w:tcBorders>
                    <w:tl2br w:val="nil"/>
                    <w:tr2bl w:val="nil"/>
                  </w:tcBorders>
                  <w:vAlign w:val="center"/>
                </w:tcPr>
                <w:p w14:paraId="475EE43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57D83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0.93</w:t>
                  </w:r>
                </w:p>
              </w:tc>
              <w:tc>
                <w:tcPr>
                  <w:tcW w:w="697" w:type="dxa"/>
                  <w:tcBorders>
                    <w:tl2br w:val="nil"/>
                    <w:tr2bl w:val="nil"/>
                  </w:tcBorders>
                  <w:vAlign w:val="center"/>
                </w:tcPr>
                <w:p w14:paraId="5222FF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0.79</w:t>
                  </w:r>
                </w:p>
              </w:tc>
              <w:tc>
                <w:tcPr>
                  <w:tcW w:w="660" w:type="dxa"/>
                  <w:tcBorders>
                    <w:tl2br w:val="nil"/>
                    <w:tr2bl w:val="nil"/>
                  </w:tcBorders>
                  <w:vAlign w:val="center"/>
                </w:tcPr>
                <w:p w14:paraId="495EF2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c>
                <w:tcPr>
                  <w:tcW w:w="396" w:type="dxa"/>
                  <w:tcBorders>
                    <w:tl2br w:val="nil"/>
                    <w:tr2bl w:val="nil"/>
                  </w:tcBorders>
                  <w:vAlign w:val="center"/>
                </w:tcPr>
                <w:p w14:paraId="4D8E01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ED58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3C464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铜</w:t>
                  </w:r>
                </w:p>
              </w:tc>
              <w:tc>
                <w:tcPr>
                  <w:tcW w:w="1112" w:type="dxa"/>
                  <w:tcBorders>
                    <w:tl2br w:val="nil"/>
                    <w:tr2bl w:val="nil"/>
                  </w:tcBorders>
                  <w:vAlign w:val="center"/>
                </w:tcPr>
                <w:p w14:paraId="6CE5FD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66239D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97" w:type="dxa"/>
                  <w:tcBorders>
                    <w:tl2br w:val="nil"/>
                    <w:tr2bl w:val="nil"/>
                  </w:tcBorders>
                  <w:vAlign w:val="center"/>
                </w:tcPr>
                <w:p w14:paraId="69AF4B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62" w:type="dxa"/>
                  <w:tcBorders>
                    <w:tl2br w:val="nil"/>
                    <w:tr2bl w:val="nil"/>
                  </w:tcBorders>
                  <w:vAlign w:val="center"/>
                </w:tcPr>
                <w:p w14:paraId="3755A8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777" w:type="dxa"/>
                  <w:vMerge w:val="restart"/>
                  <w:tcBorders>
                    <w:tl2br w:val="nil"/>
                    <w:tr2bl w:val="nil"/>
                  </w:tcBorders>
                  <w:vAlign w:val="center"/>
                </w:tcPr>
                <w:p w14:paraId="20FBE3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82" w:type="dxa"/>
                  <w:tcBorders>
                    <w:tl2br w:val="nil"/>
                    <w:tr2bl w:val="nil"/>
                  </w:tcBorders>
                  <w:vAlign w:val="center"/>
                </w:tcPr>
                <w:p w14:paraId="268BF7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093A02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8C0DB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45DE1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9317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A07A37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A44CB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6ACC213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97" w:type="dxa"/>
                  <w:tcBorders>
                    <w:tl2br w:val="nil"/>
                    <w:tr2bl w:val="nil"/>
                  </w:tcBorders>
                  <w:vAlign w:val="center"/>
                </w:tcPr>
                <w:p w14:paraId="53A3BE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62" w:type="dxa"/>
                  <w:tcBorders>
                    <w:tl2br w:val="nil"/>
                    <w:tr2bl w:val="nil"/>
                  </w:tcBorders>
                  <w:vAlign w:val="center"/>
                </w:tcPr>
                <w:p w14:paraId="623F1B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777" w:type="dxa"/>
                  <w:vMerge w:val="continue"/>
                  <w:tcBorders>
                    <w:tl2br w:val="nil"/>
                    <w:tr2bl w:val="nil"/>
                  </w:tcBorders>
                  <w:vAlign w:val="center"/>
                </w:tcPr>
                <w:p w14:paraId="6B4F5F8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658AA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2288B3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7FA379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2B1E79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6CEAD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7E8140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C493A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7ED197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97" w:type="dxa"/>
                  <w:tcBorders>
                    <w:tl2br w:val="nil"/>
                    <w:tr2bl w:val="nil"/>
                  </w:tcBorders>
                  <w:vAlign w:val="center"/>
                </w:tcPr>
                <w:p w14:paraId="48BCA8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62" w:type="dxa"/>
                  <w:tcBorders>
                    <w:tl2br w:val="nil"/>
                    <w:tr2bl w:val="nil"/>
                  </w:tcBorders>
                  <w:vAlign w:val="center"/>
                </w:tcPr>
                <w:p w14:paraId="770DA2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777" w:type="dxa"/>
                  <w:vMerge w:val="continue"/>
                  <w:tcBorders>
                    <w:tl2br w:val="nil"/>
                    <w:tr2bl w:val="nil"/>
                  </w:tcBorders>
                  <w:vAlign w:val="center"/>
                </w:tcPr>
                <w:p w14:paraId="65C3A0F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3E1BE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A8B7F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63A11F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AAB41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E77BC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01EBAA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锌</w:t>
                  </w:r>
                </w:p>
              </w:tc>
              <w:tc>
                <w:tcPr>
                  <w:tcW w:w="1112" w:type="dxa"/>
                  <w:tcBorders>
                    <w:tl2br w:val="nil"/>
                    <w:tr2bl w:val="nil"/>
                  </w:tcBorders>
                  <w:vAlign w:val="center"/>
                </w:tcPr>
                <w:p w14:paraId="3F1A3C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282FBD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97" w:type="dxa"/>
                  <w:tcBorders>
                    <w:tl2br w:val="nil"/>
                    <w:tr2bl w:val="nil"/>
                  </w:tcBorders>
                  <w:vAlign w:val="center"/>
                </w:tcPr>
                <w:p w14:paraId="1D4D99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62" w:type="dxa"/>
                  <w:tcBorders>
                    <w:tl2br w:val="nil"/>
                    <w:tr2bl w:val="nil"/>
                  </w:tcBorders>
                  <w:vAlign w:val="center"/>
                </w:tcPr>
                <w:p w14:paraId="061543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777" w:type="dxa"/>
                  <w:vMerge w:val="restart"/>
                  <w:tcBorders>
                    <w:tl2br w:val="nil"/>
                    <w:tr2bl w:val="nil"/>
                  </w:tcBorders>
                  <w:vAlign w:val="center"/>
                </w:tcPr>
                <w:p w14:paraId="56BACE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82" w:type="dxa"/>
                  <w:tcBorders>
                    <w:tl2br w:val="nil"/>
                    <w:tr2bl w:val="nil"/>
                  </w:tcBorders>
                  <w:vAlign w:val="center"/>
                </w:tcPr>
                <w:p w14:paraId="0C4DF8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1791BA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2720B7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6ACB02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E720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211C39C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5585D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6D39F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97" w:type="dxa"/>
                  <w:tcBorders>
                    <w:tl2br w:val="nil"/>
                    <w:tr2bl w:val="nil"/>
                  </w:tcBorders>
                  <w:vAlign w:val="center"/>
                </w:tcPr>
                <w:p w14:paraId="07F3BE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62" w:type="dxa"/>
                  <w:tcBorders>
                    <w:tl2br w:val="nil"/>
                    <w:tr2bl w:val="nil"/>
                  </w:tcBorders>
                  <w:vAlign w:val="center"/>
                </w:tcPr>
                <w:p w14:paraId="1A0ADD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777" w:type="dxa"/>
                  <w:vMerge w:val="continue"/>
                  <w:tcBorders>
                    <w:tl2br w:val="nil"/>
                    <w:tr2bl w:val="nil"/>
                  </w:tcBorders>
                  <w:vAlign w:val="center"/>
                </w:tcPr>
                <w:p w14:paraId="37DE0CA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F33A3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30D3A5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25C86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18FC1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D30F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2EA3A5B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70931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6662AD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97" w:type="dxa"/>
                  <w:tcBorders>
                    <w:tl2br w:val="nil"/>
                    <w:tr2bl w:val="nil"/>
                  </w:tcBorders>
                  <w:vAlign w:val="center"/>
                </w:tcPr>
                <w:p w14:paraId="67856D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962" w:type="dxa"/>
                  <w:tcBorders>
                    <w:tl2br w:val="nil"/>
                    <w:tr2bl w:val="nil"/>
                  </w:tcBorders>
                  <w:vAlign w:val="center"/>
                </w:tcPr>
                <w:p w14:paraId="392A00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0.05L</w:t>
                  </w:r>
                </w:p>
              </w:tc>
              <w:tc>
                <w:tcPr>
                  <w:tcW w:w="777" w:type="dxa"/>
                  <w:vMerge w:val="continue"/>
                  <w:tcBorders>
                    <w:tl2br w:val="nil"/>
                    <w:tr2bl w:val="nil"/>
                  </w:tcBorders>
                  <w:vAlign w:val="center"/>
                </w:tcPr>
                <w:p w14:paraId="028CB49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F8AF8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192AE2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543BC2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CC4A1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32EA7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2F037B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氟化物</w:t>
                  </w:r>
                </w:p>
              </w:tc>
              <w:tc>
                <w:tcPr>
                  <w:tcW w:w="1112" w:type="dxa"/>
                  <w:tcBorders>
                    <w:tl2br w:val="nil"/>
                    <w:tr2bl w:val="nil"/>
                  </w:tcBorders>
                  <w:vAlign w:val="center"/>
                </w:tcPr>
                <w:p w14:paraId="3D7F36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435596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997" w:type="dxa"/>
                  <w:tcBorders>
                    <w:tl2br w:val="nil"/>
                    <w:tr2bl w:val="nil"/>
                  </w:tcBorders>
                  <w:vAlign w:val="center"/>
                </w:tcPr>
                <w:p w14:paraId="73C977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962" w:type="dxa"/>
                  <w:tcBorders>
                    <w:tl2br w:val="nil"/>
                    <w:tr2bl w:val="nil"/>
                  </w:tcBorders>
                  <w:vAlign w:val="center"/>
                </w:tcPr>
                <w:p w14:paraId="069F53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777" w:type="dxa"/>
                  <w:vMerge w:val="restart"/>
                  <w:tcBorders>
                    <w:tl2br w:val="nil"/>
                    <w:tr2bl w:val="nil"/>
                  </w:tcBorders>
                  <w:vAlign w:val="center"/>
                </w:tcPr>
                <w:p w14:paraId="31D953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82" w:type="dxa"/>
                  <w:tcBorders>
                    <w:tl2br w:val="nil"/>
                    <w:tr2bl w:val="nil"/>
                  </w:tcBorders>
                  <w:vAlign w:val="center"/>
                </w:tcPr>
                <w:p w14:paraId="37E1C8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697" w:type="dxa"/>
                  <w:tcBorders>
                    <w:tl2br w:val="nil"/>
                    <w:tr2bl w:val="nil"/>
                  </w:tcBorders>
                  <w:vAlign w:val="center"/>
                </w:tcPr>
                <w:p w14:paraId="4AD6F5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660" w:type="dxa"/>
                  <w:tcBorders>
                    <w:tl2br w:val="nil"/>
                    <w:tr2bl w:val="nil"/>
                  </w:tcBorders>
                  <w:vAlign w:val="center"/>
                </w:tcPr>
                <w:p w14:paraId="11A85B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396" w:type="dxa"/>
                  <w:tcBorders>
                    <w:tl2br w:val="nil"/>
                    <w:tr2bl w:val="nil"/>
                  </w:tcBorders>
                  <w:vAlign w:val="center"/>
                </w:tcPr>
                <w:p w14:paraId="79776E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7813B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F59A00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BCEF1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088E7F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997" w:type="dxa"/>
                  <w:tcBorders>
                    <w:tl2br w:val="nil"/>
                    <w:tr2bl w:val="nil"/>
                  </w:tcBorders>
                  <w:vAlign w:val="center"/>
                </w:tcPr>
                <w:p w14:paraId="5664DE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962" w:type="dxa"/>
                  <w:tcBorders>
                    <w:tl2br w:val="nil"/>
                    <w:tr2bl w:val="nil"/>
                  </w:tcBorders>
                  <w:vAlign w:val="center"/>
                </w:tcPr>
                <w:p w14:paraId="58B895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0.43</w:t>
                  </w:r>
                </w:p>
              </w:tc>
              <w:tc>
                <w:tcPr>
                  <w:tcW w:w="777" w:type="dxa"/>
                  <w:vMerge w:val="continue"/>
                  <w:tcBorders>
                    <w:tl2br w:val="nil"/>
                    <w:tr2bl w:val="nil"/>
                  </w:tcBorders>
                  <w:vAlign w:val="center"/>
                </w:tcPr>
                <w:p w14:paraId="4E0A48A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6AB79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697" w:type="dxa"/>
                  <w:tcBorders>
                    <w:tl2br w:val="nil"/>
                    <w:tr2bl w:val="nil"/>
                  </w:tcBorders>
                  <w:vAlign w:val="center"/>
                </w:tcPr>
                <w:p w14:paraId="4F9C5F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660" w:type="dxa"/>
                  <w:tcBorders>
                    <w:tl2br w:val="nil"/>
                    <w:tr2bl w:val="nil"/>
                  </w:tcBorders>
                  <w:vAlign w:val="center"/>
                </w:tcPr>
                <w:p w14:paraId="3A5C3C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0.43</w:t>
                  </w:r>
                </w:p>
              </w:tc>
              <w:tc>
                <w:tcPr>
                  <w:tcW w:w="396" w:type="dxa"/>
                  <w:tcBorders>
                    <w:tl2br w:val="nil"/>
                    <w:tr2bl w:val="nil"/>
                  </w:tcBorders>
                  <w:vAlign w:val="center"/>
                </w:tcPr>
                <w:p w14:paraId="198B8F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C1917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7E8B62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D2301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2EAF4C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997" w:type="dxa"/>
                  <w:tcBorders>
                    <w:tl2br w:val="nil"/>
                    <w:tr2bl w:val="nil"/>
                  </w:tcBorders>
                  <w:vAlign w:val="center"/>
                </w:tcPr>
                <w:p w14:paraId="74EEA1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962" w:type="dxa"/>
                  <w:tcBorders>
                    <w:tl2br w:val="nil"/>
                    <w:tr2bl w:val="nil"/>
                  </w:tcBorders>
                  <w:vAlign w:val="center"/>
                </w:tcPr>
                <w:p w14:paraId="5C9677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777" w:type="dxa"/>
                  <w:vMerge w:val="continue"/>
                  <w:tcBorders>
                    <w:tl2br w:val="nil"/>
                    <w:tr2bl w:val="nil"/>
                  </w:tcBorders>
                  <w:vAlign w:val="center"/>
                </w:tcPr>
                <w:p w14:paraId="353BEA1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F68BE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0.47</w:t>
                  </w:r>
                </w:p>
              </w:tc>
              <w:tc>
                <w:tcPr>
                  <w:tcW w:w="697" w:type="dxa"/>
                  <w:tcBorders>
                    <w:tl2br w:val="nil"/>
                    <w:tr2bl w:val="nil"/>
                  </w:tcBorders>
                  <w:vAlign w:val="center"/>
                </w:tcPr>
                <w:p w14:paraId="1E0BAB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0.49</w:t>
                  </w:r>
                </w:p>
              </w:tc>
              <w:tc>
                <w:tcPr>
                  <w:tcW w:w="660" w:type="dxa"/>
                  <w:tcBorders>
                    <w:tl2br w:val="nil"/>
                    <w:tr2bl w:val="nil"/>
                  </w:tcBorders>
                  <w:vAlign w:val="center"/>
                </w:tcPr>
                <w:p w14:paraId="2CE591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396" w:type="dxa"/>
                  <w:tcBorders>
                    <w:tl2br w:val="nil"/>
                    <w:tr2bl w:val="nil"/>
                  </w:tcBorders>
                  <w:vAlign w:val="center"/>
                </w:tcPr>
                <w:p w14:paraId="27CB80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194F4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061A53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硒</w:t>
                  </w:r>
                </w:p>
              </w:tc>
              <w:tc>
                <w:tcPr>
                  <w:tcW w:w="1112" w:type="dxa"/>
                  <w:tcBorders>
                    <w:tl2br w:val="nil"/>
                    <w:tr2bl w:val="nil"/>
                  </w:tcBorders>
                  <w:vAlign w:val="center"/>
                </w:tcPr>
                <w:p w14:paraId="310C44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4DBCD0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997" w:type="dxa"/>
                  <w:tcBorders>
                    <w:tl2br w:val="nil"/>
                    <w:tr2bl w:val="nil"/>
                  </w:tcBorders>
                  <w:vAlign w:val="center"/>
                </w:tcPr>
                <w:p w14:paraId="72C2B4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962" w:type="dxa"/>
                  <w:tcBorders>
                    <w:tl2br w:val="nil"/>
                    <w:tr2bl w:val="nil"/>
                  </w:tcBorders>
                  <w:vAlign w:val="center"/>
                </w:tcPr>
                <w:p w14:paraId="51F782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777" w:type="dxa"/>
                  <w:vMerge w:val="restart"/>
                  <w:tcBorders>
                    <w:tl2br w:val="nil"/>
                    <w:tr2bl w:val="nil"/>
                  </w:tcBorders>
                  <w:vAlign w:val="center"/>
                </w:tcPr>
                <w:p w14:paraId="3E401F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882" w:type="dxa"/>
                  <w:tcBorders>
                    <w:tl2br w:val="nil"/>
                    <w:tr2bl w:val="nil"/>
                  </w:tcBorders>
                  <w:vAlign w:val="center"/>
                </w:tcPr>
                <w:p w14:paraId="11A7B7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0ECE3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79F5C4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EAED2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811F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AD0FF9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B787A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25617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997" w:type="dxa"/>
                  <w:tcBorders>
                    <w:tl2br w:val="nil"/>
                    <w:tr2bl w:val="nil"/>
                  </w:tcBorders>
                  <w:vAlign w:val="center"/>
                </w:tcPr>
                <w:p w14:paraId="4EFD31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962" w:type="dxa"/>
                  <w:tcBorders>
                    <w:tl2br w:val="nil"/>
                    <w:tr2bl w:val="nil"/>
                  </w:tcBorders>
                  <w:vAlign w:val="center"/>
                </w:tcPr>
                <w:p w14:paraId="0118D2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777" w:type="dxa"/>
                  <w:vMerge w:val="continue"/>
                  <w:tcBorders>
                    <w:tl2br w:val="nil"/>
                    <w:tr2bl w:val="nil"/>
                  </w:tcBorders>
                  <w:vAlign w:val="center"/>
                </w:tcPr>
                <w:p w14:paraId="30E7E54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6C68D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322599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107E3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0A7B6A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CE9DF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88EF44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055CD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3AE512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997" w:type="dxa"/>
                  <w:tcBorders>
                    <w:tl2br w:val="nil"/>
                    <w:tr2bl w:val="nil"/>
                  </w:tcBorders>
                  <w:vAlign w:val="center"/>
                </w:tcPr>
                <w:p w14:paraId="0AC2DF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962" w:type="dxa"/>
                  <w:tcBorders>
                    <w:tl2br w:val="nil"/>
                    <w:tr2bl w:val="nil"/>
                  </w:tcBorders>
                  <w:vAlign w:val="center"/>
                </w:tcPr>
                <w:p w14:paraId="5FACBF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0.0004L</w:t>
                  </w:r>
                </w:p>
              </w:tc>
              <w:tc>
                <w:tcPr>
                  <w:tcW w:w="777" w:type="dxa"/>
                  <w:vMerge w:val="continue"/>
                  <w:tcBorders>
                    <w:tl2br w:val="nil"/>
                    <w:tr2bl w:val="nil"/>
                  </w:tcBorders>
                  <w:vAlign w:val="center"/>
                </w:tcPr>
                <w:p w14:paraId="123E230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2C15A1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6B82BC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0A7039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007593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BCF8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6E451A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砷</w:t>
                  </w:r>
                </w:p>
              </w:tc>
              <w:tc>
                <w:tcPr>
                  <w:tcW w:w="1112" w:type="dxa"/>
                  <w:tcBorders>
                    <w:tl2br w:val="nil"/>
                    <w:tr2bl w:val="nil"/>
                  </w:tcBorders>
                  <w:vAlign w:val="center"/>
                </w:tcPr>
                <w:p w14:paraId="69DD0F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D80A1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0.0016</w:t>
                  </w:r>
                </w:p>
              </w:tc>
              <w:tc>
                <w:tcPr>
                  <w:tcW w:w="997" w:type="dxa"/>
                  <w:tcBorders>
                    <w:tl2br w:val="nil"/>
                    <w:tr2bl w:val="nil"/>
                  </w:tcBorders>
                  <w:vAlign w:val="center"/>
                </w:tcPr>
                <w:p w14:paraId="316B2C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0.0016</w:t>
                  </w:r>
                </w:p>
              </w:tc>
              <w:tc>
                <w:tcPr>
                  <w:tcW w:w="962" w:type="dxa"/>
                  <w:tcBorders>
                    <w:tl2br w:val="nil"/>
                    <w:tr2bl w:val="nil"/>
                  </w:tcBorders>
                  <w:vAlign w:val="center"/>
                </w:tcPr>
                <w:p w14:paraId="17E89B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0.0009</w:t>
                  </w:r>
                </w:p>
              </w:tc>
              <w:tc>
                <w:tcPr>
                  <w:tcW w:w="777" w:type="dxa"/>
                  <w:vMerge w:val="restart"/>
                  <w:tcBorders>
                    <w:tl2br w:val="nil"/>
                    <w:tr2bl w:val="nil"/>
                  </w:tcBorders>
                  <w:vAlign w:val="center"/>
                </w:tcPr>
                <w:p w14:paraId="2F7A4D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882" w:type="dxa"/>
                  <w:tcBorders>
                    <w:tl2br w:val="nil"/>
                    <w:tr2bl w:val="nil"/>
                  </w:tcBorders>
                  <w:vAlign w:val="center"/>
                </w:tcPr>
                <w:p w14:paraId="2A8FB5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0.032</w:t>
                  </w:r>
                </w:p>
              </w:tc>
              <w:tc>
                <w:tcPr>
                  <w:tcW w:w="697" w:type="dxa"/>
                  <w:tcBorders>
                    <w:tl2br w:val="nil"/>
                    <w:tr2bl w:val="nil"/>
                  </w:tcBorders>
                  <w:vAlign w:val="center"/>
                </w:tcPr>
                <w:p w14:paraId="289613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0.032</w:t>
                  </w:r>
                </w:p>
              </w:tc>
              <w:tc>
                <w:tcPr>
                  <w:tcW w:w="660" w:type="dxa"/>
                  <w:tcBorders>
                    <w:tl2br w:val="nil"/>
                    <w:tr2bl w:val="nil"/>
                  </w:tcBorders>
                  <w:vAlign w:val="center"/>
                </w:tcPr>
                <w:p w14:paraId="42FE0AC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0.018</w:t>
                  </w:r>
                </w:p>
              </w:tc>
              <w:tc>
                <w:tcPr>
                  <w:tcW w:w="396" w:type="dxa"/>
                  <w:tcBorders>
                    <w:tl2br w:val="nil"/>
                    <w:tr2bl w:val="nil"/>
                  </w:tcBorders>
                  <w:vAlign w:val="center"/>
                </w:tcPr>
                <w:p w14:paraId="633740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44E00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01E624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49505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297502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0.0015</w:t>
                  </w:r>
                </w:p>
              </w:tc>
              <w:tc>
                <w:tcPr>
                  <w:tcW w:w="997" w:type="dxa"/>
                  <w:tcBorders>
                    <w:tl2br w:val="nil"/>
                    <w:tr2bl w:val="nil"/>
                  </w:tcBorders>
                  <w:vAlign w:val="center"/>
                </w:tcPr>
                <w:p w14:paraId="15D517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0.0015</w:t>
                  </w:r>
                </w:p>
              </w:tc>
              <w:tc>
                <w:tcPr>
                  <w:tcW w:w="962" w:type="dxa"/>
                  <w:tcBorders>
                    <w:tl2br w:val="nil"/>
                    <w:tr2bl w:val="nil"/>
                  </w:tcBorders>
                  <w:vAlign w:val="center"/>
                </w:tcPr>
                <w:p w14:paraId="529D87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w:t>
                  </w:r>
                </w:p>
              </w:tc>
              <w:tc>
                <w:tcPr>
                  <w:tcW w:w="777" w:type="dxa"/>
                  <w:vMerge w:val="continue"/>
                  <w:tcBorders>
                    <w:tl2br w:val="nil"/>
                    <w:tr2bl w:val="nil"/>
                  </w:tcBorders>
                  <w:vAlign w:val="center"/>
                </w:tcPr>
                <w:p w14:paraId="0AB3089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E237D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697" w:type="dxa"/>
                  <w:tcBorders>
                    <w:tl2br w:val="nil"/>
                    <w:tr2bl w:val="nil"/>
                  </w:tcBorders>
                  <w:vAlign w:val="center"/>
                </w:tcPr>
                <w:p w14:paraId="4D8B1B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660" w:type="dxa"/>
                  <w:tcBorders>
                    <w:tl2br w:val="nil"/>
                    <w:tr2bl w:val="nil"/>
                  </w:tcBorders>
                  <w:vAlign w:val="center"/>
                </w:tcPr>
                <w:p w14:paraId="3BCBF3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396" w:type="dxa"/>
                  <w:tcBorders>
                    <w:tl2br w:val="nil"/>
                    <w:tr2bl w:val="nil"/>
                  </w:tcBorders>
                  <w:vAlign w:val="center"/>
                </w:tcPr>
                <w:p w14:paraId="0864AC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068A6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B33245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3278AA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5A2DE1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0.0017</w:t>
                  </w:r>
                </w:p>
              </w:tc>
              <w:tc>
                <w:tcPr>
                  <w:tcW w:w="997" w:type="dxa"/>
                  <w:tcBorders>
                    <w:tl2br w:val="nil"/>
                    <w:tr2bl w:val="nil"/>
                  </w:tcBorders>
                  <w:vAlign w:val="center"/>
                </w:tcPr>
                <w:p w14:paraId="4A67E4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0.0016</w:t>
                  </w:r>
                </w:p>
              </w:tc>
              <w:tc>
                <w:tcPr>
                  <w:tcW w:w="962" w:type="dxa"/>
                  <w:tcBorders>
                    <w:tl2br w:val="nil"/>
                    <w:tr2bl w:val="nil"/>
                  </w:tcBorders>
                  <w:vAlign w:val="center"/>
                </w:tcPr>
                <w:p w14:paraId="07BBED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0.0008</w:t>
                  </w:r>
                </w:p>
              </w:tc>
              <w:tc>
                <w:tcPr>
                  <w:tcW w:w="777" w:type="dxa"/>
                  <w:vMerge w:val="continue"/>
                  <w:tcBorders>
                    <w:tl2br w:val="nil"/>
                    <w:tr2bl w:val="nil"/>
                  </w:tcBorders>
                  <w:vAlign w:val="center"/>
                </w:tcPr>
                <w:p w14:paraId="046FFC5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5AEAF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0.034</w:t>
                  </w:r>
                </w:p>
              </w:tc>
              <w:tc>
                <w:tcPr>
                  <w:tcW w:w="697" w:type="dxa"/>
                  <w:tcBorders>
                    <w:tl2br w:val="nil"/>
                    <w:tr2bl w:val="nil"/>
                  </w:tcBorders>
                  <w:vAlign w:val="center"/>
                </w:tcPr>
                <w:p w14:paraId="46D535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0.032</w:t>
                  </w:r>
                </w:p>
              </w:tc>
              <w:tc>
                <w:tcPr>
                  <w:tcW w:w="660" w:type="dxa"/>
                  <w:tcBorders>
                    <w:tl2br w:val="nil"/>
                    <w:tr2bl w:val="nil"/>
                  </w:tcBorders>
                  <w:vAlign w:val="center"/>
                </w:tcPr>
                <w:p w14:paraId="513851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0.016</w:t>
                  </w:r>
                </w:p>
              </w:tc>
              <w:tc>
                <w:tcPr>
                  <w:tcW w:w="396" w:type="dxa"/>
                  <w:tcBorders>
                    <w:tl2br w:val="nil"/>
                    <w:tr2bl w:val="nil"/>
                  </w:tcBorders>
                  <w:vAlign w:val="center"/>
                </w:tcPr>
                <w:p w14:paraId="6F59CD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0E22D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25110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汞</w:t>
                  </w:r>
                </w:p>
              </w:tc>
              <w:tc>
                <w:tcPr>
                  <w:tcW w:w="1112" w:type="dxa"/>
                  <w:tcBorders>
                    <w:tl2br w:val="nil"/>
                    <w:tr2bl w:val="nil"/>
                  </w:tcBorders>
                  <w:vAlign w:val="center"/>
                </w:tcPr>
                <w:p w14:paraId="131244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D60FA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997" w:type="dxa"/>
                  <w:tcBorders>
                    <w:tl2br w:val="nil"/>
                    <w:tr2bl w:val="nil"/>
                  </w:tcBorders>
                  <w:vAlign w:val="center"/>
                </w:tcPr>
                <w:p w14:paraId="06A7A7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962" w:type="dxa"/>
                  <w:tcBorders>
                    <w:tl2br w:val="nil"/>
                    <w:tr2bl w:val="nil"/>
                  </w:tcBorders>
                  <w:vAlign w:val="center"/>
                </w:tcPr>
                <w:p w14:paraId="08979A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777" w:type="dxa"/>
                  <w:vMerge w:val="restart"/>
                  <w:tcBorders>
                    <w:tl2br w:val="nil"/>
                    <w:tr2bl w:val="nil"/>
                  </w:tcBorders>
                  <w:vAlign w:val="center"/>
                </w:tcPr>
                <w:p w14:paraId="7A8CA2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≤0.0001</w:t>
                  </w:r>
                </w:p>
              </w:tc>
              <w:tc>
                <w:tcPr>
                  <w:tcW w:w="882" w:type="dxa"/>
                  <w:tcBorders>
                    <w:tl2br w:val="nil"/>
                    <w:tr2bl w:val="nil"/>
                  </w:tcBorders>
                  <w:vAlign w:val="center"/>
                </w:tcPr>
                <w:p w14:paraId="6C4264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2F31B2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72C1CC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51FFF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A8746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CDEDDB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4A391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093CCA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997" w:type="dxa"/>
                  <w:tcBorders>
                    <w:tl2br w:val="nil"/>
                    <w:tr2bl w:val="nil"/>
                  </w:tcBorders>
                  <w:vAlign w:val="center"/>
                </w:tcPr>
                <w:p w14:paraId="342CE8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962" w:type="dxa"/>
                  <w:tcBorders>
                    <w:tl2br w:val="nil"/>
                    <w:tr2bl w:val="nil"/>
                  </w:tcBorders>
                  <w:vAlign w:val="center"/>
                </w:tcPr>
                <w:p w14:paraId="50442A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777" w:type="dxa"/>
                  <w:vMerge w:val="continue"/>
                  <w:tcBorders>
                    <w:tl2br w:val="nil"/>
                    <w:tr2bl w:val="nil"/>
                  </w:tcBorders>
                  <w:vAlign w:val="center"/>
                </w:tcPr>
                <w:p w14:paraId="58BACBC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627FB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24B5FF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126E1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93BEC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4F30E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1734F9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D9D1C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04F771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997" w:type="dxa"/>
                  <w:tcBorders>
                    <w:tl2br w:val="nil"/>
                    <w:tr2bl w:val="nil"/>
                  </w:tcBorders>
                  <w:vAlign w:val="center"/>
                </w:tcPr>
                <w:p w14:paraId="1D7B6E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962" w:type="dxa"/>
                  <w:tcBorders>
                    <w:tl2br w:val="nil"/>
                    <w:tr2bl w:val="nil"/>
                  </w:tcBorders>
                  <w:vAlign w:val="center"/>
                </w:tcPr>
                <w:p w14:paraId="5FAC99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0.00004L</w:t>
                  </w:r>
                </w:p>
              </w:tc>
              <w:tc>
                <w:tcPr>
                  <w:tcW w:w="777" w:type="dxa"/>
                  <w:vMerge w:val="continue"/>
                  <w:tcBorders>
                    <w:tl2br w:val="nil"/>
                    <w:tr2bl w:val="nil"/>
                  </w:tcBorders>
                  <w:vAlign w:val="center"/>
                </w:tcPr>
                <w:p w14:paraId="7D4DB8E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E5E07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E8FA24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6B021A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624EA73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C5898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7BC15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镉</w:t>
                  </w:r>
                </w:p>
              </w:tc>
              <w:tc>
                <w:tcPr>
                  <w:tcW w:w="1112" w:type="dxa"/>
                  <w:tcBorders>
                    <w:tl2br w:val="nil"/>
                    <w:tr2bl w:val="nil"/>
                  </w:tcBorders>
                  <w:vAlign w:val="center"/>
                </w:tcPr>
                <w:p w14:paraId="14AFFA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026E6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c>
                <w:tcPr>
                  <w:tcW w:w="997" w:type="dxa"/>
                  <w:tcBorders>
                    <w:tl2br w:val="nil"/>
                    <w:tr2bl w:val="nil"/>
                  </w:tcBorders>
                  <w:vAlign w:val="center"/>
                </w:tcPr>
                <w:p w14:paraId="78C1A7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0.0005</w:t>
                  </w:r>
                </w:p>
              </w:tc>
              <w:tc>
                <w:tcPr>
                  <w:tcW w:w="962" w:type="dxa"/>
                  <w:tcBorders>
                    <w:tl2br w:val="nil"/>
                    <w:tr2bl w:val="nil"/>
                  </w:tcBorders>
                  <w:vAlign w:val="center"/>
                </w:tcPr>
                <w:p w14:paraId="0B7E19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0.0007</w:t>
                  </w:r>
                </w:p>
              </w:tc>
              <w:tc>
                <w:tcPr>
                  <w:tcW w:w="777" w:type="dxa"/>
                  <w:vMerge w:val="restart"/>
                  <w:tcBorders>
                    <w:tl2br w:val="nil"/>
                    <w:tr2bl w:val="nil"/>
                  </w:tcBorders>
                  <w:vAlign w:val="center"/>
                </w:tcPr>
                <w:p w14:paraId="038552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≤0.005</w:t>
                  </w:r>
                </w:p>
              </w:tc>
              <w:tc>
                <w:tcPr>
                  <w:tcW w:w="882" w:type="dxa"/>
                  <w:tcBorders>
                    <w:tl2br w:val="nil"/>
                    <w:tr2bl w:val="nil"/>
                  </w:tcBorders>
                  <w:vAlign w:val="center"/>
                </w:tcPr>
                <w:p w14:paraId="544288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697" w:type="dxa"/>
                  <w:tcBorders>
                    <w:tl2br w:val="nil"/>
                    <w:tr2bl w:val="nil"/>
                  </w:tcBorders>
                  <w:vAlign w:val="center"/>
                </w:tcPr>
                <w:p w14:paraId="307062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660" w:type="dxa"/>
                  <w:tcBorders>
                    <w:tl2br w:val="nil"/>
                    <w:tr2bl w:val="nil"/>
                  </w:tcBorders>
                  <w:vAlign w:val="center"/>
                </w:tcPr>
                <w:p w14:paraId="7421B0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w:t>
                  </w:r>
                </w:p>
              </w:tc>
              <w:tc>
                <w:tcPr>
                  <w:tcW w:w="396" w:type="dxa"/>
                  <w:tcBorders>
                    <w:tl2br w:val="nil"/>
                    <w:tr2bl w:val="nil"/>
                  </w:tcBorders>
                  <w:vAlign w:val="center"/>
                </w:tcPr>
                <w:p w14:paraId="2F7F5C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C9260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4F1E8B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F0D94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4A133D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c>
                <w:tcPr>
                  <w:tcW w:w="997" w:type="dxa"/>
                  <w:tcBorders>
                    <w:tl2br w:val="nil"/>
                    <w:tr2bl w:val="nil"/>
                  </w:tcBorders>
                  <w:vAlign w:val="center"/>
                </w:tcPr>
                <w:p w14:paraId="0204ED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0.0005</w:t>
                  </w:r>
                </w:p>
              </w:tc>
              <w:tc>
                <w:tcPr>
                  <w:tcW w:w="962" w:type="dxa"/>
                  <w:tcBorders>
                    <w:tl2br w:val="nil"/>
                    <w:tr2bl w:val="nil"/>
                  </w:tcBorders>
                  <w:vAlign w:val="center"/>
                </w:tcPr>
                <w:p w14:paraId="5FCA42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0.0007</w:t>
                  </w:r>
                </w:p>
              </w:tc>
              <w:tc>
                <w:tcPr>
                  <w:tcW w:w="777" w:type="dxa"/>
                  <w:vMerge w:val="continue"/>
                  <w:tcBorders>
                    <w:tl2br w:val="nil"/>
                    <w:tr2bl w:val="nil"/>
                  </w:tcBorders>
                  <w:vAlign w:val="center"/>
                </w:tcPr>
                <w:p w14:paraId="30298BA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33381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697" w:type="dxa"/>
                  <w:tcBorders>
                    <w:tl2br w:val="nil"/>
                    <w:tr2bl w:val="nil"/>
                  </w:tcBorders>
                  <w:vAlign w:val="center"/>
                </w:tcPr>
                <w:p w14:paraId="029680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660" w:type="dxa"/>
                  <w:tcBorders>
                    <w:tl2br w:val="nil"/>
                    <w:tr2bl w:val="nil"/>
                  </w:tcBorders>
                  <w:vAlign w:val="center"/>
                </w:tcPr>
                <w:p w14:paraId="0A67FE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w:t>
                  </w:r>
                </w:p>
              </w:tc>
              <w:tc>
                <w:tcPr>
                  <w:tcW w:w="396" w:type="dxa"/>
                  <w:tcBorders>
                    <w:tl2br w:val="nil"/>
                    <w:tr2bl w:val="nil"/>
                  </w:tcBorders>
                  <w:vAlign w:val="center"/>
                </w:tcPr>
                <w:p w14:paraId="01DC80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C94E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11DA5F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168D1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5E5967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c>
                <w:tcPr>
                  <w:tcW w:w="997" w:type="dxa"/>
                  <w:tcBorders>
                    <w:tl2br w:val="nil"/>
                    <w:tr2bl w:val="nil"/>
                  </w:tcBorders>
                  <w:vAlign w:val="center"/>
                </w:tcPr>
                <w:p w14:paraId="46C388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0.0005</w:t>
                  </w:r>
                </w:p>
              </w:tc>
              <w:tc>
                <w:tcPr>
                  <w:tcW w:w="962" w:type="dxa"/>
                  <w:tcBorders>
                    <w:tl2br w:val="nil"/>
                    <w:tr2bl w:val="nil"/>
                  </w:tcBorders>
                  <w:vAlign w:val="center"/>
                </w:tcPr>
                <w:p w14:paraId="5FAA66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0.0007</w:t>
                  </w:r>
                </w:p>
              </w:tc>
              <w:tc>
                <w:tcPr>
                  <w:tcW w:w="777" w:type="dxa"/>
                  <w:vMerge w:val="continue"/>
                  <w:tcBorders>
                    <w:tl2br w:val="nil"/>
                    <w:tr2bl w:val="nil"/>
                  </w:tcBorders>
                  <w:vAlign w:val="center"/>
                </w:tcPr>
                <w:p w14:paraId="53252A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3CAEF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0.12</w:t>
                  </w:r>
                </w:p>
              </w:tc>
              <w:tc>
                <w:tcPr>
                  <w:tcW w:w="697" w:type="dxa"/>
                  <w:tcBorders>
                    <w:tl2br w:val="nil"/>
                    <w:tr2bl w:val="nil"/>
                  </w:tcBorders>
                  <w:vAlign w:val="center"/>
                </w:tcPr>
                <w:p w14:paraId="42E4F1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660" w:type="dxa"/>
                  <w:tcBorders>
                    <w:tl2br w:val="nil"/>
                    <w:tr2bl w:val="nil"/>
                  </w:tcBorders>
                  <w:vAlign w:val="center"/>
                </w:tcPr>
                <w:p w14:paraId="5FD833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w:t>
                  </w:r>
                </w:p>
              </w:tc>
              <w:tc>
                <w:tcPr>
                  <w:tcW w:w="396" w:type="dxa"/>
                  <w:tcBorders>
                    <w:tl2br w:val="nil"/>
                    <w:tr2bl w:val="nil"/>
                  </w:tcBorders>
                  <w:vAlign w:val="center"/>
                </w:tcPr>
                <w:p w14:paraId="26C073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5DBDB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169A27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六价铬</w:t>
                  </w:r>
                </w:p>
              </w:tc>
              <w:tc>
                <w:tcPr>
                  <w:tcW w:w="1112" w:type="dxa"/>
                  <w:tcBorders>
                    <w:tl2br w:val="nil"/>
                    <w:tr2bl w:val="nil"/>
                  </w:tcBorders>
                  <w:vAlign w:val="center"/>
                </w:tcPr>
                <w:p w14:paraId="662B29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664549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97" w:type="dxa"/>
                  <w:tcBorders>
                    <w:tl2br w:val="nil"/>
                    <w:tr2bl w:val="nil"/>
                  </w:tcBorders>
                  <w:vAlign w:val="center"/>
                </w:tcPr>
                <w:p w14:paraId="2D4E70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62" w:type="dxa"/>
                  <w:tcBorders>
                    <w:tl2br w:val="nil"/>
                    <w:tr2bl w:val="nil"/>
                  </w:tcBorders>
                  <w:vAlign w:val="center"/>
                </w:tcPr>
                <w:p w14:paraId="5E73D7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777" w:type="dxa"/>
                  <w:vMerge w:val="restart"/>
                  <w:tcBorders>
                    <w:tl2br w:val="nil"/>
                    <w:tr2bl w:val="nil"/>
                  </w:tcBorders>
                  <w:vAlign w:val="center"/>
                </w:tcPr>
                <w:p w14:paraId="123ACE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882" w:type="dxa"/>
                  <w:tcBorders>
                    <w:tl2br w:val="nil"/>
                    <w:tr2bl w:val="nil"/>
                  </w:tcBorders>
                  <w:vAlign w:val="center"/>
                </w:tcPr>
                <w:p w14:paraId="556B15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3148EA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2BB244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5364BD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399D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01B0CB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29D48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2AD64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97" w:type="dxa"/>
                  <w:tcBorders>
                    <w:tl2br w:val="nil"/>
                    <w:tr2bl w:val="nil"/>
                  </w:tcBorders>
                  <w:vAlign w:val="center"/>
                </w:tcPr>
                <w:p w14:paraId="67FC02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62" w:type="dxa"/>
                  <w:tcBorders>
                    <w:tl2br w:val="nil"/>
                    <w:tr2bl w:val="nil"/>
                  </w:tcBorders>
                  <w:vAlign w:val="center"/>
                </w:tcPr>
                <w:p w14:paraId="58DF76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777" w:type="dxa"/>
                  <w:vMerge w:val="continue"/>
                  <w:tcBorders>
                    <w:tl2br w:val="nil"/>
                    <w:tr2bl w:val="nil"/>
                  </w:tcBorders>
                  <w:vAlign w:val="center"/>
                </w:tcPr>
                <w:p w14:paraId="2DE8FE2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189C95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3E6BE4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00007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0FF8E9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DD571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441A6B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AB8B2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25335D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97" w:type="dxa"/>
                  <w:tcBorders>
                    <w:tl2br w:val="nil"/>
                    <w:tr2bl w:val="nil"/>
                  </w:tcBorders>
                  <w:vAlign w:val="center"/>
                </w:tcPr>
                <w:p w14:paraId="659582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62" w:type="dxa"/>
                  <w:tcBorders>
                    <w:tl2br w:val="nil"/>
                    <w:tr2bl w:val="nil"/>
                  </w:tcBorders>
                  <w:vAlign w:val="center"/>
                </w:tcPr>
                <w:p w14:paraId="157C24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777" w:type="dxa"/>
                  <w:vMerge w:val="continue"/>
                  <w:tcBorders>
                    <w:tl2br w:val="nil"/>
                    <w:tr2bl w:val="nil"/>
                  </w:tcBorders>
                  <w:vAlign w:val="center"/>
                </w:tcPr>
                <w:p w14:paraId="7886417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F6DCA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5BE004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3AEBA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188F3C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61798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76EF17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铅</w:t>
                  </w:r>
                </w:p>
              </w:tc>
              <w:tc>
                <w:tcPr>
                  <w:tcW w:w="1112" w:type="dxa"/>
                  <w:tcBorders>
                    <w:tl2br w:val="nil"/>
                    <w:tr2bl w:val="nil"/>
                  </w:tcBorders>
                  <w:vAlign w:val="center"/>
                </w:tcPr>
                <w:p w14:paraId="5CD3A7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3E2D7E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997" w:type="dxa"/>
                  <w:tcBorders>
                    <w:tl2br w:val="nil"/>
                    <w:tr2bl w:val="nil"/>
                  </w:tcBorders>
                  <w:vAlign w:val="center"/>
                </w:tcPr>
                <w:p w14:paraId="755DEED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962" w:type="dxa"/>
                  <w:tcBorders>
                    <w:tl2br w:val="nil"/>
                    <w:tr2bl w:val="nil"/>
                  </w:tcBorders>
                  <w:vAlign w:val="center"/>
                </w:tcPr>
                <w:p w14:paraId="60DFBC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777" w:type="dxa"/>
                  <w:vMerge w:val="restart"/>
                  <w:tcBorders>
                    <w:tl2br w:val="nil"/>
                    <w:tr2bl w:val="nil"/>
                  </w:tcBorders>
                  <w:vAlign w:val="center"/>
                </w:tcPr>
                <w:p w14:paraId="616CE4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882" w:type="dxa"/>
                  <w:tcBorders>
                    <w:tl2br w:val="nil"/>
                    <w:tr2bl w:val="nil"/>
                  </w:tcBorders>
                  <w:vAlign w:val="center"/>
                </w:tcPr>
                <w:p w14:paraId="2823C2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6B4C7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03B46C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22D491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345EF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01064F7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54145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EE858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997" w:type="dxa"/>
                  <w:tcBorders>
                    <w:tl2br w:val="nil"/>
                    <w:tr2bl w:val="nil"/>
                  </w:tcBorders>
                  <w:vAlign w:val="center"/>
                </w:tcPr>
                <w:p w14:paraId="34ABAE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962" w:type="dxa"/>
                  <w:tcBorders>
                    <w:tl2br w:val="nil"/>
                    <w:tr2bl w:val="nil"/>
                  </w:tcBorders>
                  <w:vAlign w:val="center"/>
                </w:tcPr>
                <w:p w14:paraId="4452C6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777" w:type="dxa"/>
                  <w:vMerge w:val="continue"/>
                  <w:tcBorders>
                    <w:tl2br w:val="nil"/>
                    <w:tr2bl w:val="nil"/>
                  </w:tcBorders>
                  <w:vAlign w:val="center"/>
                </w:tcPr>
                <w:p w14:paraId="768DDEE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7AE7E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572AB8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24D031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75AC95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ED649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BA4FED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B9028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26DA45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997" w:type="dxa"/>
                  <w:tcBorders>
                    <w:tl2br w:val="nil"/>
                    <w:tr2bl w:val="nil"/>
                  </w:tcBorders>
                  <w:vAlign w:val="center"/>
                </w:tcPr>
                <w:p w14:paraId="25FACE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962" w:type="dxa"/>
                  <w:tcBorders>
                    <w:tl2br w:val="nil"/>
                    <w:tr2bl w:val="nil"/>
                  </w:tcBorders>
                  <w:vAlign w:val="center"/>
                </w:tcPr>
                <w:p w14:paraId="5F5CEC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0.001L</w:t>
                  </w:r>
                </w:p>
              </w:tc>
              <w:tc>
                <w:tcPr>
                  <w:tcW w:w="777" w:type="dxa"/>
                  <w:vMerge w:val="continue"/>
                  <w:tcBorders>
                    <w:tl2br w:val="nil"/>
                    <w:tr2bl w:val="nil"/>
                  </w:tcBorders>
                  <w:vAlign w:val="center"/>
                </w:tcPr>
                <w:p w14:paraId="24C94B0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BF2E8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2A2F44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632BE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4F96D8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9A77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64ABAA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氰化物</w:t>
                  </w:r>
                </w:p>
              </w:tc>
              <w:tc>
                <w:tcPr>
                  <w:tcW w:w="1112" w:type="dxa"/>
                  <w:tcBorders>
                    <w:tl2br w:val="nil"/>
                    <w:tr2bl w:val="nil"/>
                  </w:tcBorders>
                  <w:vAlign w:val="center"/>
                </w:tcPr>
                <w:p w14:paraId="52C4A6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55C308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97" w:type="dxa"/>
                  <w:tcBorders>
                    <w:tl2br w:val="nil"/>
                    <w:tr2bl w:val="nil"/>
                  </w:tcBorders>
                  <w:vAlign w:val="center"/>
                </w:tcPr>
                <w:p w14:paraId="0110E5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62" w:type="dxa"/>
                  <w:tcBorders>
                    <w:tl2br w:val="nil"/>
                    <w:tr2bl w:val="nil"/>
                  </w:tcBorders>
                  <w:vAlign w:val="center"/>
                </w:tcPr>
                <w:p w14:paraId="50869B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777" w:type="dxa"/>
                  <w:vMerge w:val="restart"/>
                  <w:tcBorders>
                    <w:tl2br w:val="nil"/>
                    <w:tr2bl w:val="nil"/>
                  </w:tcBorders>
                  <w:vAlign w:val="center"/>
                </w:tcPr>
                <w:p w14:paraId="30B760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82" w:type="dxa"/>
                  <w:tcBorders>
                    <w:tl2br w:val="nil"/>
                    <w:tr2bl w:val="nil"/>
                  </w:tcBorders>
                  <w:vAlign w:val="center"/>
                </w:tcPr>
                <w:p w14:paraId="3C4E91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1226A7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69F5E1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1DD94B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4D8DB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02D83D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5B136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75F8E8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97" w:type="dxa"/>
                  <w:tcBorders>
                    <w:tl2br w:val="nil"/>
                    <w:tr2bl w:val="nil"/>
                  </w:tcBorders>
                  <w:vAlign w:val="center"/>
                </w:tcPr>
                <w:p w14:paraId="22122A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62" w:type="dxa"/>
                  <w:tcBorders>
                    <w:tl2br w:val="nil"/>
                    <w:tr2bl w:val="nil"/>
                  </w:tcBorders>
                  <w:vAlign w:val="center"/>
                </w:tcPr>
                <w:p w14:paraId="59334E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777" w:type="dxa"/>
                  <w:vMerge w:val="continue"/>
                  <w:tcBorders>
                    <w:tl2br w:val="nil"/>
                    <w:tr2bl w:val="nil"/>
                  </w:tcBorders>
                  <w:vAlign w:val="center"/>
                </w:tcPr>
                <w:p w14:paraId="3C0006A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61EC9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0D02ED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400A7E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42E606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71C1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62A61E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AFB91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10791C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97" w:type="dxa"/>
                  <w:tcBorders>
                    <w:tl2br w:val="nil"/>
                    <w:tr2bl w:val="nil"/>
                  </w:tcBorders>
                  <w:vAlign w:val="center"/>
                </w:tcPr>
                <w:p w14:paraId="5935A4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962" w:type="dxa"/>
                  <w:tcBorders>
                    <w:tl2br w:val="nil"/>
                    <w:tr2bl w:val="nil"/>
                  </w:tcBorders>
                  <w:vAlign w:val="center"/>
                </w:tcPr>
                <w:p w14:paraId="1CC6A2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0.004L</w:t>
                  </w:r>
                </w:p>
              </w:tc>
              <w:tc>
                <w:tcPr>
                  <w:tcW w:w="777" w:type="dxa"/>
                  <w:vMerge w:val="continue"/>
                  <w:tcBorders>
                    <w:tl2br w:val="nil"/>
                    <w:tr2bl w:val="nil"/>
                  </w:tcBorders>
                  <w:vAlign w:val="center"/>
                </w:tcPr>
                <w:p w14:paraId="1A8CA77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8959E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1B189F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3D0AA7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10106C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04D3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08364D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挥发酚</w:t>
                  </w:r>
                </w:p>
              </w:tc>
              <w:tc>
                <w:tcPr>
                  <w:tcW w:w="1112" w:type="dxa"/>
                  <w:tcBorders>
                    <w:tl2br w:val="nil"/>
                    <w:tr2bl w:val="nil"/>
                  </w:tcBorders>
                  <w:vAlign w:val="center"/>
                </w:tcPr>
                <w:p w14:paraId="7457DC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30E705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0.0012</w:t>
                  </w:r>
                </w:p>
              </w:tc>
              <w:tc>
                <w:tcPr>
                  <w:tcW w:w="997" w:type="dxa"/>
                  <w:tcBorders>
                    <w:tl2br w:val="nil"/>
                    <w:tr2bl w:val="nil"/>
                  </w:tcBorders>
                  <w:vAlign w:val="center"/>
                </w:tcPr>
                <w:p w14:paraId="7CFBC3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0.0021</w:t>
                  </w:r>
                </w:p>
              </w:tc>
              <w:tc>
                <w:tcPr>
                  <w:tcW w:w="962" w:type="dxa"/>
                  <w:tcBorders>
                    <w:tl2br w:val="nil"/>
                    <w:tr2bl w:val="nil"/>
                  </w:tcBorders>
                  <w:vAlign w:val="center"/>
                </w:tcPr>
                <w:p w14:paraId="638ED8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0.0014</w:t>
                  </w:r>
                </w:p>
              </w:tc>
              <w:tc>
                <w:tcPr>
                  <w:tcW w:w="777" w:type="dxa"/>
                  <w:vMerge w:val="restart"/>
                  <w:tcBorders>
                    <w:tl2br w:val="nil"/>
                    <w:tr2bl w:val="nil"/>
                  </w:tcBorders>
                  <w:vAlign w:val="center"/>
                </w:tcPr>
                <w:p w14:paraId="224B00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≤0.005</w:t>
                  </w:r>
                </w:p>
              </w:tc>
              <w:tc>
                <w:tcPr>
                  <w:tcW w:w="882" w:type="dxa"/>
                  <w:tcBorders>
                    <w:tl2br w:val="nil"/>
                    <w:tr2bl w:val="nil"/>
                  </w:tcBorders>
                  <w:vAlign w:val="center"/>
                </w:tcPr>
                <w:p w14:paraId="33760C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0.24</w:t>
                  </w:r>
                </w:p>
              </w:tc>
              <w:tc>
                <w:tcPr>
                  <w:tcW w:w="697" w:type="dxa"/>
                  <w:tcBorders>
                    <w:tl2br w:val="nil"/>
                    <w:tr2bl w:val="nil"/>
                  </w:tcBorders>
                  <w:vAlign w:val="center"/>
                </w:tcPr>
                <w:p w14:paraId="379ADD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0.42</w:t>
                  </w:r>
                </w:p>
              </w:tc>
              <w:tc>
                <w:tcPr>
                  <w:tcW w:w="660" w:type="dxa"/>
                  <w:tcBorders>
                    <w:tl2br w:val="nil"/>
                    <w:tr2bl w:val="nil"/>
                  </w:tcBorders>
                  <w:vAlign w:val="center"/>
                </w:tcPr>
                <w:p w14:paraId="6E25F4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0.28</w:t>
                  </w:r>
                </w:p>
              </w:tc>
              <w:tc>
                <w:tcPr>
                  <w:tcW w:w="396" w:type="dxa"/>
                  <w:tcBorders>
                    <w:tl2br w:val="nil"/>
                    <w:tr2bl w:val="nil"/>
                  </w:tcBorders>
                  <w:vAlign w:val="center"/>
                </w:tcPr>
                <w:p w14:paraId="5EE8A7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6FF08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83B817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F8E39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6B9B2D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w:t>
                  </w:r>
                </w:p>
              </w:tc>
              <w:tc>
                <w:tcPr>
                  <w:tcW w:w="997" w:type="dxa"/>
                  <w:tcBorders>
                    <w:tl2br w:val="nil"/>
                    <w:tr2bl w:val="nil"/>
                  </w:tcBorders>
                  <w:vAlign w:val="center"/>
                </w:tcPr>
                <w:p w14:paraId="751CA6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0.002</w:t>
                  </w:r>
                </w:p>
              </w:tc>
              <w:tc>
                <w:tcPr>
                  <w:tcW w:w="962" w:type="dxa"/>
                  <w:tcBorders>
                    <w:tl2br w:val="nil"/>
                    <w:tr2bl w:val="nil"/>
                  </w:tcBorders>
                  <w:vAlign w:val="center"/>
                </w:tcPr>
                <w:p w14:paraId="252FFC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0.0013</w:t>
                  </w:r>
                </w:p>
              </w:tc>
              <w:tc>
                <w:tcPr>
                  <w:tcW w:w="777" w:type="dxa"/>
                  <w:vMerge w:val="continue"/>
                  <w:tcBorders>
                    <w:tl2br w:val="nil"/>
                    <w:tr2bl w:val="nil"/>
                  </w:tcBorders>
                  <w:vAlign w:val="center"/>
                </w:tcPr>
                <w:p w14:paraId="35B73FD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69D2C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697" w:type="dxa"/>
                  <w:tcBorders>
                    <w:tl2br w:val="nil"/>
                    <w:tr2bl w:val="nil"/>
                  </w:tcBorders>
                  <w:vAlign w:val="center"/>
                </w:tcPr>
                <w:p w14:paraId="042051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660" w:type="dxa"/>
                  <w:tcBorders>
                    <w:tl2br w:val="nil"/>
                    <w:tr2bl w:val="nil"/>
                  </w:tcBorders>
                  <w:vAlign w:val="center"/>
                </w:tcPr>
                <w:p w14:paraId="3EABC7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0.26</w:t>
                  </w:r>
                </w:p>
              </w:tc>
              <w:tc>
                <w:tcPr>
                  <w:tcW w:w="396" w:type="dxa"/>
                  <w:tcBorders>
                    <w:tl2br w:val="nil"/>
                    <w:tr2bl w:val="nil"/>
                  </w:tcBorders>
                  <w:vAlign w:val="center"/>
                </w:tcPr>
                <w:p w14:paraId="2DAF5A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90D3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B197F6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F12EF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691AB9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0.0011</w:t>
                  </w:r>
                </w:p>
              </w:tc>
              <w:tc>
                <w:tcPr>
                  <w:tcW w:w="997" w:type="dxa"/>
                  <w:tcBorders>
                    <w:tl2br w:val="nil"/>
                    <w:tr2bl w:val="nil"/>
                  </w:tcBorders>
                  <w:vAlign w:val="center"/>
                </w:tcPr>
                <w:p w14:paraId="3D8A95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0.0019</w:t>
                  </w:r>
                </w:p>
              </w:tc>
              <w:tc>
                <w:tcPr>
                  <w:tcW w:w="962" w:type="dxa"/>
                  <w:tcBorders>
                    <w:tl2br w:val="nil"/>
                    <w:tr2bl w:val="nil"/>
                  </w:tcBorders>
                  <w:vAlign w:val="center"/>
                </w:tcPr>
                <w:p w14:paraId="7B0578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0.0015</w:t>
                  </w:r>
                </w:p>
              </w:tc>
              <w:tc>
                <w:tcPr>
                  <w:tcW w:w="777" w:type="dxa"/>
                  <w:vMerge w:val="continue"/>
                  <w:tcBorders>
                    <w:tl2br w:val="nil"/>
                    <w:tr2bl w:val="nil"/>
                  </w:tcBorders>
                  <w:vAlign w:val="center"/>
                </w:tcPr>
                <w:p w14:paraId="7DC11F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14F1D8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0.22</w:t>
                  </w:r>
                </w:p>
              </w:tc>
              <w:tc>
                <w:tcPr>
                  <w:tcW w:w="697" w:type="dxa"/>
                  <w:tcBorders>
                    <w:tl2br w:val="nil"/>
                    <w:tr2bl w:val="nil"/>
                  </w:tcBorders>
                  <w:vAlign w:val="center"/>
                </w:tcPr>
                <w:p w14:paraId="2B7CFF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60" w:type="dxa"/>
                  <w:tcBorders>
                    <w:tl2br w:val="nil"/>
                    <w:tr2bl w:val="nil"/>
                  </w:tcBorders>
                  <w:vAlign w:val="center"/>
                </w:tcPr>
                <w:p w14:paraId="7CC7AB2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396" w:type="dxa"/>
                  <w:tcBorders>
                    <w:tl2br w:val="nil"/>
                    <w:tr2bl w:val="nil"/>
                  </w:tcBorders>
                  <w:vAlign w:val="center"/>
                </w:tcPr>
                <w:p w14:paraId="19157E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243F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AE2F5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石油类</w:t>
                  </w:r>
                </w:p>
              </w:tc>
              <w:tc>
                <w:tcPr>
                  <w:tcW w:w="1112" w:type="dxa"/>
                  <w:tcBorders>
                    <w:tl2br w:val="nil"/>
                    <w:tr2bl w:val="nil"/>
                  </w:tcBorders>
                  <w:vAlign w:val="center"/>
                </w:tcPr>
                <w:p w14:paraId="707BC4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6BDDBD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997" w:type="dxa"/>
                  <w:tcBorders>
                    <w:tl2br w:val="nil"/>
                    <w:tr2bl w:val="nil"/>
                  </w:tcBorders>
                  <w:vAlign w:val="center"/>
                </w:tcPr>
                <w:p w14:paraId="488446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962" w:type="dxa"/>
                  <w:tcBorders>
                    <w:tl2br w:val="nil"/>
                    <w:tr2bl w:val="nil"/>
                  </w:tcBorders>
                  <w:vAlign w:val="center"/>
                </w:tcPr>
                <w:p w14:paraId="696A0B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777" w:type="dxa"/>
                  <w:vMerge w:val="restart"/>
                  <w:tcBorders>
                    <w:tl2br w:val="nil"/>
                    <w:tr2bl w:val="nil"/>
                  </w:tcBorders>
                  <w:vAlign w:val="center"/>
                </w:tcPr>
                <w:p w14:paraId="761BD7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882" w:type="dxa"/>
                  <w:tcBorders>
                    <w:tl2br w:val="nil"/>
                    <w:tr2bl w:val="nil"/>
                  </w:tcBorders>
                  <w:vAlign w:val="center"/>
                </w:tcPr>
                <w:p w14:paraId="03A2D7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697" w:type="dxa"/>
                  <w:tcBorders>
                    <w:tl2br w:val="nil"/>
                    <w:tr2bl w:val="nil"/>
                  </w:tcBorders>
                  <w:vAlign w:val="center"/>
                </w:tcPr>
                <w:p w14:paraId="4E0DD2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660" w:type="dxa"/>
                  <w:tcBorders>
                    <w:tl2br w:val="nil"/>
                    <w:tr2bl w:val="nil"/>
                  </w:tcBorders>
                  <w:vAlign w:val="center"/>
                </w:tcPr>
                <w:p w14:paraId="5E4104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396" w:type="dxa"/>
                  <w:tcBorders>
                    <w:tl2br w:val="nil"/>
                    <w:tr2bl w:val="nil"/>
                  </w:tcBorders>
                  <w:vAlign w:val="center"/>
                </w:tcPr>
                <w:p w14:paraId="25D7E8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3B91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B872CB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C091D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FA390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997" w:type="dxa"/>
                  <w:tcBorders>
                    <w:tl2br w:val="nil"/>
                    <w:tr2bl w:val="nil"/>
                  </w:tcBorders>
                  <w:vAlign w:val="center"/>
                </w:tcPr>
                <w:p w14:paraId="43EC4C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962" w:type="dxa"/>
                  <w:tcBorders>
                    <w:tl2br w:val="nil"/>
                    <w:tr2bl w:val="nil"/>
                  </w:tcBorders>
                  <w:vAlign w:val="center"/>
                </w:tcPr>
                <w:p w14:paraId="7EB994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777" w:type="dxa"/>
                  <w:vMerge w:val="continue"/>
                  <w:tcBorders>
                    <w:tl2br w:val="nil"/>
                    <w:tr2bl w:val="nil"/>
                  </w:tcBorders>
                  <w:vAlign w:val="center"/>
                </w:tcPr>
                <w:p w14:paraId="1DDEAF7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C7797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697" w:type="dxa"/>
                  <w:tcBorders>
                    <w:tl2br w:val="nil"/>
                    <w:tr2bl w:val="nil"/>
                  </w:tcBorders>
                  <w:vAlign w:val="center"/>
                </w:tcPr>
                <w:p w14:paraId="4BAD08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660" w:type="dxa"/>
                  <w:tcBorders>
                    <w:tl2br w:val="nil"/>
                    <w:tr2bl w:val="nil"/>
                  </w:tcBorders>
                  <w:vAlign w:val="center"/>
                </w:tcPr>
                <w:p w14:paraId="6DDA05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396" w:type="dxa"/>
                  <w:tcBorders>
                    <w:tl2br w:val="nil"/>
                    <w:tr2bl w:val="nil"/>
                  </w:tcBorders>
                  <w:vAlign w:val="center"/>
                </w:tcPr>
                <w:p w14:paraId="5A9C964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5C93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3C99C0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5AE75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0571B9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997" w:type="dxa"/>
                  <w:tcBorders>
                    <w:tl2br w:val="nil"/>
                    <w:tr2bl w:val="nil"/>
                  </w:tcBorders>
                  <w:vAlign w:val="center"/>
                </w:tcPr>
                <w:p w14:paraId="0E52BB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962" w:type="dxa"/>
                  <w:tcBorders>
                    <w:tl2br w:val="nil"/>
                    <w:tr2bl w:val="nil"/>
                  </w:tcBorders>
                  <w:vAlign w:val="center"/>
                </w:tcPr>
                <w:p w14:paraId="19C4DE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777" w:type="dxa"/>
                  <w:vMerge w:val="continue"/>
                  <w:tcBorders>
                    <w:tl2br w:val="nil"/>
                    <w:tr2bl w:val="nil"/>
                  </w:tcBorders>
                  <w:vAlign w:val="center"/>
                </w:tcPr>
                <w:p w14:paraId="68192DA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69E51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697" w:type="dxa"/>
                  <w:tcBorders>
                    <w:tl2br w:val="nil"/>
                    <w:tr2bl w:val="nil"/>
                  </w:tcBorders>
                  <w:vAlign w:val="center"/>
                </w:tcPr>
                <w:p w14:paraId="35448E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660" w:type="dxa"/>
                  <w:tcBorders>
                    <w:tl2br w:val="nil"/>
                    <w:tr2bl w:val="nil"/>
                  </w:tcBorders>
                  <w:vAlign w:val="center"/>
                </w:tcPr>
                <w:p w14:paraId="4F3CDF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396" w:type="dxa"/>
                  <w:tcBorders>
                    <w:tl2br w:val="nil"/>
                    <w:tr2bl w:val="nil"/>
                  </w:tcBorders>
                  <w:vAlign w:val="center"/>
                </w:tcPr>
                <w:p w14:paraId="2C219D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6D0A79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D6566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硫化物</w:t>
                  </w:r>
                </w:p>
              </w:tc>
              <w:tc>
                <w:tcPr>
                  <w:tcW w:w="1112" w:type="dxa"/>
                  <w:tcBorders>
                    <w:tl2br w:val="nil"/>
                    <w:tr2bl w:val="nil"/>
                  </w:tcBorders>
                  <w:vAlign w:val="center"/>
                </w:tcPr>
                <w:p w14:paraId="5670F7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EB561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97" w:type="dxa"/>
                  <w:tcBorders>
                    <w:tl2br w:val="nil"/>
                    <w:tr2bl w:val="nil"/>
                  </w:tcBorders>
                  <w:vAlign w:val="center"/>
                </w:tcPr>
                <w:p w14:paraId="0CDD90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62" w:type="dxa"/>
                  <w:tcBorders>
                    <w:tl2br w:val="nil"/>
                    <w:tr2bl w:val="nil"/>
                  </w:tcBorders>
                  <w:vAlign w:val="center"/>
                </w:tcPr>
                <w:p w14:paraId="2D206E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777" w:type="dxa"/>
                  <w:vMerge w:val="restart"/>
                  <w:tcBorders>
                    <w:tl2br w:val="nil"/>
                    <w:tr2bl w:val="nil"/>
                  </w:tcBorders>
                  <w:vAlign w:val="center"/>
                </w:tcPr>
                <w:p w14:paraId="691B33F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882" w:type="dxa"/>
                  <w:tcBorders>
                    <w:tl2br w:val="nil"/>
                    <w:tr2bl w:val="nil"/>
                  </w:tcBorders>
                  <w:vAlign w:val="center"/>
                </w:tcPr>
                <w:p w14:paraId="7496C3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1B517B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1164AD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4FBAEE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3FAC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4879970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4B6B53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FE1E2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97" w:type="dxa"/>
                  <w:tcBorders>
                    <w:tl2br w:val="nil"/>
                    <w:tr2bl w:val="nil"/>
                  </w:tcBorders>
                  <w:vAlign w:val="center"/>
                </w:tcPr>
                <w:p w14:paraId="1EE7B1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62" w:type="dxa"/>
                  <w:tcBorders>
                    <w:tl2br w:val="nil"/>
                    <w:tr2bl w:val="nil"/>
                  </w:tcBorders>
                  <w:vAlign w:val="center"/>
                </w:tcPr>
                <w:p w14:paraId="297C25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777" w:type="dxa"/>
                  <w:vMerge w:val="continue"/>
                  <w:tcBorders>
                    <w:tl2br w:val="nil"/>
                    <w:tr2bl w:val="nil"/>
                  </w:tcBorders>
                  <w:vAlign w:val="center"/>
                </w:tcPr>
                <w:p w14:paraId="32F96FE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548AA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26AA0C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6BC5BB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79857D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0A8A9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629650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832F2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787DC6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97" w:type="dxa"/>
                  <w:tcBorders>
                    <w:tl2br w:val="nil"/>
                    <w:tr2bl w:val="nil"/>
                  </w:tcBorders>
                  <w:vAlign w:val="center"/>
                </w:tcPr>
                <w:p w14:paraId="06F0056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62" w:type="dxa"/>
                  <w:tcBorders>
                    <w:tl2br w:val="nil"/>
                    <w:tr2bl w:val="nil"/>
                  </w:tcBorders>
                  <w:vAlign w:val="center"/>
                </w:tcPr>
                <w:p w14:paraId="262D0BD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777" w:type="dxa"/>
                  <w:vMerge w:val="continue"/>
                  <w:tcBorders>
                    <w:tl2br w:val="nil"/>
                    <w:tr2bl w:val="nil"/>
                  </w:tcBorders>
                  <w:vAlign w:val="center"/>
                </w:tcPr>
                <w:p w14:paraId="614154A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A1F1C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33D758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5F88EB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65C594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DFC18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CD6C0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硫酸盐</w:t>
                  </w:r>
                </w:p>
              </w:tc>
              <w:tc>
                <w:tcPr>
                  <w:tcW w:w="1112" w:type="dxa"/>
                  <w:tcBorders>
                    <w:tl2br w:val="nil"/>
                    <w:tr2bl w:val="nil"/>
                  </w:tcBorders>
                  <w:vAlign w:val="center"/>
                </w:tcPr>
                <w:p w14:paraId="5B3F73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1F45D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997" w:type="dxa"/>
                  <w:tcBorders>
                    <w:tl2br w:val="nil"/>
                    <w:tr2bl w:val="nil"/>
                  </w:tcBorders>
                  <w:vAlign w:val="center"/>
                </w:tcPr>
                <w:p w14:paraId="33128B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86</w:t>
                  </w:r>
                </w:p>
              </w:tc>
              <w:tc>
                <w:tcPr>
                  <w:tcW w:w="962" w:type="dxa"/>
                  <w:tcBorders>
                    <w:tl2br w:val="nil"/>
                    <w:tr2bl w:val="nil"/>
                  </w:tcBorders>
                  <w:vAlign w:val="center"/>
                </w:tcPr>
                <w:p w14:paraId="06D930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777" w:type="dxa"/>
                  <w:vMerge w:val="restart"/>
                  <w:tcBorders>
                    <w:tl2br w:val="nil"/>
                    <w:tr2bl w:val="nil"/>
                  </w:tcBorders>
                  <w:vAlign w:val="center"/>
                </w:tcPr>
                <w:p w14:paraId="549C38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882" w:type="dxa"/>
                  <w:tcBorders>
                    <w:tl2br w:val="nil"/>
                    <w:tr2bl w:val="nil"/>
                  </w:tcBorders>
                  <w:vAlign w:val="center"/>
                </w:tcPr>
                <w:p w14:paraId="6A25A3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0.304</w:t>
                  </w:r>
                </w:p>
              </w:tc>
              <w:tc>
                <w:tcPr>
                  <w:tcW w:w="697" w:type="dxa"/>
                  <w:tcBorders>
                    <w:tl2br w:val="nil"/>
                    <w:tr2bl w:val="nil"/>
                  </w:tcBorders>
                  <w:vAlign w:val="center"/>
                </w:tcPr>
                <w:p w14:paraId="0F0742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0.344</w:t>
                  </w:r>
                </w:p>
              </w:tc>
              <w:tc>
                <w:tcPr>
                  <w:tcW w:w="660" w:type="dxa"/>
                  <w:tcBorders>
                    <w:tl2br w:val="nil"/>
                    <w:tr2bl w:val="nil"/>
                  </w:tcBorders>
                  <w:vAlign w:val="center"/>
                </w:tcPr>
                <w:p w14:paraId="7FCE1A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0.164</w:t>
                  </w:r>
                </w:p>
              </w:tc>
              <w:tc>
                <w:tcPr>
                  <w:tcW w:w="396" w:type="dxa"/>
                  <w:tcBorders>
                    <w:tl2br w:val="nil"/>
                    <w:tr2bl w:val="nil"/>
                  </w:tcBorders>
                  <w:vAlign w:val="center"/>
                </w:tcPr>
                <w:p w14:paraId="1C36C2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DFFCB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F9F997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FA101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58F97C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997" w:type="dxa"/>
                  <w:tcBorders>
                    <w:tl2br w:val="nil"/>
                    <w:tr2bl w:val="nil"/>
                  </w:tcBorders>
                  <w:vAlign w:val="center"/>
                </w:tcPr>
                <w:p w14:paraId="61FE9D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962" w:type="dxa"/>
                  <w:tcBorders>
                    <w:tl2br w:val="nil"/>
                    <w:tr2bl w:val="nil"/>
                  </w:tcBorders>
                  <w:vAlign w:val="center"/>
                </w:tcPr>
                <w:p w14:paraId="5C429D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777" w:type="dxa"/>
                  <w:vMerge w:val="continue"/>
                  <w:tcBorders>
                    <w:tl2br w:val="nil"/>
                    <w:tr2bl w:val="nil"/>
                  </w:tcBorders>
                  <w:vAlign w:val="center"/>
                </w:tcPr>
                <w:p w14:paraId="636C647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4BEAB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0.288</w:t>
                  </w:r>
                </w:p>
              </w:tc>
              <w:tc>
                <w:tcPr>
                  <w:tcW w:w="697" w:type="dxa"/>
                  <w:tcBorders>
                    <w:tl2br w:val="nil"/>
                    <w:tr2bl w:val="nil"/>
                  </w:tcBorders>
                  <w:vAlign w:val="center"/>
                </w:tcPr>
                <w:p w14:paraId="1BF929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0.34</w:t>
                  </w:r>
                </w:p>
              </w:tc>
              <w:tc>
                <w:tcPr>
                  <w:tcW w:w="660" w:type="dxa"/>
                  <w:tcBorders>
                    <w:tl2br w:val="nil"/>
                    <w:tr2bl w:val="nil"/>
                  </w:tcBorders>
                  <w:vAlign w:val="center"/>
                </w:tcPr>
                <w:p w14:paraId="54603D7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0.18</w:t>
                  </w:r>
                </w:p>
              </w:tc>
              <w:tc>
                <w:tcPr>
                  <w:tcW w:w="396" w:type="dxa"/>
                  <w:tcBorders>
                    <w:tl2br w:val="nil"/>
                    <w:tr2bl w:val="nil"/>
                  </w:tcBorders>
                  <w:vAlign w:val="center"/>
                </w:tcPr>
                <w:p w14:paraId="16A681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FBE2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390F3A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CC56AF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4C002E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w:t>
                  </w:r>
                </w:p>
              </w:tc>
              <w:tc>
                <w:tcPr>
                  <w:tcW w:w="997" w:type="dxa"/>
                  <w:tcBorders>
                    <w:tl2br w:val="nil"/>
                    <w:tr2bl w:val="nil"/>
                  </w:tcBorders>
                  <w:vAlign w:val="center"/>
                </w:tcPr>
                <w:p w14:paraId="02DFAB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88</w:t>
                  </w:r>
                </w:p>
              </w:tc>
              <w:tc>
                <w:tcPr>
                  <w:tcW w:w="962" w:type="dxa"/>
                  <w:tcBorders>
                    <w:tl2br w:val="nil"/>
                    <w:tr2bl w:val="nil"/>
                  </w:tcBorders>
                  <w:vAlign w:val="center"/>
                </w:tcPr>
                <w:p w14:paraId="043CF8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777" w:type="dxa"/>
                  <w:vMerge w:val="continue"/>
                  <w:tcBorders>
                    <w:tl2br w:val="nil"/>
                    <w:tr2bl w:val="nil"/>
                  </w:tcBorders>
                  <w:vAlign w:val="center"/>
                </w:tcPr>
                <w:p w14:paraId="5F97905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C1660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0.292</w:t>
                  </w:r>
                </w:p>
              </w:tc>
              <w:tc>
                <w:tcPr>
                  <w:tcW w:w="697" w:type="dxa"/>
                  <w:tcBorders>
                    <w:tl2br w:val="nil"/>
                    <w:tr2bl w:val="nil"/>
                  </w:tcBorders>
                  <w:vAlign w:val="center"/>
                </w:tcPr>
                <w:p w14:paraId="40C2F7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0.352</w:t>
                  </w:r>
                </w:p>
              </w:tc>
              <w:tc>
                <w:tcPr>
                  <w:tcW w:w="660" w:type="dxa"/>
                  <w:tcBorders>
                    <w:tl2br w:val="nil"/>
                    <w:tr2bl w:val="nil"/>
                  </w:tcBorders>
                  <w:vAlign w:val="center"/>
                </w:tcPr>
                <w:p w14:paraId="3135C0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0.168</w:t>
                  </w:r>
                </w:p>
              </w:tc>
              <w:tc>
                <w:tcPr>
                  <w:tcW w:w="396" w:type="dxa"/>
                  <w:tcBorders>
                    <w:tl2br w:val="nil"/>
                    <w:tr2bl w:val="nil"/>
                  </w:tcBorders>
                  <w:vAlign w:val="center"/>
                </w:tcPr>
                <w:p w14:paraId="73B738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536D8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8879F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亚硝酸盐氮</w:t>
                  </w:r>
                </w:p>
              </w:tc>
              <w:tc>
                <w:tcPr>
                  <w:tcW w:w="1112" w:type="dxa"/>
                  <w:tcBorders>
                    <w:tl2br w:val="nil"/>
                    <w:tr2bl w:val="nil"/>
                  </w:tcBorders>
                  <w:vAlign w:val="center"/>
                </w:tcPr>
                <w:p w14:paraId="1B5E72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ED8BE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w:t>
                  </w:r>
                </w:p>
              </w:tc>
              <w:tc>
                <w:tcPr>
                  <w:tcW w:w="997" w:type="dxa"/>
                  <w:tcBorders>
                    <w:tl2br w:val="nil"/>
                    <w:tr2bl w:val="nil"/>
                  </w:tcBorders>
                  <w:vAlign w:val="center"/>
                </w:tcPr>
                <w:p w14:paraId="2D1210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962" w:type="dxa"/>
                  <w:tcBorders>
                    <w:tl2br w:val="nil"/>
                    <w:tr2bl w:val="nil"/>
                  </w:tcBorders>
                  <w:vAlign w:val="center"/>
                </w:tcPr>
                <w:p w14:paraId="055745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0.39</w:t>
                  </w:r>
                </w:p>
              </w:tc>
              <w:tc>
                <w:tcPr>
                  <w:tcW w:w="777" w:type="dxa"/>
                  <w:vMerge w:val="restart"/>
                  <w:tcBorders>
                    <w:tl2br w:val="nil"/>
                    <w:tr2bl w:val="nil"/>
                  </w:tcBorders>
                  <w:vAlign w:val="center"/>
                </w:tcPr>
                <w:p w14:paraId="092DDC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82" w:type="dxa"/>
                  <w:tcBorders>
                    <w:tl2br w:val="nil"/>
                    <w:tr2bl w:val="nil"/>
                  </w:tcBorders>
                  <w:vAlign w:val="center"/>
                </w:tcPr>
                <w:p w14:paraId="3781C6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697" w:type="dxa"/>
                  <w:tcBorders>
                    <w:tl2br w:val="nil"/>
                    <w:tr2bl w:val="nil"/>
                  </w:tcBorders>
                  <w:vAlign w:val="center"/>
                </w:tcPr>
                <w:p w14:paraId="052DD6F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660" w:type="dxa"/>
                  <w:tcBorders>
                    <w:tl2br w:val="nil"/>
                    <w:tr2bl w:val="nil"/>
                  </w:tcBorders>
                  <w:vAlign w:val="center"/>
                </w:tcPr>
                <w:p w14:paraId="68C924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0.039</w:t>
                  </w:r>
                </w:p>
              </w:tc>
              <w:tc>
                <w:tcPr>
                  <w:tcW w:w="396" w:type="dxa"/>
                  <w:tcBorders>
                    <w:tl2br w:val="nil"/>
                    <w:tr2bl w:val="nil"/>
                  </w:tcBorders>
                  <w:vAlign w:val="center"/>
                </w:tcPr>
                <w:p w14:paraId="3C609C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56A4A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092DCF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050EE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58A455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0.46</w:t>
                  </w:r>
                </w:p>
              </w:tc>
              <w:tc>
                <w:tcPr>
                  <w:tcW w:w="997" w:type="dxa"/>
                  <w:tcBorders>
                    <w:tl2br w:val="nil"/>
                    <w:tr2bl w:val="nil"/>
                  </w:tcBorders>
                  <w:vAlign w:val="center"/>
                </w:tcPr>
                <w:p w14:paraId="1ED632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962" w:type="dxa"/>
                  <w:tcBorders>
                    <w:tl2br w:val="nil"/>
                    <w:tr2bl w:val="nil"/>
                  </w:tcBorders>
                  <w:vAlign w:val="center"/>
                </w:tcPr>
                <w:p w14:paraId="642791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777" w:type="dxa"/>
                  <w:vMerge w:val="continue"/>
                  <w:tcBorders>
                    <w:tl2br w:val="nil"/>
                    <w:tr2bl w:val="nil"/>
                  </w:tcBorders>
                  <w:vAlign w:val="center"/>
                </w:tcPr>
                <w:p w14:paraId="2F9F8DC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9D71E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0.046</w:t>
                  </w:r>
                </w:p>
              </w:tc>
              <w:tc>
                <w:tcPr>
                  <w:tcW w:w="697" w:type="dxa"/>
                  <w:tcBorders>
                    <w:tl2br w:val="nil"/>
                    <w:tr2bl w:val="nil"/>
                  </w:tcBorders>
                  <w:vAlign w:val="center"/>
                </w:tcPr>
                <w:p w14:paraId="21996C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0.048</w:t>
                  </w:r>
                </w:p>
              </w:tc>
              <w:tc>
                <w:tcPr>
                  <w:tcW w:w="660" w:type="dxa"/>
                  <w:tcBorders>
                    <w:tl2br w:val="nil"/>
                    <w:tr2bl w:val="nil"/>
                  </w:tcBorders>
                  <w:vAlign w:val="center"/>
                </w:tcPr>
                <w:p w14:paraId="5999A7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0.041</w:t>
                  </w:r>
                </w:p>
              </w:tc>
              <w:tc>
                <w:tcPr>
                  <w:tcW w:w="396" w:type="dxa"/>
                  <w:tcBorders>
                    <w:tl2br w:val="nil"/>
                    <w:tr2bl w:val="nil"/>
                  </w:tcBorders>
                  <w:vAlign w:val="center"/>
                </w:tcPr>
                <w:p w14:paraId="2DF945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59FA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D664C1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E4707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5F5103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0.44</w:t>
                  </w:r>
                </w:p>
              </w:tc>
              <w:tc>
                <w:tcPr>
                  <w:tcW w:w="997" w:type="dxa"/>
                  <w:tcBorders>
                    <w:tl2br w:val="nil"/>
                    <w:tr2bl w:val="nil"/>
                  </w:tcBorders>
                  <w:vAlign w:val="center"/>
                </w:tcPr>
                <w:p w14:paraId="12FEA9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0.51</w:t>
                  </w:r>
                </w:p>
              </w:tc>
              <w:tc>
                <w:tcPr>
                  <w:tcW w:w="962" w:type="dxa"/>
                  <w:tcBorders>
                    <w:tl2br w:val="nil"/>
                    <w:tr2bl w:val="nil"/>
                  </w:tcBorders>
                  <w:vAlign w:val="center"/>
                </w:tcPr>
                <w:p w14:paraId="2B0378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0.37</w:t>
                  </w:r>
                </w:p>
              </w:tc>
              <w:tc>
                <w:tcPr>
                  <w:tcW w:w="777" w:type="dxa"/>
                  <w:vMerge w:val="continue"/>
                  <w:tcBorders>
                    <w:tl2br w:val="nil"/>
                    <w:tr2bl w:val="nil"/>
                  </w:tcBorders>
                  <w:vAlign w:val="center"/>
                </w:tcPr>
                <w:p w14:paraId="0B484D5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9F62B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0.044</w:t>
                  </w:r>
                </w:p>
              </w:tc>
              <w:tc>
                <w:tcPr>
                  <w:tcW w:w="697" w:type="dxa"/>
                  <w:tcBorders>
                    <w:tl2br w:val="nil"/>
                    <w:tr2bl w:val="nil"/>
                  </w:tcBorders>
                  <w:vAlign w:val="center"/>
                </w:tcPr>
                <w:p w14:paraId="563BB6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0.051</w:t>
                  </w:r>
                </w:p>
              </w:tc>
              <w:tc>
                <w:tcPr>
                  <w:tcW w:w="660" w:type="dxa"/>
                  <w:tcBorders>
                    <w:tl2br w:val="nil"/>
                    <w:tr2bl w:val="nil"/>
                  </w:tcBorders>
                  <w:vAlign w:val="center"/>
                </w:tcPr>
                <w:p w14:paraId="73F201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0.037</w:t>
                  </w:r>
                </w:p>
              </w:tc>
              <w:tc>
                <w:tcPr>
                  <w:tcW w:w="396" w:type="dxa"/>
                  <w:tcBorders>
                    <w:tl2br w:val="nil"/>
                    <w:tr2bl w:val="nil"/>
                  </w:tcBorders>
                  <w:vAlign w:val="center"/>
                </w:tcPr>
                <w:p w14:paraId="44EFF4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87592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070F77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氯化物</w:t>
                  </w:r>
                </w:p>
              </w:tc>
              <w:tc>
                <w:tcPr>
                  <w:tcW w:w="1112" w:type="dxa"/>
                  <w:tcBorders>
                    <w:tl2br w:val="nil"/>
                    <w:tr2bl w:val="nil"/>
                  </w:tcBorders>
                  <w:vAlign w:val="center"/>
                </w:tcPr>
                <w:p w14:paraId="1C98EE1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380053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44</w:t>
                  </w:r>
                </w:p>
              </w:tc>
              <w:tc>
                <w:tcPr>
                  <w:tcW w:w="997" w:type="dxa"/>
                  <w:tcBorders>
                    <w:tl2br w:val="nil"/>
                    <w:tr2bl w:val="nil"/>
                  </w:tcBorders>
                  <w:vAlign w:val="center"/>
                </w:tcPr>
                <w:p w14:paraId="150F89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74</w:t>
                  </w:r>
                </w:p>
              </w:tc>
              <w:tc>
                <w:tcPr>
                  <w:tcW w:w="962" w:type="dxa"/>
                  <w:tcBorders>
                    <w:tl2br w:val="nil"/>
                    <w:tr2bl w:val="nil"/>
                  </w:tcBorders>
                  <w:vAlign w:val="center"/>
                </w:tcPr>
                <w:p w14:paraId="3F75F7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57</w:t>
                  </w:r>
                </w:p>
              </w:tc>
              <w:tc>
                <w:tcPr>
                  <w:tcW w:w="777" w:type="dxa"/>
                  <w:vMerge w:val="restart"/>
                  <w:tcBorders>
                    <w:tl2br w:val="nil"/>
                    <w:tr2bl w:val="nil"/>
                  </w:tcBorders>
                  <w:vAlign w:val="center"/>
                </w:tcPr>
                <w:p w14:paraId="57EF2B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882" w:type="dxa"/>
                  <w:tcBorders>
                    <w:tl2br w:val="nil"/>
                    <w:tr2bl w:val="nil"/>
                  </w:tcBorders>
                  <w:vAlign w:val="center"/>
                </w:tcPr>
                <w:p w14:paraId="3C1705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0.176</w:t>
                  </w:r>
                </w:p>
              </w:tc>
              <w:tc>
                <w:tcPr>
                  <w:tcW w:w="697" w:type="dxa"/>
                  <w:tcBorders>
                    <w:tl2br w:val="nil"/>
                    <w:tr2bl w:val="nil"/>
                  </w:tcBorders>
                  <w:vAlign w:val="center"/>
                </w:tcPr>
                <w:p w14:paraId="301645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0.296</w:t>
                  </w:r>
                </w:p>
              </w:tc>
              <w:tc>
                <w:tcPr>
                  <w:tcW w:w="660" w:type="dxa"/>
                  <w:tcBorders>
                    <w:tl2br w:val="nil"/>
                    <w:tr2bl w:val="nil"/>
                  </w:tcBorders>
                  <w:vAlign w:val="center"/>
                </w:tcPr>
                <w:p w14:paraId="174A7E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0.228</w:t>
                  </w:r>
                </w:p>
              </w:tc>
              <w:tc>
                <w:tcPr>
                  <w:tcW w:w="396" w:type="dxa"/>
                  <w:tcBorders>
                    <w:tl2br w:val="nil"/>
                    <w:tr2bl w:val="nil"/>
                  </w:tcBorders>
                  <w:vAlign w:val="center"/>
                </w:tcPr>
                <w:p w14:paraId="2AB91B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31F0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28BF52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252E77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0D7A37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997" w:type="dxa"/>
                  <w:tcBorders>
                    <w:tl2br w:val="nil"/>
                    <w:tr2bl w:val="nil"/>
                  </w:tcBorders>
                  <w:vAlign w:val="center"/>
                </w:tcPr>
                <w:p w14:paraId="164C6D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962" w:type="dxa"/>
                  <w:tcBorders>
                    <w:tl2br w:val="nil"/>
                    <w:tr2bl w:val="nil"/>
                  </w:tcBorders>
                  <w:vAlign w:val="center"/>
                </w:tcPr>
                <w:p w14:paraId="478C15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777" w:type="dxa"/>
                  <w:vMerge w:val="continue"/>
                  <w:tcBorders>
                    <w:tl2br w:val="nil"/>
                    <w:tr2bl w:val="nil"/>
                  </w:tcBorders>
                  <w:vAlign w:val="center"/>
                </w:tcPr>
                <w:p w14:paraId="2940575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FD536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0.168</w:t>
                  </w:r>
                </w:p>
              </w:tc>
              <w:tc>
                <w:tcPr>
                  <w:tcW w:w="697" w:type="dxa"/>
                  <w:tcBorders>
                    <w:tl2br w:val="nil"/>
                    <w:tr2bl w:val="nil"/>
                  </w:tcBorders>
                  <w:vAlign w:val="center"/>
                </w:tcPr>
                <w:p w14:paraId="26E079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0.312</w:t>
                  </w:r>
                </w:p>
              </w:tc>
              <w:tc>
                <w:tcPr>
                  <w:tcW w:w="660" w:type="dxa"/>
                  <w:tcBorders>
                    <w:tl2br w:val="nil"/>
                    <w:tr2bl w:val="nil"/>
                  </w:tcBorders>
                  <w:vAlign w:val="center"/>
                </w:tcPr>
                <w:p w14:paraId="6383F8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0.24</w:t>
                  </w:r>
                </w:p>
              </w:tc>
              <w:tc>
                <w:tcPr>
                  <w:tcW w:w="396" w:type="dxa"/>
                  <w:tcBorders>
                    <w:tl2br w:val="nil"/>
                    <w:tr2bl w:val="nil"/>
                  </w:tcBorders>
                  <w:vAlign w:val="center"/>
                </w:tcPr>
                <w:p w14:paraId="0C5310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37984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2608E5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64822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1ADA06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997" w:type="dxa"/>
                  <w:tcBorders>
                    <w:tl2br w:val="nil"/>
                    <w:tr2bl w:val="nil"/>
                  </w:tcBorders>
                  <w:vAlign w:val="center"/>
                </w:tcPr>
                <w:p w14:paraId="5250FA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962" w:type="dxa"/>
                  <w:tcBorders>
                    <w:tl2br w:val="nil"/>
                    <w:tr2bl w:val="nil"/>
                  </w:tcBorders>
                  <w:vAlign w:val="center"/>
                </w:tcPr>
                <w:p w14:paraId="3DE8D2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54</w:t>
                  </w:r>
                </w:p>
              </w:tc>
              <w:tc>
                <w:tcPr>
                  <w:tcW w:w="777" w:type="dxa"/>
                  <w:vMerge w:val="continue"/>
                  <w:tcBorders>
                    <w:tl2br w:val="nil"/>
                    <w:tr2bl w:val="nil"/>
                  </w:tcBorders>
                  <w:vAlign w:val="center"/>
                </w:tcPr>
                <w:p w14:paraId="1B3B06D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1528E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0.18</w:t>
                  </w:r>
                </w:p>
              </w:tc>
              <w:tc>
                <w:tcPr>
                  <w:tcW w:w="697" w:type="dxa"/>
                  <w:tcBorders>
                    <w:tl2br w:val="nil"/>
                    <w:tr2bl w:val="nil"/>
                  </w:tcBorders>
                  <w:vAlign w:val="center"/>
                </w:tcPr>
                <w:p w14:paraId="0E6473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0.304</w:t>
                  </w:r>
                </w:p>
              </w:tc>
              <w:tc>
                <w:tcPr>
                  <w:tcW w:w="660" w:type="dxa"/>
                  <w:tcBorders>
                    <w:tl2br w:val="nil"/>
                    <w:tr2bl w:val="nil"/>
                  </w:tcBorders>
                  <w:vAlign w:val="center"/>
                </w:tcPr>
                <w:p w14:paraId="6D0999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0.216</w:t>
                  </w:r>
                </w:p>
              </w:tc>
              <w:tc>
                <w:tcPr>
                  <w:tcW w:w="396" w:type="dxa"/>
                  <w:tcBorders>
                    <w:tl2br w:val="nil"/>
                    <w:tr2bl w:val="nil"/>
                  </w:tcBorders>
                  <w:vAlign w:val="center"/>
                </w:tcPr>
                <w:p w14:paraId="456019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6F1E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4B069D3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铁</w:t>
                  </w:r>
                </w:p>
              </w:tc>
              <w:tc>
                <w:tcPr>
                  <w:tcW w:w="1112" w:type="dxa"/>
                  <w:tcBorders>
                    <w:tl2br w:val="nil"/>
                    <w:tr2bl w:val="nil"/>
                  </w:tcBorders>
                  <w:vAlign w:val="center"/>
                </w:tcPr>
                <w:p w14:paraId="5ACE29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51BA96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997" w:type="dxa"/>
                  <w:tcBorders>
                    <w:tl2br w:val="nil"/>
                    <w:tr2bl w:val="nil"/>
                  </w:tcBorders>
                  <w:vAlign w:val="center"/>
                </w:tcPr>
                <w:p w14:paraId="6DC26D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962" w:type="dxa"/>
                  <w:tcBorders>
                    <w:tl2br w:val="nil"/>
                    <w:tr2bl w:val="nil"/>
                  </w:tcBorders>
                  <w:vAlign w:val="center"/>
                </w:tcPr>
                <w:p w14:paraId="62C8D5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777" w:type="dxa"/>
                  <w:vMerge w:val="restart"/>
                  <w:tcBorders>
                    <w:tl2br w:val="nil"/>
                    <w:tr2bl w:val="nil"/>
                  </w:tcBorders>
                  <w:vAlign w:val="center"/>
                </w:tcPr>
                <w:p w14:paraId="08C3BD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882" w:type="dxa"/>
                  <w:tcBorders>
                    <w:tl2br w:val="nil"/>
                    <w:tr2bl w:val="nil"/>
                  </w:tcBorders>
                  <w:vAlign w:val="center"/>
                </w:tcPr>
                <w:p w14:paraId="24FE7F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577DDB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73C4B5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748C41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5EB89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492F02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6632D1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66662C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997" w:type="dxa"/>
                  <w:tcBorders>
                    <w:tl2br w:val="nil"/>
                    <w:tr2bl w:val="nil"/>
                  </w:tcBorders>
                  <w:vAlign w:val="center"/>
                </w:tcPr>
                <w:p w14:paraId="4CC1CD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962" w:type="dxa"/>
                  <w:tcBorders>
                    <w:tl2br w:val="nil"/>
                    <w:tr2bl w:val="nil"/>
                  </w:tcBorders>
                  <w:vAlign w:val="center"/>
                </w:tcPr>
                <w:p w14:paraId="6EEFBF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777" w:type="dxa"/>
                  <w:vMerge w:val="continue"/>
                  <w:tcBorders>
                    <w:tl2br w:val="nil"/>
                    <w:tr2bl w:val="nil"/>
                  </w:tcBorders>
                  <w:vAlign w:val="center"/>
                </w:tcPr>
                <w:p w14:paraId="6C2E6DC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0A2D58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3C4D4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0B70F7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1A4FFC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0062BC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F63941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4C249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628AC6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997" w:type="dxa"/>
                  <w:tcBorders>
                    <w:tl2br w:val="nil"/>
                    <w:tr2bl w:val="nil"/>
                  </w:tcBorders>
                  <w:vAlign w:val="center"/>
                </w:tcPr>
                <w:p w14:paraId="598E00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962" w:type="dxa"/>
                  <w:tcBorders>
                    <w:tl2br w:val="nil"/>
                    <w:tr2bl w:val="nil"/>
                  </w:tcBorders>
                  <w:vAlign w:val="center"/>
                </w:tcPr>
                <w:p w14:paraId="35961A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0.03L</w:t>
                  </w:r>
                </w:p>
              </w:tc>
              <w:tc>
                <w:tcPr>
                  <w:tcW w:w="777" w:type="dxa"/>
                  <w:vMerge w:val="continue"/>
                  <w:tcBorders>
                    <w:tl2br w:val="nil"/>
                    <w:tr2bl w:val="nil"/>
                  </w:tcBorders>
                  <w:vAlign w:val="center"/>
                </w:tcPr>
                <w:p w14:paraId="66A6031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4459A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A61F2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3DFA97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60350C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4A937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412E2C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锰</w:t>
                  </w:r>
                </w:p>
              </w:tc>
              <w:tc>
                <w:tcPr>
                  <w:tcW w:w="1112" w:type="dxa"/>
                  <w:tcBorders>
                    <w:tl2br w:val="nil"/>
                    <w:tr2bl w:val="nil"/>
                  </w:tcBorders>
                  <w:vAlign w:val="center"/>
                </w:tcPr>
                <w:p w14:paraId="3D96A1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102ACE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97" w:type="dxa"/>
                  <w:tcBorders>
                    <w:tl2br w:val="nil"/>
                    <w:tr2bl w:val="nil"/>
                  </w:tcBorders>
                  <w:vAlign w:val="center"/>
                </w:tcPr>
                <w:p w14:paraId="486F53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62" w:type="dxa"/>
                  <w:tcBorders>
                    <w:tl2br w:val="nil"/>
                    <w:tr2bl w:val="nil"/>
                  </w:tcBorders>
                  <w:vAlign w:val="center"/>
                </w:tcPr>
                <w:p w14:paraId="7084B2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777" w:type="dxa"/>
                  <w:vMerge w:val="restart"/>
                  <w:tcBorders>
                    <w:tl2br w:val="nil"/>
                    <w:tr2bl w:val="nil"/>
                  </w:tcBorders>
                  <w:vAlign w:val="center"/>
                </w:tcPr>
                <w:p w14:paraId="398387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882" w:type="dxa"/>
                  <w:tcBorders>
                    <w:tl2br w:val="nil"/>
                    <w:tr2bl w:val="nil"/>
                  </w:tcBorders>
                  <w:vAlign w:val="center"/>
                </w:tcPr>
                <w:p w14:paraId="48C81A4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205A9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24085C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0B47FC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209D9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249A2D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2AD85C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6A7BF0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97" w:type="dxa"/>
                  <w:tcBorders>
                    <w:tl2br w:val="nil"/>
                    <w:tr2bl w:val="nil"/>
                  </w:tcBorders>
                  <w:vAlign w:val="center"/>
                </w:tcPr>
                <w:p w14:paraId="0501DC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62" w:type="dxa"/>
                  <w:tcBorders>
                    <w:tl2br w:val="nil"/>
                    <w:tr2bl w:val="nil"/>
                  </w:tcBorders>
                  <w:vAlign w:val="center"/>
                </w:tcPr>
                <w:p w14:paraId="1E2E7D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777" w:type="dxa"/>
                  <w:vMerge w:val="continue"/>
                  <w:tcBorders>
                    <w:tl2br w:val="nil"/>
                    <w:tr2bl w:val="nil"/>
                  </w:tcBorders>
                  <w:vAlign w:val="center"/>
                </w:tcPr>
                <w:p w14:paraId="530B326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C9455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79CC09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59BBA8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0666701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158FC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5097070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30A3D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33B671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97" w:type="dxa"/>
                  <w:tcBorders>
                    <w:tl2br w:val="nil"/>
                    <w:tr2bl w:val="nil"/>
                  </w:tcBorders>
                  <w:vAlign w:val="center"/>
                </w:tcPr>
                <w:p w14:paraId="11819A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962" w:type="dxa"/>
                  <w:tcBorders>
                    <w:tl2br w:val="nil"/>
                    <w:tr2bl w:val="nil"/>
                  </w:tcBorders>
                  <w:vAlign w:val="center"/>
                </w:tcPr>
                <w:p w14:paraId="0FA02C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0.01L</w:t>
                  </w:r>
                </w:p>
              </w:tc>
              <w:tc>
                <w:tcPr>
                  <w:tcW w:w="777" w:type="dxa"/>
                  <w:vMerge w:val="continue"/>
                  <w:tcBorders>
                    <w:tl2br w:val="nil"/>
                    <w:tr2bl w:val="nil"/>
                  </w:tcBorders>
                  <w:vAlign w:val="center"/>
                </w:tcPr>
                <w:p w14:paraId="0EC3802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1FC2A6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97" w:type="dxa"/>
                  <w:tcBorders>
                    <w:tl2br w:val="nil"/>
                    <w:tr2bl w:val="nil"/>
                  </w:tcBorders>
                  <w:vAlign w:val="center"/>
                </w:tcPr>
                <w:p w14:paraId="0B9853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60" w:type="dxa"/>
                  <w:tcBorders>
                    <w:tl2br w:val="nil"/>
                    <w:tr2bl w:val="nil"/>
                  </w:tcBorders>
                  <w:vAlign w:val="center"/>
                </w:tcPr>
                <w:p w14:paraId="475BDC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396" w:type="dxa"/>
                  <w:tcBorders>
                    <w:tl2br w:val="nil"/>
                    <w:tr2bl w:val="nil"/>
                  </w:tcBorders>
                  <w:vAlign w:val="center"/>
                </w:tcPr>
                <w:p w14:paraId="414F61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w:t>
                  </w:r>
                </w:p>
              </w:tc>
            </w:tr>
            <w:tr w14:paraId="78A16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48842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w:t>
                  </w:r>
                </w:p>
              </w:tc>
              <w:tc>
                <w:tcPr>
                  <w:tcW w:w="1112" w:type="dxa"/>
                  <w:tcBorders>
                    <w:tl2br w:val="nil"/>
                    <w:tr2bl w:val="nil"/>
                  </w:tcBorders>
                  <w:vAlign w:val="center"/>
                </w:tcPr>
                <w:p w14:paraId="6778A2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702763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97" w:type="dxa"/>
                  <w:tcBorders>
                    <w:tl2br w:val="nil"/>
                    <w:tr2bl w:val="nil"/>
                  </w:tcBorders>
                  <w:vAlign w:val="center"/>
                </w:tcPr>
                <w:p w14:paraId="597B85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62" w:type="dxa"/>
                  <w:tcBorders>
                    <w:tl2br w:val="nil"/>
                    <w:tr2bl w:val="nil"/>
                  </w:tcBorders>
                  <w:vAlign w:val="center"/>
                </w:tcPr>
                <w:p w14:paraId="2DE97B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777" w:type="dxa"/>
                  <w:vMerge w:val="restart"/>
                  <w:tcBorders>
                    <w:tl2br w:val="nil"/>
                    <w:tr2bl w:val="nil"/>
                  </w:tcBorders>
                  <w:vAlign w:val="center"/>
                </w:tcPr>
                <w:p w14:paraId="5DA44C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5D17EE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0D59F4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2738C9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513241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1A4B0A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C3878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FE7C4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409E0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97" w:type="dxa"/>
                  <w:tcBorders>
                    <w:tl2br w:val="nil"/>
                    <w:tr2bl w:val="nil"/>
                  </w:tcBorders>
                  <w:vAlign w:val="center"/>
                </w:tcPr>
                <w:p w14:paraId="772C7E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62" w:type="dxa"/>
                  <w:tcBorders>
                    <w:tl2br w:val="nil"/>
                    <w:tr2bl w:val="nil"/>
                  </w:tcBorders>
                  <w:vAlign w:val="center"/>
                </w:tcPr>
                <w:p w14:paraId="5035594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777" w:type="dxa"/>
                  <w:vMerge w:val="continue"/>
                  <w:tcBorders>
                    <w:tl2br w:val="nil"/>
                    <w:tr2bl w:val="nil"/>
                  </w:tcBorders>
                  <w:vAlign w:val="center"/>
                </w:tcPr>
                <w:p w14:paraId="4B3B1BE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F3154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405981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445E7DE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4AFF76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1C75CB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25511F6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281346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3A96D8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97" w:type="dxa"/>
                  <w:tcBorders>
                    <w:tl2br w:val="nil"/>
                    <w:tr2bl w:val="nil"/>
                  </w:tcBorders>
                  <w:vAlign w:val="center"/>
                </w:tcPr>
                <w:p w14:paraId="6DA97A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62" w:type="dxa"/>
                  <w:tcBorders>
                    <w:tl2br w:val="nil"/>
                    <w:tr2bl w:val="nil"/>
                  </w:tcBorders>
                  <w:vAlign w:val="center"/>
                </w:tcPr>
                <w:p w14:paraId="19398C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777" w:type="dxa"/>
                  <w:vMerge w:val="continue"/>
                  <w:tcBorders>
                    <w:tl2br w:val="nil"/>
                    <w:tr2bl w:val="nil"/>
                  </w:tcBorders>
                  <w:vAlign w:val="center"/>
                </w:tcPr>
                <w:p w14:paraId="76B018B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1709D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37C219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099D47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0717F7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AE9AE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04DD9B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苯并[a]芘</w:t>
                  </w:r>
                </w:p>
              </w:tc>
              <w:tc>
                <w:tcPr>
                  <w:tcW w:w="1112" w:type="dxa"/>
                  <w:tcBorders>
                    <w:tl2br w:val="nil"/>
                    <w:tr2bl w:val="nil"/>
                  </w:tcBorders>
                  <w:vAlign w:val="center"/>
                </w:tcPr>
                <w:p w14:paraId="2B21E3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14BEE8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97" w:type="dxa"/>
                  <w:tcBorders>
                    <w:tl2br w:val="nil"/>
                    <w:tr2bl w:val="nil"/>
                  </w:tcBorders>
                  <w:vAlign w:val="center"/>
                </w:tcPr>
                <w:p w14:paraId="1C8DCF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62" w:type="dxa"/>
                  <w:tcBorders>
                    <w:tl2br w:val="nil"/>
                    <w:tr2bl w:val="nil"/>
                  </w:tcBorders>
                  <w:vAlign w:val="center"/>
                </w:tcPr>
                <w:p w14:paraId="7CBBFF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777" w:type="dxa"/>
                  <w:vMerge w:val="restart"/>
                  <w:tcBorders>
                    <w:tl2br w:val="nil"/>
                    <w:tr2bl w:val="nil"/>
                  </w:tcBorders>
                  <w:vAlign w:val="center"/>
                </w:tcPr>
                <w:p w14:paraId="007763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52217B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30F3CC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074C2B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1205049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F8A75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2C02610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083A75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19532B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97" w:type="dxa"/>
                  <w:tcBorders>
                    <w:tl2br w:val="nil"/>
                    <w:tr2bl w:val="nil"/>
                  </w:tcBorders>
                  <w:vAlign w:val="center"/>
                </w:tcPr>
                <w:p w14:paraId="74C949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62" w:type="dxa"/>
                  <w:tcBorders>
                    <w:tl2br w:val="nil"/>
                    <w:tr2bl w:val="nil"/>
                  </w:tcBorders>
                  <w:vAlign w:val="center"/>
                </w:tcPr>
                <w:p w14:paraId="763E56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777" w:type="dxa"/>
                  <w:vMerge w:val="continue"/>
                  <w:tcBorders>
                    <w:tl2br w:val="nil"/>
                    <w:tr2bl w:val="nil"/>
                  </w:tcBorders>
                  <w:vAlign w:val="center"/>
                </w:tcPr>
                <w:p w14:paraId="10C0C4F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2C651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6D2B4E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0F830E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034642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6693CB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727F46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DC787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77B46A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97" w:type="dxa"/>
                  <w:tcBorders>
                    <w:tl2br w:val="nil"/>
                    <w:tr2bl w:val="nil"/>
                  </w:tcBorders>
                  <w:vAlign w:val="center"/>
                </w:tcPr>
                <w:p w14:paraId="392EB8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62" w:type="dxa"/>
                  <w:tcBorders>
                    <w:tl2br w:val="nil"/>
                    <w:tr2bl w:val="nil"/>
                  </w:tcBorders>
                  <w:vAlign w:val="center"/>
                </w:tcPr>
                <w:p w14:paraId="50DAE7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777" w:type="dxa"/>
                  <w:vMerge w:val="continue"/>
                  <w:tcBorders>
                    <w:tl2br w:val="nil"/>
                    <w:tr2bl w:val="nil"/>
                  </w:tcBorders>
                  <w:vAlign w:val="center"/>
                </w:tcPr>
                <w:p w14:paraId="1EC47AE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3A1DA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2B1A91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28D569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76AC87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D2524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014C1B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1112" w:type="dxa"/>
                  <w:tcBorders>
                    <w:tl2br w:val="nil"/>
                    <w:tr2bl w:val="nil"/>
                  </w:tcBorders>
                  <w:vAlign w:val="center"/>
                </w:tcPr>
                <w:p w14:paraId="4FB973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40708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97" w:type="dxa"/>
                  <w:tcBorders>
                    <w:tl2br w:val="nil"/>
                    <w:tr2bl w:val="nil"/>
                  </w:tcBorders>
                  <w:vAlign w:val="center"/>
                </w:tcPr>
                <w:p w14:paraId="7A7489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62" w:type="dxa"/>
                  <w:tcBorders>
                    <w:tl2br w:val="nil"/>
                    <w:tr2bl w:val="nil"/>
                  </w:tcBorders>
                  <w:vAlign w:val="center"/>
                </w:tcPr>
                <w:p w14:paraId="48B366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777" w:type="dxa"/>
                  <w:vMerge w:val="restart"/>
                  <w:tcBorders>
                    <w:tl2br w:val="nil"/>
                    <w:tr2bl w:val="nil"/>
                  </w:tcBorders>
                  <w:vAlign w:val="center"/>
                </w:tcPr>
                <w:p w14:paraId="4268A1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7FDB02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D27B8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2BD7CE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6CF610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CCDF8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015A42D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281EB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72A52D5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97" w:type="dxa"/>
                  <w:tcBorders>
                    <w:tl2br w:val="nil"/>
                    <w:tr2bl w:val="nil"/>
                  </w:tcBorders>
                  <w:vAlign w:val="center"/>
                </w:tcPr>
                <w:p w14:paraId="29C28B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62" w:type="dxa"/>
                  <w:tcBorders>
                    <w:tl2br w:val="nil"/>
                    <w:tr2bl w:val="nil"/>
                  </w:tcBorders>
                  <w:vAlign w:val="center"/>
                </w:tcPr>
                <w:p w14:paraId="35B744C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777" w:type="dxa"/>
                  <w:vMerge w:val="continue"/>
                  <w:tcBorders>
                    <w:tl2br w:val="nil"/>
                    <w:tr2bl w:val="nil"/>
                  </w:tcBorders>
                  <w:vAlign w:val="center"/>
                </w:tcPr>
                <w:p w14:paraId="2EA349B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5C78E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34A910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4C1CC4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2D65A6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40675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5D3C50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D1715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7F21D0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97" w:type="dxa"/>
                  <w:tcBorders>
                    <w:tl2br w:val="nil"/>
                    <w:tr2bl w:val="nil"/>
                  </w:tcBorders>
                  <w:vAlign w:val="center"/>
                </w:tcPr>
                <w:p w14:paraId="7E668B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962" w:type="dxa"/>
                  <w:tcBorders>
                    <w:tl2br w:val="nil"/>
                    <w:tr2bl w:val="nil"/>
                  </w:tcBorders>
                  <w:vAlign w:val="center"/>
                </w:tcPr>
                <w:p w14:paraId="02879A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1.4L</w:t>
                  </w:r>
                </w:p>
              </w:tc>
              <w:tc>
                <w:tcPr>
                  <w:tcW w:w="777" w:type="dxa"/>
                  <w:vMerge w:val="continue"/>
                  <w:tcBorders>
                    <w:tl2br w:val="nil"/>
                    <w:tr2bl w:val="nil"/>
                  </w:tcBorders>
                  <w:vAlign w:val="center"/>
                </w:tcPr>
                <w:p w14:paraId="12AA7A6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66213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6DBD89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64DDE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4862B6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7729C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F3A83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荧蒽</w:t>
                  </w:r>
                </w:p>
              </w:tc>
              <w:tc>
                <w:tcPr>
                  <w:tcW w:w="1112" w:type="dxa"/>
                  <w:tcBorders>
                    <w:tl2br w:val="nil"/>
                    <w:tr2bl w:val="nil"/>
                  </w:tcBorders>
                  <w:vAlign w:val="center"/>
                </w:tcPr>
                <w:p w14:paraId="602D9E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61CBF8B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997" w:type="dxa"/>
                  <w:tcBorders>
                    <w:tl2br w:val="nil"/>
                    <w:tr2bl w:val="nil"/>
                  </w:tcBorders>
                  <w:vAlign w:val="center"/>
                </w:tcPr>
                <w:p w14:paraId="4AF2B6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962" w:type="dxa"/>
                  <w:tcBorders>
                    <w:tl2br w:val="nil"/>
                    <w:tr2bl w:val="nil"/>
                  </w:tcBorders>
                  <w:vAlign w:val="center"/>
                </w:tcPr>
                <w:p w14:paraId="14305E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777" w:type="dxa"/>
                  <w:vMerge w:val="restart"/>
                  <w:tcBorders>
                    <w:tl2br w:val="nil"/>
                    <w:tr2bl w:val="nil"/>
                  </w:tcBorders>
                  <w:vAlign w:val="center"/>
                </w:tcPr>
                <w:p w14:paraId="48AEAE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0794C6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F3AEF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1DEE7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6CD91F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202478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A4A323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2C13E4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484FEB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997" w:type="dxa"/>
                  <w:tcBorders>
                    <w:tl2br w:val="nil"/>
                    <w:tr2bl w:val="nil"/>
                  </w:tcBorders>
                  <w:vAlign w:val="center"/>
                </w:tcPr>
                <w:p w14:paraId="5CC1127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962" w:type="dxa"/>
                  <w:tcBorders>
                    <w:tl2br w:val="nil"/>
                    <w:tr2bl w:val="nil"/>
                  </w:tcBorders>
                  <w:vAlign w:val="center"/>
                </w:tcPr>
                <w:p w14:paraId="183372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777" w:type="dxa"/>
                  <w:vMerge w:val="continue"/>
                  <w:tcBorders>
                    <w:tl2br w:val="nil"/>
                    <w:tr2bl w:val="nil"/>
                  </w:tcBorders>
                  <w:vAlign w:val="center"/>
                </w:tcPr>
                <w:p w14:paraId="6D2E0E5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1F267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0F9D71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3239DB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612CF13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5F89F6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B98448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37E8A1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22A924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997" w:type="dxa"/>
                  <w:tcBorders>
                    <w:tl2br w:val="nil"/>
                    <w:tr2bl w:val="nil"/>
                  </w:tcBorders>
                  <w:vAlign w:val="center"/>
                </w:tcPr>
                <w:p w14:paraId="1FEA9D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962" w:type="dxa"/>
                  <w:tcBorders>
                    <w:tl2br w:val="nil"/>
                    <w:tr2bl w:val="nil"/>
                  </w:tcBorders>
                  <w:vAlign w:val="center"/>
                </w:tcPr>
                <w:p w14:paraId="6481CD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0.16L</w:t>
                  </w:r>
                </w:p>
              </w:tc>
              <w:tc>
                <w:tcPr>
                  <w:tcW w:w="777" w:type="dxa"/>
                  <w:vMerge w:val="continue"/>
                  <w:tcBorders>
                    <w:tl2br w:val="nil"/>
                    <w:tr2bl w:val="nil"/>
                  </w:tcBorders>
                  <w:vAlign w:val="center"/>
                </w:tcPr>
                <w:p w14:paraId="7FDE829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5C625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32449F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74539C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60139A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4A35A4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4E6C5E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苯并（b）荧蒽</w:t>
                  </w:r>
                </w:p>
              </w:tc>
              <w:tc>
                <w:tcPr>
                  <w:tcW w:w="1112" w:type="dxa"/>
                  <w:tcBorders>
                    <w:tl2br w:val="nil"/>
                    <w:tr2bl w:val="nil"/>
                  </w:tcBorders>
                  <w:vAlign w:val="center"/>
                </w:tcPr>
                <w:p w14:paraId="2518CE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DDE59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997" w:type="dxa"/>
                  <w:tcBorders>
                    <w:tl2br w:val="nil"/>
                    <w:tr2bl w:val="nil"/>
                  </w:tcBorders>
                  <w:vAlign w:val="center"/>
                </w:tcPr>
                <w:p w14:paraId="702F85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962" w:type="dxa"/>
                  <w:tcBorders>
                    <w:tl2br w:val="nil"/>
                    <w:tr2bl w:val="nil"/>
                  </w:tcBorders>
                  <w:vAlign w:val="center"/>
                </w:tcPr>
                <w:p w14:paraId="72772F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777" w:type="dxa"/>
                  <w:vMerge w:val="restart"/>
                  <w:tcBorders>
                    <w:tl2br w:val="nil"/>
                    <w:tr2bl w:val="nil"/>
                  </w:tcBorders>
                  <w:vAlign w:val="center"/>
                </w:tcPr>
                <w:p w14:paraId="6A225F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2A1C0E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426E5D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760A8B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5494AA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45401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156D283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13B8F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517AC4F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997" w:type="dxa"/>
                  <w:tcBorders>
                    <w:tl2br w:val="nil"/>
                    <w:tr2bl w:val="nil"/>
                  </w:tcBorders>
                  <w:vAlign w:val="center"/>
                </w:tcPr>
                <w:p w14:paraId="488FA2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962" w:type="dxa"/>
                  <w:tcBorders>
                    <w:tl2br w:val="nil"/>
                    <w:tr2bl w:val="nil"/>
                  </w:tcBorders>
                  <w:vAlign w:val="center"/>
                </w:tcPr>
                <w:p w14:paraId="2E016A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777" w:type="dxa"/>
                  <w:vMerge w:val="continue"/>
                  <w:tcBorders>
                    <w:tl2br w:val="nil"/>
                    <w:tr2bl w:val="nil"/>
                  </w:tcBorders>
                  <w:vAlign w:val="center"/>
                </w:tcPr>
                <w:p w14:paraId="42DF869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3A8470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5B61EF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0562FA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3C8BEFA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6038B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049BD1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1E8995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3DB5DA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997" w:type="dxa"/>
                  <w:tcBorders>
                    <w:tl2br w:val="nil"/>
                    <w:tr2bl w:val="nil"/>
                  </w:tcBorders>
                  <w:vAlign w:val="center"/>
                </w:tcPr>
                <w:p w14:paraId="2570FE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962" w:type="dxa"/>
                  <w:tcBorders>
                    <w:tl2br w:val="nil"/>
                    <w:tr2bl w:val="nil"/>
                  </w:tcBorders>
                  <w:vAlign w:val="center"/>
                </w:tcPr>
                <w:p w14:paraId="48CE56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0.08L</w:t>
                  </w:r>
                </w:p>
              </w:tc>
              <w:tc>
                <w:tcPr>
                  <w:tcW w:w="777" w:type="dxa"/>
                  <w:vMerge w:val="continue"/>
                  <w:tcBorders>
                    <w:tl2br w:val="nil"/>
                    <w:tr2bl w:val="nil"/>
                  </w:tcBorders>
                  <w:vAlign w:val="center"/>
                </w:tcPr>
                <w:p w14:paraId="54A9CB7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26F26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04DFC9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3CDCB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30D7C5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3AB6B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4A06997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苯并（k）荧蒽</w:t>
                  </w:r>
                </w:p>
              </w:tc>
              <w:tc>
                <w:tcPr>
                  <w:tcW w:w="1112" w:type="dxa"/>
                  <w:tcBorders>
                    <w:tl2br w:val="nil"/>
                    <w:tr2bl w:val="nil"/>
                  </w:tcBorders>
                  <w:vAlign w:val="center"/>
                </w:tcPr>
                <w:p w14:paraId="3652EA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60BB7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997" w:type="dxa"/>
                  <w:tcBorders>
                    <w:tl2br w:val="nil"/>
                    <w:tr2bl w:val="nil"/>
                  </w:tcBorders>
                  <w:vAlign w:val="center"/>
                </w:tcPr>
                <w:p w14:paraId="490790F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962" w:type="dxa"/>
                  <w:tcBorders>
                    <w:tl2br w:val="nil"/>
                    <w:tr2bl w:val="nil"/>
                  </w:tcBorders>
                  <w:vAlign w:val="center"/>
                </w:tcPr>
                <w:p w14:paraId="403B1A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777" w:type="dxa"/>
                  <w:vMerge w:val="restart"/>
                  <w:tcBorders>
                    <w:tl2br w:val="nil"/>
                    <w:tr2bl w:val="nil"/>
                  </w:tcBorders>
                  <w:vAlign w:val="center"/>
                </w:tcPr>
                <w:p w14:paraId="29FBAE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69E03A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294D34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30E88A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1B726D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DCBF9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783637B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5D8DBA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6F3C08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997" w:type="dxa"/>
                  <w:tcBorders>
                    <w:tl2br w:val="nil"/>
                    <w:tr2bl w:val="nil"/>
                  </w:tcBorders>
                  <w:vAlign w:val="center"/>
                </w:tcPr>
                <w:p w14:paraId="2058CC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962" w:type="dxa"/>
                  <w:tcBorders>
                    <w:tl2br w:val="nil"/>
                    <w:tr2bl w:val="nil"/>
                  </w:tcBorders>
                  <w:vAlign w:val="center"/>
                </w:tcPr>
                <w:p w14:paraId="10912A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777" w:type="dxa"/>
                  <w:vMerge w:val="continue"/>
                  <w:tcBorders>
                    <w:tl2br w:val="nil"/>
                    <w:tr2bl w:val="nil"/>
                  </w:tcBorders>
                  <w:vAlign w:val="center"/>
                </w:tcPr>
                <w:p w14:paraId="5061365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73F2B9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613E64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7561A1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575AE2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6D2D2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64655AC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3E828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64D61B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997" w:type="dxa"/>
                  <w:tcBorders>
                    <w:tl2br w:val="nil"/>
                    <w:tr2bl w:val="nil"/>
                  </w:tcBorders>
                  <w:vAlign w:val="center"/>
                </w:tcPr>
                <w:p w14:paraId="1135D3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962" w:type="dxa"/>
                  <w:tcBorders>
                    <w:tl2br w:val="nil"/>
                    <w:tr2bl w:val="nil"/>
                  </w:tcBorders>
                  <w:vAlign w:val="center"/>
                </w:tcPr>
                <w:p w14:paraId="0C6076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0.09L</w:t>
                  </w:r>
                </w:p>
              </w:tc>
              <w:tc>
                <w:tcPr>
                  <w:tcW w:w="777" w:type="dxa"/>
                  <w:vMerge w:val="continue"/>
                  <w:tcBorders>
                    <w:tl2br w:val="nil"/>
                    <w:tr2bl w:val="nil"/>
                  </w:tcBorders>
                  <w:vAlign w:val="center"/>
                </w:tcPr>
                <w:p w14:paraId="7AAFD3A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5301EA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9CE30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3916B6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419DD7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18D6A3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375022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苯并（1,2,3-cd）芘</w:t>
                  </w:r>
                </w:p>
              </w:tc>
              <w:tc>
                <w:tcPr>
                  <w:tcW w:w="1112" w:type="dxa"/>
                  <w:tcBorders>
                    <w:tl2br w:val="nil"/>
                    <w:tr2bl w:val="nil"/>
                  </w:tcBorders>
                  <w:vAlign w:val="center"/>
                </w:tcPr>
                <w:p w14:paraId="1047FF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0DCB3B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997" w:type="dxa"/>
                  <w:tcBorders>
                    <w:tl2br w:val="nil"/>
                    <w:tr2bl w:val="nil"/>
                  </w:tcBorders>
                  <w:vAlign w:val="center"/>
                </w:tcPr>
                <w:p w14:paraId="36C7CA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962" w:type="dxa"/>
                  <w:tcBorders>
                    <w:tl2br w:val="nil"/>
                    <w:tr2bl w:val="nil"/>
                  </w:tcBorders>
                  <w:vAlign w:val="center"/>
                </w:tcPr>
                <w:p w14:paraId="189843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777" w:type="dxa"/>
                  <w:vMerge w:val="restart"/>
                  <w:tcBorders>
                    <w:tl2br w:val="nil"/>
                    <w:tr2bl w:val="nil"/>
                  </w:tcBorders>
                  <w:vAlign w:val="center"/>
                </w:tcPr>
                <w:p w14:paraId="243829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19D5FE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6CB83C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47D3F6F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2BA843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11CE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0B9650F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9AFC1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0248B3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997" w:type="dxa"/>
                  <w:tcBorders>
                    <w:tl2br w:val="nil"/>
                    <w:tr2bl w:val="nil"/>
                  </w:tcBorders>
                  <w:vAlign w:val="center"/>
                </w:tcPr>
                <w:p w14:paraId="084019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962" w:type="dxa"/>
                  <w:tcBorders>
                    <w:tl2br w:val="nil"/>
                    <w:tr2bl w:val="nil"/>
                  </w:tcBorders>
                  <w:vAlign w:val="center"/>
                </w:tcPr>
                <w:p w14:paraId="24EA52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777" w:type="dxa"/>
                  <w:vMerge w:val="continue"/>
                  <w:tcBorders>
                    <w:tl2br w:val="nil"/>
                    <w:tr2bl w:val="nil"/>
                  </w:tcBorders>
                  <w:vAlign w:val="center"/>
                </w:tcPr>
                <w:p w14:paraId="5BEC426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D8F1D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50429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239C4C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1C9E55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701895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0DB0E93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4F8162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462DAB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997" w:type="dxa"/>
                  <w:tcBorders>
                    <w:tl2br w:val="nil"/>
                    <w:tr2bl w:val="nil"/>
                  </w:tcBorders>
                  <w:vAlign w:val="center"/>
                </w:tcPr>
                <w:p w14:paraId="6E237A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962" w:type="dxa"/>
                  <w:tcBorders>
                    <w:tl2br w:val="nil"/>
                    <w:tr2bl w:val="nil"/>
                  </w:tcBorders>
                  <w:vAlign w:val="center"/>
                </w:tcPr>
                <w:p w14:paraId="14962E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0.07L</w:t>
                  </w:r>
                </w:p>
              </w:tc>
              <w:tc>
                <w:tcPr>
                  <w:tcW w:w="777" w:type="dxa"/>
                  <w:vMerge w:val="continue"/>
                  <w:tcBorders>
                    <w:tl2br w:val="nil"/>
                    <w:tr2bl w:val="nil"/>
                  </w:tcBorders>
                  <w:vAlign w:val="center"/>
                </w:tcPr>
                <w:p w14:paraId="73F9421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63CFD2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33413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D16DE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3213AC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056B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14:paraId="511FBA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苯并（g,h,i）苝</w:t>
                  </w:r>
                </w:p>
              </w:tc>
              <w:tc>
                <w:tcPr>
                  <w:tcW w:w="1112" w:type="dxa"/>
                  <w:tcBorders>
                    <w:tl2br w:val="nil"/>
                    <w:tr2bl w:val="nil"/>
                  </w:tcBorders>
                  <w:vAlign w:val="center"/>
                </w:tcPr>
                <w:p w14:paraId="192824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2023.05.10</w:t>
                  </w:r>
                </w:p>
              </w:tc>
              <w:tc>
                <w:tcPr>
                  <w:tcW w:w="1032" w:type="dxa"/>
                  <w:tcBorders>
                    <w:tl2br w:val="nil"/>
                    <w:tr2bl w:val="nil"/>
                  </w:tcBorders>
                  <w:vAlign w:val="center"/>
                </w:tcPr>
                <w:p w14:paraId="54CDBB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97" w:type="dxa"/>
                  <w:tcBorders>
                    <w:tl2br w:val="nil"/>
                    <w:tr2bl w:val="nil"/>
                  </w:tcBorders>
                  <w:vAlign w:val="center"/>
                </w:tcPr>
                <w:p w14:paraId="58263D9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62" w:type="dxa"/>
                  <w:tcBorders>
                    <w:tl2br w:val="nil"/>
                    <w:tr2bl w:val="nil"/>
                  </w:tcBorders>
                  <w:vAlign w:val="center"/>
                </w:tcPr>
                <w:p w14:paraId="4247B1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777" w:type="dxa"/>
                  <w:vMerge w:val="restart"/>
                  <w:tcBorders>
                    <w:tl2br w:val="nil"/>
                    <w:tr2bl w:val="nil"/>
                  </w:tcBorders>
                  <w:vAlign w:val="center"/>
                </w:tcPr>
                <w:p w14:paraId="0C5173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82" w:type="dxa"/>
                  <w:tcBorders>
                    <w:tl2br w:val="nil"/>
                    <w:tr2bl w:val="nil"/>
                  </w:tcBorders>
                  <w:vAlign w:val="center"/>
                </w:tcPr>
                <w:p w14:paraId="187972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0573D1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C631E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0022DFC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6D8FFF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272C415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361BCF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2023.05.12</w:t>
                  </w:r>
                </w:p>
              </w:tc>
              <w:tc>
                <w:tcPr>
                  <w:tcW w:w="1032" w:type="dxa"/>
                  <w:tcBorders>
                    <w:tl2br w:val="nil"/>
                    <w:tr2bl w:val="nil"/>
                  </w:tcBorders>
                  <w:vAlign w:val="center"/>
                </w:tcPr>
                <w:p w14:paraId="4B0777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97" w:type="dxa"/>
                  <w:tcBorders>
                    <w:tl2br w:val="nil"/>
                    <w:tr2bl w:val="nil"/>
                  </w:tcBorders>
                  <w:vAlign w:val="center"/>
                </w:tcPr>
                <w:p w14:paraId="5179E1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62" w:type="dxa"/>
                  <w:tcBorders>
                    <w:tl2br w:val="nil"/>
                    <w:tr2bl w:val="nil"/>
                  </w:tcBorders>
                  <w:vAlign w:val="center"/>
                </w:tcPr>
                <w:p w14:paraId="1BD4E2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777" w:type="dxa"/>
                  <w:vMerge w:val="continue"/>
                  <w:tcBorders>
                    <w:tl2br w:val="nil"/>
                    <w:tr2bl w:val="nil"/>
                  </w:tcBorders>
                  <w:vAlign w:val="center"/>
                </w:tcPr>
                <w:p w14:paraId="7F698EE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4C07BB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7511477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2D6E7D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0BEF37D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14:paraId="071C20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14:paraId="30569C7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1112" w:type="dxa"/>
                  <w:tcBorders>
                    <w:tl2br w:val="nil"/>
                    <w:tr2bl w:val="nil"/>
                  </w:tcBorders>
                  <w:vAlign w:val="center"/>
                </w:tcPr>
                <w:p w14:paraId="79C564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2023.05.13</w:t>
                  </w:r>
                </w:p>
              </w:tc>
              <w:tc>
                <w:tcPr>
                  <w:tcW w:w="1032" w:type="dxa"/>
                  <w:tcBorders>
                    <w:tl2br w:val="nil"/>
                    <w:tr2bl w:val="nil"/>
                  </w:tcBorders>
                  <w:vAlign w:val="center"/>
                </w:tcPr>
                <w:p w14:paraId="4DC097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97" w:type="dxa"/>
                  <w:tcBorders>
                    <w:tl2br w:val="nil"/>
                    <w:tr2bl w:val="nil"/>
                  </w:tcBorders>
                  <w:vAlign w:val="center"/>
                </w:tcPr>
                <w:p w14:paraId="68A463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962" w:type="dxa"/>
                  <w:tcBorders>
                    <w:tl2br w:val="nil"/>
                    <w:tr2bl w:val="nil"/>
                  </w:tcBorders>
                  <w:vAlign w:val="center"/>
                </w:tcPr>
                <w:p w14:paraId="00AD20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0.04L</w:t>
                  </w:r>
                </w:p>
              </w:tc>
              <w:tc>
                <w:tcPr>
                  <w:tcW w:w="777" w:type="dxa"/>
                  <w:vMerge w:val="continue"/>
                  <w:tcBorders>
                    <w:tl2br w:val="nil"/>
                    <w:tr2bl w:val="nil"/>
                  </w:tcBorders>
                  <w:vAlign w:val="center"/>
                </w:tcPr>
                <w:p w14:paraId="4D3A360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882" w:type="dxa"/>
                  <w:tcBorders>
                    <w:tl2br w:val="nil"/>
                    <w:tr2bl w:val="nil"/>
                  </w:tcBorders>
                  <w:vAlign w:val="center"/>
                </w:tcPr>
                <w:p w14:paraId="2DBFF3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7" w:type="dxa"/>
                  <w:tcBorders>
                    <w:tl2br w:val="nil"/>
                    <w:tr2bl w:val="nil"/>
                  </w:tcBorders>
                  <w:vAlign w:val="center"/>
                </w:tcPr>
                <w:p w14:paraId="1E6DDE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60" w:type="dxa"/>
                  <w:tcBorders>
                    <w:tl2br w:val="nil"/>
                    <w:tr2bl w:val="nil"/>
                  </w:tcBorders>
                  <w:vAlign w:val="center"/>
                </w:tcPr>
                <w:p w14:paraId="5F61A1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96" w:type="dxa"/>
                  <w:tcBorders>
                    <w:tl2br w:val="nil"/>
                    <w:tr2bl w:val="nil"/>
                  </w:tcBorders>
                  <w:vAlign w:val="center"/>
                </w:tcPr>
                <w:p w14:paraId="253DE52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bl>
          <w:p w14:paraId="1CFB3246">
            <w:pP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注：“L”表示低于检测方法的检出限。</w:t>
            </w:r>
          </w:p>
          <w:p w14:paraId="141B0B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监测结果表明：</w:t>
            </w:r>
            <w:r>
              <w:rPr>
                <w:rFonts w:hint="eastAsia" w:ascii="Times New Roman" w:hAnsi="Times New Roman" w:eastAsia="宋体" w:cs="Times New Roman"/>
                <w:color w:val="auto"/>
                <w:sz w:val="24"/>
                <w:szCs w:val="24"/>
                <w:lang w:val="en-US" w:eastAsia="zh-CN"/>
              </w:rPr>
              <w:t>平甸河大开门段各因子的监测值均满足《地表水环境质量标准》（GB3838-2002）中Ⅲ类标准限值。</w:t>
            </w:r>
          </w:p>
          <w:p w14:paraId="7448F47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5声环境质量现状</w:t>
            </w:r>
          </w:p>
          <w:p w14:paraId="5A174F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eastAsia" w:ascii="Times New Roman" w:hAnsi="Times New Roman" w:eastAsia="宋体" w:cs="Times New Roman"/>
                <w:sz w:val="24"/>
                <w:szCs w:val="24"/>
                <w:lang w:val="en-US" w:eastAsia="zh-CN"/>
              </w:rPr>
              <w:t>项目位于云南省</w:t>
            </w:r>
            <w:r>
              <w:rPr>
                <w:rFonts w:hint="eastAsia" w:ascii="Times New Roman" w:hAnsi="Times New Roman" w:eastAsia="宋体" w:cs="Times New Roman"/>
                <w:i w:val="0"/>
                <w:iCs w:val="0"/>
                <w:color w:val="auto"/>
                <w:sz w:val="24"/>
                <w:szCs w:val="24"/>
                <w:highlight w:val="none"/>
                <w:u w:val="none"/>
                <w:lang w:val="en-US" w:eastAsia="zh-CN"/>
              </w:rPr>
              <w:t>新平产业园区内绿色钢城片区</w:t>
            </w:r>
            <w:r>
              <w:rPr>
                <w:rFonts w:hint="eastAsia" w:ascii="Times New Roman" w:hAnsi="Times New Roman" w:eastAsia="宋体" w:cs="Times New Roman"/>
                <w:sz w:val="24"/>
                <w:szCs w:val="24"/>
                <w:lang w:val="en-US" w:eastAsia="zh-CN"/>
              </w:rPr>
              <w:t>，执行《声环境质量标准》（</w:t>
            </w:r>
            <w:r>
              <w:rPr>
                <w:rFonts w:hint="default" w:ascii="Times New Roman" w:hAnsi="Times New Roman" w:eastAsia="宋体" w:cs="Times New Roman"/>
                <w:sz w:val="24"/>
                <w:szCs w:val="24"/>
                <w:lang w:val="en-US" w:eastAsia="zh-CN"/>
              </w:rPr>
              <w:t>GB3096-2008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；铁路专用线两侧30m，参照执行4b类标准。</w:t>
            </w:r>
          </w:p>
          <w:p w14:paraId="7003E7A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（1）监测点位布设</w:t>
            </w:r>
          </w:p>
          <w:p w14:paraId="402B7B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color w:val="auto"/>
                <w:sz w:val="24"/>
                <w:szCs w:val="24"/>
                <w:lang w:val="en-US" w:eastAsia="zh-CN"/>
              </w:rPr>
              <w:t>在</w:t>
            </w:r>
            <w:r>
              <w:rPr>
                <w:rFonts w:hint="eastAsia" w:cs="Times New Roman"/>
                <w:color w:val="auto"/>
                <w:sz w:val="24"/>
                <w:szCs w:val="24"/>
                <w:lang w:val="en-US" w:eastAsia="zh-CN"/>
              </w:rPr>
              <w:t>铁路专用线</w:t>
            </w:r>
            <w:r>
              <w:rPr>
                <w:rFonts w:hint="eastAsia" w:ascii="Times New Roman" w:hAnsi="Times New Roman" w:cs="Times New Roman"/>
                <w:color w:val="auto"/>
                <w:sz w:val="24"/>
                <w:szCs w:val="24"/>
                <w:lang w:val="en-US" w:eastAsia="zh-CN"/>
              </w:rPr>
              <w:t>的南、北厂界外</w:t>
            </w:r>
            <w:r>
              <w:rPr>
                <w:rFonts w:hint="default"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lang w:val="en-US" w:eastAsia="zh-CN"/>
              </w:rPr>
              <w:t>处各设一个监测点位；</w:t>
            </w:r>
            <w:r>
              <w:rPr>
                <w:rFonts w:hint="eastAsia" w:cs="Times New Roman"/>
                <w:color w:val="auto"/>
                <w:sz w:val="24"/>
                <w:szCs w:val="24"/>
                <w:lang w:val="en-US" w:eastAsia="zh-CN"/>
              </w:rPr>
              <w:t>铁路专用线</w:t>
            </w:r>
            <w:r>
              <w:rPr>
                <w:rFonts w:hint="eastAsia" w:ascii="Times New Roman" w:hAnsi="Times New Roman" w:cs="Times New Roman"/>
                <w:color w:val="auto"/>
                <w:sz w:val="24"/>
                <w:szCs w:val="24"/>
                <w:lang w:val="en-US" w:eastAsia="zh-CN"/>
              </w:rPr>
              <w:t>东、西厂界外</w:t>
            </w:r>
            <w:r>
              <w:rPr>
                <w:rFonts w:hint="default"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lang w:val="en-US" w:eastAsia="zh-CN"/>
              </w:rPr>
              <w:t>处各设两个监测点位。</w:t>
            </w:r>
          </w:p>
          <w:p w14:paraId="2A4902A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sz w:val="24"/>
                <w:szCs w:val="24"/>
                <w:lang w:val="en-US" w:eastAsia="zh-CN"/>
              </w:rPr>
            </w:pPr>
            <w:r>
              <w:rPr>
                <w:rFonts w:hint="eastAsia" w:cs="Times New Roman"/>
                <w:b/>
                <w:bCs/>
                <w:sz w:val="24"/>
                <w:szCs w:val="24"/>
                <w:lang w:val="en-US" w:eastAsia="zh-CN"/>
              </w:rPr>
              <w:t>（2）监测时间及频次</w:t>
            </w:r>
          </w:p>
          <w:p w14:paraId="224CBF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szCs w:val="24"/>
              </w:rPr>
              <w:t>共监测2天，每天监测2次，昼间夜间各1次</w:t>
            </w:r>
            <w:r>
              <w:rPr>
                <w:rFonts w:hint="default" w:ascii="Times New Roman" w:hAnsi="Times New Roman" w:eastAsia="宋体" w:cs="Times New Roman"/>
                <w:sz w:val="24"/>
                <w:szCs w:val="24"/>
                <w:lang w:val="en-US" w:eastAsia="zh-CN"/>
              </w:rPr>
              <w:t>。</w:t>
            </w:r>
          </w:p>
          <w:p w14:paraId="628D680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3）监测方法</w:t>
            </w:r>
          </w:p>
          <w:p w14:paraId="122366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监测方法按照《声环境质量标准》（</w:t>
            </w:r>
            <w:r>
              <w:rPr>
                <w:rFonts w:hint="default" w:ascii="Times New Roman" w:hAnsi="Times New Roman" w:eastAsia="宋体" w:cs="Times New Roman"/>
                <w:sz w:val="24"/>
                <w:szCs w:val="24"/>
                <w:lang w:val="en-US" w:eastAsia="zh-CN"/>
              </w:rPr>
              <w:t>GB3096-2008）中规定方法执行，监测仪器为AWA5680型声级计。</w:t>
            </w:r>
          </w:p>
          <w:p w14:paraId="13D9429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（4）评价标准</w:t>
            </w:r>
          </w:p>
          <w:p w14:paraId="44B5EA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各监测点位执行《声环境质量标准》（GB3096-2008）中3类区标准，即昼间等效声级≤65dB</w:t>
            </w: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lang w:val="en-US" w:eastAsia="zh-CN"/>
              </w:rPr>
              <w:t>，夜间≤55dB</w:t>
            </w: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lang w:val="en-US" w:eastAsia="zh-CN"/>
              </w:rPr>
              <w:t>。</w:t>
            </w:r>
          </w:p>
          <w:p w14:paraId="46CD07E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（5）监测结果统计与分析</w:t>
            </w:r>
          </w:p>
          <w:p w14:paraId="716F7F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本项目委托</w:t>
            </w:r>
            <w:r>
              <w:rPr>
                <w:rFonts w:hint="eastAsia" w:ascii="Times New Roman" w:hAnsi="Times New Roman" w:cs="Times New Roman"/>
                <w:sz w:val="24"/>
                <w:szCs w:val="24"/>
                <w:lang w:val="en-US" w:eastAsia="zh-CN"/>
              </w:rPr>
              <w:t>云南浩辰环保科技有限公司</w:t>
            </w:r>
            <w:r>
              <w:rPr>
                <w:rFonts w:hint="eastAsia" w:ascii="Times New Roman" w:hAnsi="Times New Roman" w:eastAsia="宋体" w:cs="Times New Roman"/>
                <w:sz w:val="24"/>
                <w:szCs w:val="24"/>
                <w:lang w:val="en-US" w:eastAsia="zh-CN"/>
              </w:rPr>
              <w:t>于</w:t>
            </w: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5</w:t>
            </w:r>
            <w:r>
              <w:rPr>
                <w:rFonts w:hint="eastAsia" w:ascii="Times New Roman" w:hAnsi="Times New Roman" w:eastAsia="宋体" w:cs="Times New Roman"/>
                <w:sz w:val="24"/>
                <w:szCs w:val="24"/>
                <w:lang w:val="en-US" w:eastAsia="zh-CN"/>
              </w:rPr>
              <w:t>年</w:t>
            </w:r>
            <w:r>
              <w:rPr>
                <w:rFonts w:hint="eastAsia" w:cs="Times New Roman"/>
                <w:sz w:val="24"/>
                <w:szCs w:val="24"/>
                <w:lang w:val="en-US" w:eastAsia="zh-CN"/>
              </w:rPr>
              <w:t>12</w:t>
            </w:r>
            <w:r>
              <w:rPr>
                <w:rFonts w:hint="eastAsia" w:ascii="Times New Roman" w:hAnsi="Times New Roman" w:eastAsia="宋体" w:cs="Times New Roman"/>
                <w:sz w:val="24"/>
                <w:szCs w:val="24"/>
                <w:lang w:val="en-US" w:eastAsia="zh-CN"/>
              </w:rPr>
              <w:t>月</w:t>
            </w:r>
            <w:r>
              <w:rPr>
                <w:rFonts w:hint="eastAsia" w:cs="Times New Roman"/>
                <w:sz w:val="24"/>
                <w:szCs w:val="24"/>
                <w:lang w:val="en-US" w:eastAsia="zh-CN"/>
              </w:rPr>
              <w:t>27</w:t>
            </w:r>
            <w:r>
              <w:rPr>
                <w:rFonts w:hint="eastAsia"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5</w:t>
            </w:r>
            <w:r>
              <w:rPr>
                <w:rFonts w:hint="eastAsia" w:ascii="Times New Roman" w:hAnsi="Times New Roman" w:eastAsia="宋体" w:cs="Times New Roman"/>
                <w:sz w:val="24"/>
                <w:szCs w:val="24"/>
                <w:lang w:val="en-US" w:eastAsia="zh-CN"/>
              </w:rPr>
              <w:t>年</w:t>
            </w:r>
            <w:r>
              <w:rPr>
                <w:rFonts w:hint="eastAsia" w:cs="Times New Roman"/>
                <w:sz w:val="24"/>
                <w:szCs w:val="24"/>
                <w:lang w:val="en-US" w:eastAsia="zh-CN"/>
              </w:rPr>
              <w:t>12</w:t>
            </w:r>
            <w:r>
              <w:rPr>
                <w:rFonts w:hint="eastAsia" w:ascii="Times New Roman" w:hAnsi="Times New Roman" w:eastAsia="宋体" w:cs="Times New Roman"/>
                <w:sz w:val="24"/>
                <w:szCs w:val="24"/>
                <w:lang w:val="en-US" w:eastAsia="zh-CN"/>
              </w:rPr>
              <w:t>月</w:t>
            </w:r>
            <w:r>
              <w:rPr>
                <w:rFonts w:hint="eastAsia" w:cs="Times New Roman"/>
                <w:sz w:val="24"/>
                <w:szCs w:val="24"/>
                <w:lang w:val="en-US" w:eastAsia="zh-CN"/>
              </w:rPr>
              <w:t>28</w:t>
            </w:r>
            <w:r>
              <w:rPr>
                <w:rFonts w:hint="eastAsia" w:ascii="Times New Roman" w:hAnsi="Times New Roman" w:eastAsia="宋体" w:cs="Times New Roman"/>
                <w:sz w:val="24"/>
                <w:szCs w:val="24"/>
                <w:lang w:val="en-US" w:eastAsia="zh-CN"/>
              </w:rPr>
              <w:t>日对项目区内的噪声环境质量进行监测，</w:t>
            </w:r>
            <w:r>
              <w:rPr>
                <w:rFonts w:hint="default" w:ascii="Times New Roman" w:hAnsi="Times New Roman" w:eastAsia="宋体" w:cs="Times New Roman"/>
                <w:sz w:val="24"/>
                <w:szCs w:val="24"/>
                <w:lang w:val="en-US" w:eastAsia="zh-CN"/>
              </w:rPr>
              <w:t>监测结果统计见</w:t>
            </w:r>
            <w:r>
              <w:rPr>
                <w:rFonts w:hint="eastAsia" w:ascii="Times New Roman" w:hAnsi="Times New Roman" w:eastAsia="宋体" w:cs="Times New Roman"/>
                <w:sz w:val="24"/>
                <w:szCs w:val="24"/>
                <w:lang w:val="en-US" w:eastAsia="zh-CN"/>
              </w:rPr>
              <w:t>下表：</w:t>
            </w:r>
          </w:p>
          <w:p w14:paraId="4574FA0B">
            <w:pPr>
              <w:pStyle w:val="2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表3-6  噪声监测结果</w:t>
            </w:r>
          </w:p>
          <w:tbl>
            <w:tblPr>
              <w:tblStyle w:val="23"/>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043"/>
              <w:gridCol w:w="1255"/>
              <w:gridCol w:w="1561"/>
              <w:gridCol w:w="1595"/>
              <w:gridCol w:w="1598"/>
            </w:tblGrid>
            <w:tr w14:paraId="477D91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tcBorders>
                    <w:tl2br w:val="nil"/>
                    <w:tr2bl w:val="nil"/>
                  </w:tcBorders>
                  <w:vAlign w:val="center"/>
                </w:tcPr>
                <w:p w14:paraId="4103338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监测日期</w:t>
                  </w:r>
                </w:p>
              </w:tc>
              <w:tc>
                <w:tcPr>
                  <w:tcW w:w="644" w:type="pct"/>
                  <w:tcBorders>
                    <w:tl2br w:val="nil"/>
                    <w:tr2bl w:val="nil"/>
                  </w:tcBorders>
                  <w:vAlign w:val="center"/>
                </w:tcPr>
                <w:p w14:paraId="7FAB974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监测点位</w:t>
                  </w:r>
                </w:p>
              </w:tc>
              <w:tc>
                <w:tcPr>
                  <w:tcW w:w="1739" w:type="pct"/>
                  <w:gridSpan w:val="2"/>
                  <w:tcBorders>
                    <w:tl2br w:val="nil"/>
                    <w:tr2bl w:val="nil"/>
                  </w:tcBorders>
                  <w:vAlign w:val="center"/>
                </w:tcPr>
                <w:p w14:paraId="6046CAA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采样时段</w:t>
                  </w:r>
                </w:p>
              </w:tc>
              <w:tc>
                <w:tcPr>
                  <w:tcW w:w="985" w:type="pct"/>
                  <w:tcBorders>
                    <w:tl2br w:val="nil"/>
                    <w:tr2bl w:val="nil"/>
                  </w:tcBorders>
                  <w:vAlign w:val="center"/>
                </w:tcPr>
                <w:p w14:paraId="6D0A861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噪声值</w:t>
                  </w:r>
                  <w:r>
                    <w:rPr>
                      <w:rFonts w:hint="default" w:ascii="Times New Roman" w:hAnsi="Times New Roman" w:eastAsia="宋体" w:cs="Times New Roman"/>
                      <w:color w:val="000000"/>
                      <w:kern w:val="0"/>
                      <w:sz w:val="18"/>
                      <w:szCs w:val="18"/>
                      <w:lang w:val="en-US" w:eastAsia="zh-CN" w:bidi="ar"/>
                    </w:rPr>
                    <w:t>dB</w:t>
                  </w:r>
                  <w:r>
                    <w:rPr>
                      <w:rFonts w:hint="eastAsia" w:ascii="Times New Roman" w:hAnsi="Times New Roman" w:eastAsia="宋体" w:cs="Times New Roman"/>
                      <w:color w:val="000000"/>
                      <w:kern w:val="0"/>
                      <w:sz w:val="18"/>
                      <w:szCs w:val="18"/>
                      <w:lang w:val="en-US" w:eastAsia="zh-CN" w:bidi="ar"/>
                    </w:rPr>
                    <w:t>（A）</w:t>
                  </w:r>
                </w:p>
              </w:tc>
              <w:tc>
                <w:tcPr>
                  <w:tcW w:w="986" w:type="pct"/>
                  <w:tcBorders>
                    <w:tl2br w:val="nil"/>
                    <w:tr2bl w:val="nil"/>
                  </w:tcBorders>
                  <w:vAlign w:val="center"/>
                </w:tcPr>
                <w:p w14:paraId="0172BDB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标准值</w:t>
                  </w:r>
                  <w:r>
                    <w:rPr>
                      <w:rFonts w:hint="default" w:ascii="Times New Roman" w:hAnsi="Times New Roman" w:eastAsia="宋体" w:cs="Times New Roman"/>
                      <w:color w:val="000000"/>
                      <w:kern w:val="0"/>
                      <w:sz w:val="18"/>
                      <w:szCs w:val="18"/>
                      <w:lang w:val="en-US" w:eastAsia="zh-CN" w:bidi="ar"/>
                    </w:rPr>
                    <w:t>dB</w:t>
                  </w:r>
                  <w:r>
                    <w:rPr>
                      <w:rFonts w:hint="eastAsia" w:ascii="Times New Roman" w:hAnsi="Times New Roman" w:eastAsia="宋体" w:cs="Times New Roman"/>
                      <w:color w:val="000000"/>
                      <w:kern w:val="0"/>
                      <w:sz w:val="18"/>
                      <w:szCs w:val="18"/>
                      <w:lang w:val="en-US" w:eastAsia="zh-CN" w:bidi="ar"/>
                    </w:rPr>
                    <w:t>（A）</w:t>
                  </w:r>
                </w:p>
              </w:tc>
            </w:tr>
            <w:tr w14:paraId="12FB92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tcBorders>
                    <w:tl2br w:val="nil"/>
                    <w:tr2bl w:val="nil"/>
                  </w:tcBorders>
                  <w:vAlign w:val="center"/>
                </w:tcPr>
                <w:p w14:paraId="465CCA6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restart"/>
                  <w:tcBorders>
                    <w:tl2br w:val="nil"/>
                    <w:tr2bl w:val="nil"/>
                  </w:tcBorders>
                  <w:vAlign w:val="center"/>
                </w:tcPr>
                <w:p w14:paraId="3463FAB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铁路专用线东侧</w:t>
                  </w:r>
                </w:p>
              </w:tc>
              <w:tc>
                <w:tcPr>
                  <w:tcW w:w="775" w:type="pct"/>
                  <w:tcBorders>
                    <w:tl2br w:val="nil"/>
                    <w:tr2bl w:val="nil"/>
                  </w:tcBorders>
                  <w:vAlign w:val="center"/>
                </w:tcPr>
                <w:p w14:paraId="5CAE9CE1">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963" w:type="pct"/>
                  <w:tcBorders>
                    <w:tl2br w:val="nil"/>
                    <w:tr2bl w:val="nil"/>
                  </w:tcBorders>
                  <w:vAlign w:val="center"/>
                </w:tcPr>
                <w:p w14:paraId="4C04FE5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18:00</w:t>
                  </w:r>
                  <w:r>
                    <w:rPr>
                      <w:rFonts w:hint="eastAsia" w:ascii="Times New Roman" w:hAnsi="Times New Roman" w:cs="Times New Roman"/>
                      <w:i w:val="0"/>
                      <w:iCs w:val="0"/>
                      <w:color w:val="000000"/>
                      <w:kern w:val="0"/>
                      <w:sz w:val="18"/>
                      <w:szCs w:val="18"/>
                      <w:u w:val="none"/>
                      <w:lang w:val="en-US" w:eastAsia="zh-CN" w:bidi="ar"/>
                    </w:rPr>
                    <w:t>-18:10</w:t>
                  </w:r>
                </w:p>
              </w:tc>
              <w:tc>
                <w:tcPr>
                  <w:tcW w:w="1595" w:type="dxa"/>
                  <w:tcBorders>
                    <w:tl2br w:val="nil"/>
                    <w:tr2bl w:val="nil"/>
                  </w:tcBorders>
                  <w:vAlign w:val="center"/>
                </w:tcPr>
                <w:p w14:paraId="2913A2F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86" w:type="pct"/>
                  <w:tcBorders>
                    <w:tl2br w:val="nil"/>
                    <w:tr2bl w:val="nil"/>
                  </w:tcBorders>
                  <w:vAlign w:val="center"/>
                </w:tcPr>
                <w:p w14:paraId="177FA17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7661D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tcBorders>
                    <w:tl2br w:val="nil"/>
                    <w:tr2bl w:val="nil"/>
                  </w:tcBorders>
                  <w:vAlign w:val="center"/>
                </w:tcPr>
                <w:p w14:paraId="68679CA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continue"/>
                  <w:tcBorders>
                    <w:tl2br w:val="nil"/>
                    <w:tr2bl w:val="nil"/>
                  </w:tcBorders>
                  <w:vAlign w:val="center"/>
                </w:tcPr>
                <w:p w14:paraId="665E464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775" w:type="pct"/>
                  <w:tcBorders>
                    <w:tl2br w:val="nil"/>
                    <w:tr2bl w:val="nil"/>
                  </w:tcBorders>
                  <w:vAlign w:val="center"/>
                </w:tcPr>
                <w:p w14:paraId="06AA61D3">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963" w:type="pct"/>
                  <w:tcBorders>
                    <w:tl2br w:val="nil"/>
                    <w:tr2bl w:val="nil"/>
                  </w:tcBorders>
                  <w:vAlign w:val="center"/>
                </w:tcPr>
                <w:p w14:paraId="582D5BB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22:0</w:t>
                  </w:r>
                  <w:r>
                    <w:rPr>
                      <w:rFonts w:hint="eastAsia" w:ascii="Times New Roman" w:hAnsi="Times New Roman" w:cs="Times New Roman"/>
                      <w:i w:val="0"/>
                      <w:iCs w:val="0"/>
                      <w:color w:val="000000"/>
                      <w:kern w:val="0"/>
                      <w:sz w:val="18"/>
                      <w:szCs w:val="18"/>
                      <w:u w:val="none"/>
                      <w:lang w:val="en-US" w:eastAsia="zh-CN" w:bidi="ar"/>
                    </w:rPr>
                    <w:t>5-22:15</w:t>
                  </w:r>
                </w:p>
              </w:tc>
              <w:tc>
                <w:tcPr>
                  <w:tcW w:w="1595" w:type="dxa"/>
                  <w:tcBorders>
                    <w:tl2br w:val="nil"/>
                    <w:tr2bl w:val="nil"/>
                  </w:tcBorders>
                  <w:vAlign w:val="center"/>
                </w:tcPr>
                <w:p w14:paraId="0AEBB7F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86" w:type="pct"/>
                  <w:tcBorders>
                    <w:tl2br w:val="nil"/>
                    <w:tr2bl w:val="nil"/>
                  </w:tcBorders>
                  <w:vAlign w:val="center"/>
                </w:tcPr>
                <w:p w14:paraId="3314628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753C17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tcBorders>
                    <w:tl2br w:val="nil"/>
                    <w:tr2bl w:val="nil"/>
                  </w:tcBorders>
                  <w:vAlign w:val="center"/>
                </w:tcPr>
                <w:p w14:paraId="46B317A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060C6C4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775" w:type="pct"/>
                  <w:tcBorders>
                    <w:tl2br w:val="nil"/>
                    <w:tr2bl w:val="nil"/>
                  </w:tcBorders>
                  <w:vAlign w:val="center"/>
                </w:tcPr>
                <w:p w14:paraId="7C423291">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963" w:type="pct"/>
                  <w:tcBorders>
                    <w:tl2br w:val="nil"/>
                    <w:tr2bl w:val="nil"/>
                  </w:tcBorders>
                  <w:vAlign w:val="center"/>
                </w:tcPr>
                <w:p w14:paraId="2C83793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18:04</w:t>
                  </w:r>
                  <w:r>
                    <w:rPr>
                      <w:rFonts w:hint="eastAsia" w:ascii="Times New Roman" w:hAnsi="Times New Roman" w:cs="Times New Roman"/>
                      <w:i w:val="0"/>
                      <w:iCs w:val="0"/>
                      <w:color w:val="000000"/>
                      <w:kern w:val="0"/>
                      <w:sz w:val="18"/>
                      <w:szCs w:val="18"/>
                      <w:u w:val="none"/>
                      <w:lang w:val="en-US" w:eastAsia="zh-CN" w:bidi="ar"/>
                    </w:rPr>
                    <w:t>-18:14</w:t>
                  </w:r>
                </w:p>
              </w:tc>
              <w:tc>
                <w:tcPr>
                  <w:tcW w:w="1595" w:type="dxa"/>
                  <w:tcBorders>
                    <w:tl2br w:val="nil"/>
                    <w:tr2bl w:val="nil"/>
                  </w:tcBorders>
                  <w:vAlign w:val="center"/>
                </w:tcPr>
                <w:p w14:paraId="3B908B4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1598" w:type="dxa"/>
                  <w:tcBorders>
                    <w:tl2br w:val="nil"/>
                    <w:tr2bl w:val="nil"/>
                  </w:tcBorders>
                  <w:vAlign w:val="center"/>
                </w:tcPr>
                <w:p w14:paraId="0F0BF3B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2BFC73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tcBorders>
                    <w:tl2br w:val="nil"/>
                    <w:tr2bl w:val="nil"/>
                  </w:tcBorders>
                  <w:vAlign w:val="center"/>
                </w:tcPr>
                <w:p w14:paraId="775A7A2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6A079B6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775" w:type="pct"/>
                  <w:tcBorders>
                    <w:tl2br w:val="nil"/>
                    <w:tr2bl w:val="nil"/>
                  </w:tcBorders>
                  <w:vAlign w:val="center"/>
                </w:tcPr>
                <w:p w14:paraId="3689AAD0">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963" w:type="pct"/>
                  <w:tcBorders>
                    <w:tl2br w:val="nil"/>
                    <w:tr2bl w:val="nil"/>
                  </w:tcBorders>
                  <w:vAlign w:val="center"/>
                </w:tcPr>
                <w:p w14:paraId="33F2FAC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22:02</w:t>
                  </w:r>
                  <w:r>
                    <w:rPr>
                      <w:rFonts w:hint="eastAsia" w:ascii="Times New Roman" w:hAnsi="Times New Roman" w:cs="Times New Roman"/>
                      <w:i w:val="0"/>
                      <w:iCs w:val="0"/>
                      <w:color w:val="000000"/>
                      <w:kern w:val="0"/>
                      <w:sz w:val="18"/>
                      <w:szCs w:val="18"/>
                      <w:u w:val="none"/>
                      <w:lang w:val="en-US" w:eastAsia="zh-CN" w:bidi="ar"/>
                    </w:rPr>
                    <w:t>-22:12</w:t>
                  </w:r>
                </w:p>
              </w:tc>
              <w:tc>
                <w:tcPr>
                  <w:tcW w:w="1595" w:type="dxa"/>
                  <w:tcBorders>
                    <w:tl2br w:val="nil"/>
                    <w:tr2bl w:val="nil"/>
                  </w:tcBorders>
                  <w:vAlign w:val="center"/>
                </w:tcPr>
                <w:p w14:paraId="5FEB615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1598" w:type="dxa"/>
                  <w:tcBorders>
                    <w:tl2br w:val="nil"/>
                    <w:tr2bl w:val="nil"/>
                  </w:tcBorders>
                  <w:vAlign w:val="center"/>
                </w:tcPr>
                <w:p w14:paraId="24ADBB8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4EC406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41" w:type="dxa"/>
                  <w:tcBorders>
                    <w:tl2br w:val="nil"/>
                    <w:tr2bl w:val="nil"/>
                  </w:tcBorders>
                  <w:vAlign w:val="center"/>
                </w:tcPr>
                <w:p w14:paraId="4B9FCCC5">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restart"/>
                  <w:tcBorders>
                    <w:tl2br w:val="nil"/>
                    <w:tr2bl w:val="nil"/>
                  </w:tcBorders>
                  <w:vAlign w:val="center"/>
                </w:tcPr>
                <w:p w14:paraId="5E480EB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铁路专用线南侧</w:t>
                  </w:r>
                </w:p>
              </w:tc>
              <w:tc>
                <w:tcPr>
                  <w:tcW w:w="1255" w:type="dxa"/>
                  <w:tcBorders>
                    <w:tl2br w:val="nil"/>
                    <w:tr2bl w:val="nil"/>
                  </w:tcBorders>
                  <w:vAlign w:val="center"/>
                </w:tcPr>
                <w:p w14:paraId="1ABA2360">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561" w:type="dxa"/>
                  <w:tcBorders>
                    <w:tl2br w:val="nil"/>
                    <w:tr2bl w:val="nil"/>
                  </w:tcBorders>
                  <w:vAlign w:val="center"/>
                </w:tcPr>
                <w:p w14:paraId="7431C03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18:21</w:t>
                  </w:r>
                  <w:r>
                    <w:rPr>
                      <w:rFonts w:hint="eastAsia" w:ascii="Times New Roman" w:hAnsi="Times New Roman" w:cs="Times New Roman"/>
                      <w:i w:val="0"/>
                      <w:iCs w:val="0"/>
                      <w:color w:val="000000"/>
                      <w:kern w:val="0"/>
                      <w:sz w:val="18"/>
                      <w:szCs w:val="18"/>
                      <w:u w:val="none"/>
                      <w:lang w:val="en-US" w:eastAsia="zh-CN" w:bidi="ar"/>
                    </w:rPr>
                    <w:t>-18:31</w:t>
                  </w:r>
                </w:p>
              </w:tc>
              <w:tc>
                <w:tcPr>
                  <w:tcW w:w="1595" w:type="dxa"/>
                  <w:tcBorders>
                    <w:tl2br w:val="nil"/>
                    <w:tr2bl w:val="nil"/>
                  </w:tcBorders>
                  <w:vAlign w:val="center"/>
                </w:tcPr>
                <w:p w14:paraId="2A28993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1598" w:type="dxa"/>
                  <w:tcBorders>
                    <w:tl2br w:val="nil"/>
                    <w:tr2bl w:val="nil"/>
                  </w:tcBorders>
                  <w:vAlign w:val="center"/>
                </w:tcPr>
                <w:p w14:paraId="04CEE2B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76DDA4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0B4A468A">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continue"/>
                  <w:tcBorders>
                    <w:tl2br w:val="nil"/>
                    <w:tr2bl w:val="nil"/>
                  </w:tcBorders>
                  <w:vAlign w:val="center"/>
                </w:tcPr>
                <w:p w14:paraId="53B501B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17C3E4CE">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561" w:type="dxa"/>
                  <w:tcBorders>
                    <w:tl2br w:val="nil"/>
                    <w:tr2bl w:val="nil"/>
                  </w:tcBorders>
                  <w:vAlign w:val="center"/>
                </w:tcPr>
                <w:p w14:paraId="0EDC0CF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22:27</w:t>
                  </w:r>
                  <w:r>
                    <w:rPr>
                      <w:rFonts w:hint="eastAsia" w:ascii="Times New Roman" w:hAnsi="Times New Roman" w:cs="Times New Roman"/>
                      <w:i w:val="0"/>
                      <w:iCs w:val="0"/>
                      <w:color w:val="000000"/>
                      <w:kern w:val="0"/>
                      <w:sz w:val="18"/>
                      <w:szCs w:val="18"/>
                      <w:u w:val="none"/>
                      <w:lang w:val="en-US" w:eastAsia="zh-CN" w:bidi="ar"/>
                    </w:rPr>
                    <w:t>-22:37</w:t>
                  </w:r>
                </w:p>
              </w:tc>
              <w:tc>
                <w:tcPr>
                  <w:tcW w:w="1595" w:type="dxa"/>
                  <w:tcBorders>
                    <w:tl2br w:val="nil"/>
                    <w:tr2bl w:val="nil"/>
                  </w:tcBorders>
                  <w:vAlign w:val="center"/>
                </w:tcPr>
                <w:p w14:paraId="0AFC7FC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1598" w:type="dxa"/>
                  <w:tcBorders>
                    <w:tl2br w:val="nil"/>
                    <w:tr2bl w:val="nil"/>
                  </w:tcBorders>
                  <w:vAlign w:val="center"/>
                </w:tcPr>
                <w:p w14:paraId="350313E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72F16A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45DBA742">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7B85575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01D48430">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561" w:type="dxa"/>
                  <w:tcBorders>
                    <w:tl2br w:val="nil"/>
                    <w:tr2bl w:val="nil"/>
                  </w:tcBorders>
                  <w:vAlign w:val="center"/>
                </w:tcPr>
                <w:p w14:paraId="7F2F3F2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18:25</w:t>
                  </w:r>
                  <w:r>
                    <w:rPr>
                      <w:rFonts w:hint="eastAsia" w:ascii="Times New Roman" w:hAnsi="Times New Roman" w:cs="Times New Roman"/>
                      <w:i w:val="0"/>
                      <w:iCs w:val="0"/>
                      <w:color w:val="000000"/>
                      <w:kern w:val="0"/>
                      <w:sz w:val="18"/>
                      <w:szCs w:val="18"/>
                      <w:u w:val="none"/>
                      <w:lang w:val="en-US" w:eastAsia="zh-CN" w:bidi="ar"/>
                    </w:rPr>
                    <w:t>-18:35</w:t>
                  </w:r>
                </w:p>
              </w:tc>
              <w:tc>
                <w:tcPr>
                  <w:tcW w:w="1595" w:type="dxa"/>
                  <w:tcBorders>
                    <w:tl2br w:val="nil"/>
                    <w:tr2bl w:val="nil"/>
                  </w:tcBorders>
                  <w:vAlign w:val="center"/>
                </w:tcPr>
                <w:p w14:paraId="465437E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1598" w:type="dxa"/>
                  <w:tcBorders>
                    <w:tl2br w:val="nil"/>
                    <w:tr2bl w:val="nil"/>
                  </w:tcBorders>
                  <w:vAlign w:val="center"/>
                </w:tcPr>
                <w:p w14:paraId="0A3F1F2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6A1392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5259EF8C">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71EBD61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7B6663E3">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561" w:type="dxa"/>
                  <w:tcBorders>
                    <w:tl2br w:val="nil"/>
                    <w:tr2bl w:val="nil"/>
                  </w:tcBorders>
                  <w:vAlign w:val="center"/>
                </w:tcPr>
                <w:p w14:paraId="2153A87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22:20</w:t>
                  </w:r>
                  <w:r>
                    <w:rPr>
                      <w:rFonts w:hint="eastAsia" w:ascii="Times New Roman" w:hAnsi="Times New Roman" w:cs="Times New Roman"/>
                      <w:i w:val="0"/>
                      <w:iCs w:val="0"/>
                      <w:color w:val="000000"/>
                      <w:kern w:val="0"/>
                      <w:sz w:val="18"/>
                      <w:szCs w:val="18"/>
                      <w:u w:val="none"/>
                      <w:lang w:val="en-US" w:eastAsia="zh-CN" w:bidi="ar"/>
                    </w:rPr>
                    <w:t>-22:30</w:t>
                  </w:r>
                </w:p>
              </w:tc>
              <w:tc>
                <w:tcPr>
                  <w:tcW w:w="1595" w:type="dxa"/>
                  <w:tcBorders>
                    <w:tl2br w:val="nil"/>
                    <w:tr2bl w:val="nil"/>
                  </w:tcBorders>
                  <w:vAlign w:val="center"/>
                </w:tcPr>
                <w:p w14:paraId="07C51D8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1598" w:type="dxa"/>
                  <w:tcBorders>
                    <w:tl2br w:val="nil"/>
                    <w:tr2bl w:val="nil"/>
                  </w:tcBorders>
                  <w:vAlign w:val="center"/>
                </w:tcPr>
                <w:p w14:paraId="6B1E34E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72B20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7672C4C1">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restart"/>
                  <w:tcBorders>
                    <w:tl2br w:val="nil"/>
                    <w:tr2bl w:val="nil"/>
                  </w:tcBorders>
                  <w:vAlign w:val="center"/>
                </w:tcPr>
                <w:p w14:paraId="6BE1721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铁路专用线西侧</w:t>
                  </w:r>
                </w:p>
              </w:tc>
              <w:tc>
                <w:tcPr>
                  <w:tcW w:w="1255" w:type="dxa"/>
                  <w:tcBorders>
                    <w:tl2br w:val="nil"/>
                    <w:tr2bl w:val="nil"/>
                  </w:tcBorders>
                  <w:vAlign w:val="center"/>
                </w:tcPr>
                <w:p w14:paraId="27C37D8D">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561" w:type="dxa"/>
                  <w:tcBorders>
                    <w:tl2br w:val="nil"/>
                    <w:tr2bl w:val="nil"/>
                  </w:tcBorders>
                  <w:vAlign w:val="center"/>
                </w:tcPr>
                <w:p w14:paraId="2294D31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18:43</w:t>
                  </w:r>
                  <w:r>
                    <w:rPr>
                      <w:rFonts w:hint="eastAsia" w:ascii="Times New Roman" w:hAnsi="Times New Roman" w:cs="Times New Roman"/>
                      <w:i w:val="0"/>
                      <w:iCs w:val="0"/>
                      <w:color w:val="000000"/>
                      <w:kern w:val="0"/>
                      <w:sz w:val="18"/>
                      <w:szCs w:val="18"/>
                      <w:u w:val="none"/>
                      <w:lang w:val="en-US" w:eastAsia="zh-CN" w:bidi="ar"/>
                    </w:rPr>
                    <w:t>-18:53</w:t>
                  </w:r>
                </w:p>
              </w:tc>
              <w:tc>
                <w:tcPr>
                  <w:tcW w:w="1595" w:type="dxa"/>
                  <w:tcBorders>
                    <w:tl2br w:val="nil"/>
                    <w:tr2bl w:val="nil"/>
                  </w:tcBorders>
                  <w:vAlign w:val="center"/>
                </w:tcPr>
                <w:p w14:paraId="682301B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1598" w:type="dxa"/>
                  <w:tcBorders>
                    <w:tl2br w:val="nil"/>
                    <w:tr2bl w:val="nil"/>
                  </w:tcBorders>
                  <w:vAlign w:val="center"/>
                </w:tcPr>
                <w:p w14:paraId="3AA8825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2FE769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38CAA550">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continue"/>
                  <w:tcBorders>
                    <w:tl2br w:val="nil"/>
                    <w:tr2bl w:val="nil"/>
                  </w:tcBorders>
                  <w:vAlign w:val="center"/>
                </w:tcPr>
                <w:p w14:paraId="3F9635B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747D91A8">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561" w:type="dxa"/>
                  <w:tcBorders>
                    <w:tl2br w:val="nil"/>
                    <w:tr2bl w:val="nil"/>
                  </w:tcBorders>
                  <w:vAlign w:val="center"/>
                </w:tcPr>
                <w:p w14:paraId="50335D9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22:48</w:t>
                  </w:r>
                  <w:r>
                    <w:rPr>
                      <w:rFonts w:hint="eastAsia" w:ascii="Times New Roman" w:hAnsi="Times New Roman" w:cs="Times New Roman"/>
                      <w:i w:val="0"/>
                      <w:iCs w:val="0"/>
                      <w:color w:val="000000"/>
                      <w:kern w:val="0"/>
                      <w:sz w:val="18"/>
                      <w:szCs w:val="18"/>
                      <w:u w:val="none"/>
                      <w:lang w:val="en-US" w:eastAsia="zh-CN" w:bidi="ar"/>
                    </w:rPr>
                    <w:t>-22:58</w:t>
                  </w:r>
                </w:p>
              </w:tc>
              <w:tc>
                <w:tcPr>
                  <w:tcW w:w="1595" w:type="dxa"/>
                  <w:tcBorders>
                    <w:tl2br w:val="nil"/>
                    <w:tr2bl w:val="nil"/>
                  </w:tcBorders>
                  <w:vAlign w:val="center"/>
                </w:tcPr>
                <w:p w14:paraId="0773CAF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1598" w:type="dxa"/>
                  <w:tcBorders>
                    <w:tl2br w:val="nil"/>
                    <w:tr2bl w:val="nil"/>
                  </w:tcBorders>
                  <w:vAlign w:val="center"/>
                </w:tcPr>
                <w:p w14:paraId="18DEA73E">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232EE5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519A0695">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650C791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4548F83C">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561" w:type="dxa"/>
                  <w:tcBorders>
                    <w:tl2br w:val="nil"/>
                    <w:tr2bl w:val="nil"/>
                  </w:tcBorders>
                  <w:vAlign w:val="center"/>
                </w:tcPr>
                <w:p w14:paraId="35C3D13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18:47</w:t>
                  </w:r>
                  <w:r>
                    <w:rPr>
                      <w:rFonts w:hint="eastAsia" w:ascii="Times New Roman" w:hAnsi="Times New Roman" w:cs="Times New Roman"/>
                      <w:i w:val="0"/>
                      <w:iCs w:val="0"/>
                      <w:color w:val="000000"/>
                      <w:kern w:val="0"/>
                      <w:sz w:val="18"/>
                      <w:szCs w:val="18"/>
                      <w:u w:val="none"/>
                      <w:lang w:val="en-US" w:eastAsia="zh-CN" w:bidi="ar"/>
                    </w:rPr>
                    <w:t>-18:57</w:t>
                  </w:r>
                </w:p>
              </w:tc>
              <w:tc>
                <w:tcPr>
                  <w:tcW w:w="1595" w:type="dxa"/>
                  <w:tcBorders>
                    <w:tl2br w:val="nil"/>
                    <w:tr2bl w:val="nil"/>
                  </w:tcBorders>
                  <w:vAlign w:val="center"/>
                </w:tcPr>
                <w:p w14:paraId="0EAAB7B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1598" w:type="dxa"/>
                  <w:tcBorders>
                    <w:tl2br w:val="nil"/>
                    <w:tr2bl w:val="nil"/>
                  </w:tcBorders>
                  <w:vAlign w:val="center"/>
                </w:tcPr>
                <w:p w14:paraId="377F7EF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50DEEB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62C2946E">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4BDB707E">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58EAE920">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561" w:type="dxa"/>
                  <w:tcBorders>
                    <w:tl2br w:val="nil"/>
                    <w:tr2bl w:val="nil"/>
                  </w:tcBorders>
                  <w:vAlign w:val="center"/>
                </w:tcPr>
                <w:p w14:paraId="6543E84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22:39</w:t>
                  </w:r>
                  <w:r>
                    <w:rPr>
                      <w:rFonts w:hint="eastAsia" w:ascii="Times New Roman" w:hAnsi="Times New Roman" w:cs="Times New Roman"/>
                      <w:i w:val="0"/>
                      <w:iCs w:val="0"/>
                      <w:color w:val="000000"/>
                      <w:kern w:val="0"/>
                      <w:sz w:val="18"/>
                      <w:szCs w:val="18"/>
                      <w:u w:val="none"/>
                      <w:lang w:val="en-US" w:eastAsia="zh-CN" w:bidi="ar"/>
                    </w:rPr>
                    <w:t>-22:49</w:t>
                  </w:r>
                </w:p>
              </w:tc>
              <w:tc>
                <w:tcPr>
                  <w:tcW w:w="1595" w:type="dxa"/>
                  <w:tcBorders>
                    <w:tl2br w:val="nil"/>
                    <w:tr2bl w:val="nil"/>
                  </w:tcBorders>
                  <w:vAlign w:val="center"/>
                </w:tcPr>
                <w:p w14:paraId="749965E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1598" w:type="dxa"/>
                  <w:tcBorders>
                    <w:tl2br w:val="nil"/>
                    <w:tr2bl w:val="nil"/>
                  </w:tcBorders>
                  <w:vAlign w:val="center"/>
                </w:tcPr>
                <w:p w14:paraId="0897B29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33D11B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21895C7F">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restart"/>
                  <w:tcBorders>
                    <w:tl2br w:val="nil"/>
                    <w:tr2bl w:val="nil"/>
                  </w:tcBorders>
                  <w:vAlign w:val="center"/>
                </w:tcPr>
                <w:p w14:paraId="61D1315E">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铁路专用线北侧</w:t>
                  </w:r>
                </w:p>
              </w:tc>
              <w:tc>
                <w:tcPr>
                  <w:tcW w:w="1255" w:type="dxa"/>
                  <w:tcBorders>
                    <w:tl2br w:val="nil"/>
                    <w:tr2bl w:val="nil"/>
                  </w:tcBorders>
                  <w:vAlign w:val="center"/>
                </w:tcPr>
                <w:p w14:paraId="77722914">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561" w:type="dxa"/>
                  <w:tcBorders>
                    <w:tl2br w:val="nil"/>
                    <w:tr2bl w:val="nil"/>
                  </w:tcBorders>
                  <w:vAlign w:val="center"/>
                </w:tcPr>
                <w:p w14:paraId="2FA2137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19:04</w:t>
                  </w:r>
                  <w:r>
                    <w:rPr>
                      <w:rFonts w:hint="eastAsia" w:ascii="Times New Roman" w:hAnsi="Times New Roman" w:cs="Times New Roman"/>
                      <w:i w:val="0"/>
                      <w:iCs w:val="0"/>
                      <w:color w:val="000000"/>
                      <w:kern w:val="0"/>
                      <w:sz w:val="18"/>
                      <w:szCs w:val="18"/>
                      <w:u w:val="none"/>
                      <w:lang w:val="en-US" w:eastAsia="zh-CN" w:bidi="ar"/>
                    </w:rPr>
                    <w:t>-19:14</w:t>
                  </w:r>
                </w:p>
              </w:tc>
              <w:tc>
                <w:tcPr>
                  <w:tcW w:w="1595" w:type="dxa"/>
                  <w:tcBorders>
                    <w:tl2br w:val="nil"/>
                    <w:tr2bl w:val="nil"/>
                  </w:tcBorders>
                  <w:vAlign w:val="center"/>
                </w:tcPr>
                <w:p w14:paraId="4E95D21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1598" w:type="dxa"/>
                  <w:tcBorders>
                    <w:tl2br w:val="nil"/>
                    <w:tr2bl w:val="nil"/>
                  </w:tcBorders>
                  <w:vAlign w:val="center"/>
                </w:tcPr>
                <w:p w14:paraId="6D001B5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1BDBE9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6A9F1A5C">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2025.12.27</w:t>
                  </w:r>
                </w:p>
              </w:tc>
              <w:tc>
                <w:tcPr>
                  <w:tcW w:w="644" w:type="pct"/>
                  <w:vMerge w:val="continue"/>
                  <w:tcBorders>
                    <w:tl2br w:val="nil"/>
                    <w:tr2bl w:val="nil"/>
                  </w:tcBorders>
                  <w:vAlign w:val="center"/>
                </w:tcPr>
                <w:p w14:paraId="1E671FD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444A23F4">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561" w:type="dxa"/>
                  <w:tcBorders>
                    <w:tl2br w:val="nil"/>
                    <w:tr2bl w:val="nil"/>
                  </w:tcBorders>
                  <w:vAlign w:val="center"/>
                </w:tcPr>
                <w:p w14:paraId="41E4518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23:09</w:t>
                  </w:r>
                  <w:r>
                    <w:rPr>
                      <w:rFonts w:hint="eastAsia" w:ascii="Times New Roman" w:hAnsi="Times New Roman" w:cs="Times New Roman"/>
                      <w:i w:val="0"/>
                      <w:iCs w:val="0"/>
                      <w:color w:val="000000"/>
                      <w:kern w:val="0"/>
                      <w:sz w:val="18"/>
                      <w:szCs w:val="18"/>
                      <w:u w:val="none"/>
                      <w:lang w:val="en-US" w:eastAsia="zh-CN" w:bidi="ar"/>
                    </w:rPr>
                    <w:t>-23:19</w:t>
                  </w:r>
                </w:p>
              </w:tc>
              <w:tc>
                <w:tcPr>
                  <w:tcW w:w="1595" w:type="dxa"/>
                  <w:tcBorders>
                    <w:tl2br w:val="nil"/>
                    <w:tr2bl w:val="nil"/>
                  </w:tcBorders>
                  <w:vAlign w:val="center"/>
                </w:tcPr>
                <w:p w14:paraId="793584C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1598" w:type="dxa"/>
                  <w:tcBorders>
                    <w:tl2br w:val="nil"/>
                    <w:tr2bl w:val="nil"/>
                  </w:tcBorders>
                  <w:vAlign w:val="center"/>
                </w:tcPr>
                <w:p w14:paraId="1BC1460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r w14:paraId="616B17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451F49B3">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3AF3099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2DEAB352">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561" w:type="dxa"/>
                  <w:tcBorders>
                    <w:tl2br w:val="nil"/>
                    <w:tr2bl w:val="nil"/>
                  </w:tcBorders>
                  <w:vAlign w:val="center"/>
                </w:tcPr>
                <w:p w14:paraId="1473542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19:10</w:t>
                  </w:r>
                  <w:r>
                    <w:rPr>
                      <w:rFonts w:hint="eastAsia" w:ascii="Times New Roman" w:hAnsi="Times New Roman" w:cs="Times New Roman"/>
                      <w:i w:val="0"/>
                      <w:iCs w:val="0"/>
                      <w:color w:val="000000"/>
                      <w:kern w:val="0"/>
                      <w:sz w:val="18"/>
                      <w:szCs w:val="18"/>
                      <w:u w:val="none"/>
                      <w:lang w:val="en-US" w:eastAsia="zh-CN" w:bidi="ar"/>
                    </w:rPr>
                    <w:t>-19:20</w:t>
                  </w:r>
                </w:p>
              </w:tc>
              <w:tc>
                <w:tcPr>
                  <w:tcW w:w="1595" w:type="dxa"/>
                  <w:tcBorders>
                    <w:tl2br w:val="nil"/>
                    <w:tr2bl w:val="nil"/>
                  </w:tcBorders>
                  <w:vAlign w:val="center"/>
                </w:tcPr>
                <w:p w14:paraId="09BF425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1598" w:type="dxa"/>
                  <w:tcBorders>
                    <w:tl2br w:val="nil"/>
                    <w:tr2bl w:val="nil"/>
                  </w:tcBorders>
                  <w:vAlign w:val="center"/>
                </w:tcPr>
                <w:p w14:paraId="1745F39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65</w:t>
                  </w:r>
                </w:p>
              </w:tc>
            </w:tr>
            <w:tr w14:paraId="48C8AF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tcBorders>
                    <w:tl2br w:val="nil"/>
                    <w:tr2bl w:val="nil"/>
                  </w:tcBorders>
                  <w:vAlign w:val="center"/>
                </w:tcPr>
                <w:p w14:paraId="41532341">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2025.12.28</w:t>
                  </w:r>
                </w:p>
              </w:tc>
              <w:tc>
                <w:tcPr>
                  <w:tcW w:w="644" w:type="pct"/>
                  <w:vMerge w:val="continue"/>
                  <w:tcBorders>
                    <w:tl2br w:val="nil"/>
                    <w:tr2bl w:val="nil"/>
                  </w:tcBorders>
                  <w:vAlign w:val="center"/>
                </w:tcPr>
                <w:p w14:paraId="7B39279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55" w:type="dxa"/>
                  <w:tcBorders>
                    <w:tl2br w:val="nil"/>
                    <w:tr2bl w:val="nil"/>
                  </w:tcBorders>
                  <w:vAlign w:val="center"/>
                </w:tcPr>
                <w:p w14:paraId="3B0CBD5B">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561" w:type="dxa"/>
                  <w:tcBorders>
                    <w:tl2br w:val="nil"/>
                    <w:tr2bl w:val="nil"/>
                  </w:tcBorders>
                  <w:vAlign w:val="center"/>
                </w:tcPr>
                <w:p w14:paraId="191EBB7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23:00</w:t>
                  </w:r>
                  <w:r>
                    <w:rPr>
                      <w:rFonts w:hint="eastAsia" w:ascii="Times New Roman" w:hAnsi="Times New Roman" w:cs="Times New Roman"/>
                      <w:i w:val="0"/>
                      <w:iCs w:val="0"/>
                      <w:color w:val="000000"/>
                      <w:kern w:val="0"/>
                      <w:sz w:val="18"/>
                      <w:szCs w:val="18"/>
                      <w:u w:val="none"/>
                      <w:lang w:val="en-US" w:eastAsia="zh-CN" w:bidi="ar"/>
                    </w:rPr>
                    <w:t>-23:10</w:t>
                  </w:r>
                </w:p>
              </w:tc>
              <w:tc>
                <w:tcPr>
                  <w:tcW w:w="1595" w:type="dxa"/>
                  <w:tcBorders>
                    <w:tl2br w:val="nil"/>
                    <w:tr2bl w:val="nil"/>
                  </w:tcBorders>
                  <w:vAlign w:val="center"/>
                </w:tcPr>
                <w:p w14:paraId="416728F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1598" w:type="dxa"/>
                  <w:tcBorders>
                    <w:tl2br w:val="nil"/>
                    <w:tr2bl w:val="nil"/>
                  </w:tcBorders>
                  <w:vAlign w:val="center"/>
                </w:tcPr>
                <w:p w14:paraId="56914AD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55</w:t>
                  </w:r>
                </w:p>
              </w:tc>
            </w:tr>
          </w:tbl>
          <w:p w14:paraId="66DEF4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根据监测结果可知，厂界噪声可满足《声环境质量标准》（</w:t>
            </w:r>
            <w:r>
              <w:rPr>
                <w:rFonts w:hint="default" w:ascii="Times New Roman" w:hAnsi="Times New Roman" w:eastAsia="宋体" w:cs="Times New Roman"/>
                <w:sz w:val="24"/>
                <w:szCs w:val="24"/>
                <w:lang w:val="en-US" w:eastAsia="zh-CN"/>
              </w:rPr>
              <w:t>GB3096-2008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类标准。</w:t>
            </w:r>
          </w:p>
          <w:p w14:paraId="4962EF5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6振动环境质量现状</w:t>
            </w:r>
          </w:p>
          <w:p w14:paraId="436DDA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本项目委托</w:t>
            </w:r>
            <w:r>
              <w:rPr>
                <w:rFonts w:hint="eastAsia" w:ascii="Times New Roman" w:hAnsi="Times New Roman" w:cs="Times New Roman"/>
                <w:sz w:val="24"/>
                <w:szCs w:val="24"/>
                <w:lang w:val="en-US" w:eastAsia="zh-CN"/>
              </w:rPr>
              <w:t>云南浩辰环保科技有限公司</w:t>
            </w:r>
            <w:r>
              <w:rPr>
                <w:rFonts w:hint="eastAsia" w:ascii="Times New Roman" w:hAnsi="Times New Roman" w:eastAsia="宋体" w:cs="Times New Roman"/>
                <w:sz w:val="24"/>
                <w:szCs w:val="24"/>
                <w:lang w:val="en-US" w:eastAsia="zh-CN"/>
              </w:rPr>
              <w:t>于</w:t>
            </w: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5</w:t>
            </w:r>
            <w:r>
              <w:rPr>
                <w:rFonts w:hint="eastAsia" w:ascii="Times New Roman" w:hAnsi="Times New Roman" w:eastAsia="宋体" w:cs="Times New Roman"/>
                <w:sz w:val="24"/>
                <w:szCs w:val="24"/>
                <w:lang w:val="en-US" w:eastAsia="zh-CN"/>
              </w:rPr>
              <w:t>年</w:t>
            </w:r>
            <w:r>
              <w:rPr>
                <w:rFonts w:hint="eastAsia" w:cs="Times New Roman"/>
                <w:sz w:val="24"/>
                <w:szCs w:val="24"/>
                <w:lang w:val="en-US" w:eastAsia="zh-CN"/>
              </w:rPr>
              <w:t>12</w:t>
            </w:r>
            <w:r>
              <w:rPr>
                <w:rFonts w:hint="eastAsia" w:ascii="Times New Roman" w:hAnsi="Times New Roman" w:eastAsia="宋体" w:cs="Times New Roman"/>
                <w:sz w:val="24"/>
                <w:szCs w:val="24"/>
                <w:lang w:val="en-US" w:eastAsia="zh-CN"/>
              </w:rPr>
              <w:t>月</w:t>
            </w:r>
            <w:r>
              <w:rPr>
                <w:rFonts w:hint="eastAsia" w:cs="Times New Roman"/>
                <w:sz w:val="24"/>
                <w:szCs w:val="24"/>
                <w:lang w:val="en-US" w:eastAsia="zh-CN"/>
              </w:rPr>
              <w:t>27</w:t>
            </w:r>
            <w:r>
              <w:rPr>
                <w:rFonts w:hint="eastAsia"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5</w:t>
            </w:r>
            <w:r>
              <w:rPr>
                <w:rFonts w:hint="eastAsia" w:ascii="Times New Roman" w:hAnsi="Times New Roman" w:eastAsia="宋体" w:cs="Times New Roman"/>
                <w:sz w:val="24"/>
                <w:szCs w:val="24"/>
                <w:lang w:val="en-US" w:eastAsia="zh-CN"/>
              </w:rPr>
              <w:t>年</w:t>
            </w:r>
            <w:r>
              <w:rPr>
                <w:rFonts w:hint="eastAsia" w:cs="Times New Roman"/>
                <w:sz w:val="24"/>
                <w:szCs w:val="24"/>
                <w:lang w:val="en-US" w:eastAsia="zh-CN"/>
              </w:rPr>
              <w:t>12</w:t>
            </w:r>
            <w:r>
              <w:rPr>
                <w:rFonts w:hint="eastAsia" w:ascii="Times New Roman" w:hAnsi="Times New Roman" w:eastAsia="宋体" w:cs="Times New Roman"/>
                <w:sz w:val="24"/>
                <w:szCs w:val="24"/>
                <w:lang w:val="en-US" w:eastAsia="zh-CN"/>
              </w:rPr>
              <w:t>月</w:t>
            </w:r>
            <w:r>
              <w:rPr>
                <w:rFonts w:hint="eastAsia" w:cs="Times New Roman"/>
                <w:sz w:val="24"/>
                <w:szCs w:val="24"/>
                <w:lang w:val="en-US" w:eastAsia="zh-CN"/>
              </w:rPr>
              <w:t>29</w:t>
            </w:r>
            <w:r>
              <w:rPr>
                <w:rFonts w:hint="eastAsia" w:ascii="Times New Roman" w:hAnsi="Times New Roman" w:eastAsia="宋体" w:cs="Times New Roman"/>
                <w:sz w:val="24"/>
                <w:szCs w:val="24"/>
                <w:lang w:val="en-US" w:eastAsia="zh-CN"/>
              </w:rPr>
              <w:t>日对项目区内的振动环境质量进行监测。</w:t>
            </w:r>
          </w:p>
          <w:p w14:paraId="553F4F6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（1）监测点位布设</w:t>
            </w:r>
          </w:p>
          <w:p w14:paraId="6231EA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在</w:t>
            </w:r>
            <w:r>
              <w:rPr>
                <w:rFonts w:hint="eastAsia" w:cs="Times New Roman"/>
                <w:color w:val="000000"/>
                <w:kern w:val="0"/>
                <w:sz w:val="24"/>
                <w:szCs w:val="24"/>
                <w:lang w:val="en-US" w:eastAsia="zh-CN" w:bidi="ar"/>
              </w:rPr>
              <w:t>铁路专用线</w:t>
            </w:r>
            <w:r>
              <w:rPr>
                <w:rFonts w:hint="eastAsia" w:ascii="Times New Roman" w:hAnsi="Times New Roman" w:cs="Times New Roman"/>
                <w:color w:val="auto"/>
                <w:sz w:val="24"/>
                <w:szCs w:val="24"/>
                <w:lang w:val="en-US" w:eastAsia="zh-CN"/>
              </w:rPr>
              <w:t>的南、北厂界外</w:t>
            </w:r>
            <w:r>
              <w:rPr>
                <w:rFonts w:hint="default"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lang w:val="en-US" w:eastAsia="zh-CN"/>
              </w:rPr>
              <w:t>处各设一个监测点位；</w:t>
            </w:r>
            <w:r>
              <w:rPr>
                <w:rFonts w:hint="eastAsia" w:cs="Times New Roman"/>
                <w:color w:val="000000"/>
                <w:kern w:val="0"/>
                <w:sz w:val="24"/>
                <w:szCs w:val="24"/>
                <w:lang w:val="en-US" w:eastAsia="zh-CN" w:bidi="ar"/>
              </w:rPr>
              <w:t>铁路专用线</w:t>
            </w:r>
            <w:r>
              <w:rPr>
                <w:rFonts w:hint="eastAsia" w:ascii="Times New Roman" w:hAnsi="Times New Roman" w:cs="Times New Roman"/>
                <w:color w:val="auto"/>
                <w:sz w:val="24"/>
                <w:szCs w:val="24"/>
                <w:lang w:val="en-US" w:eastAsia="zh-CN"/>
              </w:rPr>
              <w:t>东、西厂界外</w:t>
            </w:r>
            <w:r>
              <w:rPr>
                <w:rFonts w:hint="default"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lang w:val="en-US" w:eastAsia="zh-CN"/>
              </w:rPr>
              <w:t>处各设两个监测点位。</w:t>
            </w:r>
          </w:p>
          <w:p w14:paraId="5DA8F64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（1）监测点位布设</w:t>
            </w:r>
          </w:p>
          <w:p w14:paraId="3EC18A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color w:val="auto"/>
                <w:sz w:val="24"/>
                <w:szCs w:val="24"/>
                <w:lang w:val="en-US" w:eastAsia="zh-CN"/>
              </w:rPr>
              <w:t>在</w:t>
            </w:r>
            <w:r>
              <w:rPr>
                <w:rFonts w:hint="eastAsia" w:cs="Times New Roman"/>
                <w:color w:val="000000"/>
                <w:kern w:val="0"/>
                <w:sz w:val="24"/>
                <w:szCs w:val="24"/>
                <w:lang w:val="en-US" w:eastAsia="zh-CN" w:bidi="ar"/>
              </w:rPr>
              <w:t>铁路专用线</w:t>
            </w:r>
            <w:r>
              <w:rPr>
                <w:rFonts w:hint="eastAsia" w:ascii="Times New Roman" w:hAnsi="Times New Roman" w:cs="Times New Roman"/>
                <w:color w:val="auto"/>
                <w:sz w:val="24"/>
                <w:szCs w:val="24"/>
                <w:lang w:val="en-US" w:eastAsia="zh-CN"/>
              </w:rPr>
              <w:t>的南、北厂界外</w:t>
            </w:r>
            <w:r>
              <w:rPr>
                <w:rFonts w:hint="default"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lang w:val="en-US" w:eastAsia="zh-CN"/>
              </w:rPr>
              <w:t>处各设一个监测点位；</w:t>
            </w:r>
            <w:r>
              <w:rPr>
                <w:rFonts w:hint="eastAsia" w:cs="Times New Roman"/>
                <w:color w:val="000000"/>
                <w:kern w:val="0"/>
                <w:sz w:val="24"/>
                <w:szCs w:val="24"/>
                <w:lang w:val="en-US" w:eastAsia="zh-CN" w:bidi="ar"/>
              </w:rPr>
              <w:t>铁路专用线</w:t>
            </w:r>
            <w:r>
              <w:rPr>
                <w:rFonts w:hint="eastAsia" w:ascii="Times New Roman" w:hAnsi="Times New Roman" w:cs="Times New Roman"/>
                <w:color w:val="auto"/>
                <w:sz w:val="24"/>
                <w:szCs w:val="24"/>
                <w:lang w:val="en-US" w:eastAsia="zh-CN"/>
              </w:rPr>
              <w:t>东、西厂界外</w:t>
            </w:r>
            <w:r>
              <w:rPr>
                <w:rFonts w:hint="default" w:ascii="Times New Roman" w:hAnsi="Times New Roman" w:cs="Times New Roman"/>
                <w:color w:val="auto"/>
                <w:sz w:val="24"/>
                <w:szCs w:val="24"/>
                <w:lang w:val="en-US" w:eastAsia="zh-CN"/>
              </w:rPr>
              <w:t>1m</w:t>
            </w:r>
            <w:r>
              <w:rPr>
                <w:rFonts w:hint="eastAsia" w:ascii="Times New Roman" w:hAnsi="Times New Roman" w:cs="Times New Roman"/>
                <w:color w:val="auto"/>
                <w:sz w:val="24"/>
                <w:szCs w:val="24"/>
                <w:lang w:val="en-US" w:eastAsia="zh-CN"/>
              </w:rPr>
              <w:t>处各设两个监测点位。</w:t>
            </w:r>
          </w:p>
          <w:p w14:paraId="77A318B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sz w:val="24"/>
                <w:szCs w:val="24"/>
                <w:lang w:val="en-US" w:eastAsia="zh-CN"/>
              </w:rPr>
            </w:pPr>
            <w:r>
              <w:rPr>
                <w:rFonts w:hint="eastAsia" w:cs="Times New Roman"/>
                <w:b/>
                <w:bCs/>
                <w:sz w:val="24"/>
                <w:szCs w:val="24"/>
                <w:lang w:val="en-US" w:eastAsia="zh-CN"/>
              </w:rPr>
              <w:t>（2）监测时间及频次</w:t>
            </w:r>
          </w:p>
          <w:p w14:paraId="5273C3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szCs w:val="24"/>
              </w:rPr>
              <w:t>共监测2天，每天监测2次，昼间夜间各1次</w:t>
            </w:r>
            <w:r>
              <w:rPr>
                <w:rFonts w:hint="default" w:ascii="Times New Roman" w:hAnsi="Times New Roman" w:eastAsia="宋体" w:cs="Times New Roman"/>
                <w:sz w:val="24"/>
                <w:szCs w:val="24"/>
                <w:lang w:val="en-US" w:eastAsia="zh-CN"/>
              </w:rPr>
              <w:t>。</w:t>
            </w:r>
          </w:p>
          <w:p w14:paraId="43BB350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3）监测方法</w:t>
            </w:r>
          </w:p>
          <w:p w14:paraId="3EE368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城市区域环境振动测量方法（GB 10071-1988）。</w:t>
            </w:r>
          </w:p>
          <w:p w14:paraId="7DA9A79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（4）评价标准</w:t>
            </w:r>
          </w:p>
          <w:p w14:paraId="096BC1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《城市区域环境振动标准》（</w:t>
            </w:r>
            <w:r>
              <w:rPr>
                <w:rFonts w:hint="default" w:ascii="Times New Roman" w:hAnsi="Times New Roman" w:eastAsia="宋体" w:cs="Times New Roman"/>
                <w:sz w:val="24"/>
                <w:szCs w:val="24"/>
                <w:lang w:val="en-US" w:eastAsia="zh-CN"/>
              </w:rPr>
              <w:t>GB</w:t>
            </w:r>
            <w:r>
              <w:rPr>
                <w:rFonts w:hint="eastAsia" w:cs="Times New Roman"/>
                <w:sz w:val="24"/>
                <w:szCs w:val="24"/>
                <w:lang w:val="en-US" w:eastAsia="zh-CN"/>
              </w:rPr>
              <w:t xml:space="preserve"> </w:t>
            </w:r>
            <w:r>
              <w:rPr>
                <w:rFonts w:hint="default" w:ascii="Times New Roman" w:hAnsi="Times New Roman" w:eastAsia="宋体" w:cs="Times New Roman"/>
                <w:sz w:val="24"/>
                <w:szCs w:val="24"/>
                <w:lang w:val="en-US" w:eastAsia="zh-CN"/>
              </w:rPr>
              <w:t>10070-88</w:t>
            </w:r>
            <w:r>
              <w:rPr>
                <w:rFonts w:hint="eastAsia" w:ascii="Times New Roman" w:hAnsi="Times New Roman" w:eastAsia="宋体" w:cs="Times New Roman"/>
                <w:sz w:val="24"/>
                <w:szCs w:val="24"/>
                <w:lang w:val="en-US" w:eastAsia="zh-CN"/>
              </w:rPr>
              <w:t>）中的工业集中区标准限值。</w:t>
            </w:r>
          </w:p>
          <w:p w14:paraId="4AFF328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（5）监测结果统计与分析</w:t>
            </w:r>
          </w:p>
          <w:p w14:paraId="674503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监测结果统计见</w:t>
            </w:r>
            <w:r>
              <w:rPr>
                <w:rFonts w:hint="eastAsia" w:ascii="Times New Roman" w:hAnsi="Times New Roman" w:eastAsia="宋体" w:cs="Times New Roman"/>
                <w:sz w:val="24"/>
                <w:szCs w:val="24"/>
                <w:lang w:val="en-US" w:eastAsia="zh-CN"/>
              </w:rPr>
              <w:t>下表：</w:t>
            </w:r>
          </w:p>
          <w:p w14:paraId="4CCA9489">
            <w:pPr>
              <w:pStyle w:val="2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表3-7  环境振动监测结果</w:t>
            </w:r>
          </w:p>
          <w:tbl>
            <w:tblPr>
              <w:tblStyle w:val="23"/>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042"/>
              <w:gridCol w:w="1406"/>
              <w:gridCol w:w="1408"/>
              <w:gridCol w:w="1598"/>
              <w:gridCol w:w="1597"/>
            </w:tblGrid>
            <w:tr w14:paraId="17035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tcBorders>
                    <w:tl2br w:val="nil"/>
                    <w:tr2bl w:val="nil"/>
                  </w:tcBorders>
                  <w:vAlign w:val="center"/>
                </w:tcPr>
                <w:p w14:paraId="6341403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监测日期</w:t>
                  </w:r>
                </w:p>
              </w:tc>
              <w:tc>
                <w:tcPr>
                  <w:tcW w:w="644" w:type="pct"/>
                  <w:tcBorders>
                    <w:tl2br w:val="nil"/>
                    <w:tr2bl w:val="nil"/>
                  </w:tcBorders>
                  <w:vAlign w:val="center"/>
                </w:tcPr>
                <w:p w14:paraId="76DCFB7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监测点位</w:t>
                  </w:r>
                </w:p>
              </w:tc>
              <w:tc>
                <w:tcPr>
                  <w:tcW w:w="1739" w:type="pct"/>
                  <w:gridSpan w:val="2"/>
                  <w:tcBorders>
                    <w:tl2br w:val="nil"/>
                    <w:tr2bl w:val="nil"/>
                  </w:tcBorders>
                  <w:vAlign w:val="center"/>
                </w:tcPr>
                <w:p w14:paraId="18A6DA3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采样时段</w:t>
                  </w:r>
                </w:p>
              </w:tc>
              <w:tc>
                <w:tcPr>
                  <w:tcW w:w="1595" w:type="dxa"/>
                  <w:tcBorders>
                    <w:tl2br w:val="nil"/>
                    <w:tr2bl w:val="nil"/>
                  </w:tcBorders>
                  <w:vAlign w:val="center"/>
                </w:tcPr>
                <w:p w14:paraId="428090B6">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eastAsia="zh-CN"/>
                    </w:rPr>
                    <w:t>评价量（</w:t>
                  </w:r>
                  <w:r>
                    <w:rPr>
                      <w:rFonts w:hint="default" w:ascii="Times New Roman" w:hAnsi="Times New Roman" w:eastAsia="宋体" w:cs="Times New Roman"/>
                      <w:color w:val="auto"/>
                      <w:sz w:val="18"/>
                      <w:szCs w:val="18"/>
                      <w:lang w:val="en-US" w:eastAsia="zh-CN"/>
                    </w:rPr>
                    <w:t>VL</w:t>
                  </w:r>
                  <w:r>
                    <w:rPr>
                      <w:rFonts w:hint="default" w:ascii="Times New Roman" w:hAnsi="Times New Roman" w:eastAsia="宋体" w:cs="Times New Roman"/>
                      <w:color w:val="auto"/>
                      <w:sz w:val="18"/>
                      <w:szCs w:val="18"/>
                      <w:vertAlign w:val="subscript"/>
                      <w:lang w:val="en-US" w:eastAsia="zh-CN"/>
                    </w:rPr>
                    <w:t>Z，10</w:t>
                  </w:r>
                  <w:r>
                    <w:rPr>
                      <w:rFonts w:hint="default" w:ascii="Times New Roman" w:hAnsi="Times New Roman" w:eastAsia="宋体" w:cs="Times New Roman"/>
                      <w:color w:val="auto"/>
                      <w:sz w:val="18"/>
                      <w:szCs w:val="18"/>
                      <w:highlight w:val="none"/>
                      <w:lang w:eastAsia="zh-CN"/>
                    </w:rPr>
                    <w:t>）</w:t>
                  </w:r>
                </w:p>
              </w:tc>
              <w:tc>
                <w:tcPr>
                  <w:tcW w:w="986" w:type="pct"/>
                  <w:tcBorders>
                    <w:tl2br w:val="nil"/>
                    <w:tr2bl w:val="nil"/>
                  </w:tcBorders>
                  <w:vAlign w:val="center"/>
                </w:tcPr>
                <w:p w14:paraId="5618AA7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标准值</w:t>
                  </w:r>
                  <w:r>
                    <w:rPr>
                      <w:rFonts w:hint="default" w:ascii="Times New Roman" w:hAnsi="Times New Roman" w:eastAsia="宋体" w:cs="Times New Roman"/>
                      <w:color w:val="000000"/>
                      <w:kern w:val="0"/>
                      <w:sz w:val="18"/>
                      <w:szCs w:val="18"/>
                      <w:lang w:val="en-US" w:eastAsia="zh-CN" w:bidi="ar"/>
                    </w:rPr>
                    <w:t>dB</w:t>
                  </w:r>
                </w:p>
              </w:tc>
            </w:tr>
            <w:tr w14:paraId="594179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2AD2D07A">
                  <w:pPr>
                    <w:jc w:val="center"/>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1042" w:type="dxa"/>
                  <w:vMerge w:val="restart"/>
                  <w:tcBorders>
                    <w:tl2br w:val="nil"/>
                    <w:tr2bl w:val="nil"/>
                  </w:tcBorders>
                  <w:vAlign w:val="center"/>
                </w:tcPr>
                <w:p w14:paraId="6EA2252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铁路专用线东侧</w:t>
                  </w:r>
                </w:p>
              </w:tc>
              <w:tc>
                <w:tcPr>
                  <w:tcW w:w="1407" w:type="dxa"/>
                  <w:tcBorders>
                    <w:tl2br w:val="nil"/>
                    <w:tr2bl w:val="nil"/>
                  </w:tcBorders>
                  <w:vAlign w:val="center"/>
                </w:tcPr>
                <w:p w14:paraId="6EF18778">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7AB5C9A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13:02</w:t>
                  </w:r>
                </w:p>
              </w:tc>
              <w:tc>
                <w:tcPr>
                  <w:tcW w:w="1595" w:type="dxa"/>
                  <w:tcBorders>
                    <w:tl2br w:val="nil"/>
                    <w:tr2bl w:val="nil"/>
                  </w:tcBorders>
                  <w:vAlign w:val="center"/>
                </w:tcPr>
                <w:p w14:paraId="160CE4F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61.64</w:t>
                  </w:r>
                </w:p>
              </w:tc>
              <w:tc>
                <w:tcPr>
                  <w:tcW w:w="986" w:type="pct"/>
                  <w:tcBorders>
                    <w:tl2br w:val="nil"/>
                    <w:tr2bl w:val="nil"/>
                  </w:tcBorders>
                  <w:vAlign w:val="center"/>
                </w:tcPr>
                <w:p w14:paraId="2805C82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00D140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0F3D38A2">
                  <w:pPr>
                    <w:jc w:val="center"/>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644" w:type="pct"/>
                  <w:vMerge w:val="continue"/>
                  <w:tcBorders>
                    <w:tl2br w:val="nil"/>
                    <w:tr2bl w:val="nil"/>
                  </w:tcBorders>
                  <w:vAlign w:val="center"/>
                </w:tcPr>
                <w:p w14:paraId="64E2E5B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155CC7A6">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583B574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22:39</w:t>
                  </w:r>
                </w:p>
              </w:tc>
              <w:tc>
                <w:tcPr>
                  <w:tcW w:w="1595" w:type="dxa"/>
                  <w:tcBorders>
                    <w:tl2br w:val="nil"/>
                    <w:tr2bl w:val="nil"/>
                  </w:tcBorders>
                  <w:vAlign w:val="center"/>
                </w:tcPr>
                <w:p w14:paraId="69F7446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62.94</w:t>
                  </w:r>
                </w:p>
              </w:tc>
              <w:tc>
                <w:tcPr>
                  <w:tcW w:w="986" w:type="pct"/>
                  <w:tcBorders>
                    <w:tl2br w:val="nil"/>
                    <w:tr2bl w:val="nil"/>
                  </w:tcBorders>
                  <w:vAlign w:val="center"/>
                </w:tcPr>
                <w:p w14:paraId="3105E8F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4FC139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626C8CB0">
                  <w:pPr>
                    <w:jc w:val="center"/>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5CDB2BA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3F81678B">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241BB17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10:36</w:t>
                  </w:r>
                </w:p>
              </w:tc>
              <w:tc>
                <w:tcPr>
                  <w:tcW w:w="1595" w:type="dxa"/>
                  <w:tcBorders>
                    <w:tl2br w:val="nil"/>
                    <w:tr2bl w:val="nil"/>
                  </w:tcBorders>
                  <w:vAlign w:val="center"/>
                </w:tcPr>
                <w:p w14:paraId="5F26A84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60.54</w:t>
                  </w:r>
                </w:p>
              </w:tc>
              <w:tc>
                <w:tcPr>
                  <w:tcW w:w="1597" w:type="dxa"/>
                  <w:tcBorders>
                    <w:tl2br w:val="nil"/>
                    <w:tr2bl w:val="nil"/>
                  </w:tcBorders>
                  <w:vAlign w:val="center"/>
                </w:tcPr>
                <w:p w14:paraId="56C9F6B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656EED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2C77D1CB">
                  <w:pPr>
                    <w:jc w:val="center"/>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45CB438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5BD600BC">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5C4A78B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22:49</w:t>
                  </w:r>
                </w:p>
              </w:tc>
              <w:tc>
                <w:tcPr>
                  <w:tcW w:w="1595" w:type="dxa"/>
                  <w:tcBorders>
                    <w:tl2br w:val="nil"/>
                    <w:tr2bl w:val="nil"/>
                  </w:tcBorders>
                  <w:vAlign w:val="center"/>
                </w:tcPr>
                <w:p w14:paraId="4935E66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60.54</w:t>
                  </w:r>
                </w:p>
              </w:tc>
              <w:tc>
                <w:tcPr>
                  <w:tcW w:w="1597" w:type="dxa"/>
                  <w:tcBorders>
                    <w:tl2br w:val="nil"/>
                    <w:tr2bl w:val="nil"/>
                  </w:tcBorders>
                  <w:vAlign w:val="center"/>
                </w:tcPr>
                <w:p w14:paraId="0DAA2D3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132F32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714D6B3C">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1042" w:type="dxa"/>
                  <w:vMerge w:val="restart"/>
                  <w:tcBorders>
                    <w:tl2br w:val="nil"/>
                    <w:tr2bl w:val="nil"/>
                  </w:tcBorders>
                  <w:vAlign w:val="center"/>
                </w:tcPr>
                <w:p w14:paraId="5951738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铁路专用线南侧</w:t>
                  </w:r>
                </w:p>
              </w:tc>
              <w:tc>
                <w:tcPr>
                  <w:tcW w:w="1407" w:type="dxa"/>
                  <w:tcBorders>
                    <w:tl2br w:val="nil"/>
                    <w:tr2bl w:val="nil"/>
                  </w:tcBorders>
                  <w:vAlign w:val="center"/>
                </w:tcPr>
                <w:p w14:paraId="345B04F3">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3BE20C1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14:16</w:t>
                  </w:r>
                </w:p>
              </w:tc>
              <w:tc>
                <w:tcPr>
                  <w:tcW w:w="1595" w:type="dxa"/>
                  <w:tcBorders>
                    <w:tl2br w:val="nil"/>
                    <w:tr2bl w:val="nil"/>
                  </w:tcBorders>
                  <w:vAlign w:val="center"/>
                </w:tcPr>
                <w:p w14:paraId="4BD5D82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62.94</w:t>
                  </w:r>
                </w:p>
              </w:tc>
              <w:tc>
                <w:tcPr>
                  <w:tcW w:w="1597" w:type="dxa"/>
                  <w:tcBorders>
                    <w:tl2br w:val="nil"/>
                    <w:tr2bl w:val="nil"/>
                  </w:tcBorders>
                  <w:vAlign w:val="center"/>
                </w:tcPr>
                <w:p w14:paraId="34D34C0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4A5B8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333D4A7E">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644" w:type="pct"/>
                  <w:vMerge w:val="continue"/>
                  <w:tcBorders>
                    <w:tl2br w:val="nil"/>
                    <w:tr2bl w:val="nil"/>
                  </w:tcBorders>
                  <w:vAlign w:val="center"/>
                </w:tcPr>
                <w:p w14:paraId="1727D084">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4C7A80E2">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6B68131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22:06</w:t>
                  </w:r>
                </w:p>
              </w:tc>
              <w:tc>
                <w:tcPr>
                  <w:tcW w:w="1595" w:type="dxa"/>
                  <w:tcBorders>
                    <w:tl2br w:val="nil"/>
                    <w:tr2bl w:val="nil"/>
                  </w:tcBorders>
                  <w:vAlign w:val="center"/>
                </w:tcPr>
                <w:p w14:paraId="0E9162E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62.24</w:t>
                  </w:r>
                </w:p>
              </w:tc>
              <w:tc>
                <w:tcPr>
                  <w:tcW w:w="1597" w:type="dxa"/>
                  <w:tcBorders>
                    <w:tl2br w:val="nil"/>
                    <w:tr2bl w:val="nil"/>
                  </w:tcBorders>
                  <w:vAlign w:val="center"/>
                </w:tcPr>
                <w:p w14:paraId="0F8EC15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58585C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348C6C26">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253D38A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465BA3BC">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6130079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11:14</w:t>
                  </w:r>
                </w:p>
              </w:tc>
              <w:tc>
                <w:tcPr>
                  <w:tcW w:w="1595" w:type="dxa"/>
                  <w:tcBorders>
                    <w:tl2br w:val="nil"/>
                    <w:tr2bl w:val="nil"/>
                  </w:tcBorders>
                  <w:vAlign w:val="center"/>
                </w:tcPr>
                <w:p w14:paraId="6B30259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67.34</w:t>
                  </w:r>
                </w:p>
              </w:tc>
              <w:tc>
                <w:tcPr>
                  <w:tcW w:w="1597" w:type="dxa"/>
                  <w:tcBorders>
                    <w:tl2br w:val="nil"/>
                    <w:tr2bl w:val="nil"/>
                  </w:tcBorders>
                  <w:vAlign w:val="center"/>
                </w:tcPr>
                <w:p w14:paraId="10F10CE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3370D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65B3DAF9">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4F05ABA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316BF6A8">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22B3697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22:08</w:t>
                  </w:r>
                </w:p>
              </w:tc>
              <w:tc>
                <w:tcPr>
                  <w:tcW w:w="1595" w:type="dxa"/>
                  <w:tcBorders>
                    <w:tl2br w:val="nil"/>
                    <w:tr2bl w:val="nil"/>
                  </w:tcBorders>
                  <w:vAlign w:val="center"/>
                </w:tcPr>
                <w:p w14:paraId="339D741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61.34</w:t>
                  </w:r>
                </w:p>
              </w:tc>
              <w:tc>
                <w:tcPr>
                  <w:tcW w:w="1597" w:type="dxa"/>
                  <w:tcBorders>
                    <w:tl2br w:val="nil"/>
                    <w:tr2bl w:val="nil"/>
                  </w:tcBorders>
                  <w:vAlign w:val="center"/>
                </w:tcPr>
                <w:p w14:paraId="38E631F4">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27AA5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2FB6248E">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1042" w:type="dxa"/>
                  <w:vMerge w:val="restart"/>
                  <w:tcBorders>
                    <w:tl2br w:val="nil"/>
                    <w:tr2bl w:val="nil"/>
                  </w:tcBorders>
                  <w:vAlign w:val="center"/>
                </w:tcPr>
                <w:p w14:paraId="70A6E1F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铁路专用线西侧</w:t>
                  </w:r>
                </w:p>
              </w:tc>
              <w:tc>
                <w:tcPr>
                  <w:tcW w:w="1407" w:type="dxa"/>
                  <w:tcBorders>
                    <w:tl2br w:val="nil"/>
                    <w:tr2bl w:val="nil"/>
                  </w:tcBorders>
                  <w:vAlign w:val="center"/>
                </w:tcPr>
                <w:p w14:paraId="7EE4317B">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1687313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14:48</w:t>
                  </w:r>
                </w:p>
              </w:tc>
              <w:tc>
                <w:tcPr>
                  <w:tcW w:w="1595" w:type="dxa"/>
                  <w:tcBorders>
                    <w:tl2br w:val="nil"/>
                    <w:tr2bl w:val="nil"/>
                  </w:tcBorders>
                  <w:vAlign w:val="center"/>
                </w:tcPr>
                <w:p w14:paraId="694EC4E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61.14</w:t>
                  </w:r>
                </w:p>
              </w:tc>
              <w:tc>
                <w:tcPr>
                  <w:tcW w:w="1597" w:type="dxa"/>
                  <w:tcBorders>
                    <w:tl2br w:val="nil"/>
                    <w:tr2bl w:val="nil"/>
                  </w:tcBorders>
                  <w:vAlign w:val="center"/>
                </w:tcPr>
                <w:p w14:paraId="4BC9A20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314B5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68F44DF7">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19E87F3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28FBFDFA">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39A3704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00:02</w:t>
                  </w:r>
                </w:p>
              </w:tc>
              <w:tc>
                <w:tcPr>
                  <w:tcW w:w="1595" w:type="dxa"/>
                  <w:tcBorders>
                    <w:tl2br w:val="nil"/>
                    <w:tr2bl w:val="nil"/>
                  </w:tcBorders>
                  <w:vAlign w:val="center"/>
                </w:tcPr>
                <w:p w14:paraId="0FF9CDE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59.14</w:t>
                  </w:r>
                </w:p>
              </w:tc>
              <w:tc>
                <w:tcPr>
                  <w:tcW w:w="1597" w:type="dxa"/>
                  <w:tcBorders>
                    <w:tl2br w:val="nil"/>
                    <w:tr2bl w:val="nil"/>
                  </w:tcBorders>
                  <w:vAlign w:val="center"/>
                </w:tcPr>
                <w:p w14:paraId="1CACB42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074B48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459BC025">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0CEE8B9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5AEE4AEB">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3551A5B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11:54</w:t>
                  </w:r>
                </w:p>
              </w:tc>
              <w:tc>
                <w:tcPr>
                  <w:tcW w:w="1595" w:type="dxa"/>
                  <w:tcBorders>
                    <w:tl2br w:val="nil"/>
                    <w:tr2bl w:val="nil"/>
                  </w:tcBorders>
                  <w:vAlign w:val="center"/>
                </w:tcPr>
                <w:p w14:paraId="081567D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69.24</w:t>
                  </w:r>
                </w:p>
              </w:tc>
              <w:tc>
                <w:tcPr>
                  <w:tcW w:w="1597" w:type="dxa"/>
                  <w:tcBorders>
                    <w:tl2br w:val="nil"/>
                    <w:tr2bl w:val="nil"/>
                  </w:tcBorders>
                  <w:vAlign w:val="center"/>
                </w:tcPr>
                <w:p w14:paraId="7E99E8C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193C11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1B232C23">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2CA8796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229C4804">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7DFFE73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23:28</w:t>
                  </w:r>
                </w:p>
              </w:tc>
              <w:tc>
                <w:tcPr>
                  <w:tcW w:w="1595" w:type="dxa"/>
                  <w:tcBorders>
                    <w:tl2br w:val="nil"/>
                    <w:tr2bl w:val="nil"/>
                  </w:tcBorders>
                  <w:vAlign w:val="center"/>
                </w:tcPr>
                <w:p w14:paraId="70A4D2B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60.14</w:t>
                  </w:r>
                </w:p>
              </w:tc>
              <w:tc>
                <w:tcPr>
                  <w:tcW w:w="1597" w:type="dxa"/>
                  <w:tcBorders>
                    <w:tl2br w:val="nil"/>
                    <w:tr2bl w:val="nil"/>
                  </w:tcBorders>
                  <w:vAlign w:val="center"/>
                </w:tcPr>
                <w:p w14:paraId="1D62836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53940C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56941BC7">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1042" w:type="dxa"/>
                  <w:vMerge w:val="restart"/>
                  <w:tcBorders>
                    <w:tl2br w:val="nil"/>
                    <w:tr2bl w:val="nil"/>
                  </w:tcBorders>
                  <w:vAlign w:val="center"/>
                </w:tcPr>
                <w:p w14:paraId="3791FDB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铁路专用线北侧</w:t>
                  </w:r>
                </w:p>
              </w:tc>
              <w:tc>
                <w:tcPr>
                  <w:tcW w:w="1407" w:type="dxa"/>
                  <w:tcBorders>
                    <w:tl2br w:val="nil"/>
                    <w:tr2bl w:val="nil"/>
                  </w:tcBorders>
                  <w:vAlign w:val="center"/>
                </w:tcPr>
                <w:p w14:paraId="5D4A2137">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49667D5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15:22</w:t>
                  </w:r>
                </w:p>
              </w:tc>
              <w:tc>
                <w:tcPr>
                  <w:tcW w:w="1595" w:type="dxa"/>
                  <w:tcBorders>
                    <w:tl2br w:val="nil"/>
                    <w:tr2bl w:val="nil"/>
                  </w:tcBorders>
                  <w:vAlign w:val="center"/>
                </w:tcPr>
                <w:p w14:paraId="691C4EB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60.34</w:t>
                  </w:r>
                </w:p>
              </w:tc>
              <w:tc>
                <w:tcPr>
                  <w:tcW w:w="1597" w:type="dxa"/>
                  <w:tcBorders>
                    <w:tl2br w:val="nil"/>
                    <w:tr2bl w:val="nil"/>
                  </w:tcBorders>
                  <w:vAlign w:val="center"/>
                </w:tcPr>
                <w:p w14:paraId="090E724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283F86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5693159E">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2025.12.27</w:t>
                  </w:r>
                </w:p>
              </w:tc>
              <w:tc>
                <w:tcPr>
                  <w:tcW w:w="644" w:type="pct"/>
                  <w:vMerge w:val="continue"/>
                  <w:tcBorders>
                    <w:tl2br w:val="nil"/>
                    <w:tr2bl w:val="nil"/>
                  </w:tcBorders>
                  <w:vAlign w:val="center"/>
                </w:tcPr>
                <w:p w14:paraId="13984F9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21A5EC5C">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2D0A880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23:31</w:t>
                  </w:r>
                </w:p>
              </w:tc>
              <w:tc>
                <w:tcPr>
                  <w:tcW w:w="1595" w:type="dxa"/>
                  <w:tcBorders>
                    <w:tl2br w:val="nil"/>
                    <w:tr2bl w:val="nil"/>
                  </w:tcBorders>
                  <w:vAlign w:val="center"/>
                </w:tcPr>
                <w:p w14:paraId="6824E35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59.14</w:t>
                  </w:r>
                </w:p>
              </w:tc>
              <w:tc>
                <w:tcPr>
                  <w:tcW w:w="1597" w:type="dxa"/>
                  <w:tcBorders>
                    <w:tl2br w:val="nil"/>
                    <w:tr2bl w:val="nil"/>
                  </w:tcBorders>
                  <w:vAlign w:val="center"/>
                </w:tcPr>
                <w:p w14:paraId="6CCDEBA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r w14:paraId="4EAE4A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0B303295">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2025.12.28</w:t>
                  </w:r>
                </w:p>
              </w:tc>
              <w:tc>
                <w:tcPr>
                  <w:tcW w:w="644" w:type="pct"/>
                  <w:vMerge w:val="continue"/>
                  <w:tcBorders>
                    <w:tl2br w:val="nil"/>
                    <w:tr2bl w:val="nil"/>
                  </w:tcBorders>
                  <w:vAlign w:val="center"/>
                </w:tcPr>
                <w:p w14:paraId="25F5413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24FDE879">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昼间</w:t>
                  </w:r>
                </w:p>
              </w:tc>
              <w:tc>
                <w:tcPr>
                  <w:tcW w:w="1409" w:type="dxa"/>
                  <w:tcBorders>
                    <w:tl2br w:val="nil"/>
                    <w:tr2bl w:val="nil"/>
                  </w:tcBorders>
                  <w:vAlign w:val="center"/>
                </w:tcPr>
                <w:p w14:paraId="4B0C6CA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12:35</w:t>
                  </w:r>
                </w:p>
              </w:tc>
              <w:tc>
                <w:tcPr>
                  <w:tcW w:w="1595" w:type="dxa"/>
                  <w:tcBorders>
                    <w:tl2br w:val="nil"/>
                    <w:tr2bl w:val="nil"/>
                  </w:tcBorders>
                  <w:vAlign w:val="center"/>
                </w:tcPr>
                <w:p w14:paraId="00A4358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65.74</w:t>
                  </w:r>
                </w:p>
              </w:tc>
              <w:tc>
                <w:tcPr>
                  <w:tcW w:w="1597" w:type="dxa"/>
                  <w:tcBorders>
                    <w:tl2br w:val="nil"/>
                    <w:tr2bl w:val="nil"/>
                  </w:tcBorders>
                  <w:vAlign w:val="center"/>
                </w:tcPr>
                <w:p w14:paraId="4AEE76E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75</w:t>
                  </w:r>
                </w:p>
              </w:tc>
            </w:tr>
            <w:tr w14:paraId="76A347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2" w:type="dxa"/>
                  <w:tcBorders>
                    <w:tl2br w:val="nil"/>
                    <w:tr2bl w:val="nil"/>
                  </w:tcBorders>
                  <w:vAlign w:val="center"/>
                </w:tcPr>
                <w:p w14:paraId="120445AD">
                  <w:pPr>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cs="Times New Roman"/>
                      <w:color w:val="auto"/>
                      <w:kern w:val="2"/>
                      <w:sz w:val="18"/>
                      <w:szCs w:val="18"/>
                      <w:highlight w:val="none"/>
                      <w:lang w:val="en-US" w:eastAsia="zh-CN" w:bidi="ar-SA"/>
                    </w:rPr>
                    <w:t>2025.12.29</w:t>
                  </w:r>
                </w:p>
              </w:tc>
              <w:tc>
                <w:tcPr>
                  <w:tcW w:w="644" w:type="pct"/>
                  <w:vMerge w:val="continue"/>
                  <w:tcBorders>
                    <w:tl2br w:val="nil"/>
                    <w:tr2bl w:val="nil"/>
                  </w:tcBorders>
                  <w:vAlign w:val="center"/>
                </w:tcPr>
                <w:p w14:paraId="21D0B08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407" w:type="dxa"/>
                  <w:tcBorders>
                    <w:tl2br w:val="nil"/>
                    <w:tr2bl w:val="nil"/>
                  </w:tcBorders>
                  <w:vAlign w:val="center"/>
                </w:tcPr>
                <w:p w14:paraId="22A0BDB9">
                  <w:pPr>
                    <w:widowControl w:val="0"/>
                    <w:autoSpaceDN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rPr>
                    <w:t>夜间</w:t>
                  </w:r>
                </w:p>
              </w:tc>
              <w:tc>
                <w:tcPr>
                  <w:tcW w:w="1409" w:type="dxa"/>
                  <w:tcBorders>
                    <w:tl2br w:val="nil"/>
                    <w:tr2bl w:val="nil"/>
                  </w:tcBorders>
                  <w:vAlign w:val="center"/>
                </w:tcPr>
                <w:p w14:paraId="520842F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bidi="ar-SA"/>
                    </w:rPr>
                    <w:t>00:09</w:t>
                  </w:r>
                </w:p>
              </w:tc>
              <w:tc>
                <w:tcPr>
                  <w:tcW w:w="1595" w:type="dxa"/>
                  <w:tcBorders>
                    <w:tl2br w:val="nil"/>
                    <w:tr2bl w:val="nil"/>
                  </w:tcBorders>
                  <w:vAlign w:val="center"/>
                </w:tcPr>
                <w:p w14:paraId="6D4BFE0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highlight w:val="none"/>
                      <w:lang w:val="en-US" w:eastAsia="zh-CN"/>
                    </w:rPr>
                    <w:t>60.84</w:t>
                  </w:r>
                </w:p>
              </w:tc>
              <w:tc>
                <w:tcPr>
                  <w:tcW w:w="1597" w:type="dxa"/>
                  <w:tcBorders>
                    <w:tl2br w:val="nil"/>
                    <w:tr2bl w:val="nil"/>
                  </w:tcBorders>
                  <w:vAlign w:val="center"/>
                </w:tcPr>
                <w:p w14:paraId="2596C57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72</w:t>
                  </w:r>
                </w:p>
              </w:tc>
            </w:tr>
          </w:tbl>
          <w:p w14:paraId="510E8B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sz w:val="24"/>
                <w:szCs w:val="24"/>
                <w:lang w:val="en-US" w:eastAsia="zh-CN"/>
              </w:rPr>
              <w:t>根据监测结果可知，</w:t>
            </w:r>
            <w:r>
              <w:rPr>
                <w:rFonts w:hint="eastAsia" w:cs="Times New Roman"/>
                <w:sz w:val="24"/>
                <w:szCs w:val="24"/>
                <w:lang w:val="en-US" w:eastAsia="zh-CN"/>
              </w:rPr>
              <w:t>环境振动值</w:t>
            </w:r>
            <w:r>
              <w:rPr>
                <w:rFonts w:hint="eastAsia" w:ascii="Times New Roman" w:hAnsi="Times New Roman" w:eastAsia="宋体" w:cs="Times New Roman"/>
                <w:sz w:val="24"/>
                <w:szCs w:val="24"/>
                <w:lang w:val="en-US" w:eastAsia="zh-CN"/>
              </w:rPr>
              <w:t>可满足《城市区域环境振动标准》（</w:t>
            </w:r>
            <w:r>
              <w:rPr>
                <w:rFonts w:hint="default" w:ascii="Times New Roman" w:hAnsi="Times New Roman" w:eastAsia="宋体" w:cs="Times New Roman"/>
                <w:sz w:val="24"/>
                <w:szCs w:val="24"/>
                <w:lang w:val="en-US" w:eastAsia="zh-CN"/>
              </w:rPr>
              <w:t>GB10070-88</w:t>
            </w:r>
            <w:r>
              <w:rPr>
                <w:rFonts w:hint="eastAsia" w:ascii="Times New Roman" w:hAnsi="Times New Roman" w:eastAsia="宋体" w:cs="Times New Roman"/>
                <w:sz w:val="24"/>
                <w:szCs w:val="24"/>
                <w:lang w:val="en-US" w:eastAsia="zh-CN"/>
              </w:rPr>
              <w:t>）中的工业集中区标准限值。</w:t>
            </w:r>
          </w:p>
        </w:tc>
      </w:tr>
      <w:tr w14:paraId="42D5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4" w:hRule="atLeast"/>
        </w:trPr>
        <w:tc>
          <w:tcPr>
            <w:tcW w:w="427" w:type="dxa"/>
            <w:vAlign w:val="center"/>
          </w:tcPr>
          <w:p w14:paraId="71039D2C">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与项目有关的原有环境污染和生态破坏问题</w:t>
            </w:r>
          </w:p>
        </w:tc>
        <w:tc>
          <w:tcPr>
            <w:tcW w:w="8312" w:type="dxa"/>
            <w:vAlign w:val="top"/>
          </w:tcPr>
          <w:p w14:paraId="0C7E50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eastAsia" w:ascii="Times New Roman" w:hAnsi="Times New Roman" w:eastAsia="宋体" w:cs="Times New Roman"/>
                <w:sz w:val="24"/>
                <w:szCs w:val="24"/>
                <w:lang w:val="en-US" w:eastAsia="zh-CN"/>
              </w:rPr>
              <w:t>本项目为新建铁路专用线项目，</w:t>
            </w:r>
            <w:r>
              <w:rPr>
                <w:rFonts w:hint="eastAsia" w:ascii="Times New Roman" w:hAnsi="Times New Roman" w:cs="Times New Roman"/>
                <w:sz w:val="24"/>
                <w:szCs w:val="24"/>
                <w:lang w:val="en-US" w:eastAsia="zh-CN"/>
              </w:rPr>
              <w:t>本项目接轨于</w:t>
            </w:r>
            <w:r>
              <w:rPr>
                <w:rFonts w:hint="eastAsia" w:ascii="Times New Roman" w:hAnsi="Times New Roman" w:eastAsia="宋体" w:cs="Times New Roman"/>
                <w:sz w:val="24"/>
                <w:szCs w:val="24"/>
                <w:lang w:val="en-US" w:eastAsia="zh-CN"/>
              </w:rPr>
              <w:t>玉溪市大化产业园区铁路专用线化念南至仙福段设计终点（里程</w:t>
            </w:r>
            <w:r>
              <w:rPr>
                <w:rFonts w:hint="default" w:ascii="Times New Roman" w:hAnsi="Times New Roman" w:eastAsia="宋体" w:cs="Times New Roman"/>
                <w:sz w:val="24"/>
                <w:szCs w:val="24"/>
                <w:lang w:val="en-US" w:eastAsia="zh-CN"/>
              </w:rPr>
              <w:t>DXK3+295.11</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，现阶段还未建成投入运营，</w:t>
            </w:r>
            <w:r>
              <w:rPr>
                <w:rFonts w:hint="eastAsia" w:ascii="Times New Roman" w:hAnsi="Times New Roman" w:eastAsia="宋体" w:cs="Times New Roman"/>
                <w:sz w:val="24"/>
                <w:szCs w:val="24"/>
                <w:lang w:val="en-US" w:eastAsia="zh-CN"/>
              </w:rPr>
              <w:t>没有项目有关的原有环境污染和生态破坏问题。</w:t>
            </w:r>
          </w:p>
        </w:tc>
      </w:tr>
      <w:tr w14:paraId="568E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7342FF6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生态环境保护目标</w:t>
            </w:r>
          </w:p>
        </w:tc>
        <w:tc>
          <w:tcPr>
            <w:tcW w:w="8312" w:type="dxa"/>
          </w:tcPr>
          <w:p w14:paraId="610766B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生态环境保护目标</w:t>
            </w:r>
          </w:p>
          <w:p w14:paraId="43A26C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根据调查，项目周边敏感区、环境保护目标调查情况如下：</w:t>
            </w:r>
          </w:p>
          <w:p w14:paraId="501E586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1、环境敏感区</w:t>
            </w:r>
          </w:p>
          <w:p w14:paraId="7143D4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本项目生态环境评价范围内不涉及《建设项目环境影响评价分类管理名录》（2021版）中的第（一）、（二）类环境敏感区，即不包括下列区域：</w:t>
            </w:r>
          </w:p>
          <w:p w14:paraId="698DDB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（一）、国家公园、自然保护区、风景名胜区、世界文化和自然遗产地、海洋特别保护区、饮用水水源保护区；</w:t>
            </w:r>
          </w:p>
          <w:p w14:paraId="4445A0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除（一）外的生态保护红线管控范围，永久基本农田、基本草原、自然公园（森林公园、地质公园、海洋公园等）、重要湿地、天然林，重点保护野生动物栖息地，重点保护野生植物生长繁殖地，重要水生生物的自然产卵场、索饵场、越冬场和洄游通道，天然渔场，水土流失重点预防区和重点治理区、沙化土地封禁保护区、封闭及半封闭海域。</w:t>
            </w:r>
          </w:p>
          <w:p w14:paraId="3CCB967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2、环境保护目标</w:t>
            </w:r>
          </w:p>
          <w:p w14:paraId="2C89F2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（1）生态环境</w:t>
            </w:r>
          </w:p>
          <w:p w14:paraId="229DC3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本项目位于</w:t>
            </w:r>
            <w:r>
              <w:rPr>
                <w:rFonts w:hint="eastAsia" w:ascii="Times New Roman" w:hAnsi="Times New Roman" w:eastAsia="宋体" w:cs="Times New Roman"/>
                <w:i w:val="0"/>
                <w:iCs w:val="0"/>
                <w:color w:val="auto"/>
                <w:sz w:val="24"/>
                <w:szCs w:val="24"/>
                <w:highlight w:val="none"/>
                <w:u w:val="none"/>
                <w:lang w:val="en-US" w:eastAsia="zh-CN"/>
              </w:rPr>
              <w:t>云南新平产业园区内绿色钢城片区</w:t>
            </w:r>
            <w:r>
              <w:rPr>
                <w:rFonts w:hint="eastAsia" w:ascii="Times New Roman" w:hAnsi="Times New Roman" w:eastAsia="宋体" w:cs="Times New Roman"/>
                <w:sz w:val="24"/>
                <w:szCs w:val="24"/>
                <w:lang w:val="en-US" w:eastAsia="zh-CN"/>
              </w:rPr>
              <w:t>，所在区域不涉及自然保护区、风景名胜区、生态功能保护区等需要特殊保护的地区范围。</w:t>
            </w:r>
          </w:p>
          <w:p w14:paraId="22A8D4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（2）大气环境</w:t>
            </w:r>
          </w:p>
          <w:p w14:paraId="2F36B3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 环境空气》</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HJ2.2-2018</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有关规定，对等级公路、铁路项目，分别按项目沿线主要集中式排放源（如服务区、车站大气污染源）排放的污染物计算其评价等级。本项目为</w:t>
            </w:r>
            <w:r>
              <w:rPr>
                <w:rFonts w:hint="eastAsia" w:ascii="Times New Roman" w:hAnsi="Times New Roman" w:cs="Times New Roman"/>
                <w:sz w:val="24"/>
                <w:szCs w:val="24"/>
                <w:lang w:val="en-US" w:eastAsia="zh-CN"/>
              </w:rPr>
              <w:t>仙福钢铁厂</w:t>
            </w:r>
            <w:r>
              <w:rPr>
                <w:rFonts w:hint="eastAsia" w:ascii="Times New Roman" w:hAnsi="Times New Roman" w:eastAsia="宋体" w:cs="Times New Roman"/>
                <w:sz w:val="24"/>
                <w:szCs w:val="24"/>
                <w:lang w:val="en-US" w:eastAsia="zh-CN"/>
              </w:rPr>
              <w:t>铁路专用线建设项目，建成后无面源污染；货物线采用内燃机车牵引，运营后牵引机车大气污染物排放量不大，且属于流动污染源，烟气扩散范围内加上当地年平均风速为</w:t>
            </w:r>
            <w:r>
              <w:rPr>
                <w:rFonts w:hint="eastAsia"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m/s</w:t>
            </w:r>
            <w:r>
              <w:rPr>
                <w:rFonts w:hint="eastAsia" w:ascii="Times New Roman" w:hAnsi="Times New Roman" w:eastAsia="宋体" w:cs="Times New Roman"/>
                <w:sz w:val="24"/>
                <w:szCs w:val="24"/>
                <w:lang w:val="en-US" w:eastAsia="zh-CN"/>
              </w:rPr>
              <w:t>，风速较大，具备良好的污染物稀释、扩散条件，故确定大气环境影响评价工作为三级</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不设置大气环境影响评价范围。</w:t>
            </w:r>
          </w:p>
          <w:p w14:paraId="62AE9B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）声环境</w:t>
            </w:r>
          </w:p>
          <w:p w14:paraId="0C3083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 声环境》（HJ2.4-2021），项目评价范围为线路中心线外两侧200m范围</w:t>
            </w:r>
            <w:r>
              <w:rPr>
                <w:rFonts w:hint="eastAsia" w:ascii="Times New Roman" w:hAnsi="Times New Roman" w:cs="Times New Roman"/>
                <w:sz w:val="24"/>
                <w:szCs w:val="24"/>
                <w:lang w:val="en-US" w:eastAsia="zh-CN"/>
              </w:rPr>
              <w:t>，根据现场踏勘线路中心线外两侧200</w:t>
            </w:r>
            <w:r>
              <w:rPr>
                <w:rFonts w:hint="default" w:ascii="Times New Roman" w:hAnsi="Times New Roman" w:eastAsia="宋体" w:cs="Times New Roman"/>
                <w:sz w:val="24"/>
                <w:szCs w:val="24"/>
                <w:lang w:val="en-US" w:eastAsia="zh-CN"/>
              </w:rPr>
              <w:t>m范围内无居住区、文化区和农村地区等人群较集中的区域，因此，项目无声环境保护目标。</w:t>
            </w:r>
          </w:p>
          <w:p w14:paraId="59751E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eastAsia" w:cs="Times New Roman"/>
                <w:sz w:val="24"/>
                <w:szCs w:val="24"/>
                <w:lang w:val="en-US" w:eastAsia="zh-CN"/>
              </w:rPr>
              <w:t>（4）振动环境</w:t>
            </w:r>
          </w:p>
          <w:p w14:paraId="07553C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eastAsia" w:cs="Times New Roman"/>
                <w:sz w:val="24"/>
                <w:szCs w:val="24"/>
                <w:lang w:val="en-US" w:eastAsia="zh-CN"/>
              </w:rPr>
              <w:t>依据《铁路工程建设项目环境影响评价技术标准》（TB10502-93），振动环境影响评价范围铁路外侧轨道中心线60m以内区域。根据现场调查，专用线沿线及附近区域，60m范围无敏感点，因此，项目无振动环境保护目标。</w:t>
            </w:r>
          </w:p>
          <w:p w14:paraId="04D9D3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）地表水环境</w:t>
            </w:r>
          </w:p>
          <w:p w14:paraId="344105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本项目无生产废水，运营期废水主要为生活污水，</w:t>
            </w:r>
            <w:r>
              <w:rPr>
                <w:rFonts w:hint="eastAsia"/>
                <w:sz w:val="24"/>
                <w:szCs w:val="24"/>
                <w:vertAlign w:val="baseline"/>
                <w:lang w:val="en-US" w:eastAsia="zh-CN"/>
              </w:rPr>
              <w:t>生活污水通过化粪池预处理后，排入新建的一体化污水处理设施，处理能力为10m</w:t>
            </w:r>
            <w:r>
              <w:rPr>
                <w:rFonts w:hint="eastAsia"/>
                <w:sz w:val="24"/>
                <w:szCs w:val="24"/>
                <w:vertAlign w:val="superscript"/>
                <w:lang w:val="en-US" w:eastAsia="zh-CN"/>
              </w:rPr>
              <w:t>3</w:t>
            </w:r>
            <w:r>
              <w:rPr>
                <w:rFonts w:hint="eastAsia"/>
                <w:sz w:val="24"/>
                <w:szCs w:val="24"/>
                <w:vertAlign w:val="baseline"/>
                <w:lang w:val="en-US" w:eastAsia="zh-CN"/>
              </w:rPr>
              <w:t>/d，处理后回用于厂区绿化，不外排</w:t>
            </w:r>
            <w:r>
              <w:rPr>
                <w:rFonts w:hint="eastAsia" w:ascii="Times New Roman" w:hAnsi="Times New Roman" w:eastAsia="宋体" w:cs="Times New Roman"/>
                <w:sz w:val="24"/>
                <w:szCs w:val="24"/>
                <w:lang w:val="en-US" w:eastAsia="zh-CN"/>
              </w:rPr>
              <w:t>，本评价不设地表水评价范围，地表水环境保护目标主要为线路工程东南侧470m处的平甸河</w:t>
            </w:r>
            <w:r>
              <w:rPr>
                <w:rFonts w:hint="default" w:ascii="Times New Roman" w:hAnsi="Times New Roman" w:eastAsia="宋体" w:cs="Times New Roman"/>
                <w:sz w:val="24"/>
                <w:szCs w:val="24"/>
                <w:lang w:val="en-US" w:eastAsia="zh-CN"/>
              </w:rPr>
              <w:t>（大开门段）</w:t>
            </w:r>
            <w:r>
              <w:rPr>
                <w:rFonts w:hint="eastAsia" w:ascii="Times New Roman" w:hAnsi="Times New Roman" w:eastAsia="宋体" w:cs="Times New Roman"/>
                <w:sz w:val="24"/>
                <w:szCs w:val="24"/>
                <w:lang w:val="en-US" w:eastAsia="zh-CN"/>
              </w:rPr>
              <w:t>。</w:t>
            </w:r>
          </w:p>
          <w:p w14:paraId="213438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）地</w:t>
            </w:r>
            <w:r>
              <w:rPr>
                <w:rFonts w:hint="eastAsia" w:cs="Times New Roman"/>
                <w:sz w:val="24"/>
                <w:szCs w:val="24"/>
                <w:lang w:val="en-US" w:eastAsia="zh-CN"/>
              </w:rPr>
              <w:t>下</w:t>
            </w:r>
            <w:r>
              <w:rPr>
                <w:rFonts w:hint="eastAsia" w:ascii="Times New Roman" w:hAnsi="Times New Roman" w:eastAsia="宋体" w:cs="Times New Roman"/>
                <w:sz w:val="24"/>
                <w:szCs w:val="24"/>
                <w:lang w:val="en-US" w:eastAsia="zh-CN"/>
              </w:rPr>
              <w:t>水环境</w:t>
            </w:r>
          </w:p>
          <w:p w14:paraId="79114A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根据《环境影响评价技</w:t>
            </w:r>
            <w:r>
              <w:rPr>
                <w:rFonts w:hint="default" w:ascii="Times New Roman" w:hAnsi="Times New Roman" w:cs="Times New Roman"/>
                <w:sz w:val="24"/>
                <w:szCs w:val="24"/>
                <w:lang w:val="en-US" w:eastAsia="zh-CN"/>
              </w:rPr>
              <w:t>术导则 地下水环境》（HJ610-2016），本项目为新建铁路专用线项目，</w:t>
            </w:r>
            <w:r>
              <w:rPr>
                <w:rFonts w:hint="eastAsia" w:cs="Times New Roman"/>
                <w:sz w:val="24"/>
                <w:szCs w:val="24"/>
                <w:lang w:val="en-US" w:eastAsia="zh-CN"/>
              </w:rPr>
              <w:t>不设机务段，</w:t>
            </w:r>
            <w:r>
              <w:rPr>
                <w:rFonts w:hint="default" w:ascii="Times New Roman" w:hAnsi="Times New Roman" w:cs="Times New Roman"/>
                <w:sz w:val="24"/>
                <w:szCs w:val="24"/>
                <w:lang w:val="en-US" w:eastAsia="zh-CN"/>
              </w:rPr>
              <w:t>项目类别为Ⅳ类，Ⅳ类建</w:t>
            </w:r>
            <w:r>
              <w:rPr>
                <w:rFonts w:hint="eastAsia" w:cs="Times New Roman"/>
                <w:sz w:val="24"/>
                <w:szCs w:val="24"/>
                <w:lang w:val="en-US" w:eastAsia="zh-CN"/>
              </w:rPr>
              <w:t>设项目不开展地下水环境影响评价。</w:t>
            </w:r>
          </w:p>
          <w:p w14:paraId="1F7CFB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项目具体环境保护目标详见下表。</w:t>
            </w:r>
          </w:p>
          <w:p w14:paraId="4C3F42B0">
            <w:pPr>
              <w:bidi w:val="0"/>
              <w:ind w:left="0" w:leftChars="0" w:firstLine="0" w:firstLineChars="0"/>
              <w:jc w:val="center"/>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表3-8  项目环境保护目标一览表</w:t>
            </w:r>
          </w:p>
          <w:tbl>
            <w:tblPr>
              <w:tblStyle w:val="2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044"/>
              <w:gridCol w:w="1094"/>
              <w:gridCol w:w="1174"/>
              <w:gridCol w:w="670"/>
              <w:gridCol w:w="813"/>
              <w:gridCol w:w="814"/>
              <w:gridCol w:w="1818"/>
            </w:tblGrid>
            <w:tr w14:paraId="311F7D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0" w:type="pct"/>
                  <w:vMerge w:val="restart"/>
                  <w:tcBorders>
                    <w:tl2br w:val="nil"/>
                    <w:tr2bl w:val="nil"/>
                  </w:tcBorders>
                  <w:vAlign w:val="center"/>
                </w:tcPr>
                <w:p w14:paraId="137312C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环境</w:t>
                  </w:r>
                </w:p>
                <w:p w14:paraId="01EDCF7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要素</w:t>
                  </w:r>
                </w:p>
              </w:tc>
              <w:tc>
                <w:tcPr>
                  <w:tcW w:w="645" w:type="pct"/>
                  <w:vMerge w:val="restart"/>
                  <w:tcBorders>
                    <w:tl2br w:val="nil"/>
                    <w:tr2bl w:val="nil"/>
                  </w:tcBorders>
                  <w:vAlign w:val="center"/>
                </w:tcPr>
                <w:p w14:paraId="3D3D78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保护目标</w:t>
                  </w:r>
                </w:p>
              </w:tc>
              <w:tc>
                <w:tcPr>
                  <w:tcW w:w="1401" w:type="pct"/>
                  <w:gridSpan w:val="2"/>
                  <w:tcBorders>
                    <w:tl2br w:val="nil"/>
                    <w:tr2bl w:val="nil"/>
                  </w:tcBorders>
                  <w:vAlign w:val="center"/>
                </w:tcPr>
                <w:p w14:paraId="6543D84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坐标</w:t>
                  </w:r>
                </w:p>
              </w:tc>
              <w:tc>
                <w:tcPr>
                  <w:tcW w:w="414" w:type="pct"/>
                  <w:vMerge w:val="restart"/>
                  <w:tcBorders>
                    <w:tl2br w:val="nil"/>
                    <w:tr2bl w:val="nil"/>
                  </w:tcBorders>
                  <w:vAlign w:val="center"/>
                </w:tcPr>
                <w:p w14:paraId="7AAC1C0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方位</w:t>
                  </w:r>
                </w:p>
              </w:tc>
              <w:tc>
                <w:tcPr>
                  <w:tcW w:w="502" w:type="pct"/>
                  <w:vMerge w:val="restart"/>
                  <w:tcBorders>
                    <w:tl2br w:val="nil"/>
                    <w:tr2bl w:val="nil"/>
                  </w:tcBorders>
                  <w:vAlign w:val="center"/>
                </w:tcPr>
                <w:p w14:paraId="653125F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距离/m</w:t>
                  </w:r>
                </w:p>
              </w:tc>
              <w:tc>
                <w:tcPr>
                  <w:tcW w:w="503" w:type="pct"/>
                  <w:vMerge w:val="restart"/>
                  <w:tcBorders>
                    <w:tl2br w:val="nil"/>
                    <w:tr2bl w:val="nil"/>
                  </w:tcBorders>
                  <w:vAlign w:val="center"/>
                </w:tcPr>
                <w:p w14:paraId="0799666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保护对象</w:t>
                  </w:r>
                </w:p>
              </w:tc>
              <w:tc>
                <w:tcPr>
                  <w:tcW w:w="1123" w:type="pct"/>
                  <w:vMerge w:val="restart"/>
                  <w:tcBorders>
                    <w:tl2br w:val="nil"/>
                    <w:tr2bl w:val="nil"/>
                  </w:tcBorders>
                  <w:vAlign w:val="center"/>
                </w:tcPr>
                <w:p w14:paraId="7DBD9A8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环境功能区</w:t>
                  </w:r>
                </w:p>
              </w:tc>
            </w:tr>
            <w:tr w14:paraId="63BFF2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0" w:type="pct"/>
                  <w:vMerge w:val="continue"/>
                  <w:tcBorders>
                    <w:tl2br w:val="nil"/>
                    <w:tr2bl w:val="nil"/>
                  </w:tcBorders>
                  <w:vAlign w:val="center"/>
                </w:tcPr>
                <w:p w14:paraId="44B5D29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pPr>
                </w:p>
              </w:tc>
              <w:tc>
                <w:tcPr>
                  <w:tcW w:w="645" w:type="pct"/>
                  <w:vMerge w:val="continue"/>
                  <w:tcBorders>
                    <w:tl2br w:val="nil"/>
                    <w:tr2bl w:val="nil"/>
                  </w:tcBorders>
                  <w:vAlign w:val="center"/>
                </w:tcPr>
                <w:p w14:paraId="5A51DA3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pPr>
                </w:p>
              </w:tc>
              <w:tc>
                <w:tcPr>
                  <w:tcW w:w="676" w:type="pct"/>
                  <w:tcBorders>
                    <w:tl2br w:val="nil"/>
                    <w:tr2bl w:val="nil"/>
                  </w:tcBorders>
                  <w:vAlign w:val="center"/>
                </w:tcPr>
                <w:p w14:paraId="6AE9AE8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X</w:t>
                  </w:r>
                </w:p>
              </w:tc>
              <w:tc>
                <w:tcPr>
                  <w:tcW w:w="725" w:type="pct"/>
                  <w:tcBorders>
                    <w:tl2br w:val="nil"/>
                    <w:tr2bl w:val="nil"/>
                  </w:tcBorders>
                  <w:vAlign w:val="center"/>
                </w:tcPr>
                <w:p w14:paraId="4148CAD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Y</w:t>
                  </w:r>
                </w:p>
              </w:tc>
              <w:tc>
                <w:tcPr>
                  <w:tcW w:w="414" w:type="pct"/>
                  <w:vMerge w:val="continue"/>
                  <w:tcBorders>
                    <w:tl2br w:val="nil"/>
                    <w:tr2bl w:val="nil"/>
                  </w:tcBorders>
                  <w:vAlign w:val="center"/>
                </w:tcPr>
                <w:p w14:paraId="3E9B6C3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p>
              </w:tc>
              <w:tc>
                <w:tcPr>
                  <w:tcW w:w="502" w:type="pct"/>
                  <w:vMerge w:val="continue"/>
                  <w:tcBorders>
                    <w:tl2br w:val="nil"/>
                    <w:tr2bl w:val="nil"/>
                  </w:tcBorders>
                  <w:vAlign w:val="center"/>
                </w:tcPr>
                <w:p w14:paraId="45C544A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p>
              </w:tc>
              <w:tc>
                <w:tcPr>
                  <w:tcW w:w="503" w:type="pct"/>
                  <w:vMerge w:val="continue"/>
                  <w:tcBorders>
                    <w:tl2br w:val="nil"/>
                    <w:tr2bl w:val="nil"/>
                  </w:tcBorders>
                  <w:vAlign w:val="center"/>
                </w:tcPr>
                <w:p w14:paraId="6B01923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p>
              </w:tc>
              <w:tc>
                <w:tcPr>
                  <w:tcW w:w="1123" w:type="pct"/>
                  <w:vMerge w:val="continue"/>
                  <w:tcBorders>
                    <w:tl2br w:val="nil"/>
                    <w:tr2bl w:val="nil"/>
                  </w:tcBorders>
                  <w:vAlign w:val="center"/>
                </w:tcPr>
                <w:p w14:paraId="7B73E0F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p>
              </w:tc>
            </w:tr>
            <w:tr w14:paraId="6F856B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restart"/>
                  <w:tcBorders>
                    <w:tl2br w:val="nil"/>
                    <w:tr2bl w:val="nil"/>
                  </w:tcBorders>
                  <w:vAlign w:val="center"/>
                </w:tcPr>
                <w:p w14:paraId="3B6A6D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大气环境</w:t>
                  </w:r>
                </w:p>
              </w:tc>
              <w:tc>
                <w:tcPr>
                  <w:tcW w:w="645" w:type="pct"/>
                  <w:tcBorders>
                    <w:tl2br w:val="nil"/>
                    <w:tr2bl w:val="nil"/>
                  </w:tcBorders>
                  <w:vAlign w:val="center"/>
                </w:tcPr>
                <w:p w14:paraId="1FA0DCF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仙福公司生活区</w:t>
                  </w:r>
                </w:p>
              </w:tc>
              <w:tc>
                <w:tcPr>
                  <w:tcW w:w="676" w:type="pct"/>
                  <w:tcBorders>
                    <w:tl2br w:val="nil"/>
                    <w:tr2bl w:val="nil"/>
                  </w:tcBorders>
                  <w:vAlign w:val="center"/>
                </w:tcPr>
                <w:p w14:paraId="77C950B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102°10′25.92″</w:t>
                  </w:r>
                </w:p>
              </w:tc>
              <w:tc>
                <w:tcPr>
                  <w:tcW w:w="725" w:type="pct"/>
                  <w:tcBorders>
                    <w:tl2br w:val="nil"/>
                    <w:tr2bl w:val="nil"/>
                  </w:tcBorders>
                  <w:vAlign w:val="center"/>
                </w:tcPr>
                <w:p w14:paraId="6EE7ED5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24°0′32.32″</w:t>
                  </w:r>
                </w:p>
              </w:tc>
              <w:tc>
                <w:tcPr>
                  <w:tcW w:w="414" w:type="pct"/>
                  <w:tcBorders>
                    <w:tl2br w:val="nil"/>
                    <w:tr2bl w:val="nil"/>
                  </w:tcBorders>
                  <w:vAlign w:val="center"/>
                </w:tcPr>
                <w:p w14:paraId="7675106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西南侧</w:t>
                  </w:r>
                </w:p>
              </w:tc>
              <w:tc>
                <w:tcPr>
                  <w:tcW w:w="502" w:type="pct"/>
                  <w:tcBorders>
                    <w:tl2br w:val="nil"/>
                    <w:tr2bl w:val="nil"/>
                  </w:tcBorders>
                  <w:vAlign w:val="center"/>
                </w:tcPr>
                <w:p w14:paraId="3CEB76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405</w:t>
                  </w:r>
                </w:p>
              </w:tc>
              <w:tc>
                <w:tcPr>
                  <w:tcW w:w="503" w:type="pct"/>
                  <w:tcBorders>
                    <w:tl2br w:val="nil"/>
                    <w:tr2bl w:val="nil"/>
                  </w:tcBorders>
                  <w:vAlign w:val="center"/>
                </w:tcPr>
                <w:p w14:paraId="32C153D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居民，5600人</w:t>
                  </w:r>
                </w:p>
              </w:tc>
              <w:tc>
                <w:tcPr>
                  <w:tcW w:w="1123" w:type="pct"/>
                  <w:vMerge w:val="restart"/>
                  <w:tcBorders>
                    <w:tl2br w:val="nil"/>
                    <w:tr2bl w:val="nil"/>
                  </w:tcBorders>
                  <w:vAlign w:val="center"/>
                </w:tcPr>
                <w:p w14:paraId="372099D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《环境空气质量标准》（GB3095-</w:t>
                  </w:r>
                  <w:r>
                    <w:rPr>
                      <w:rFonts w:hint="eastAsia" w:cs="Times New Roman"/>
                      <w:color w:val="auto"/>
                      <w:sz w:val="18"/>
                      <w:szCs w:val="18"/>
                      <w:highlight w:val="none"/>
                      <w:vertAlign w:val="baseline"/>
                      <w:lang w:val="en-US" w:eastAsia="zh-CN"/>
                    </w:rPr>
                    <w:t>2026</w:t>
                  </w:r>
                  <w:r>
                    <w:rPr>
                      <w:rFonts w:hint="eastAsia" w:ascii="Times New Roman" w:hAnsi="Times New Roman" w:eastAsia="宋体" w:cs="Times New Roman"/>
                      <w:color w:val="auto"/>
                      <w:sz w:val="18"/>
                      <w:szCs w:val="18"/>
                      <w:highlight w:val="none"/>
                      <w:vertAlign w:val="baseline"/>
                      <w:lang w:val="en-US" w:eastAsia="zh-CN"/>
                    </w:rPr>
                    <w:t>）二级标准</w:t>
                  </w:r>
                </w:p>
              </w:tc>
            </w:tr>
            <w:tr w14:paraId="0D34C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tl2br w:val="nil"/>
                    <w:tr2bl w:val="nil"/>
                  </w:tcBorders>
                  <w:vAlign w:val="center"/>
                </w:tcPr>
                <w:p w14:paraId="0A8C20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p>
              </w:tc>
              <w:tc>
                <w:tcPr>
                  <w:tcW w:w="645" w:type="pct"/>
                  <w:tcBorders>
                    <w:tl2br w:val="nil"/>
                    <w:tr2bl w:val="nil"/>
                  </w:tcBorders>
                  <w:vAlign w:val="center"/>
                </w:tcPr>
                <w:p w14:paraId="2BCAF04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大开门社区</w:t>
                  </w:r>
                </w:p>
              </w:tc>
              <w:tc>
                <w:tcPr>
                  <w:tcW w:w="676" w:type="pct"/>
                  <w:tcBorders>
                    <w:tl2br w:val="nil"/>
                    <w:tr2bl w:val="nil"/>
                  </w:tcBorders>
                  <w:vAlign w:val="center"/>
                </w:tcPr>
                <w:p w14:paraId="23DF83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102°10′49.81″</w:t>
                  </w:r>
                </w:p>
              </w:tc>
              <w:tc>
                <w:tcPr>
                  <w:tcW w:w="725" w:type="pct"/>
                  <w:tcBorders>
                    <w:tl2br w:val="nil"/>
                    <w:tr2bl w:val="nil"/>
                  </w:tcBorders>
                  <w:vAlign w:val="center"/>
                </w:tcPr>
                <w:p w14:paraId="3102FEF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24°0′19.91″</w:t>
                  </w:r>
                </w:p>
              </w:tc>
              <w:tc>
                <w:tcPr>
                  <w:tcW w:w="414" w:type="pct"/>
                  <w:tcBorders>
                    <w:tl2br w:val="nil"/>
                    <w:tr2bl w:val="nil"/>
                  </w:tcBorders>
                  <w:vAlign w:val="center"/>
                </w:tcPr>
                <w:p w14:paraId="1354BC2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南侧</w:t>
                  </w:r>
                </w:p>
              </w:tc>
              <w:tc>
                <w:tcPr>
                  <w:tcW w:w="502" w:type="pct"/>
                  <w:tcBorders>
                    <w:tl2br w:val="nil"/>
                    <w:tr2bl w:val="nil"/>
                  </w:tcBorders>
                  <w:vAlign w:val="center"/>
                </w:tcPr>
                <w:p w14:paraId="1496D8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360</w:t>
                  </w:r>
                </w:p>
              </w:tc>
              <w:tc>
                <w:tcPr>
                  <w:tcW w:w="503" w:type="pct"/>
                  <w:tcBorders>
                    <w:tl2br w:val="nil"/>
                    <w:tr2bl w:val="nil"/>
                  </w:tcBorders>
                  <w:vAlign w:val="center"/>
                </w:tcPr>
                <w:p w14:paraId="5136BA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居民，317人</w:t>
                  </w:r>
                </w:p>
              </w:tc>
              <w:tc>
                <w:tcPr>
                  <w:tcW w:w="1123" w:type="pct"/>
                  <w:vMerge w:val="continue"/>
                  <w:tcBorders>
                    <w:tl2br w:val="nil"/>
                    <w:tr2bl w:val="nil"/>
                  </w:tcBorders>
                  <w:vAlign w:val="center"/>
                </w:tcPr>
                <w:p w14:paraId="2D4C0D5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5DAC1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vAlign w:val="center"/>
                </w:tcPr>
                <w:p w14:paraId="0A2FE5A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地表水</w:t>
                  </w:r>
                </w:p>
              </w:tc>
              <w:tc>
                <w:tcPr>
                  <w:tcW w:w="2046" w:type="pct"/>
                  <w:gridSpan w:val="3"/>
                  <w:tcBorders>
                    <w:tl2br w:val="nil"/>
                    <w:tr2bl w:val="nil"/>
                  </w:tcBorders>
                  <w:vAlign w:val="center"/>
                </w:tcPr>
                <w:p w14:paraId="26EE916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平甸河（大开门段）</w:t>
                  </w:r>
                </w:p>
              </w:tc>
              <w:tc>
                <w:tcPr>
                  <w:tcW w:w="414" w:type="pct"/>
                  <w:tcBorders>
                    <w:tl2br w:val="nil"/>
                    <w:tr2bl w:val="nil"/>
                  </w:tcBorders>
                  <w:vAlign w:val="center"/>
                </w:tcPr>
                <w:p w14:paraId="3F154E8E">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东南</w:t>
                  </w:r>
                  <w:r>
                    <w:rPr>
                      <w:rFonts w:hint="default" w:ascii="Times New Roman" w:hAnsi="Times New Roman" w:eastAsia="宋体" w:cs="Times New Roman"/>
                      <w:color w:val="auto"/>
                      <w:sz w:val="18"/>
                      <w:szCs w:val="18"/>
                      <w:highlight w:val="none"/>
                      <w:vertAlign w:val="baseline"/>
                      <w:lang w:val="en-US" w:eastAsia="zh-CN"/>
                    </w:rPr>
                    <w:t>侧</w:t>
                  </w:r>
                </w:p>
              </w:tc>
              <w:tc>
                <w:tcPr>
                  <w:tcW w:w="502" w:type="pct"/>
                  <w:tcBorders>
                    <w:tl2br w:val="nil"/>
                    <w:tr2bl w:val="nil"/>
                  </w:tcBorders>
                  <w:vAlign w:val="center"/>
                </w:tcPr>
                <w:p w14:paraId="71AFBEB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470</w:t>
                  </w:r>
                </w:p>
              </w:tc>
              <w:tc>
                <w:tcPr>
                  <w:tcW w:w="503" w:type="pct"/>
                  <w:tcBorders>
                    <w:tl2br w:val="nil"/>
                    <w:tr2bl w:val="nil"/>
                  </w:tcBorders>
                  <w:vAlign w:val="center"/>
                </w:tcPr>
                <w:p w14:paraId="314BB45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水质</w:t>
                  </w:r>
                </w:p>
              </w:tc>
              <w:tc>
                <w:tcPr>
                  <w:tcW w:w="1123" w:type="pct"/>
                  <w:tcBorders>
                    <w:tl2br w:val="nil"/>
                    <w:tr2bl w:val="nil"/>
                  </w:tcBorders>
                  <w:vAlign w:val="center"/>
                </w:tcPr>
                <w:p w14:paraId="40DDD97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《地表水环境质量标准》（GB3838-2002）Ⅲ类水质标准</w:t>
                  </w:r>
                </w:p>
              </w:tc>
            </w:tr>
            <w:tr w14:paraId="151C2F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vAlign w:val="center"/>
                </w:tcPr>
                <w:p w14:paraId="705C207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噪声</w:t>
                  </w:r>
                </w:p>
              </w:tc>
              <w:tc>
                <w:tcPr>
                  <w:tcW w:w="4795" w:type="dxa"/>
                  <w:gridSpan w:val="5"/>
                  <w:tcBorders>
                    <w:tl2br w:val="nil"/>
                    <w:tr2bl w:val="nil"/>
                  </w:tcBorders>
                  <w:vAlign w:val="center"/>
                </w:tcPr>
                <w:p w14:paraId="7D9F50E7">
                  <w:pPr>
                    <w:pStyle w:val="43"/>
                    <w:ind w:firstLine="0" w:firstLineChars="0"/>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lang w:val="en-US" w:eastAsia="zh-CN"/>
                    </w:rPr>
                    <w:t>专用线200m范围内无敏感点</w:t>
                  </w:r>
                </w:p>
              </w:tc>
              <w:tc>
                <w:tcPr>
                  <w:tcW w:w="814" w:type="dxa"/>
                  <w:tcBorders>
                    <w:tl2br w:val="nil"/>
                    <w:tr2bl w:val="nil"/>
                  </w:tcBorders>
                  <w:vAlign w:val="center"/>
                </w:tcPr>
                <w:p w14:paraId="1E0EA8A0">
                  <w:pPr>
                    <w:pStyle w:val="43"/>
                    <w:ind w:firstLine="0" w:firstLineChars="0"/>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lang w:val="en-US" w:eastAsia="zh-CN"/>
                    </w:rPr>
                    <w:t>声环境</w:t>
                  </w:r>
                </w:p>
              </w:tc>
              <w:tc>
                <w:tcPr>
                  <w:tcW w:w="1818" w:type="dxa"/>
                  <w:tcBorders>
                    <w:tl2br w:val="nil"/>
                    <w:tr2bl w:val="nil"/>
                  </w:tcBorders>
                  <w:vAlign w:val="center"/>
                </w:tcPr>
                <w:p w14:paraId="1699D16C">
                  <w:pPr>
                    <w:pStyle w:val="43"/>
                    <w:ind w:firstLine="0" w:firstLineChars="0"/>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lang w:val="en-US" w:eastAsia="zh-CN"/>
                    </w:rPr>
                    <w:t>《声环境质量标准》（GB3096-2008）中的3类标准</w:t>
                  </w:r>
                </w:p>
              </w:tc>
            </w:tr>
            <w:tr w14:paraId="26DC9F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10" w:type="pct"/>
                  <w:tcBorders>
                    <w:tl2br w:val="nil"/>
                    <w:tr2bl w:val="nil"/>
                  </w:tcBorders>
                  <w:vAlign w:val="center"/>
                </w:tcPr>
                <w:p w14:paraId="717855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振动</w:t>
                  </w:r>
                </w:p>
              </w:tc>
              <w:tc>
                <w:tcPr>
                  <w:tcW w:w="4795" w:type="dxa"/>
                  <w:gridSpan w:val="5"/>
                  <w:tcBorders>
                    <w:tl2br w:val="nil"/>
                    <w:tr2bl w:val="nil"/>
                  </w:tcBorders>
                  <w:vAlign w:val="center"/>
                </w:tcPr>
                <w:p w14:paraId="18ADE341">
                  <w:pPr>
                    <w:pStyle w:val="43"/>
                    <w:ind w:firstLine="0" w:firstLineChars="0"/>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lang w:val="en-US" w:eastAsia="zh-CN"/>
                    </w:rPr>
                    <w:t>专用线60m范围内无敏感点</w:t>
                  </w:r>
                </w:p>
              </w:tc>
              <w:tc>
                <w:tcPr>
                  <w:tcW w:w="814" w:type="dxa"/>
                  <w:tcBorders>
                    <w:tl2br w:val="nil"/>
                    <w:tr2bl w:val="nil"/>
                  </w:tcBorders>
                  <w:vAlign w:val="center"/>
                </w:tcPr>
                <w:p w14:paraId="48D33930">
                  <w:pPr>
                    <w:pStyle w:val="43"/>
                    <w:ind w:firstLine="0" w:firstLineChars="0"/>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lang w:val="en-US" w:eastAsia="zh-CN"/>
                    </w:rPr>
                    <w:t>振动环境</w:t>
                  </w:r>
                </w:p>
              </w:tc>
              <w:tc>
                <w:tcPr>
                  <w:tcW w:w="1818" w:type="dxa"/>
                  <w:tcBorders>
                    <w:tl2br w:val="nil"/>
                    <w:tr2bl w:val="nil"/>
                  </w:tcBorders>
                  <w:vAlign w:val="center"/>
                </w:tcPr>
                <w:p w14:paraId="592B3110">
                  <w:pPr>
                    <w:pStyle w:val="43"/>
                    <w:ind w:firstLine="0" w:firstLineChars="0"/>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lang w:val="en-US" w:eastAsia="zh-CN"/>
                    </w:rPr>
                    <w:t>《城市区域环境振动标准》（GB10070-88）中的工业集中区标准限值</w:t>
                  </w:r>
                </w:p>
              </w:tc>
            </w:tr>
            <w:tr w14:paraId="46D66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l2br w:val="nil"/>
                    <w:tr2bl w:val="nil"/>
                  </w:tcBorders>
                  <w:vAlign w:val="center"/>
                </w:tcPr>
                <w:p w14:paraId="155AD40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生态</w:t>
                  </w:r>
                </w:p>
                <w:p w14:paraId="74A4685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环境</w:t>
                  </w:r>
                </w:p>
              </w:tc>
              <w:tc>
                <w:tcPr>
                  <w:tcW w:w="3466" w:type="pct"/>
                  <w:gridSpan w:val="6"/>
                  <w:tcBorders>
                    <w:tl2br w:val="nil"/>
                    <w:tr2bl w:val="nil"/>
                  </w:tcBorders>
                  <w:vAlign w:val="center"/>
                </w:tcPr>
                <w:p w14:paraId="195916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线路工程两侧3</w:t>
                  </w:r>
                  <w:r>
                    <w:rPr>
                      <w:rFonts w:hint="default" w:ascii="Times New Roman" w:hAnsi="Times New Roman" w:eastAsia="宋体" w:cs="Times New Roman"/>
                      <w:color w:val="auto"/>
                      <w:sz w:val="18"/>
                      <w:szCs w:val="18"/>
                      <w:highlight w:val="none"/>
                      <w:vertAlign w:val="baseline"/>
                      <w:lang w:val="en-US" w:eastAsia="zh-CN"/>
                    </w:rPr>
                    <w:t>00m范围内区域</w:t>
                  </w:r>
                </w:p>
              </w:tc>
              <w:tc>
                <w:tcPr>
                  <w:tcW w:w="1123" w:type="pct"/>
                  <w:tcBorders>
                    <w:tl2br w:val="nil"/>
                    <w:tr2bl w:val="nil"/>
                  </w:tcBorders>
                  <w:vAlign w:val="center"/>
                </w:tcPr>
                <w:p w14:paraId="0B1AEC1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现有生态系统各单元及其功能不应受到影响与削弱，生态多样性不受影响。</w:t>
                  </w:r>
                </w:p>
              </w:tc>
            </w:tr>
          </w:tbl>
          <w:p w14:paraId="26166F41">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s="Times New Roman"/>
                <w:color w:val="0000FF"/>
                <w:highlight w:val="none"/>
                <w:lang w:val="en-US" w:eastAsia="zh-CN"/>
              </w:rPr>
            </w:pPr>
          </w:p>
        </w:tc>
      </w:tr>
      <w:tr w14:paraId="1CB3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27" w:type="dxa"/>
            <w:vAlign w:val="center"/>
          </w:tcPr>
          <w:p w14:paraId="5C95112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评价标准</w:t>
            </w:r>
          </w:p>
        </w:tc>
        <w:tc>
          <w:tcPr>
            <w:tcW w:w="8312" w:type="dxa"/>
          </w:tcPr>
          <w:p w14:paraId="1F5D92C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环境质量标准</w:t>
            </w:r>
          </w:p>
          <w:p w14:paraId="2A4D103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1、环境空气质量标准</w:t>
            </w:r>
          </w:p>
          <w:p w14:paraId="4D4C92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项目所在区域属环境空气二类区，环境空气质量执行《环境空气质量标准》（GB3095-20</w:t>
            </w:r>
            <w:r>
              <w:rPr>
                <w:rFonts w:hint="eastAsia" w:cs="Times New Roman"/>
                <w:sz w:val="24"/>
                <w:szCs w:val="24"/>
                <w:lang w:val="en-US" w:eastAsia="zh-CN"/>
              </w:rPr>
              <w:t>26</w:t>
            </w:r>
            <w:r>
              <w:rPr>
                <w:rFonts w:hint="eastAsia" w:ascii="Times New Roman" w:hAnsi="Times New Roman" w:eastAsia="宋体" w:cs="Times New Roman"/>
                <w:sz w:val="24"/>
                <w:szCs w:val="24"/>
                <w:lang w:val="en-US" w:eastAsia="zh-CN"/>
              </w:rPr>
              <w:t>）中的二级标准限值，具体标准值见下表。</w:t>
            </w:r>
          </w:p>
          <w:p w14:paraId="45CDC6E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 xml:space="preserve">表3-9  环境空气质量标准   </w:t>
            </w:r>
            <w:r>
              <w:rPr>
                <w:rFonts w:hint="eastAsia" w:ascii="黑体" w:hAnsi="黑体" w:eastAsia="黑体" w:cs="黑体"/>
                <w:b w:val="0"/>
                <w:bCs w:val="0"/>
                <w:color w:val="auto"/>
                <w:sz w:val="21"/>
                <w:szCs w:val="21"/>
              </w:rPr>
              <w:t>单位：μg/m</w:t>
            </w:r>
            <w:r>
              <w:rPr>
                <w:rFonts w:hint="eastAsia" w:ascii="黑体" w:hAnsi="黑体" w:eastAsia="黑体" w:cs="黑体"/>
                <w:b w:val="0"/>
                <w:bCs w:val="0"/>
                <w:color w:val="auto"/>
                <w:sz w:val="21"/>
                <w:szCs w:val="21"/>
                <w:vertAlign w:val="superscript"/>
              </w:rPr>
              <w:t>3</w:t>
            </w:r>
          </w:p>
          <w:tbl>
            <w:tblPr>
              <w:tblStyle w:val="22"/>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7"/>
              <w:gridCol w:w="1677"/>
              <w:gridCol w:w="1797"/>
              <w:gridCol w:w="1141"/>
              <w:gridCol w:w="1611"/>
            </w:tblGrid>
            <w:tr w14:paraId="39617D7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4" w:type="pct"/>
                  <w:vMerge w:val="restart"/>
                  <w:tcBorders>
                    <w:tl2br w:val="nil"/>
                    <w:tr2bl w:val="nil"/>
                  </w:tcBorders>
                  <w:vAlign w:val="center"/>
                </w:tcPr>
                <w:p w14:paraId="494EA023">
                  <w:pPr>
                    <w:pStyle w:val="39"/>
                    <w:bidi w:val="0"/>
                    <w:rPr>
                      <w:rFonts w:hint="default"/>
                      <w:color w:val="auto"/>
                    </w:rPr>
                  </w:pPr>
                  <w:r>
                    <w:rPr>
                      <w:rFonts w:hint="default"/>
                      <w:color w:val="auto"/>
                    </w:rPr>
                    <w:t>污染物</w:t>
                  </w:r>
                </w:p>
              </w:tc>
              <w:tc>
                <w:tcPr>
                  <w:tcW w:w="1036" w:type="pct"/>
                  <w:vMerge w:val="restart"/>
                  <w:tcBorders>
                    <w:tl2br w:val="nil"/>
                    <w:tr2bl w:val="nil"/>
                  </w:tcBorders>
                  <w:vAlign w:val="center"/>
                </w:tcPr>
                <w:p w14:paraId="27AB7C55">
                  <w:pPr>
                    <w:pStyle w:val="39"/>
                    <w:bidi w:val="0"/>
                    <w:rPr>
                      <w:rFonts w:hint="default" w:eastAsia="宋体"/>
                      <w:color w:val="auto"/>
                      <w:lang w:val="en-US" w:eastAsia="zh-CN"/>
                    </w:rPr>
                  </w:pPr>
                  <w:r>
                    <w:rPr>
                      <w:rFonts w:hint="eastAsia"/>
                      <w:color w:val="auto"/>
                      <w:lang w:val="en-US" w:eastAsia="zh-CN"/>
                    </w:rPr>
                    <w:t>平均时间</w:t>
                  </w:r>
                </w:p>
              </w:tc>
              <w:tc>
                <w:tcPr>
                  <w:tcW w:w="1110" w:type="pct"/>
                  <w:tcBorders>
                    <w:tl2br w:val="nil"/>
                    <w:tr2bl w:val="nil"/>
                  </w:tcBorders>
                  <w:vAlign w:val="center"/>
                </w:tcPr>
                <w:p w14:paraId="326B7A81">
                  <w:pPr>
                    <w:pStyle w:val="39"/>
                    <w:bidi w:val="0"/>
                    <w:rPr>
                      <w:rFonts w:hint="default" w:eastAsia="宋体"/>
                      <w:color w:val="auto"/>
                      <w:lang w:val="en-US" w:eastAsia="zh-CN"/>
                    </w:rPr>
                  </w:pPr>
                  <w:r>
                    <w:rPr>
                      <w:rFonts w:hint="eastAsia"/>
                      <w:color w:val="auto"/>
                      <w:lang w:val="en-US" w:eastAsia="zh-CN"/>
                    </w:rPr>
                    <w:t>过渡阶段浓度限值</w:t>
                  </w:r>
                </w:p>
              </w:tc>
              <w:tc>
                <w:tcPr>
                  <w:tcW w:w="705" w:type="pct"/>
                  <w:tcBorders>
                    <w:tl2br w:val="nil"/>
                    <w:tr2bl w:val="nil"/>
                  </w:tcBorders>
                  <w:vAlign w:val="center"/>
                </w:tcPr>
                <w:p w14:paraId="5D31C492">
                  <w:pPr>
                    <w:pStyle w:val="39"/>
                    <w:bidi w:val="0"/>
                    <w:rPr>
                      <w:rFonts w:hint="default" w:eastAsia="宋体"/>
                      <w:color w:val="auto"/>
                      <w:lang w:val="en-US" w:eastAsia="zh-CN"/>
                    </w:rPr>
                  </w:pPr>
                  <w:r>
                    <w:rPr>
                      <w:rFonts w:hint="eastAsia"/>
                      <w:color w:val="auto"/>
                      <w:lang w:val="en-US" w:eastAsia="zh-CN"/>
                    </w:rPr>
                    <w:t>浓度限值</w:t>
                  </w:r>
                </w:p>
              </w:tc>
              <w:tc>
                <w:tcPr>
                  <w:tcW w:w="991" w:type="pct"/>
                  <w:vMerge w:val="restart"/>
                  <w:tcBorders>
                    <w:tl2br w:val="nil"/>
                    <w:tr2bl w:val="nil"/>
                  </w:tcBorders>
                  <w:vAlign w:val="center"/>
                </w:tcPr>
                <w:p w14:paraId="340E157E">
                  <w:pPr>
                    <w:pStyle w:val="39"/>
                    <w:bidi w:val="0"/>
                    <w:rPr>
                      <w:rFonts w:hint="default"/>
                      <w:color w:val="auto"/>
                    </w:rPr>
                  </w:pPr>
                  <w:r>
                    <w:rPr>
                      <w:rFonts w:hint="default"/>
                      <w:color w:val="auto"/>
                    </w:rPr>
                    <w:t>备注</w:t>
                  </w:r>
                </w:p>
              </w:tc>
            </w:tr>
            <w:tr w14:paraId="756BE9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4" w:type="pct"/>
                  <w:vMerge w:val="continue"/>
                  <w:tcBorders>
                    <w:tl2br w:val="nil"/>
                    <w:tr2bl w:val="nil"/>
                  </w:tcBorders>
                  <w:vAlign w:val="center"/>
                </w:tcPr>
                <w:p w14:paraId="1A6A32A9">
                  <w:pPr>
                    <w:pStyle w:val="39"/>
                    <w:bidi w:val="0"/>
                    <w:rPr>
                      <w:rFonts w:hint="default"/>
                      <w:color w:val="auto"/>
                    </w:rPr>
                  </w:pPr>
                </w:p>
              </w:tc>
              <w:tc>
                <w:tcPr>
                  <w:tcW w:w="1036" w:type="pct"/>
                  <w:vMerge w:val="continue"/>
                  <w:tcBorders>
                    <w:tl2br w:val="nil"/>
                    <w:tr2bl w:val="nil"/>
                  </w:tcBorders>
                  <w:vAlign w:val="center"/>
                </w:tcPr>
                <w:p w14:paraId="2E8F7601">
                  <w:pPr>
                    <w:pStyle w:val="39"/>
                    <w:bidi w:val="0"/>
                    <w:rPr>
                      <w:rFonts w:hint="default" w:eastAsia="宋体"/>
                      <w:color w:val="auto"/>
                      <w:lang w:val="en-US" w:eastAsia="zh-CN"/>
                    </w:rPr>
                  </w:pPr>
                </w:p>
              </w:tc>
              <w:tc>
                <w:tcPr>
                  <w:tcW w:w="1110" w:type="pct"/>
                  <w:tcBorders>
                    <w:tl2br w:val="nil"/>
                    <w:tr2bl w:val="nil"/>
                  </w:tcBorders>
                  <w:vAlign w:val="center"/>
                </w:tcPr>
                <w:p w14:paraId="09FA01FC">
                  <w:pPr>
                    <w:pStyle w:val="39"/>
                    <w:bidi w:val="0"/>
                    <w:rPr>
                      <w:rFonts w:hint="eastAsia" w:eastAsia="宋体"/>
                      <w:color w:val="auto"/>
                      <w:lang w:val="en-US" w:eastAsia="zh-CN"/>
                    </w:rPr>
                  </w:pPr>
                  <w:r>
                    <w:rPr>
                      <w:rFonts w:hint="eastAsia"/>
                      <w:color w:val="auto"/>
                      <w:lang w:val="en-US" w:eastAsia="zh-CN"/>
                    </w:rPr>
                    <w:t>二级</w:t>
                  </w:r>
                </w:p>
              </w:tc>
              <w:tc>
                <w:tcPr>
                  <w:tcW w:w="705" w:type="pct"/>
                  <w:tcBorders>
                    <w:tl2br w:val="nil"/>
                    <w:tr2bl w:val="nil"/>
                  </w:tcBorders>
                  <w:vAlign w:val="center"/>
                </w:tcPr>
                <w:p w14:paraId="5321F4E8">
                  <w:pPr>
                    <w:pStyle w:val="39"/>
                    <w:bidi w:val="0"/>
                    <w:rPr>
                      <w:rFonts w:hint="eastAsia" w:eastAsia="宋体"/>
                      <w:color w:val="auto"/>
                      <w:lang w:val="en-US" w:eastAsia="zh-CN"/>
                    </w:rPr>
                  </w:pPr>
                  <w:r>
                    <w:rPr>
                      <w:rFonts w:hint="eastAsia"/>
                      <w:color w:val="auto"/>
                      <w:lang w:val="en-US" w:eastAsia="zh-CN"/>
                    </w:rPr>
                    <w:t>二级</w:t>
                  </w:r>
                </w:p>
              </w:tc>
              <w:tc>
                <w:tcPr>
                  <w:tcW w:w="991" w:type="pct"/>
                  <w:vMerge w:val="continue"/>
                  <w:tcBorders>
                    <w:tl2br w:val="nil"/>
                    <w:tr2bl w:val="nil"/>
                  </w:tcBorders>
                  <w:vAlign w:val="center"/>
                </w:tcPr>
                <w:p w14:paraId="6200BE94">
                  <w:pPr>
                    <w:pStyle w:val="39"/>
                    <w:bidi w:val="0"/>
                    <w:rPr>
                      <w:rFonts w:hint="default"/>
                      <w:color w:val="auto"/>
                    </w:rPr>
                  </w:pPr>
                </w:p>
              </w:tc>
            </w:tr>
            <w:tr w14:paraId="00AE5CF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154" w:type="pct"/>
                  <w:vMerge w:val="restart"/>
                  <w:tcBorders>
                    <w:tl2br w:val="nil"/>
                    <w:tr2bl w:val="nil"/>
                  </w:tcBorders>
                  <w:vAlign w:val="center"/>
                </w:tcPr>
                <w:p w14:paraId="6B4D2D78">
                  <w:pPr>
                    <w:pStyle w:val="39"/>
                    <w:bidi w:val="0"/>
                    <w:rPr>
                      <w:rFonts w:hint="default"/>
                      <w:color w:val="auto"/>
                    </w:rPr>
                  </w:pPr>
                  <w:r>
                    <w:rPr>
                      <w:rFonts w:hint="default"/>
                      <w:color w:val="auto"/>
                    </w:rPr>
                    <w:t>SO</w:t>
                  </w:r>
                  <w:r>
                    <w:rPr>
                      <w:rFonts w:hint="default"/>
                      <w:color w:val="auto"/>
                      <w:vertAlign w:val="subscript"/>
                    </w:rPr>
                    <w:t>2</w:t>
                  </w:r>
                </w:p>
              </w:tc>
              <w:tc>
                <w:tcPr>
                  <w:tcW w:w="1036" w:type="pct"/>
                  <w:tcBorders>
                    <w:tl2br w:val="nil"/>
                    <w:tr2bl w:val="nil"/>
                  </w:tcBorders>
                  <w:vAlign w:val="center"/>
                </w:tcPr>
                <w:p w14:paraId="3B77363B">
                  <w:pPr>
                    <w:pStyle w:val="39"/>
                    <w:bidi w:val="0"/>
                    <w:rPr>
                      <w:rFonts w:hint="eastAsia" w:eastAsia="宋体"/>
                      <w:color w:val="auto"/>
                      <w:lang w:val="en-US" w:eastAsia="zh-CN"/>
                    </w:rPr>
                  </w:pPr>
                  <w:r>
                    <w:rPr>
                      <w:rFonts w:hint="eastAsia"/>
                      <w:color w:val="auto"/>
                      <w:lang w:val="en-US" w:eastAsia="zh-CN"/>
                    </w:rPr>
                    <w:t>年平均</w:t>
                  </w:r>
                </w:p>
              </w:tc>
              <w:tc>
                <w:tcPr>
                  <w:tcW w:w="1110" w:type="pct"/>
                  <w:tcBorders>
                    <w:tl2br w:val="nil"/>
                    <w:tr2bl w:val="nil"/>
                  </w:tcBorders>
                  <w:vAlign w:val="center"/>
                </w:tcPr>
                <w:p w14:paraId="0D199A96">
                  <w:pPr>
                    <w:pStyle w:val="39"/>
                    <w:bidi w:val="0"/>
                    <w:rPr>
                      <w:rFonts w:hint="default" w:eastAsia="宋体"/>
                      <w:color w:val="auto"/>
                      <w:lang w:val="en-US" w:eastAsia="zh-CN"/>
                    </w:rPr>
                  </w:pPr>
                  <w:r>
                    <w:rPr>
                      <w:rFonts w:hint="eastAsia"/>
                      <w:color w:val="auto"/>
                      <w:lang w:val="en-US" w:eastAsia="zh-CN"/>
                    </w:rPr>
                    <w:t>60</w:t>
                  </w:r>
                </w:p>
              </w:tc>
              <w:tc>
                <w:tcPr>
                  <w:tcW w:w="705" w:type="pct"/>
                  <w:tcBorders>
                    <w:tl2br w:val="nil"/>
                    <w:tr2bl w:val="nil"/>
                  </w:tcBorders>
                  <w:vAlign w:val="center"/>
                </w:tcPr>
                <w:p w14:paraId="29D80DAA">
                  <w:pPr>
                    <w:pStyle w:val="39"/>
                    <w:bidi w:val="0"/>
                    <w:rPr>
                      <w:rFonts w:hint="default" w:eastAsia="宋体"/>
                      <w:color w:val="auto"/>
                      <w:lang w:val="en-US" w:eastAsia="zh-CN"/>
                    </w:rPr>
                  </w:pPr>
                  <w:r>
                    <w:rPr>
                      <w:rFonts w:hint="eastAsia"/>
                      <w:color w:val="auto"/>
                      <w:lang w:val="en-US" w:eastAsia="zh-CN"/>
                    </w:rPr>
                    <w:t>20</w:t>
                  </w:r>
                </w:p>
              </w:tc>
              <w:tc>
                <w:tcPr>
                  <w:tcW w:w="991" w:type="pct"/>
                  <w:vMerge w:val="restart"/>
                  <w:tcBorders>
                    <w:tl2br w:val="nil"/>
                    <w:tr2bl w:val="nil"/>
                  </w:tcBorders>
                  <w:vAlign w:val="center"/>
                </w:tcPr>
                <w:p w14:paraId="724F8F4A">
                  <w:pPr>
                    <w:pStyle w:val="39"/>
                    <w:bidi w:val="0"/>
                    <w:rPr>
                      <w:rFonts w:hint="default"/>
                      <w:color w:val="auto"/>
                    </w:rPr>
                  </w:pPr>
                  <w:r>
                    <w:rPr>
                      <w:rFonts w:hint="default"/>
                      <w:color w:val="auto"/>
                    </w:rPr>
                    <w:t>《环境空气质量标准》（GB3095-</w:t>
                  </w:r>
                  <w:r>
                    <w:rPr>
                      <w:rFonts w:hint="eastAsia"/>
                      <w:color w:val="auto"/>
                      <w:lang w:val="en-US" w:eastAsia="zh-CN"/>
                    </w:rPr>
                    <w:t>2026</w:t>
                  </w:r>
                  <w:r>
                    <w:rPr>
                      <w:rFonts w:hint="default"/>
                      <w:color w:val="auto"/>
                    </w:rPr>
                    <w:t>）中的二级标准</w:t>
                  </w:r>
                </w:p>
              </w:tc>
            </w:tr>
            <w:tr w14:paraId="6F9059A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154" w:type="pct"/>
                  <w:vMerge w:val="continue"/>
                  <w:tcBorders>
                    <w:tl2br w:val="nil"/>
                    <w:tr2bl w:val="nil"/>
                  </w:tcBorders>
                  <w:vAlign w:val="center"/>
                </w:tcPr>
                <w:p w14:paraId="17D6AB1C">
                  <w:pPr>
                    <w:pStyle w:val="39"/>
                    <w:bidi w:val="0"/>
                  </w:pPr>
                </w:p>
              </w:tc>
              <w:tc>
                <w:tcPr>
                  <w:tcW w:w="1036" w:type="pct"/>
                  <w:tcBorders>
                    <w:tl2br w:val="nil"/>
                    <w:tr2bl w:val="nil"/>
                  </w:tcBorders>
                  <w:vAlign w:val="center"/>
                </w:tcPr>
                <w:p w14:paraId="72A31DF5">
                  <w:pPr>
                    <w:pStyle w:val="39"/>
                    <w:bidi w:val="0"/>
                    <w:rPr>
                      <w:rFonts w:hint="eastAsia" w:eastAsia="宋体"/>
                      <w:color w:val="auto"/>
                      <w:lang w:val="en-US" w:eastAsia="zh-CN"/>
                    </w:rPr>
                  </w:pPr>
                  <w:r>
                    <w:rPr>
                      <w:rFonts w:hint="eastAsia"/>
                      <w:color w:val="auto"/>
                      <w:lang w:val="en-US" w:eastAsia="zh-CN"/>
                    </w:rPr>
                    <w:t>日平均</w:t>
                  </w:r>
                </w:p>
              </w:tc>
              <w:tc>
                <w:tcPr>
                  <w:tcW w:w="1110" w:type="pct"/>
                  <w:tcBorders>
                    <w:tl2br w:val="nil"/>
                    <w:tr2bl w:val="nil"/>
                  </w:tcBorders>
                  <w:vAlign w:val="center"/>
                </w:tcPr>
                <w:p w14:paraId="4B021F41">
                  <w:pPr>
                    <w:pStyle w:val="39"/>
                    <w:bidi w:val="0"/>
                    <w:rPr>
                      <w:rFonts w:hint="default" w:eastAsia="宋体"/>
                      <w:color w:val="auto"/>
                      <w:lang w:val="en-US" w:eastAsia="zh-CN"/>
                    </w:rPr>
                  </w:pPr>
                  <w:r>
                    <w:rPr>
                      <w:rFonts w:hint="eastAsia"/>
                      <w:color w:val="auto"/>
                      <w:lang w:val="en-US" w:eastAsia="zh-CN"/>
                    </w:rPr>
                    <w:t>150</w:t>
                  </w:r>
                </w:p>
              </w:tc>
              <w:tc>
                <w:tcPr>
                  <w:tcW w:w="705" w:type="pct"/>
                  <w:tcBorders>
                    <w:tl2br w:val="nil"/>
                    <w:tr2bl w:val="nil"/>
                  </w:tcBorders>
                  <w:vAlign w:val="center"/>
                </w:tcPr>
                <w:p w14:paraId="2A2D3C7D">
                  <w:pPr>
                    <w:pStyle w:val="39"/>
                    <w:bidi w:val="0"/>
                    <w:rPr>
                      <w:rFonts w:hint="default" w:eastAsia="宋体"/>
                      <w:color w:val="auto"/>
                      <w:lang w:val="en-US" w:eastAsia="zh-CN"/>
                    </w:rPr>
                  </w:pPr>
                  <w:r>
                    <w:rPr>
                      <w:rFonts w:hint="eastAsia"/>
                      <w:color w:val="auto"/>
                      <w:lang w:val="en-US" w:eastAsia="zh-CN"/>
                    </w:rPr>
                    <w:t>50</w:t>
                  </w:r>
                </w:p>
              </w:tc>
              <w:tc>
                <w:tcPr>
                  <w:tcW w:w="991" w:type="pct"/>
                  <w:vMerge w:val="continue"/>
                  <w:tcBorders>
                    <w:tl2br w:val="nil"/>
                    <w:tr2bl w:val="nil"/>
                  </w:tcBorders>
                  <w:vAlign w:val="center"/>
                </w:tcPr>
                <w:p w14:paraId="794B0C20">
                  <w:pPr>
                    <w:pStyle w:val="39"/>
                    <w:bidi w:val="0"/>
                    <w:rPr>
                      <w:rFonts w:hint="default"/>
                      <w:color w:val="auto"/>
                    </w:rPr>
                  </w:pPr>
                </w:p>
              </w:tc>
            </w:tr>
            <w:tr w14:paraId="2B6F845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PrEx>
              <w:trPr>
                <w:trHeight w:val="110" w:hRule="atLeast"/>
                <w:jc w:val="center"/>
              </w:trPr>
              <w:tc>
                <w:tcPr>
                  <w:tcW w:w="1154" w:type="pct"/>
                  <w:vMerge w:val="continue"/>
                  <w:tcBorders>
                    <w:tl2br w:val="nil"/>
                    <w:tr2bl w:val="nil"/>
                  </w:tcBorders>
                  <w:vAlign w:val="center"/>
                </w:tcPr>
                <w:p w14:paraId="133965C2">
                  <w:pPr>
                    <w:pStyle w:val="39"/>
                    <w:bidi w:val="0"/>
                    <w:rPr>
                      <w:rFonts w:hint="default"/>
                      <w:color w:val="auto"/>
                    </w:rPr>
                  </w:pPr>
                </w:p>
              </w:tc>
              <w:tc>
                <w:tcPr>
                  <w:tcW w:w="1036" w:type="pct"/>
                  <w:tcBorders>
                    <w:tl2br w:val="nil"/>
                    <w:tr2bl w:val="nil"/>
                  </w:tcBorders>
                  <w:vAlign w:val="center"/>
                </w:tcPr>
                <w:p w14:paraId="02B11204">
                  <w:pPr>
                    <w:pStyle w:val="39"/>
                    <w:bidi w:val="0"/>
                    <w:rPr>
                      <w:rFonts w:hint="default" w:eastAsia="宋体"/>
                      <w:color w:val="auto"/>
                      <w:lang w:val="en-US" w:eastAsia="zh-CN"/>
                    </w:rPr>
                  </w:pPr>
                  <w:r>
                    <w:rPr>
                      <w:rFonts w:hint="eastAsia"/>
                      <w:color w:val="auto"/>
                      <w:lang w:val="en-US" w:eastAsia="zh-CN"/>
                    </w:rPr>
                    <w:t>1小时平均</w:t>
                  </w:r>
                </w:p>
              </w:tc>
              <w:tc>
                <w:tcPr>
                  <w:tcW w:w="1110" w:type="pct"/>
                  <w:tcBorders>
                    <w:tl2br w:val="nil"/>
                    <w:tr2bl w:val="nil"/>
                  </w:tcBorders>
                  <w:vAlign w:val="center"/>
                </w:tcPr>
                <w:p w14:paraId="226EDA28">
                  <w:pPr>
                    <w:pStyle w:val="39"/>
                    <w:bidi w:val="0"/>
                    <w:rPr>
                      <w:rFonts w:hint="default" w:eastAsia="宋体"/>
                      <w:color w:val="auto"/>
                      <w:lang w:val="en-US" w:eastAsia="zh-CN"/>
                    </w:rPr>
                  </w:pPr>
                  <w:r>
                    <w:rPr>
                      <w:rFonts w:hint="eastAsia"/>
                      <w:color w:val="auto"/>
                      <w:lang w:val="en-US" w:eastAsia="zh-CN"/>
                    </w:rPr>
                    <w:t>500</w:t>
                  </w:r>
                </w:p>
              </w:tc>
              <w:tc>
                <w:tcPr>
                  <w:tcW w:w="705" w:type="pct"/>
                  <w:tcBorders>
                    <w:tl2br w:val="nil"/>
                    <w:tr2bl w:val="nil"/>
                  </w:tcBorders>
                  <w:vAlign w:val="center"/>
                </w:tcPr>
                <w:p w14:paraId="4F4011D1">
                  <w:pPr>
                    <w:pStyle w:val="39"/>
                    <w:bidi w:val="0"/>
                    <w:rPr>
                      <w:rFonts w:hint="default" w:eastAsia="宋体"/>
                      <w:color w:val="auto"/>
                      <w:lang w:val="en-US" w:eastAsia="zh-CN"/>
                    </w:rPr>
                  </w:pPr>
                  <w:r>
                    <w:rPr>
                      <w:rFonts w:hint="eastAsia"/>
                      <w:color w:val="auto"/>
                      <w:lang w:val="en-US" w:eastAsia="zh-CN"/>
                    </w:rPr>
                    <w:t>150</w:t>
                  </w:r>
                </w:p>
              </w:tc>
              <w:tc>
                <w:tcPr>
                  <w:tcW w:w="991" w:type="pct"/>
                  <w:vMerge w:val="continue"/>
                  <w:tcBorders>
                    <w:tl2br w:val="nil"/>
                    <w:tr2bl w:val="nil"/>
                  </w:tcBorders>
                  <w:vAlign w:val="center"/>
                </w:tcPr>
                <w:p w14:paraId="307B619D">
                  <w:pPr>
                    <w:pStyle w:val="39"/>
                    <w:bidi w:val="0"/>
                    <w:rPr>
                      <w:rFonts w:hint="default"/>
                      <w:color w:val="auto"/>
                    </w:rPr>
                  </w:pPr>
                </w:p>
              </w:tc>
            </w:tr>
            <w:tr w14:paraId="294044B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154" w:type="pct"/>
                  <w:vMerge w:val="restart"/>
                  <w:tcBorders>
                    <w:tl2br w:val="nil"/>
                    <w:tr2bl w:val="nil"/>
                  </w:tcBorders>
                  <w:vAlign w:val="center"/>
                </w:tcPr>
                <w:p w14:paraId="57BD6659">
                  <w:pPr>
                    <w:pStyle w:val="39"/>
                    <w:bidi w:val="0"/>
                    <w:rPr>
                      <w:rFonts w:hint="default"/>
                      <w:color w:val="auto"/>
                    </w:rPr>
                  </w:pPr>
                  <w:r>
                    <w:rPr>
                      <w:rFonts w:hint="default"/>
                      <w:color w:val="auto"/>
                    </w:rPr>
                    <w:t>NO</w:t>
                  </w:r>
                  <w:r>
                    <w:rPr>
                      <w:rFonts w:hint="default"/>
                      <w:color w:val="auto"/>
                      <w:vertAlign w:val="subscript"/>
                    </w:rPr>
                    <w:t>2</w:t>
                  </w:r>
                </w:p>
              </w:tc>
              <w:tc>
                <w:tcPr>
                  <w:tcW w:w="1036" w:type="pct"/>
                  <w:tcBorders>
                    <w:tl2br w:val="nil"/>
                    <w:tr2bl w:val="nil"/>
                  </w:tcBorders>
                  <w:vAlign w:val="center"/>
                </w:tcPr>
                <w:p w14:paraId="2FF62819">
                  <w:pPr>
                    <w:pStyle w:val="39"/>
                    <w:bidi w:val="0"/>
                    <w:ind w:firstLine="0" w:firstLineChars="0"/>
                    <w:rPr>
                      <w:rFonts w:hint="default"/>
                      <w:color w:val="auto"/>
                    </w:rPr>
                  </w:pPr>
                  <w:r>
                    <w:rPr>
                      <w:rFonts w:hint="eastAsia"/>
                      <w:color w:val="auto"/>
                      <w:lang w:val="en-US" w:eastAsia="zh-CN"/>
                    </w:rPr>
                    <w:t>年平均</w:t>
                  </w:r>
                </w:p>
              </w:tc>
              <w:tc>
                <w:tcPr>
                  <w:tcW w:w="1110" w:type="pct"/>
                  <w:tcBorders>
                    <w:tl2br w:val="nil"/>
                    <w:tr2bl w:val="nil"/>
                  </w:tcBorders>
                  <w:vAlign w:val="center"/>
                </w:tcPr>
                <w:p w14:paraId="62EA5ED9">
                  <w:pPr>
                    <w:pStyle w:val="39"/>
                    <w:bidi w:val="0"/>
                    <w:rPr>
                      <w:rFonts w:hint="default" w:eastAsia="宋体"/>
                      <w:color w:val="auto"/>
                      <w:lang w:val="en-US" w:eastAsia="zh-CN"/>
                    </w:rPr>
                  </w:pPr>
                  <w:r>
                    <w:rPr>
                      <w:rFonts w:hint="eastAsia"/>
                      <w:color w:val="auto"/>
                      <w:lang w:val="en-US" w:eastAsia="zh-CN"/>
                    </w:rPr>
                    <w:t>40</w:t>
                  </w:r>
                </w:p>
              </w:tc>
              <w:tc>
                <w:tcPr>
                  <w:tcW w:w="705" w:type="pct"/>
                  <w:tcBorders>
                    <w:tl2br w:val="nil"/>
                    <w:tr2bl w:val="nil"/>
                  </w:tcBorders>
                  <w:vAlign w:val="center"/>
                </w:tcPr>
                <w:p w14:paraId="0C135400">
                  <w:pPr>
                    <w:pStyle w:val="39"/>
                    <w:bidi w:val="0"/>
                    <w:rPr>
                      <w:rFonts w:hint="default" w:eastAsia="宋体"/>
                      <w:color w:val="auto"/>
                      <w:lang w:val="en-US" w:eastAsia="zh-CN"/>
                    </w:rPr>
                  </w:pPr>
                  <w:r>
                    <w:rPr>
                      <w:rFonts w:hint="eastAsia"/>
                      <w:color w:val="auto"/>
                      <w:lang w:val="en-US" w:eastAsia="zh-CN"/>
                    </w:rPr>
                    <w:t>30</w:t>
                  </w:r>
                </w:p>
              </w:tc>
              <w:tc>
                <w:tcPr>
                  <w:tcW w:w="991" w:type="pct"/>
                  <w:vMerge w:val="continue"/>
                  <w:tcBorders>
                    <w:tl2br w:val="nil"/>
                    <w:tr2bl w:val="nil"/>
                  </w:tcBorders>
                  <w:vAlign w:val="center"/>
                </w:tcPr>
                <w:p w14:paraId="3205B6AE">
                  <w:pPr>
                    <w:pStyle w:val="39"/>
                    <w:bidi w:val="0"/>
                    <w:rPr>
                      <w:rFonts w:hint="default"/>
                      <w:color w:val="auto"/>
                    </w:rPr>
                  </w:pPr>
                </w:p>
              </w:tc>
            </w:tr>
            <w:tr w14:paraId="3A39A8C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154" w:type="pct"/>
                  <w:vMerge w:val="continue"/>
                  <w:tcBorders>
                    <w:tl2br w:val="nil"/>
                    <w:tr2bl w:val="nil"/>
                  </w:tcBorders>
                  <w:vAlign w:val="center"/>
                </w:tcPr>
                <w:p w14:paraId="2C3540D5">
                  <w:pPr>
                    <w:pStyle w:val="39"/>
                    <w:bidi w:val="0"/>
                  </w:pPr>
                </w:p>
              </w:tc>
              <w:tc>
                <w:tcPr>
                  <w:tcW w:w="1036" w:type="pct"/>
                  <w:tcBorders>
                    <w:tl2br w:val="nil"/>
                    <w:tr2bl w:val="nil"/>
                  </w:tcBorders>
                  <w:vAlign w:val="center"/>
                </w:tcPr>
                <w:p w14:paraId="6C9E3685">
                  <w:pPr>
                    <w:pStyle w:val="39"/>
                    <w:bidi w:val="0"/>
                    <w:ind w:firstLine="0" w:firstLineChars="0"/>
                    <w:rPr>
                      <w:rFonts w:hint="default"/>
                      <w:color w:val="auto"/>
                    </w:rPr>
                  </w:pPr>
                  <w:r>
                    <w:rPr>
                      <w:rFonts w:hint="eastAsia"/>
                      <w:color w:val="auto"/>
                      <w:lang w:val="en-US" w:eastAsia="zh-CN"/>
                    </w:rPr>
                    <w:t>日平均</w:t>
                  </w:r>
                </w:p>
              </w:tc>
              <w:tc>
                <w:tcPr>
                  <w:tcW w:w="1110" w:type="pct"/>
                  <w:tcBorders>
                    <w:tl2br w:val="nil"/>
                    <w:tr2bl w:val="nil"/>
                  </w:tcBorders>
                  <w:vAlign w:val="center"/>
                </w:tcPr>
                <w:p w14:paraId="0015667D">
                  <w:pPr>
                    <w:pStyle w:val="39"/>
                    <w:bidi w:val="0"/>
                    <w:rPr>
                      <w:rFonts w:hint="default" w:eastAsia="宋体"/>
                      <w:color w:val="auto"/>
                      <w:lang w:val="en-US" w:eastAsia="zh-CN"/>
                    </w:rPr>
                  </w:pPr>
                  <w:r>
                    <w:rPr>
                      <w:rFonts w:hint="eastAsia"/>
                      <w:color w:val="auto"/>
                      <w:lang w:val="en-US" w:eastAsia="zh-CN"/>
                    </w:rPr>
                    <w:t>80</w:t>
                  </w:r>
                </w:p>
              </w:tc>
              <w:tc>
                <w:tcPr>
                  <w:tcW w:w="705" w:type="pct"/>
                  <w:tcBorders>
                    <w:tl2br w:val="nil"/>
                    <w:tr2bl w:val="nil"/>
                  </w:tcBorders>
                  <w:vAlign w:val="center"/>
                </w:tcPr>
                <w:p w14:paraId="011C8357">
                  <w:pPr>
                    <w:pStyle w:val="39"/>
                    <w:bidi w:val="0"/>
                    <w:rPr>
                      <w:rFonts w:hint="default" w:eastAsia="宋体"/>
                      <w:color w:val="auto"/>
                      <w:lang w:val="en-US" w:eastAsia="zh-CN"/>
                    </w:rPr>
                  </w:pPr>
                  <w:r>
                    <w:rPr>
                      <w:rFonts w:hint="eastAsia"/>
                      <w:color w:val="auto"/>
                      <w:lang w:val="en-US" w:eastAsia="zh-CN"/>
                    </w:rPr>
                    <w:t>50</w:t>
                  </w:r>
                </w:p>
              </w:tc>
              <w:tc>
                <w:tcPr>
                  <w:tcW w:w="991" w:type="pct"/>
                  <w:vMerge w:val="continue"/>
                  <w:tcBorders>
                    <w:tl2br w:val="nil"/>
                    <w:tr2bl w:val="nil"/>
                  </w:tcBorders>
                  <w:vAlign w:val="center"/>
                </w:tcPr>
                <w:p w14:paraId="4E7185FA">
                  <w:pPr>
                    <w:pStyle w:val="39"/>
                    <w:bidi w:val="0"/>
                    <w:rPr>
                      <w:rFonts w:hint="default"/>
                      <w:color w:val="auto"/>
                    </w:rPr>
                  </w:pPr>
                </w:p>
              </w:tc>
            </w:tr>
            <w:tr w14:paraId="493273E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154" w:type="pct"/>
                  <w:vMerge w:val="continue"/>
                  <w:tcBorders>
                    <w:tl2br w:val="nil"/>
                    <w:tr2bl w:val="nil"/>
                  </w:tcBorders>
                  <w:vAlign w:val="center"/>
                </w:tcPr>
                <w:p w14:paraId="4F3D8925">
                  <w:pPr>
                    <w:pStyle w:val="39"/>
                    <w:bidi w:val="0"/>
                    <w:rPr>
                      <w:rFonts w:hint="default"/>
                      <w:color w:val="auto"/>
                    </w:rPr>
                  </w:pPr>
                </w:p>
              </w:tc>
              <w:tc>
                <w:tcPr>
                  <w:tcW w:w="1036" w:type="pct"/>
                  <w:tcBorders>
                    <w:tl2br w:val="nil"/>
                    <w:tr2bl w:val="nil"/>
                  </w:tcBorders>
                  <w:vAlign w:val="center"/>
                </w:tcPr>
                <w:p w14:paraId="4EDDBEB6">
                  <w:pPr>
                    <w:pStyle w:val="39"/>
                    <w:bidi w:val="0"/>
                    <w:ind w:firstLine="0" w:firstLineChars="0"/>
                    <w:rPr>
                      <w:rFonts w:hint="default"/>
                      <w:color w:val="auto"/>
                    </w:rPr>
                  </w:pPr>
                  <w:r>
                    <w:rPr>
                      <w:rFonts w:hint="eastAsia"/>
                      <w:color w:val="auto"/>
                      <w:lang w:val="en-US" w:eastAsia="zh-CN"/>
                    </w:rPr>
                    <w:t>1小时平均</w:t>
                  </w:r>
                </w:p>
              </w:tc>
              <w:tc>
                <w:tcPr>
                  <w:tcW w:w="1110" w:type="pct"/>
                  <w:tcBorders>
                    <w:tl2br w:val="nil"/>
                    <w:tr2bl w:val="nil"/>
                  </w:tcBorders>
                  <w:vAlign w:val="center"/>
                </w:tcPr>
                <w:p w14:paraId="76DC1669">
                  <w:pPr>
                    <w:pStyle w:val="39"/>
                    <w:bidi w:val="0"/>
                    <w:rPr>
                      <w:rFonts w:hint="default" w:eastAsia="宋体"/>
                      <w:color w:val="auto"/>
                      <w:lang w:val="en-US" w:eastAsia="zh-CN"/>
                    </w:rPr>
                  </w:pPr>
                  <w:r>
                    <w:rPr>
                      <w:rFonts w:hint="eastAsia"/>
                      <w:color w:val="auto"/>
                      <w:lang w:val="en-US" w:eastAsia="zh-CN"/>
                    </w:rPr>
                    <w:t>200</w:t>
                  </w:r>
                </w:p>
              </w:tc>
              <w:tc>
                <w:tcPr>
                  <w:tcW w:w="705" w:type="pct"/>
                  <w:tcBorders>
                    <w:tl2br w:val="nil"/>
                    <w:tr2bl w:val="nil"/>
                  </w:tcBorders>
                  <w:vAlign w:val="center"/>
                </w:tcPr>
                <w:p w14:paraId="7BCF982E">
                  <w:pPr>
                    <w:pStyle w:val="39"/>
                    <w:bidi w:val="0"/>
                    <w:rPr>
                      <w:rFonts w:hint="default" w:eastAsia="宋体"/>
                      <w:color w:val="auto"/>
                      <w:lang w:val="en-US" w:eastAsia="zh-CN"/>
                    </w:rPr>
                  </w:pPr>
                  <w:r>
                    <w:rPr>
                      <w:rFonts w:hint="eastAsia"/>
                      <w:color w:val="auto"/>
                      <w:lang w:val="en-US" w:eastAsia="zh-CN"/>
                    </w:rPr>
                    <w:t>200</w:t>
                  </w:r>
                </w:p>
              </w:tc>
              <w:tc>
                <w:tcPr>
                  <w:tcW w:w="991" w:type="pct"/>
                  <w:vMerge w:val="continue"/>
                  <w:tcBorders>
                    <w:tl2br w:val="nil"/>
                    <w:tr2bl w:val="nil"/>
                  </w:tcBorders>
                  <w:vAlign w:val="center"/>
                </w:tcPr>
                <w:p w14:paraId="6819AC68">
                  <w:pPr>
                    <w:pStyle w:val="39"/>
                    <w:bidi w:val="0"/>
                    <w:rPr>
                      <w:rFonts w:hint="default"/>
                      <w:color w:val="auto"/>
                    </w:rPr>
                  </w:pPr>
                </w:p>
              </w:tc>
            </w:tr>
            <w:tr w14:paraId="45F88EC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restart"/>
                  <w:tcBorders>
                    <w:tl2br w:val="nil"/>
                    <w:tr2bl w:val="nil"/>
                  </w:tcBorders>
                  <w:vAlign w:val="center"/>
                </w:tcPr>
                <w:p w14:paraId="325E5E51">
                  <w:pPr>
                    <w:pStyle w:val="39"/>
                    <w:bidi w:val="0"/>
                    <w:rPr>
                      <w:rFonts w:hint="default"/>
                      <w:color w:val="auto"/>
                    </w:rPr>
                  </w:pPr>
                  <w:r>
                    <w:rPr>
                      <w:rFonts w:hint="default"/>
                      <w:color w:val="auto"/>
                    </w:rPr>
                    <w:t>PM</w:t>
                  </w:r>
                  <w:r>
                    <w:rPr>
                      <w:rFonts w:hint="default"/>
                      <w:color w:val="auto"/>
                      <w:vertAlign w:val="subscript"/>
                    </w:rPr>
                    <w:t>10</w:t>
                  </w:r>
                </w:p>
              </w:tc>
              <w:tc>
                <w:tcPr>
                  <w:tcW w:w="1036" w:type="pct"/>
                  <w:tcBorders>
                    <w:tl2br w:val="nil"/>
                    <w:tr2bl w:val="nil"/>
                  </w:tcBorders>
                  <w:vAlign w:val="center"/>
                </w:tcPr>
                <w:p w14:paraId="7CC1094B">
                  <w:pPr>
                    <w:pStyle w:val="39"/>
                    <w:bidi w:val="0"/>
                    <w:ind w:firstLine="0" w:firstLineChars="0"/>
                    <w:rPr>
                      <w:rFonts w:hint="default"/>
                      <w:color w:val="auto"/>
                    </w:rPr>
                  </w:pPr>
                  <w:r>
                    <w:rPr>
                      <w:rFonts w:hint="eastAsia"/>
                      <w:color w:val="auto"/>
                      <w:lang w:val="en-US" w:eastAsia="zh-CN"/>
                    </w:rPr>
                    <w:t>年平均</w:t>
                  </w:r>
                </w:p>
              </w:tc>
              <w:tc>
                <w:tcPr>
                  <w:tcW w:w="1110" w:type="pct"/>
                  <w:tcBorders>
                    <w:tl2br w:val="nil"/>
                    <w:tr2bl w:val="nil"/>
                  </w:tcBorders>
                  <w:vAlign w:val="center"/>
                </w:tcPr>
                <w:p w14:paraId="159BC83D">
                  <w:pPr>
                    <w:pStyle w:val="39"/>
                    <w:bidi w:val="0"/>
                    <w:rPr>
                      <w:rFonts w:hint="default" w:eastAsia="宋体"/>
                      <w:color w:val="auto"/>
                      <w:lang w:val="en-US" w:eastAsia="zh-CN"/>
                    </w:rPr>
                  </w:pPr>
                  <w:r>
                    <w:rPr>
                      <w:rFonts w:hint="eastAsia"/>
                      <w:color w:val="auto"/>
                      <w:lang w:val="en-US" w:eastAsia="zh-CN"/>
                    </w:rPr>
                    <w:t>60</w:t>
                  </w:r>
                </w:p>
              </w:tc>
              <w:tc>
                <w:tcPr>
                  <w:tcW w:w="705" w:type="pct"/>
                  <w:tcBorders>
                    <w:tl2br w:val="nil"/>
                    <w:tr2bl w:val="nil"/>
                  </w:tcBorders>
                  <w:vAlign w:val="center"/>
                </w:tcPr>
                <w:p w14:paraId="3BB63CA7">
                  <w:pPr>
                    <w:pStyle w:val="39"/>
                    <w:bidi w:val="0"/>
                    <w:rPr>
                      <w:rFonts w:hint="default" w:eastAsia="宋体"/>
                      <w:color w:val="auto"/>
                      <w:lang w:val="en-US" w:eastAsia="zh-CN"/>
                    </w:rPr>
                  </w:pPr>
                  <w:r>
                    <w:rPr>
                      <w:rFonts w:hint="eastAsia"/>
                      <w:color w:val="auto"/>
                      <w:lang w:val="en-US" w:eastAsia="zh-CN"/>
                    </w:rPr>
                    <w:t>50</w:t>
                  </w:r>
                </w:p>
              </w:tc>
              <w:tc>
                <w:tcPr>
                  <w:tcW w:w="991" w:type="pct"/>
                  <w:vMerge w:val="continue"/>
                  <w:tcBorders>
                    <w:tl2br w:val="nil"/>
                    <w:tr2bl w:val="nil"/>
                  </w:tcBorders>
                  <w:vAlign w:val="center"/>
                </w:tcPr>
                <w:p w14:paraId="0135D764">
                  <w:pPr>
                    <w:pStyle w:val="39"/>
                    <w:bidi w:val="0"/>
                    <w:rPr>
                      <w:rFonts w:hint="default"/>
                      <w:color w:val="auto"/>
                    </w:rPr>
                  </w:pPr>
                </w:p>
              </w:tc>
            </w:tr>
            <w:tr w14:paraId="69BBE0B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continue"/>
                  <w:tcBorders>
                    <w:tl2br w:val="nil"/>
                    <w:tr2bl w:val="nil"/>
                  </w:tcBorders>
                  <w:vAlign w:val="center"/>
                </w:tcPr>
                <w:p w14:paraId="1623CFA7">
                  <w:pPr>
                    <w:pStyle w:val="39"/>
                    <w:bidi w:val="0"/>
                  </w:pPr>
                </w:p>
              </w:tc>
              <w:tc>
                <w:tcPr>
                  <w:tcW w:w="1036" w:type="pct"/>
                  <w:tcBorders>
                    <w:tl2br w:val="nil"/>
                    <w:tr2bl w:val="nil"/>
                  </w:tcBorders>
                  <w:vAlign w:val="center"/>
                </w:tcPr>
                <w:p w14:paraId="5BB174E3">
                  <w:pPr>
                    <w:pStyle w:val="39"/>
                    <w:bidi w:val="0"/>
                    <w:ind w:firstLine="0" w:firstLineChars="0"/>
                    <w:rPr>
                      <w:rFonts w:hint="default"/>
                      <w:color w:val="auto"/>
                    </w:rPr>
                  </w:pPr>
                  <w:r>
                    <w:rPr>
                      <w:rFonts w:hint="eastAsia"/>
                      <w:color w:val="auto"/>
                      <w:lang w:val="en-US" w:eastAsia="zh-CN"/>
                    </w:rPr>
                    <w:t>日平均</w:t>
                  </w:r>
                </w:p>
              </w:tc>
              <w:tc>
                <w:tcPr>
                  <w:tcW w:w="1110" w:type="pct"/>
                  <w:tcBorders>
                    <w:tl2br w:val="nil"/>
                    <w:tr2bl w:val="nil"/>
                  </w:tcBorders>
                  <w:vAlign w:val="center"/>
                </w:tcPr>
                <w:p w14:paraId="760D2C59">
                  <w:pPr>
                    <w:pStyle w:val="39"/>
                    <w:bidi w:val="0"/>
                    <w:rPr>
                      <w:rFonts w:hint="default" w:eastAsia="宋体"/>
                      <w:color w:val="auto"/>
                      <w:lang w:val="en-US" w:eastAsia="zh-CN"/>
                    </w:rPr>
                  </w:pPr>
                  <w:r>
                    <w:rPr>
                      <w:rFonts w:hint="eastAsia"/>
                      <w:color w:val="auto"/>
                      <w:lang w:val="en-US" w:eastAsia="zh-CN"/>
                    </w:rPr>
                    <w:t>120</w:t>
                  </w:r>
                </w:p>
              </w:tc>
              <w:tc>
                <w:tcPr>
                  <w:tcW w:w="705" w:type="pct"/>
                  <w:tcBorders>
                    <w:tl2br w:val="nil"/>
                    <w:tr2bl w:val="nil"/>
                  </w:tcBorders>
                  <w:vAlign w:val="center"/>
                </w:tcPr>
                <w:p w14:paraId="178A9E90">
                  <w:pPr>
                    <w:pStyle w:val="39"/>
                    <w:bidi w:val="0"/>
                    <w:rPr>
                      <w:rFonts w:hint="default" w:eastAsia="宋体"/>
                      <w:color w:val="auto"/>
                      <w:lang w:val="en-US" w:eastAsia="zh-CN"/>
                    </w:rPr>
                  </w:pPr>
                  <w:r>
                    <w:rPr>
                      <w:rFonts w:hint="eastAsia"/>
                      <w:color w:val="auto"/>
                      <w:lang w:val="en-US" w:eastAsia="zh-CN"/>
                    </w:rPr>
                    <w:t>100</w:t>
                  </w:r>
                </w:p>
              </w:tc>
              <w:tc>
                <w:tcPr>
                  <w:tcW w:w="991" w:type="pct"/>
                  <w:vMerge w:val="continue"/>
                  <w:tcBorders>
                    <w:tl2br w:val="nil"/>
                    <w:tr2bl w:val="nil"/>
                  </w:tcBorders>
                  <w:vAlign w:val="center"/>
                </w:tcPr>
                <w:p w14:paraId="34D656BF">
                  <w:pPr>
                    <w:pStyle w:val="39"/>
                    <w:bidi w:val="0"/>
                    <w:rPr>
                      <w:rFonts w:hint="default"/>
                      <w:color w:val="auto"/>
                    </w:rPr>
                  </w:pPr>
                </w:p>
              </w:tc>
            </w:tr>
            <w:tr w14:paraId="7B2DE54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restart"/>
                  <w:tcBorders>
                    <w:tl2br w:val="nil"/>
                    <w:tr2bl w:val="nil"/>
                  </w:tcBorders>
                  <w:vAlign w:val="center"/>
                </w:tcPr>
                <w:p w14:paraId="2751441E">
                  <w:pPr>
                    <w:pStyle w:val="39"/>
                    <w:bidi w:val="0"/>
                    <w:rPr>
                      <w:rFonts w:hint="default"/>
                      <w:color w:val="auto"/>
                    </w:rPr>
                  </w:pPr>
                  <w:r>
                    <w:rPr>
                      <w:rFonts w:hint="default"/>
                      <w:color w:val="auto"/>
                    </w:rPr>
                    <w:t>PM</w:t>
                  </w:r>
                  <w:r>
                    <w:rPr>
                      <w:rFonts w:hint="default"/>
                      <w:color w:val="auto"/>
                      <w:vertAlign w:val="subscript"/>
                    </w:rPr>
                    <w:t>2.5</w:t>
                  </w:r>
                </w:p>
              </w:tc>
              <w:tc>
                <w:tcPr>
                  <w:tcW w:w="1036" w:type="pct"/>
                  <w:tcBorders>
                    <w:tl2br w:val="nil"/>
                    <w:tr2bl w:val="nil"/>
                  </w:tcBorders>
                  <w:vAlign w:val="center"/>
                </w:tcPr>
                <w:p w14:paraId="2FF4FD8F">
                  <w:pPr>
                    <w:pStyle w:val="39"/>
                    <w:bidi w:val="0"/>
                    <w:ind w:firstLine="0" w:firstLineChars="0"/>
                    <w:rPr>
                      <w:rFonts w:hint="default"/>
                      <w:color w:val="auto"/>
                    </w:rPr>
                  </w:pPr>
                  <w:r>
                    <w:rPr>
                      <w:rFonts w:hint="eastAsia"/>
                      <w:color w:val="auto"/>
                      <w:lang w:val="en-US" w:eastAsia="zh-CN"/>
                    </w:rPr>
                    <w:t>年平均</w:t>
                  </w:r>
                </w:p>
              </w:tc>
              <w:tc>
                <w:tcPr>
                  <w:tcW w:w="1110" w:type="pct"/>
                  <w:tcBorders>
                    <w:tl2br w:val="nil"/>
                    <w:tr2bl w:val="nil"/>
                  </w:tcBorders>
                  <w:vAlign w:val="center"/>
                </w:tcPr>
                <w:p w14:paraId="05694B59">
                  <w:pPr>
                    <w:pStyle w:val="39"/>
                    <w:bidi w:val="0"/>
                    <w:rPr>
                      <w:rFonts w:hint="default" w:eastAsia="宋体"/>
                      <w:color w:val="auto"/>
                      <w:lang w:val="en-US" w:eastAsia="zh-CN"/>
                    </w:rPr>
                  </w:pPr>
                  <w:r>
                    <w:rPr>
                      <w:rFonts w:hint="eastAsia"/>
                      <w:color w:val="auto"/>
                      <w:lang w:val="en-US" w:eastAsia="zh-CN"/>
                    </w:rPr>
                    <w:t>30</w:t>
                  </w:r>
                </w:p>
              </w:tc>
              <w:tc>
                <w:tcPr>
                  <w:tcW w:w="705" w:type="pct"/>
                  <w:tcBorders>
                    <w:tl2br w:val="nil"/>
                    <w:tr2bl w:val="nil"/>
                  </w:tcBorders>
                  <w:vAlign w:val="center"/>
                </w:tcPr>
                <w:p w14:paraId="46440714">
                  <w:pPr>
                    <w:pStyle w:val="39"/>
                    <w:bidi w:val="0"/>
                    <w:rPr>
                      <w:rFonts w:hint="default" w:eastAsia="宋体"/>
                      <w:color w:val="auto"/>
                      <w:lang w:val="en-US" w:eastAsia="zh-CN"/>
                    </w:rPr>
                  </w:pPr>
                  <w:r>
                    <w:rPr>
                      <w:rFonts w:hint="eastAsia"/>
                      <w:color w:val="auto"/>
                      <w:lang w:val="en-US" w:eastAsia="zh-CN"/>
                    </w:rPr>
                    <w:t>25</w:t>
                  </w:r>
                </w:p>
              </w:tc>
              <w:tc>
                <w:tcPr>
                  <w:tcW w:w="991" w:type="pct"/>
                  <w:vMerge w:val="continue"/>
                  <w:tcBorders>
                    <w:tl2br w:val="nil"/>
                    <w:tr2bl w:val="nil"/>
                  </w:tcBorders>
                  <w:vAlign w:val="center"/>
                </w:tcPr>
                <w:p w14:paraId="1D980F31">
                  <w:pPr>
                    <w:pStyle w:val="39"/>
                    <w:bidi w:val="0"/>
                    <w:rPr>
                      <w:rFonts w:hint="default"/>
                      <w:color w:val="auto"/>
                    </w:rPr>
                  </w:pPr>
                </w:p>
              </w:tc>
            </w:tr>
            <w:tr w14:paraId="7D49040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continue"/>
                  <w:tcBorders>
                    <w:tl2br w:val="nil"/>
                    <w:tr2bl w:val="nil"/>
                  </w:tcBorders>
                  <w:vAlign w:val="center"/>
                </w:tcPr>
                <w:p w14:paraId="66435763">
                  <w:pPr>
                    <w:pStyle w:val="39"/>
                    <w:bidi w:val="0"/>
                  </w:pPr>
                </w:p>
              </w:tc>
              <w:tc>
                <w:tcPr>
                  <w:tcW w:w="1036" w:type="pct"/>
                  <w:tcBorders>
                    <w:tl2br w:val="nil"/>
                    <w:tr2bl w:val="nil"/>
                  </w:tcBorders>
                  <w:vAlign w:val="center"/>
                </w:tcPr>
                <w:p w14:paraId="0217A118">
                  <w:pPr>
                    <w:pStyle w:val="39"/>
                    <w:bidi w:val="0"/>
                    <w:ind w:firstLine="0" w:firstLineChars="0"/>
                    <w:rPr>
                      <w:rFonts w:hint="default"/>
                      <w:color w:val="auto"/>
                    </w:rPr>
                  </w:pPr>
                  <w:r>
                    <w:rPr>
                      <w:rFonts w:hint="eastAsia"/>
                      <w:color w:val="auto"/>
                      <w:lang w:val="en-US" w:eastAsia="zh-CN"/>
                    </w:rPr>
                    <w:t>日平均</w:t>
                  </w:r>
                </w:p>
              </w:tc>
              <w:tc>
                <w:tcPr>
                  <w:tcW w:w="1110" w:type="pct"/>
                  <w:tcBorders>
                    <w:tl2br w:val="nil"/>
                    <w:tr2bl w:val="nil"/>
                  </w:tcBorders>
                  <w:vAlign w:val="center"/>
                </w:tcPr>
                <w:p w14:paraId="2278E809">
                  <w:pPr>
                    <w:pStyle w:val="39"/>
                    <w:bidi w:val="0"/>
                    <w:rPr>
                      <w:rFonts w:hint="default" w:eastAsia="宋体"/>
                      <w:color w:val="auto"/>
                      <w:lang w:val="en-US" w:eastAsia="zh-CN"/>
                    </w:rPr>
                  </w:pPr>
                  <w:r>
                    <w:rPr>
                      <w:rFonts w:hint="eastAsia"/>
                      <w:color w:val="auto"/>
                      <w:lang w:val="en-US" w:eastAsia="zh-CN"/>
                    </w:rPr>
                    <w:t>60</w:t>
                  </w:r>
                </w:p>
              </w:tc>
              <w:tc>
                <w:tcPr>
                  <w:tcW w:w="705" w:type="pct"/>
                  <w:tcBorders>
                    <w:tl2br w:val="nil"/>
                    <w:tr2bl w:val="nil"/>
                  </w:tcBorders>
                  <w:vAlign w:val="center"/>
                </w:tcPr>
                <w:p w14:paraId="5D204DDB">
                  <w:pPr>
                    <w:pStyle w:val="39"/>
                    <w:bidi w:val="0"/>
                    <w:rPr>
                      <w:rFonts w:hint="default" w:eastAsia="宋体"/>
                      <w:color w:val="auto"/>
                      <w:lang w:val="en-US" w:eastAsia="zh-CN"/>
                    </w:rPr>
                  </w:pPr>
                  <w:r>
                    <w:rPr>
                      <w:rFonts w:hint="eastAsia"/>
                      <w:color w:val="auto"/>
                      <w:lang w:val="en-US" w:eastAsia="zh-CN"/>
                    </w:rPr>
                    <w:t>50</w:t>
                  </w:r>
                </w:p>
              </w:tc>
              <w:tc>
                <w:tcPr>
                  <w:tcW w:w="991" w:type="pct"/>
                  <w:vMerge w:val="continue"/>
                  <w:tcBorders>
                    <w:tl2br w:val="nil"/>
                    <w:tr2bl w:val="nil"/>
                  </w:tcBorders>
                  <w:vAlign w:val="center"/>
                </w:tcPr>
                <w:p w14:paraId="1D781D90">
                  <w:pPr>
                    <w:pStyle w:val="39"/>
                    <w:bidi w:val="0"/>
                    <w:rPr>
                      <w:rFonts w:hint="default"/>
                      <w:color w:val="auto"/>
                    </w:rPr>
                  </w:pPr>
                </w:p>
              </w:tc>
            </w:tr>
            <w:tr w14:paraId="4D27E48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restart"/>
                  <w:tcBorders>
                    <w:tl2br w:val="nil"/>
                    <w:tr2bl w:val="nil"/>
                  </w:tcBorders>
                  <w:vAlign w:val="center"/>
                </w:tcPr>
                <w:p w14:paraId="3C2A30C8">
                  <w:pPr>
                    <w:keepNext w:val="0"/>
                    <w:keepLines w:val="0"/>
                    <w:widowControl/>
                    <w:suppressLineNumbers w:val="0"/>
                    <w:jc w:val="center"/>
                    <w:rPr>
                      <w:rFonts w:hint="eastAsia" w:eastAsia="宋体"/>
                      <w:color w:val="auto"/>
                      <w:lang w:eastAsia="zh-CN"/>
                    </w:rPr>
                  </w:pPr>
                  <w:r>
                    <w:rPr>
                      <w:rFonts w:hint="default"/>
                      <w:color w:val="auto"/>
                    </w:rPr>
                    <w:t>CO</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单位</w:t>
                  </w:r>
                  <w:r>
                    <w:rPr>
                      <w:rFonts w:hint="eastAsia" w:ascii="Times New Roman" w:hAnsi="Times New Roman" w:cs="Times New Roman"/>
                      <w:color w:val="auto"/>
                      <w:lang w:val="en-US" w:eastAsia="zh-CN"/>
                    </w:rPr>
                    <w:t>：</w:t>
                  </w:r>
                  <w:r>
                    <w:rPr>
                      <w:rFonts w:hint="default" w:ascii="Times New Roman" w:hAnsi="Times New Roman" w:eastAsia="黑体" w:cs="Times New Roman"/>
                      <w:b w:val="0"/>
                      <w:bCs w:val="0"/>
                      <w:color w:val="000000"/>
                      <w:kern w:val="0"/>
                      <w:sz w:val="21"/>
                      <w:szCs w:val="21"/>
                      <w:lang w:val="en-US" w:eastAsia="zh-CN" w:bidi="ar"/>
                    </w:rPr>
                    <w:t>mg/m</w:t>
                  </w:r>
                  <w:r>
                    <w:rPr>
                      <w:rFonts w:hint="default" w:ascii="Times New Roman" w:hAnsi="Times New Roman" w:eastAsia="黑体" w:cs="Times New Roman"/>
                      <w:b w:val="0"/>
                      <w:bCs w:val="0"/>
                      <w:color w:val="000000"/>
                      <w:kern w:val="0"/>
                      <w:sz w:val="21"/>
                      <w:szCs w:val="21"/>
                      <w:vertAlign w:val="superscript"/>
                      <w:lang w:val="en-US" w:eastAsia="zh-CN" w:bidi="ar"/>
                    </w:rPr>
                    <w:t>3</w:t>
                  </w:r>
                  <w:r>
                    <w:rPr>
                      <w:rFonts w:hint="default" w:ascii="Times New Roman" w:hAnsi="Times New Roman" w:cs="Times New Roman"/>
                      <w:color w:val="auto"/>
                      <w:lang w:eastAsia="zh-CN"/>
                    </w:rPr>
                    <w:t>）</w:t>
                  </w:r>
                </w:p>
              </w:tc>
              <w:tc>
                <w:tcPr>
                  <w:tcW w:w="1036" w:type="pct"/>
                  <w:tcBorders>
                    <w:tl2br w:val="nil"/>
                    <w:tr2bl w:val="nil"/>
                  </w:tcBorders>
                  <w:vAlign w:val="center"/>
                </w:tcPr>
                <w:p w14:paraId="6E9680C3">
                  <w:pPr>
                    <w:pStyle w:val="39"/>
                    <w:bidi w:val="0"/>
                    <w:ind w:firstLine="0" w:firstLineChars="0"/>
                    <w:rPr>
                      <w:rFonts w:hint="default"/>
                      <w:color w:val="auto"/>
                      <w:lang w:val="en-US" w:eastAsia="zh-CN"/>
                    </w:rPr>
                  </w:pPr>
                  <w:r>
                    <w:rPr>
                      <w:rFonts w:hint="eastAsia"/>
                      <w:color w:val="auto"/>
                      <w:lang w:val="en-US" w:eastAsia="zh-CN"/>
                    </w:rPr>
                    <w:t>日平均</w:t>
                  </w:r>
                </w:p>
              </w:tc>
              <w:tc>
                <w:tcPr>
                  <w:tcW w:w="1110" w:type="pct"/>
                  <w:tcBorders>
                    <w:tl2br w:val="nil"/>
                    <w:tr2bl w:val="nil"/>
                  </w:tcBorders>
                  <w:vAlign w:val="center"/>
                </w:tcPr>
                <w:p w14:paraId="790D7A3B">
                  <w:pPr>
                    <w:pStyle w:val="39"/>
                    <w:bidi w:val="0"/>
                    <w:rPr>
                      <w:rFonts w:hint="eastAsia" w:eastAsia="宋体"/>
                      <w:color w:val="auto"/>
                      <w:lang w:val="en-US" w:eastAsia="zh-CN"/>
                    </w:rPr>
                  </w:pPr>
                  <w:r>
                    <w:rPr>
                      <w:rFonts w:hint="eastAsia"/>
                      <w:color w:val="auto"/>
                      <w:lang w:val="en-US" w:eastAsia="zh-CN"/>
                    </w:rPr>
                    <w:t>4</w:t>
                  </w:r>
                </w:p>
              </w:tc>
              <w:tc>
                <w:tcPr>
                  <w:tcW w:w="705" w:type="pct"/>
                  <w:tcBorders>
                    <w:tl2br w:val="nil"/>
                    <w:tr2bl w:val="nil"/>
                  </w:tcBorders>
                  <w:vAlign w:val="center"/>
                </w:tcPr>
                <w:p w14:paraId="74730B3E">
                  <w:pPr>
                    <w:pStyle w:val="39"/>
                    <w:bidi w:val="0"/>
                    <w:rPr>
                      <w:rFonts w:hint="eastAsia" w:eastAsia="宋体"/>
                      <w:color w:val="auto"/>
                      <w:lang w:val="en-US" w:eastAsia="zh-CN"/>
                    </w:rPr>
                  </w:pPr>
                  <w:r>
                    <w:rPr>
                      <w:rFonts w:hint="eastAsia"/>
                      <w:color w:val="auto"/>
                      <w:lang w:val="en-US" w:eastAsia="zh-CN"/>
                    </w:rPr>
                    <w:t>4</w:t>
                  </w:r>
                </w:p>
              </w:tc>
              <w:tc>
                <w:tcPr>
                  <w:tcW w:w="991" w:type="pct"/>
                  <w:vMerge w:val="continue"/>
                  <w:tcBorders>
                    <w:tl2br w:val="nil"/>
                    <w:tr2bl w:val="nil"/>
                  </w:tcBorders>
                  <w:vAlign w:val="center"/>
                </w:tcPr>
                <w:p w14:paraId="57EC3EF9">
                  <w:pPr>
                    <w:pStyle w:val="39"/>
                    <w:bidi w:val="0"/>
                    <w:rPr>
                      <w:rFonts w:hint="default"/>
                      <w:color w:val="auto"/>
                    </w:rPr>
                  </w:pPr>
                </w:p>
              </w:tc>
            </w:tr>
            <w:tr w14:paraId="736AB43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continue"/>
                  <w:tcBorders>
                    <w:tl2br w:val="nil"/>
                    <w:tr2bl w:val="nil"/>
                  </w:tcBorders>
                  <w:vAlign w:val="center"/>
                </w:tcPr>
                <w:p w14:paraId="4D8D00EE">
                  <w:pPr>
                    <w:pStyle w:val="39"/>
                    <w:bidi w:val="0"/>
                  </w:pPr>
                </w:p>
              </w:tc>
              <w:tc>
                <w:tcPr>
                  <w:tcW w:w="1036" w:type="pct"/>
                  <w:tcBorders>
                    <w:tl2br w:val="nil"/>
                    <w:tr2bl w:val="nil"/>
                  </w:tcBorders>
                  <w:vAlign w:val="center"/>
                </w:tcPr>
                <w:p w14:paraId="2446D63D">
                  <w:pPr>
                    <w:pStyle w:val="39"/>
                    <w:bidi w:val="0"/>
                    <w:ind w:firstLine="0" w:firstLineChars="0"/>
                    <w:rPr>
                      <w:rFonts w:hint="default"/>
                      <w:color w:val="auto"/>
                      <w:lang w:val="en-US" w:eastAsia="zh-CN"/>
                    </w:rPr>
                  </w:pPr>
                  <w:r>
                    <w:rPr>
                      <w:rFonts w:hint="eastAsia"/>
                      <w:color w:val="auto"/>
                      <w:lang w:val="en-US" w:eastAsia="zh-CN"/>
                    </w:rPr>
                    <w:t>1小时平均</w:t>
                  </w:r>
                </w:p>
              </w:tc>
              <w:tc>
                <w:tcPr>
                  <w:tcW w:w="1110" w:type="pct"/>
                  <w:tcBorders>
                    <w:tl2br w:val="nil"/>
                    <w:tr2bl w:val="nil"/>
                  </w:tcBorders>
                  <w:vAlign w:val="center"/>
                </w:tcPr>
                <w:p w14:paraId="2EE600BF">
                  <w:pPr>
                    <w:pStyle w:val="39"/>
                    <w:bidi w:val="0"/>
                    <w:rPr>
                      <w:rFonts w:hint="default"/>
                      <w:color w:val="auto"/>
                      <w:lang w:val="en-US" w:eastAsia="zh-CN"/>
                    </w:rPr>
                  </w:pPr>
                  <w:r>
                    <w:rPr>
                      <w:rFonts w:hint="eastAsia"/>
                      <w:color w:val="auto"/>
                      <w:lang w:val="en-US" w:eastAsia="zh-CN"/>
                    </w:rPr>
                    <w:t>10</w:t>
                  </w:r>
                </w:p>
              </w:tc>
              <w:tc>
                <w:tcPr>
                  <w:tcW w:w="705" w:type="pct"/>
                  <w:tcBorders>
                    <w:tl2br w:val="nil"/>
                    <w:tr2bl w:val="nil"/>
                  </w:tcBorders>
                  <w:vAlign w:val="center"/>
                </w:tcPr>
                <w:p w14:paraId="5480033A">
                  <w:pPr>
                    <w:pStyle w:val="39"/>
                    <w:bidi w:val="0"/>
                    <w:rPr>
                      <w:rFonts w:hint="default"/>
                      <w:color w:val="auto"/>
                      <w:lang w:val="en-US" w:eastAsia="zh-CN"/>
                    </w:rPr>
                  </w:pPr>
                  <w:r>
                    <w:rPr>
                      <w:rFonts w:hint="eastAsia"/>
                      <w:color w:val="auto"/>
                      <w:lang w:val="en-US" w:eastAsia="zh-CN"/>
                    </w:rPr>
                    <w:t>10</w:t>
                  </w:r>
                </w:p>
              </w:tc>
              <w:tc>
                <w:tcPr>
                  <w:tcW w:w="991" w:type="pct"/>
                  <w:vMerge w:val="continue"/>
                  <w:tcBorders>
                    <w:tl2br w:val="nil"/>
                    <w:tr2bl w:val="nil"/>
                  </w:tcBorders>
                  <w:vAlign w:val="center"/>
                </w:tcPr>
                <w:p w14:paraId="68E8A97A">
                  <w:pPr>
                    <w:pStyle w:val="39"/>
                    <w:bidi w:val="0"/>
                    <w:rPr>
                      <w:rFonts w:hint="default"/>
                      <w:color w:val="auto"/>
                      <w:lang w:val="en-US" w:eastAsia="zh-CN"/>
                    </w:rPr>
                  </w:pPr>
                </w:p>
              </w:tc>
            </w:tr>
            <w:tr w14:paraId="0F23380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restart"/>
                  <w:tcBorders>
                    <w:tl2br w:val="nil"/>
                    <w:tr2bl w:val="nil"/>
                  </w:tcBorders>
                  <w:vAlign w:val="center"/>
                </w:tcPr>
                <w:p w14:paraId="0DB2C4B0">
                  <w:pPr>
                    <w:pStyle w:val="39"/>
                    <w:bidi w:val="0"/>
                    <w:rPr>
                      <w:rFonts w:hint="default"/>
                      <w:color w:val="auto"/>
                    </w:rPr>
                  </w:pPr>
                  <w:r>
                    <w:rPr>
                      <w:rFonts w:hint="default"/>
                      <w:color w:val="auto"/>
                    </w:rPr>
                    <w:t>O</w:t>
                  </w:r>
                  <w:r>
                    <w:rPr>
                      <w:rFonts w:hint="default"/>
                      <w:color w:val="auto"/>
                      <w:vertAlign w:val="subscript"/>
                    </w:rPr>
                    <w:t>3</w:t>
                  </w:r>
                </w:p>
              </w:tc>
              <w:tc>
                <w:tcPr>
                  <w:tcW w:w="1036" w:type="pct"/>
                  <w:tcBorders>
                    <w:tl2br w:val="nil"/>
                    <w:tr2bl w:val="nil"/>
                  </w:tcBorders>
                  <w:vAlign w:val="center"/>
                </w:tcPr>
                <w:p w14:paraId="2F254585">
                  <w:pPr>
                    <w:pStyle w:val="39"/>
                    <w:bidi w:val="0"/>
                    <w:rPr>
                      <w:rFonts w:hint="default" w:eastAsia="宋体"/>
                      <w:color w:val="auto"/>
                      <w:lang w:val="en-US" w:eastAsia="zh-CN"/>
                    </w:rPr>
                  </w:pPr>
                  <w:r>
                    <w:rPr>
                      <w:rFonts w:hint="eastAsia"/>
                      <w:color w:val="auto"/>
                      <w:lang w:val="en-US" w:eastAsia="zh-CN"/>
                    </w:rPr>
                    <w:t>日最大8小时平均</w:t>
                  </w:r>
                </w:p>
              </w:tc>
              <w:tc>
                <w:tcPr>
                  <w:tcW w:w="1110" w:type="pct"/>
                  <w:tcBorders>
                    <w:tl2br w:val="nil"/>
                    <w:tr2bl w:val="nil"/>
                  </w:tcBorders>
                  <w:vAlign w:val="center"/>
                </w:tcPr>
                <w:p w14:paraId="21CBE21D">
                  <w:pPr>
                    <w:pStyle w:val="39"/>
                    <w:bidi w:val="0"/>
                    <w:rPr>
                      <w:rFonts w:hint="default" w:eastAsia="宋体"/>
                      <w:color w:val="auto"/>
                      <w:lang w:val="en-US" w:eastAsia="zh-CN"/>
                    </w:rPr>
                  </w:pPr>
                  <w:r>
                    <w:rPr>
                      <w:rFonts w:hint="eastAsia"/>
                      <w:color w:val="auto"/>
                      <w:lang w:val="en-US" w:eastAsia="zh-CN"/>
                    </w:rPr>
                    <w:t>160</w:t>
                  </w:r>
                </w:p>
              </w:tc>
              <w:tc>
                <w:tcPr>
                  <w:tcW w:w="705" w:type="pct"/>
                  <w:tcBorders>
                    <w:tl2br w:val="nil"/>
                    <w:tr2bl w:val="nil"/>
                  </w:tcBorders>
                  <w:vAlign w:val="center"/>
                </w:tcPr>
                <w:p w14:paraId="46C4F6D1">
                  <w:pPr>
                    <w:pStyle w:val="39"/>
                    <w:bidi w:val="0"/>
                    <w:rPr>
                      <w:rFonts w:hint="default" w:eastAsia="宋体"/>
                      <w:color w:val="auto"/>
                      <w:lang w:val="en-US" w:eastAsia="zh-CN"/>
                    </w:rPr>
                  </w:pPr>
                  <w:r>
                    <w:rPr>
                      <w:rFonts w:hint="eastAsia"/>
                      <w:color w:val="auto"/>
                      <w:lang w:val="en-US" w:eastAsia="zh-CN"/>
                    </w:rPr>
                    <w:t>160</w:t>
                  </w:r>
                </w:p>
              </w:tc>
              <w:tc>
                <w:tcPr>
                  <w:tcW w:w="991" w:type="pct"/>
                  <w:vMerge w:val="continue"/>
                  <w:tcBorders>
                    <w:tl2br w:val="nil"/>
                    <w:tr2bl w:val="nil"/>
                  </w:tcBorders>
                  <w:vAlign w:val="center"/>
                </w:tcPr>
                <w:p w14:paraId="7D30F259">
                  <w:pPr>
                    <w:pStyle w:val="39"/>
                    <w:bidi w:val="0"/>
                    <w:rPr>
                      <w:rFonts w:hint="default"/>
                      <w:color w:val="auto"/>
                    </w:rPr>
                  </w:pPr>
                </w:p>
              </w:tc>
            </w:tr>
            <w:tr w14:paraId="2324378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54" w:type="pct"/>
                  <w:vMerge w:val="continue"/>
                  <w:tcBorders>
                    <w:tl2br w:val="nil"/>
                    <w:tr2bl w:val="nil"/>
                  </w:tcBorders>
                  <w:vAlign w:val="center"/>
                </w:tcPr>
                <w:p w14:paraId="58A05CDC">
                  <w:pPr>
                    <w:pStyle w:val="39"/>
                    <w:bidi w:val="0"/>
                  </w:pPr>
                </w:p>
              </w:tc>
              <w:tc>
                <w:tcPr>
                  <w:tcW w:w="1036" w:type="pct"/>
                  <w:tcBorders>
                    <w:tl2br w:val="nil"/>
                    <w:tr2bl w:val="nil"/>
                  </w:tcBorders>
                  <w:vAlign w:val="center"/>
                </w:tcPr>
                <w:p w14:paraId="60C5C895">
                  <w:pPr>
                    <w:pStyle w:val="39"/>
                    <w:bidi w:val="0"/>
                    <w:rPr>
                      <w:rFonts w:hint="default" w:eastAsia="宋体"/>
                      <w:color w:val="auto"/>
                      <w:lang w:val="en-US" w:eastAsia="zh-CN"/>
                    </w:rPr>
                  </w:pPr>
                  <w:r>
                    <w:rPr>
                      <w:rFonts w:hint="eastAsia"/>
                      <w:color w:val="auto"/>
                      <w:lang w:val="en-US" w:eastAsia="zh-CN"/>
                    </w:rPr>
                    <w:t>1小时平均</w:t>
                  </w:r>
                </w:p>
              </w:tc>
              <w:tc>
                <w:tcPr>
                  <w:tcW w:w="1110" w:type="pct"/>
                  <w:tcBorders>
                    <w:tl2br w:val="nil"/>
                    <w:tr2bl w:val="nil"/>
                  </w:tcBorders>
                  <w:vAlign w:val="center"/>
                </w:tcPr>
                <w:p w14:paraId="18841C9A">
                  <w:pPr>
                    <w:pStyle w:val="39"/>
                    <w:bidi w:val="0"/>
                    <w:rPr>
                      <w:rFonts w:hint="default" w:eastAsia="宋体"/>
                      <w:color w:val="auto"/>
                      <w:lang w:val="en-US" w:eastAsia="zh-CN"/>
                    </w:rPr>
                  </w:pPr>
                  <w:r>
                    <w:rPr>
                      <w:rFonts w:hint="eastAsia"/>
                      <w:color w:val="auto"/>
                      <w:lang w:val="en-US" w:eastAsia="zh-CN"/>
                    </w:rPr>
                    <w:t>200</w:t>
                  </w:r>
                </w:p>
              </w:tc>
              <w:tc>
                <w:tcPr>
                  <w:tcW w:w="705" w:type="pct"/>
                  <w:tcBorders>
                    <w:tl2br w:val="nil"/>
                    <w:tr2bl w:val="nil"/>
                  </w:tcBorders>
                  <w:vAlign w:val="center"/>
                </w:tcPr>
                <w:p w14:paraId="09F8FC75">
                  <w:pPr>
                    <w:pStyle w:val="39"/>
                    <w:bidi w:val="0"/>
                    <w:rPr>
                      <w:rFonts w:hint="default" w:eastAsia="宋体"/>
                      <w:color w:val="auto"/>
                      <w:lang w:val="en-US" w:eastAsia="zh-CN"/>
                    </w:rPr>
                  </w:pPr>
                  <w:r>
                    <w:rPr>
                      <w:rFonts w:hint="eastAsia"/>
                      <w:color w:val="auto"/>
                      <w:lang w:val="en-US" w:eastAsia="zh-CN"/>
                    </w:rPr>
                    <w:t>200</w:t>
                  </w:r>
                </w:p>
              </w:tc>
              <w:tc>
                <w:tcPr>
                  <w:tcW w:w="991" w:type="pct"/>
                  <w:vMerge w:val="continue"/>
                  <w:tcBorders>
                    <w:tl2br w:val="nil"/>
                    <w:tr2bl w:val="nil"/>
                  </w:tcBorders>
                  <w:vAlign w:val="center"/>
                </w:tcPr>
                <w:p w14:paraId="1B56051A">
                  <w:pPr>
                    <w:pStyle w:val="39"/>
                    <w:bidi w:val="0"/>
                    <w:rPr>
                      <w:rFonts w:hint="default"/>
                      <w:color w:val="auto"/>
                    </w:rPr>
                  </w:pPr>
                </w:p>
              </w:tc>
            </w:tr>
            <w:tr w14:paraId="14FBF43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5000" w:type="pct"/>
                  <w:gridSpan w:val="5"/>
                  <w:tcBorders>
                    <w:tl2br w:val="nil"/>
                    <w:tr2bl w:val="nil"/>
                  </w:tcBorders>
                  <w:vAlign w:val="center"/>
                </w:tcPr>
                <w:p w14:paraId="70EBDBFC">
                  <w:pPr>
                    <w:pStyle w:val="39"/>
                    <w:bidi w:val="0"/>
                    <w:jc w:val="both"/>
                    <w:rPr>
                      <w:rFonts w:hint="eastAsia" w:eastAsia="宋体"/>
                      <w:color w:val="auto"/>
                      <w:lang w:val="en-US" w:eastAsia="zh-CN"/>
                    </w:rPr>
                  </w:pPr>
                  <w:r>
                    <w:rPr>
                      <w:rFonts w:hint="eastAsia"/>
                      <w:color w:val="auto"/>
                      <w:lang w:val="en-US" w:eastAsia="zh-CN"/>
                    </w:rPr>
                    <w:t>备注：</w:t>
                  </w:r>
                  <w:r>
                    <w:rPr>
                      <w:rFonts w:hint="default"/>
                      <w:color w:val="auto"/>
                    </w:rPr>
                    <w:t>自本标准实施之日</w:t>
                  </w:r>
                  <w:r>
                    <w:rPr>
                      <w:rFonts w:hint="eastAsia"/>
                      <w:color w:val="auto"/>
                      <w:lang w:eastAsia="zh-CN"/>
                    </w:rPr>
                    <w:t>（</w:t>
                  </w:r>
                  <w:r>
                    <w:rPr>
                      <w:rFonts w:hint="eastAsia"/>
                      <w:color w:val="auto"/>
                      <w:lang w:val="en-US" w:eastAsia="zh-CN"/>
                    </w:rPr>
                    <w:t>2026年3月1日</w:t>
                  </w:r>
                  <w:r>
                    <w:rPr>
                      <w:rFonts w:hint="eastAsia"/>
                      <w:color w:val="auto"/>
                      <w:lang w:eastAsia="zh-CN"/>
                    </w:rPr>
                    <w:t>）</w:t>
                  </w:r>
                  <w:r>
                    <w:rPr>
                      <w:rFonts w:hint="default"/>
                      <w:color w:val="auto"/>
                    </w:rPr>
                    <w:t>起</w:t>
                  </w:r>
                  <w:r>
                    <w:rPr>
                      <w:rFonts w:hint="eastAsia"/>
                      <w:color w:val="auto"/>
                      <w:lang w:val="en-US" w:eastAsia="zh-CN"/>
                    </w:rPr>
                    <w:t>至2030年12月31日止，环境空气污染物基本项目实施上表中过渡阶段浓度限值；自2031年1月1日起，在全国范围内实施基本项目实施上表中浓度限值。</w:t>
                  </w:r>
                </w:p>
              </w:tc>
            </w:tr>
          </w:tbl>
          <w:p w14:paraId="461D5E3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color w:val="000000"/>
                <w:kern w:val="0"/>
                <w:sz w:val="21"/>
                <w:szCs w:val="21"/>
                <w:vertAlign w:val="superscript"/>
                <w:lang w:val="en-US" w:eastAsia="zh-CN" w:bidi="ar"/>
              </w:rPr>
            </w:pPr>
            <w:r>
              <w:rPr>
                <w:rFonts w:hint="eastAsia" w:ascii="黑体" w:hAnsi="黑体" w:eastAsia="黑体" w:cs="黑体"/>
                <w:b w:val="0"/>
                <w:bCs w:val="0"/>
                <w:color w:val="000000"/>
                <w:kern w:val="0"/>
                <w:sz w:val="21"/>
                <w:szCs w:val="21"/>
                <w:lang w:val="en-US" w:eastAsia="zh-CN" w:bidi="ar"/>
              </w:rPr>
              <w:t>表3-10 《环境空气质量标准》   单位：</w:t>
            </w:r>
            <w:r>
              <w:rPr>
                <w:rFonts w:hint="default" w:ascii="黑体" w:hAnsi="黑体" w:eastAsia="黑体" w:cs="黑体"/>
                <w:b w:val="0"/>
                <w:bCs w:val="0"/>
                <w:color w:val="000000"/>
                <w:kern w:val="0"/>
                <w:sz w:val="21"/>
                <w:szCs w:val="21"/>
                <w:lang w:val="en-US" w:eastAsia="zh-CN" w:bidi="ar"/>
              </w:rPr>
              <w:t>μg/</w:t>
            </w:r>
            <w:r>
              <w:rPr>
                <w:rFonts w:hint="eastAsia" w:ascii="黑体" w:hAnsi="黑体" w:eastAsia="黑体" w:cs="黑体"/>
                <w:b w:val="0"/>
                <w:bCs w:val="0"/>
                <w:color w:val="000000"/>
                <w:kern w:val="0"/>
                <w:sz w:val="21"/>
                <w:szCs w:val="21"/>
                <w:lang w:val="en-US" w:eastAsia="zh-CN" w:bidi="ar"/>
              </w:rPr>
              <w:t>m</w:t>
            </w:r>
            <w:r>
              <w:rPr>
                <w:rFonts w:hint="default" w:ascii="黑体" w:hAnsi="黑体" w:eastAsia="黑体" w:cs="黑体"/>
                <w:b w:val="0"/>
                <w:bCs w:val="0"/>
                <w:color w:val="000000"/>
                <w:kern w:val="0"/>
                <w:sz w:val="21"/>
                <w:szCs w:val="21"/>
                <w:vertAlign w:val="superscript"/>
                <w:lang w:val="en-US" w:eastAsia="zh-CN" w:bidi="ar"/>
              </w:rPr>
              <w:t>3</w:t>
            </w:r>
          </w:p>
          <w:tbl>
            <w:tblPr>
              <w:tblStyle w:val="22"/>
              <w:tblW w:w="491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17"/>
              <w:gridCol w:w="1617"/>
              <w:gridCol w:w="1706"/>
              <w:gridCol w:w="2110"/>
            </w:tblGrid>
            <w:tr w14:paraId="43B1C2C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3" w:type="pct"/>
                  <w:vMerge w:val="restart"/>
                  <w:tcBorders>
                    <w:tl2br w:val="nil"/>
                    <w:tr2bl w:val="nil"/>
                  </w:tcBorders>
                  <w:vAlign w:val="center"/>
                </w:tcPr>
                <w:p w14:paraId="4C8D4BA9">
                  <w:pPr>
                    <w:pStyle w:val="39"/>
                    <w:bidi w:val="0"/>
                    <w:rPr>
                      <w:rFonts w:hint="default"/>
                      <w:color w:val="auto"/>
                    </w:rPr>
                  </w:pPr>
                  <w:r>
                    <w:rPr>
                      <w:rFonts w:hint="default"/>
                      <w:color w:val="auto"/>
                    </w:rPr>
                    <w:t>污染物</w:t>
                  </w:r>
                </w:p>
              </w:tc>
              <w:tc>
                <w:tcPr>
                  <w:tcW w:w="1017" w:type="pct"/>
                  <w:vMerge w:val="restart"/>
                  <w:tcBorders>
                    <w:tl2br w:val="nil"/>
                    <w:tr2bl w:val="nil"/>
                  </w:tcBorders>
                  <w:vAlign w:val="center"/>
                </w:tcPr>
                <w:p w14:paraId="7974697E">
                  <w:pPr>
                    <w:pStyle w:val="39"/>
                    <w:bidi w:val="0"/>
                    <w:rPr>
                      <w:rFonts w:hint="default" w:eastAsia="宋体"/>
                      <w:color w:val="auto"/>
                      <w:lang w:val="en-US" w:eastAsia="zh-CN"/>
                    </w:rPr>
                  </w:pPr>
                  <w:r>
                    <w:rPr>
                      <w:rFonts w:hint="eastAsia"/>
                      <w:color w:val="auto"/>
                      <w:lang w:val="en-US" w:eastAsia="zh-CN"/>
                    </w:rPr>
                    <w:t>平均时间</w:t>
                  </w:r>
                </w:p>
              </w:tc>
              <w:tc>
                <w:tcPr>
                  <w:tcW w:w="1073" w:type="pct"/>
                  <w:tcBorders>
                    <w:tl2br w:val="nil"/>
                    <w:tr2bl w:val="nil"/>
                  </w:tcBorders>
                  <w:vAlign w:val="center"/>
                </w:tcPr>
                <w:p w14:paraId="7776F9CF">
                  <w:pPr>
                    <w:pStyle w:val="39"/>
                    <w:bidi w:val="0"/>
                    <w:rPr>
                      <w:rFonts w:hint="default" w:eastAsia="宋体"/>
                      <w:color w:val="auto"/>
                      <w:lang w:val="en-US" w:eastAsia="zh-CN"/>
                    </w:rPr>
                  </w:pPr>
                  <w:r>
                    <w:rPr>
                      <w:rFonts w:hint="eastAsia"/>
                      <w:color w:val="auto"/>
                      <w:lang w:val="en-US" w:eastAsia="zh-CN"/>
                    </w:rPr>
                    <w:t>浓度限值</w:t>
                  </w:r>
                </w:p>
              </w:tc>
              <w:tc>
                <w:tcPr>
                  <w:tcW w:w="1326" w:type="pct"/>
                  <w:vMerge w:val="restart"/>
                  <w:tcBorders>
                    <w:tl2br w:val="nil"/>
                    <w:tr2bl w:val="nil"/>
                  </w:tcBorders>
                  <w:vAlign w:val="center"/>
                </w:tcPr>
                <w:p w14:paraId="150A80DB">
                  <w:pPr>
                    <w:pStyle w:val="39"/>
                    <w:bidi w:val="0"/>
                    <w:rPr>
                      <w:rFonts w:hint="default"/>
                      <w:color w:val="auto"/>
                    </w:rPr>
                  </w:pPr>
                  <w:r>
                    <w:rPr>
                      <w:rFonts w:hint="default"/>
                      <w:color w:val="auto"/>
                    </w:rPr>
                    <w:t>备注</w:t>
                  </w:r>
                </w:p>
              </w:tc>
            </w:tr>
            <w:tr w14:paraId="02DA59A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3" w:type="pct"/>
                  <w:vMerge w:val="continue"/>
                  <w:tcBorders>
                    <w:tl2br w:val="nil"/>
                    <w:tr2bl w:val="nil"/>
                  </w:tcBorders>
                  <w:vAlign w:val="center"/>
                </w:tcPr>
                <w:p w14:paraId="17EDAEE2">
                  <w:pPr>
                    <w:pStyle w:val="39"/>
                    <w:bidi w:val="0"/>
                    <w:rPr>
                      <w:rFonts w:hint="default"/>
                      <w:color w:val="auto"/>
                    </w:rPr>
                  </w:pPr>
                </w:p>
              </w:tc>
              <w:tc>
                <w:tcPr>
                  <w:tcW w:w="1017" w:type="pct"/>
                  <w:vMerge w:val="continue"/>
                  <w:tcBorders>
                    <w:tl2br w:val="nil"/>
                    <w:tr2bl w:val="nil"/>
                  </w:tcBorders>
                  <w:vAlign w:val="center"/>
                </w:tcPr>
                <w:p w14:paraId="4C2B1DA9">
                  <w:pPr>
                    <w:pStyle w:val="39"/>
                    <w:bidi w:val="0"/>
                    <w:rPr>
                      <w:rFonts w:hint="default" w:eastAsia="宋体"/>
                      <w:color w:val="auto"/>
                      <w:lang w:val="en-US" w:eastAsia="zh-CN"/>
                    </w:rPr>
                  </w:pPr>
                </w:p>
              </w:tc>
              <w:tc>
                <w:tcPr>
                  <w:tcW w:w="1073" w:type="pct"/>
                  <w:tcBorders>
                    <w:tl2br w:val="nil"/>
                    <w:tr2bl w:val="nil"/>
                  </w:tcBorders>
                  <w:vAlign w:val="center"/>
                </w:tcPr>
                <w:p w14:paraId="4046EF67">
                  <w:pPr>
                    <w:pStyle w:val="39"/>
                    <w:bidi w:val="0"/>
                    <w:rPr>
                      <w:rFonts w:hint="eastAsia" w:eastAsia="宋体"/>
                      <w:color w:val="auto"/>
                      <w:lang w:val="en-US" w:eastAsia="zh-CN"/>
                    </w:rPr>
                  </w:pPr>
                  <w:r>
                    <w:rPr>
                      <w:rFonts w:hint="eastAsia"/>
                      <w:color w:val="auto"/>
                      <w:lang w:val="en-US" w:eastAsia="zh-CN"/>
                    </w:rPr>
                    <w:t>二级</w:t>
                  </w:r>
                </w:p>
              </w:tc>
              <w:tc>
                <w:tcPr>
                  <w:tcW w:w="1326" w:type="pct"/>
                  <w:vMerge w:val="continue"/>
                  <w:tcBorders>
                    <w:tl2br w:val="nil"/>
                    <w:tr2bl w:val="nil"/>
                  </w:tcBorders>
                  <w:vAlign w:val="center"/>
                </w:tcPr>
                <w:p w14:paraId="5F1AD176">
                  <w:pPr>
                    <w:pStyle w:val="39"/>
                    <w:bidi w:val="0"/>
                    <w:rPr>
                      <w:rFonts w:hint="default"/>
                      <w:color w:val="auto"/>
                    </w:rPr>
                  </w:pPr>
                </w:p>
              </w:tc>
            </w:tr>
            <w:tr w14:paraId="069A8C3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583" w:type="pct"/>
                  <w:vMerge w:val="restart"/>
                  <w:tcBorders>
                    <w:tl2br w:val="nil"/>
                    <w:tr2bl w:val="nil"/>
                  </w:tcBorders>
                  <w:vAlign w:val="center"/>
                </w:tcPr>
                <w:p w14:paraId="58FB39E3">
                  <w:pPr>
                    <w:pStyle w:val="39"/>
                    <w:bidi w:val="0"/>
                    <w:rPr>
                      <w:rFonts w:hint="default" w:eastAsia="宋体"/>
                      <w:color w:val="auto"/>
                      <w:lang w:val="en-US" w:eastAsia="zh-CN"/>
                    </w:rPr>
                  </w:pPr>
                  <w:r>
                    <w:rPr>
                      <w:rFonts w:hint="eastAsia"/>
                      <w:color w:val="auto"/>
                      <w:lang w:val="en-US" w:eastAsia="zh-CN"/>
                    </w:rPr>
                    <w:t>总悬浮颗粒物（TSP）</w:t>
                  </w:r>
                </w:p>
              </w:tc>
              <w:tc>
                <w:tcPr>
                  <w:tcW w:w="1017" w:type="pct"/>
                  <w:tcBorders>
                    <w:tl2br w:val="nil"/>
                    <w:tr2bl w:val="nil"/>
                  </w:tcBorders>
                  <w:vAlign w:val="center"/>
                </w:tcPr>
                <w:p w14:paraId="08E7A1DC">
                  <w:pPr>
                    <w:pStyle w:val="39"/>
                    <w:bidi w:val="0"/>
                    <w:rPr>
                      <w:rFonts w:hint="eastAsia" w:eastAsia="宋体"/>
                      <w:color w:val="auto"/>
                      <w:lang w:val="en-US" w:eastAsia="zh-CN"/>
                    </w:rPr>
                  </w:pPr>
                  <w:r>
                    <w:rPr>
                      <w:rFonts w:hint="eastAsia"/>
                      <w:color w:val="auto"/>
                      <w:lang w:val="en-US" w:eastAsia="zh-CN"/>
                    </w:rPr>
                    <w:t>年平均</w:t>
                  </w:r>
                </w:p>
              </w:tc>
              <w:tc>
                <w:tcPr>
                  <w:tcW w:w="1073" w:type="pct"/>
                  <w:tcBorders>
                    <w:tl2br w:val="nil"/>
                    <w:tr2bl w:val="nil"/>
                  </w:tcBorders>
                  <w:vAlign w:val="center"/>
                </w:tcPr>
                <w:p w14:paraId="6B977F01">
                  <w:pPr>
                    <w:pStyle w:val="39"/>
                    <w:bidi w:val="0"/>
                    <w:rPr>
                      <w:rFonts w:hint="default" w:eastAsia="宋体"/>
                      <w:color w:val="auto"/>
                      <w:lang w:val="en-US" w:eastAsia="zh-CN"/>
                    </w:rPr>
                  </w:pPr>
                  <w:r>
                    <w:rPr>
                      <w:rFonts w:hint="eastAsia" w:eastAsia="宋体"/>
                      <w:color w:val="auto"/>
                      <w:lang w:val="en-US" w:eastAsia="zh-CN"/>
                    </w:rPr>
                    <w:t>200</w:t>
                  </w:r>
                </w:p>
              </w:tc>
              <w:tc>
                <w:tcPr>
                  <w:tcW w:w="1326" w:type="pct"/>
                  <w:vMerge w:val="restart"/>
                  <w:tcBorders>
                    <w:tl2br w:val="nil"/>
                    <w:tr2bl w:val="nil"/>
                  </w:tcBorders>
                  <w:vAlign w:val="center"/>
                </w:tcPr>
                <w:p w14:paraId="7126433A">
                  <w:pPr>
                    <w:pStyle w:val="39"/>
                    <w:bidi w:val="0"/>
                    <w:rPr>
                      <w:rFonts w:hint="default"/>
                      <w:color w:val="auto"/>
                    </w:rPr>
                  </w:pPr>
                  <w:r>
                    <w:rPr>
                      <w:rFonts w:hint="default"/>
                      <w:color w:val="auto"/>
                    </w:rPr>
                    <w:t>《环境空气质量标准》（GB3095-</w:t>
                  </w:r>
                  <w:r>
                    <w:rPr>
                      <w:rFonts w:hint="eastAsia"/>
                      <w:color w:val="auto"/>
                      <w:lang w:val="en-US" w:eastAsia="zh-CN"/>
                    </w:rPr>
                    <w:t>2026</w:t>
                  </w:r>
                  <w:r>
                    <w:rPr>
                      <w:rFonts w:hint="default"/>
                      <w:color w:val="auto"/>
                    </w:rPr>
                    <w:t>）中的二级标准</w:t>
                  </w:r>
                </w:p>
              </w:tc>
            </w:tr>
            <w:tr w14:paraId="24CE522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583" w:type="pct"/>
                  <w:vMerge w:val="continue"/>
                  <w:tcBorders>
                    <w:tl2br w:val="nil"/>
                    <w:tr2bl w:val="nil"/>
                  </w:tcBorders>
                  <w:vAlign w:val="center"/>
                </w:tcPr>
                <w:p w14:paraId="3B99B982">
                  <w:pPr>
                    <w:pStyle w:val="39"/>
                    <w:bidi w:val="0"/>
                  </w:pPr>
                </w:p>
              </w:tc>
              <w:tc>
                <w:tcPr>
                  <w:tcW w:w="1017" w:type="pct"/>
                  <w:tcBorders>
                    <w:tl2br w:val="nil"/>
                    <w:tr2bl w:val="nil"/>
                  </w:tcBorders>
                  <w:vAlign w:val="center"/>
                </w:tcPr>
                <w:p w14:paraId="4725AC13">
                  <w:pPr>
                    <w:pStyle w:val="39"/>
                    <w:bidi w:val="0"/>
                    <w:rPr>
                      <w:rFonts w:hint="eastAsia" w:eastAsia="宋体"/>
                      <w:color w:val="auto"/>
                      <w:lang w:val="en-US" w:eastAsia="zh-CN"/>
                    </w:rPr>
                  </w:pPr>
                  <w:r>
                    <w:rPr>
                      <w:rFonts w:hint="eastAsia"/>
                      <w:color w:val="auto"/>
                      <w:lang w:val="en-US" w:eastAsia="zh-CN"/>
                    </w:rPr>
                    <w:t>日平均</w:t>
                  </w:r>
                </w:p>
              </w:tc>
              <w:tc>
                <w:tcPr>
                  <w:tcW w:w="1073" w:type="pct"/>
                  <w:tcBorders>
                    <w:tl2br w:val="nil"/>
                    <w:tr2bl w:val="nil"/>
                  </w:tcBorders>
                  <w:vAlign w:val="center"/>
                </w:tcPr>
                <w:p w14:paraId="4012C259">
                  <w:pPr>
                    <w:pStyle w:val="39"/>
                    <w:bidi w:val="0"/>
                    <w:rPr>
                      <w:rFonts w:hint="default" w:eastAsia="宋体"/>
                      <w:color w:val="auto"/>
                      <w:lang w:val="en-US" w:eastAsia="zh-CN"/>
                    </w:rPr>
                  </w:pPr>
                  <w:r>
                    <w:rPr>
                      <w:rFonts w:hint="eastAsia" w:eastAsia="宋体"/>
                      <w:color w:val="auto"/>
                      <w:lang w:val="en-US" w:eastAsia="zh-CN"/>
                    </w:rPr>
                    <w:t>300</w:t>
                  </w:r>
                </w:p>
              </w:tc>
              <w:tc>
                <w:tcPr>
                  <w:tcW w:w="1326" w:type="pct"/>
                  <w:vMerge w:val="continue"/>
                  <w:tcBorders>
                    <w:tl2br w:val="nil"/>
                    <w:tr2bl w:val="nil"/>
                  </w:tcBorders>
                  <w:vAlign w:val="center"/>
                </w:tcPr>
                <w:p w14:paraId="06CADD97">
                  <w:pPr>
                    <w:pStyle w:val="39"/>
                    <w:bidi w:val="0"/>
                    <w:rPr>
                      <w:rFonts w:hint="default"/>
                      <w:color w:val="auto"/>
                    </w:rPr>
                  </w:pPr>
                </w:p>
              </w:tc>
            </w:tr>
            <w:tr w14:paraId="05CE4A4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583" w:type="pct"/>
                  <w:vMerge w:val="restart"/>
                  <w:tcBorders>
                    <w:tl2br w:val="nil"/>
                    <w:tr2bl w:val="nil"/>
                  </w:tcBorders>
                  <w:vAlign w:val="center"/>
                </w:tcPr>
                <w:p w14:paraId="4557B967">
                  <w:pPr>
                    <w:pStyle w:val="39"/>
                    <w:bidi w:val="0"/>
                    <w:rPr>
                      <w:rFonts w:hint="eastAsia"/>
                      <w:color w:val="auto"/>
                      <w:lang w:val="en-US" w:eastAsia="zh-CN"/>
                    </w:rPr>
                  </w:pPr>
                  <w:r>
                    <w:rPr>
                      <w:rFonts w:hint="eastAsia"/>
                      <w:color w:val="auto"/>
                      <w:lang w:val="en-US" w:eastAsia="zh-CN"/>
                    </w:rPr>
                    <w:t>氮氧化物（NOx）</w:t>
                  </w:r>
                </w:p>
                <w:p w14:paraId="130926BE">
                  <w:pPr>
                    <w:pStyle w:val="39"/>
                    <w:bidi w:val="0"/>
                    <w:rPr>
                      <w:rFonts w:hint="default" w:eastAsia="宋体"/>
                      <w:color w:val="auto"/>
                      <w:lang w:val="en-US" w:eastAsia="zh-CN"/>
                    </w:rPr>
                  </w:pPr>
                  <w:r>
                    <w:rPr>
                      <w:rFonts w:hint="eastAsia"/>
                      <w:color w:val="auto"/>
                      <w:lang w:val="en-US" w:eastAsia="zh-CN"/>
                    </w:rPr>
                    <w:t>（以</w:t>
                  </w:r>
                  <w:r>
                    <w:rPr>
                      <w:rFonts w:hint="default"/>
                      <w:color w:val="auto"/>
                    </w:rPr>
                    <w:t>NO</w:t>
                  </w:r>
                  <w:r>
                    <w:rPr>
                      <w:rFonts w:hint="default"/>
                      <w:color w:val="auto"/>
                      <w:vertAlign w:val="subscript"/>
                    </w:rPr>
                    <w:t>2</w:t>
                  </w:r>
                  <w:r>
                    <w:rPr>
                      <w:rFonts w:hint="eastAsia"/>
                      <w:color w:val="auto"/>
                      <w:vertAlign w:val="baseline"/>
                      <w:lang w:val="en-US" w:eastAsia="zh-CN"/>
                    </w:rPr>
                    <w:t>计</w:t>
                  </w:r>
                  <w:r>
                    <w:rPr>
                      <w:rFonts w:hint="eastAsia"/>
                      <w:color w:val="auto"/>
                      <w:lang w:val="en-US" w:eastAsia="zh-CN"/>
                    </w:rPr>
                    <w:t>）</w:t>
                  </w:r>
                </w:p>
              </w:tc>
              <w:tc>
                <w:tcPr>
                  <w:tcW w:w="1017" w:type="pct"/>
                  <w:tcBorders>
                    <w:tl2br w:val="nil"/>
                    <w:tr2bl w:val="nil"/>
                  </w:tcBorders>
                  <w:vAlign w:val="center"/>
                </w:tcPr>
                <w:p w14:paraId="1C0035D0">
                  <w:pPr>
                    <w:pStyle w:val="39"/>
                    <w:bidi w:val="0"/>
                    <w:ind w:firstLine="0" w:firstLineChars="0"/>
                    <w:rPr>
                      <w:rFonts w:hint="default"/>
                      <w:color w:val="auto"/>
                    </w:rPr>
                  </w:pPr>
                  <w:r>
                    <w:rPr>
                      <w:rFonts w:hint="eastAsia"/>
                      <w:color w:val="auto"/>
                      <w:lang w:val="en-US" w:eastAsia="zh-CN"/>
                    </w:rPr>
                    <w:t>年平均</w:t>
                  </w:r>
                </w:p>
              </w:tc>
              <w:tc>
                <w:tcPr>
                  <w:tcW w:w="1073" w:type="pct"/>
                  <w:tcBorders>
                    <w:tl2br w:val="nil"/>
                    <w:tr2bl w:val="nil"/>
                  </w:tcBorders>
                  <w:vAlign w:val="center"/>
                </w:tcPr>
                <w:p w14:paraId="6498D122">
                  <w:pPr>
                    <w:pStyle w:val="39"/>
                    <w:bidi w:val="0"/>
                    <w:rPr>
                      <w:rFonts w:hint="default" w:eastAsia="宋体"/>
                      <w:color w:val="auto"/>
                      <w:lang w:val="en-US" w:eastAsia="zh-CN"/>
                    </w:rPr>
                  </w:pPr>
                  <w:r>
                    <w:rPr>
                      <w:rFonts w:hint="eastAsia" w:eastAsia="宋体"/>
                      <w:color w:val="auto"/>
                      <w:lang w:val="en-US" w:eastAsia="zh-CN"/>
                    </w:rPr>
                    <w:t>40</w:t>
                  </w:r>
                  <w:r>
                    <w:rPr>
                      <w:rFonts w:hint="eastAsia" w:eastAsia="宋体"/>
                      <w:color w:val="auto"/>
                      <w:vertAlign w:val="superscript"/>
                      <w:lang w:val="en-US" w:eastAsia="zh-CN"/>
                    </w:rPr>
                    <w:t>a</w:t>
                  </w:r>
                </w:p>
              </w:tc>
              <w:tc>
                <w:tcPr>
                  <w:tcW w:w="1326" w:type="pct"/>
                  <w:vMerge w:val="continue"/>
                  <w:tcBorders>
                    <w:tl2br w:val="nil"/>
                    <w:tr2bl w:val="nil"/>
                  </w:tcBorders>
                  <w:vAlign w:val="center"/>
                </w:tcPr>
                <w:p w14:paraId="0F66719B">
                  <w:pPr>
                    <w:pStyle w:val="39"/>
                    <w:bidi w:val="0"/>
                    <w:rPr>
                      <w:rFonts w:hint="default"/>
                      <w:color w:val="auto"/>
                    </w:rPr>
                  </w:pPr>
                </w:p>
              </w:tc>
            </w:tr>
            <w:tr w14:paraId="4B68669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583" w:type="pct"/>
                  <w:vMerge w:val="continue"/>
                  <w:tcBorders>
                    <w:tl2br w:val="nil"/>
                    <w:tr2bl w:val="nil"/>
                  </w:tcBorders>
                  <w:vAlign w:val="center"/>
                </w:tcPr>
                <w:p w14:paraId="0ADE007E">
                  <w:pPr>
                    <w:pStyle w:val="39"/>
                    <w:bidi w:val="0"/>
                  </w:pPr>
                </w:p>
              </w:tc>
              <w:tc>
                <w:tcPr>
                  <w:tcW w:w="1017" w:type="pct"/>
                  <w:tcBorders>
                    <w:tl2br w:val="nil"/>
                    <w:tr2bl w:val="nil"/>
                  </w:tcBorders>
                  <w:vAlign w:val="center"/>
                </w:tcPr>
                <w:p w14:paraId="6C4A971C">
                  <w:pPr>
                    <w:pStyle w:val="39"/>
                    <w:bidi w:val="0"/>
                    <w:ind w:firstLine="0" w:firstLineChars="0"/>
                    <w:rPr>
                      <w:rFonts w:hint="default"/>
                      <w:color w:val="auto"/>
                    </w:rPr>
                  </w:pPr>
                  <w:r>
                    <w:rPr>
                      <w:rFonts w:hint="eastAsia"/>
                      <w:color w:val="auto"/>
                      <w:lang w:val="en-US" w:eastAsia="zh-CN"/>
                    </w:rPr>
                    <w:t>日平均</w:t>
                  </w:r>
                </w:p>
              </w:tc>
              <w:tc>
                <w:tcPr>
                  <w:tcW w:w="1073" w:type="pct"/>
                  <w:tcBorders>
                    <w:tl2br w:val="nil"/>
                    <w:tr2bl w:val="nil"/>
                  </w:tcBorders>
                  <w:vAlign w:val="center"/>
                </w:tcPr>
                <w:p w14:paraId="3F86A227">
                  <w:pPr>
                    <w:pStyle w:val="39"/>
                    <w:bidi w:val="0"/>
                    <w:rPr>
                      <w:rFonts w:hint="default" w:eastAsia="宋体"/>
                      <w:color w:val="auto"/>
                      <w:lang w:val="en-US" w:eastAsia="zh-CN"/>
                    </w:rPr>
                  </w:pPr>
                  <w:r>
                    <w:rPr>
                      <w:rFonts w:hint="eastAsia" w:eastAsia="宋体"/>
                      <w:color w:val="auto"/>
                      <w:lang w:val="en-US" w:eastAsia="zh-CN"/>
                    </w:rPr>
                    <w:t>70</w:t>
                  </w:r>
                  <w:r>
                    <w:rPr>
                      <w:rFonts w:hint="eastAsia" w:eastAsia="宋体"/>
                      <w:color w:val="auto"/>
                      <w:vertAlign w:val="superscript"/>
                      <w:lang w:val="en-US" w:eastAsia="zh-CN"/>
                    </w:rPr>
                    <w:t>b</w:t>
                  </w:r>
                </w:p>
              </w:tc>
              <w:tc>
                <w:tcPr>
                  <w:tcW w:w="1326" w:type="pct"/>
                  <w:vMerge w:val="continue"/>
                  <w:tcBorders>
                    <w:tl2br w:val="nil"/>
                    <w:tr2bl w:val="nil"/>
                  </w:tcBorders>
                  <w:vAlign w:val="center"/>
                </w:tcPr>
                <w:p w14:paraId="2BD299AD">
                  <w:pPr>
                    <w:pStyle w:val="39"/>
                    <w:bidi w:val="0"/>
                    <w:rPr>
                      <w:rFonts w:hint="default"/>
                      <w:color w:val="auto"/>
                    </w:rPr>
                  </w:pPr>
                </w:p>
              </w:tc>
            </w:tr>
            <w:tr w14:paraId="75C40F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1583" w:type="pct"/>
                  <w:vMerge w:val="continue"/>
                  <w:tcBorders>
                    <w:tl2br w:val="nil"/>
                    <w:tr2bl w:val="nil"/>
                  </w:tcBorders>
                  <w:vAlign w:val="center"/>
                </w:tcPr>
                <w:p w14:paraId="59BC5E72">
                  <w:pPr>
                    <w:pStyle w:val="39"/>
                    <w:bidi w:val="0"/>
                    <w:rPr>
                      <w:rFonts w:hint="default"/>
                      <w:color w:val="auto"/>
                    </w:rPr>
                  </w:pPr>
                </w:p>
              </w:tc>
              <w:tc>
                <w:tcPr>
                  <w:tcW w:w="1017" w:type="pct"/>
                  <w:tcBorders>
                    <w:tl2br w:val="nil"/>
                    <w:tr2bl w:val="nil"/>
                  </w:tcBorders>
                  <w:vAlign w:val="center"/>
                </w:tcPr>
                <w:p w14:paraId="10B69922">
                  <w:pPr>
                    <w:pStyle w:val="39"/>
                    <w:bidi w:val="0"/>
                    <w:ind w:firstLine="0" w:firstLineChars="0"/>
                    <w:rPr>
                      <w:rFonts w:hint="default"/>
                      <w:color w:val="auto"/>
                    </w:rPr>
                  </w:pPr>
                  <w:r>
                    <w:rPr>
                      <w:rFonts w:hint="eastAsia"/>
                      <w:color w:val="auto"/>
                      <w:lang w:val="en-US" w:eastAsia="zh-CN"/>
                    </w:rPr>
                    <w:t>1小时平均</w:t>
                  </w:r>
                </w:p>
              </w:tc>
              <w:tc>
                <w:tcPr>
                  <w:tcW w:w="1073" w:type="pct"/>
                  <w:tcBorders>
                    <w:tl2br w:val="nil"/>
                    <w:tr2bl w:val="nil"/>
                  </w:tcBorders>
                  <w:vAlign w:val="center"/>
                </w:tcPr>
                <w:p w14:paraId="2E3E2AAC">
                  <w:pPr>
                    <w:pStyle w:val="39"/>
                    <w:bidi w:val="0"/>
                    <w:rPr>
                      <w:rFonts w:hint="default" w:eastAsia="宋体"/>
                      <w:color w:val="auto"/>
                      <w:lang w:val="en-US" w:eastAsia="zh-CN"/>
                    </w:rPr>
                  </w:pPr>
                  <w:r>
                    <w:rPr>
                      <w:rFonts w:hint="eastAsia" w:eastAsia="宋体"/>
                      <w:color w:val="auto"/>
                      <w:lang w:val="en-US" w:eastAsia="zh-CN"/>
                    </w:rPr>
                    <w:t>250</w:t>
                  </w:r>
                </w:p>
              </w:tc>
              <w:tc>
                <w:tcPr>
                  <w:tcW w:w="1326" w:type="pct"/>
                  <w:vMerge w:val="continue"/>
                  <w:tcBorders>
                    <w:tl2br w:val="nil"/>
                    <w:tr2bl w:val="nil"/>
                  </w:tcBorders>
                  <w:vAlign w:val="center"/>
                </w:tcPr>
                <w:p w14:paraId="31F1C658">
                  <w:pPr>
                    <w:pStyle w:val="39"/>
                    <w:bidi w:val="0"/>
                    <w:rPr>
                      <w:rFonts w:hint="default"/>
                      <w:color w:val="auto"/>
                    </w:rPr>
                  </w:pPr>
                </w:p>
              </w:tc>
            </w:tr>
            <w:tr w14:paraId="71A077F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583" w:type="pct"/>
                  <w:vMerge w:val="restart"/>
                  <w:tcBorders>
                    <w:tl2br w:val="nil"/>
                    <w:tr2bl w:val="nil"/>
                  </w:tcBorders>
                  <w:vAlign w:val="center"/>
                </w:tcPr>
                <w:p w14:paraId="5C6F4D21">
                  <w:pPr>
                    <w:pStyle w:val="39"/>
                    <w:bidi w:val="0"/>
                    <w:rPr>
                      <w:rFonts w:hint="eastAsia" w:eastAsia="宋体"/>
                      <w:color w:val="auto"/>
                      <w:lang w:val="en-US" w:eastAsia="zh-CN"/>
                    </w:rPr>
                  </w:pPr>
                  <w:r>
                    <w:rPr>
                      <w:rFonts w:hint="eastAsia"/>
                      <w:color w:val="auto"/>
                      <w:lang w:val="en-US" w:eastAsia="zh-CN"/>
                    </w:rPr>
                    <w:t>铅（Pb）</w:t>
                  </w:r>
                </w:p>
              </w:tc>
              <w:tc>
                <w:tcPr>
                  <w:tcW w:w="1017" w:type="pct"/>
                  <w:tcBorders>
                    <w:tl2br w:val="nil"/>
                    <w:tr2bl w:val="nil"/>
                  </w:tcBorders>
                  <w:vAlign w:val="center"/>
                </w:tcPr>
                <w:p w14:paraId="75A17A7A">
                  <w:pPr>
                    <w:pStyle w:val="39"/>
                    <w:bidi w:val="0"/>
                    <w:ind w:firstLine="0" w:firstLineChars="0"/>
                    <w:rPr>
                      <w:rFonts w:hint="default"/>
                      <w:color w:val="auto"/>
                    </w:rPr>
                  </w:pPr>
                  <w:r>
                    <w:rPr>
                      <w:rFonts w:hint="eastAsia"/>
                      <w:color w:val="auto"/>
                      <w:lang w:val="en-US" w:eastAsia="zh-CN"/>
                    </w:rPr>
                    <w:t>年平均</w:t>
                  </w:r>
                </w:p>
              </w:tc>
              <w:tc>
                <w:tcPr>
                  <w:tcW w:w="1073" w:type="pct"/>
                  <w:tcBorders>
                    <w:tl2br w:val="nil"/>
                    <w:tr2bl w:val="nil"/>
                  </w:tcBorders>
                  <w:vAlign w:val="center"/>
                </w:tcPr>
                <w:p w14:paraId="1AAAC32B">
                  <w:pPr>
                    <w:pStyle w:val="39"/>
                    <w:bidi w:val="0"/>
                    <w:rPr>
                      <w:rFonts w:hint="default" w:eastAsia="宋体"/>
                      <w:color w:val="auto"/>
                      <w:lang w:val="en-US" w:eastAsia="zh-CN"/>
                    </w:rPr>
                  </w:pPr>
                  <w:r>
                    <w:rPr>
                      <w:rFonts w:hint="eastAsia" w:eastAsia="宋体"/>
                      <w:color w:val="auto"/>
                      <w:lang w:val="en-US" w:eastAsia="zh-CN"/>
                    </w:rPr>
                    <w:t>0.5</w:t>
                  </w:r>
                </w:p>
              </w:tc>
              <w:tc>
                <w:tcPr>
                  <w:tcW w:w="1326" w:type="pct"/>
                  <w:vMerge w:val="continue"/>
                  <w:tcBorders>
                    <w:tl2br w:val="nil"/>
                    <w:tr2bl w:val="nil"/>
                  </w:tcBorders>
                  <w:vAlign w:val="center"/>
                </w:tcPr>
                <w:p w14:paraId="0F2F8543">
                  <w:pPr>
                    <w:pStyle w:val="39"/>
                    <w:bidi w:val="0"/>
                    <w:rPr>
                      <w:rFonts w:hint="default"/>
                      <w:color w:val="auto"/>
                    </w:rPr>
                  </w:pPr>
                </w:p>
              </w:tc>
            </w:tr>
            <w:tr w14:paraId="1B519D5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583" w:type="pct"/>
                  <w:vMerge w:val="continue"/>
                  <w:tcBorders>
                    <w:tl2br w:val="nil"/>
                    <w:tr2bl w:val="nil"/>
                  </w:tcBorders>
                  <w:vAlign w:val="center"/>
                </w:tcPr>
                <w:p w14:paraId="33B34BD8">
                  <w:pPr>
                    <w:pStyle w:val="39"/>
                    <w:bidi w:val="0"/>
                  </w:pPr>
                </w:p>
              </w:tc>
              <w:tc>
                <w:tcPr>
                  <w:tcW w:w="1017" w:type="pct"/>
                  <w:tcBorders>
                    <w:tl2br w:val="nil"/>
                    <w:tr2bl w:val="nil"/>
                  </w:tcBorders>
                  <w:vAlign w:val="center"/>
                </w:tcPr>
                <w:p w14:paraId="64FB1092">
                  <w:pPr>
                    <w:pStyle w:val="39"/>
                    <w:bidi w:val="0"/>
                    <w:ind w:firstLine="0" w:firstLineChars="0"/>
                    <w:rPr>
                      <w:rFonts w:hint="default"/>
                      <w:color w:val="auto"/>
                    </w:rPr>
                  </w:pPr>
                  <w:r>
                    <w:rPr>
                      <w:rFonts w:hint="eastAsia"/>
                      <w:color w:val="auto"/>
                      <w:lang w:val="en-US" w:eastAsia="zh-CN"/>
                    </w:rPr>
                    <w:t>季平均</w:t>
                  </w:r>
                </w:p>
              </w:tc>
              <w:tc>
                <w:tcPr>
                  <w:tcW w:w="1073" w:type="pct"/>
                  <w:tcBorders>
                    <w:tl2br w:val="nil"/>
                    <w:tr2bl w:val="nil"/>
                  </w:tcBorders>
                  <w:vAlign w:val="center"/>
                </w:tcPr>
                <w:p w14:paraId="24CDBC77">
                  <w:pPr>
                    <w:pStyle w:val="39"/>
                    <w:bidi w:val="0"/>
                    <w:rPr>
                      <w:rFonts w:hint="default" w:eastAsia="宋体"/>
                      <w:color w:val="auto"/>
                      <w:lang w:val="en-US" w:eastAsia="zh-CN"/>
                    </w:rPr>
                  </w:pPr>
                  <w:r>
                    <w:rPr>
                      <w:rFonts w:hint="eastAsia" w:eastAsia="宋体"/>
                      <w:color w:val="auto"/>
                      <w:lang w:val="en-US" w:eastAsia="zh-CN"/>
                    </w:rPr>
                    <w:t>1.0</w:t>
                  </w:r>
                </w:p>
              </w:tc>
              <w:tc>
                <w:tcPr>
                  <w:tcW w:w="1326" w:type="pct"/>
                  <w:vMerge w:val="continue"/>
                  <w:tcBorders>
                    <w:tl2br w:val="nil"/>
                    <w:tr2bl w:val="nil"/>
                  </w:tcBorders>
                  <w:vAlign w:val="center"/>
                </w:tcPr>
                <w:p w14:paraId="099AEB7D">
                  <w:pPr>
                    <w:pStyle w:val="39"/>
                    <w:bidi w:val="0"/>
                    <w:rPr>
                      <w:rFonts w:hint="default"/>
                      <w:color w:val="auto"/>
                    </w:rPr>
                  </w:pPr>
                </w:p>
              </w:tc>
            </w:tr>
            <w:tr w14:paraId="26413B5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583" w:type="pct"/>
                  <w:vMerge w:val="restart"/>
                  <w:tcBorders>
                    <w:tl2br w:val="nil"/>
                    <w:tr2bl w:val="nil"/>
                  </w:tcBorders>
                  <w:vAlign w:val="center"/>
                </w:tcPr>
                <w:p w14:paraId="51D1F6A0">
                  <w:pPr>
                    <w:pStyle w:val="39"/>
                    <w:bidi w:val="0"/>
                    <w:rPr>
                      <w:rFonts w:hint="eastAsia" w:eastAsia="宋体"/>
                      <w:color w:val="auto"/>
                      <w:lang w:val="en-US" w:eastAsia="zh-CN"/>
                    </w:rPr>
                  </w:pPr>
                  <w:r>
                    <w:rPr>
                      <w:rFonts w:hint="eastAsia"/>
                      <w:color w:val="auto"/>
                      <w:lang w:val="en-US" w:eastAsia="zh-CN"/>
                    </w:rPr>
                    <w:t>苯</w:t>
                  </w:r>
                  <w:r>
                    <w:rPr>
                      <w:rFonts w:hint="eastAsia" w:ascii="Times New Roman" w:hAnsi="Times New Roman" w:eastAsia="宋体" w:cs="Times New Roman"/>
                      <w:color w:val="auto"/>
                      <w:lang w:val="en-US" w:eastAsia="zh-CN"/>
                    </w:rPr>
                    <w:t>［a］并</w:t>
                  </w:r>
                  <w:r>
                    <w:rPr>
                      <w:rFonts w:hint="eastAsia"/>
                      <w:color w:val="auto"/>
                      <w:lang w:val="en-US" w:eastAsia="zh-CN"/>
                    </w:rPr>
                    <w:t>芘（BaP）</w:t>
                  </w:r>
                </w:p>
              </w:tc>
              <w:tc>
                <w:tcPr>
                  <w:tcW w:w="1017" w:type="pct"/>
                  <w:tcBorders>
                    <w:tl2br w:val="nil"/>
                    <w:tr2bl w:val="nil"/>
                  </w:tcBorders>
                  <w:vAlign w:val="center"/>
                </w:tcPr>
                <w:p w14:paraId="0621DB53">
                  <w:pPr>
                    <w:pStyle w:val="39"/>
                    <w:bidi w:val="0"/>
                    <w:ind w:firstLine="0" w:firstLineChars="0"/>
                    <w:rPr>
                      <w:rFonts w:hint="default"/>
                      <w:color w:val="auto"/>
                    </w:rPr>
                  </w:pPr>
                  <w:r>
                    <w:rPr>
                      <w:rFonts w:hint="eastAsia"/>
                      <w:color w:val="auto"/>
                      <w:lang w:val="en-US" w:eastAsia="zh-CN"/>
                    </w:rPr>
                    <w:t>年平均</w:t>
                  </w:r>
                </w:p>
              </w:tc>
              <w:tc>
                <w:tcPr>
                  <w:tcW w:w="1073" w:type="pct"/>
                  <w:tcBorders>
                    <w:tl2br w:val="nil"/>
                    <w:tr2bl w:val="nil"/>
                  </w:tcBorders>
                  <w:vAlign w:val="center"/>
                </w:tcPr>
                <w:p w14:paraId="10F6E0CA">
                  <w:pPr>
                    <w:pStyle w:val="39"/>
                    <w:bidi w:val="0"/>
                    <w:rPr>
                      <w:rFonts w:hint="default" w:eastAsia="宋体"/>
                      <w:color w:val="auto"/>
                      <w:lang w:val="en-US" w:eastAsia="zh-CN"/>
                    </w:rPr>
                  </w:pPr>
                  <w:r>
                    <w:rPr>
                      <w:rFonts w:hint="eastAsia" w:eastAsia="宋体"/>
                      <w:color w:val="auto"/>
                      <w:lang w:val="en-US" w:eastAsia="zh-CN"/>
                    </w:rPr>
                    <w:t>0.001</w:t>
                  </w:r>
                </w:p>
              </w:tc>
              <w:tc>
                <w:tcPr>
                  <w:tcW w:w="1326" w:type="pct"/>
                  <w:vMerge w:val="continue"/>
                  <w:tcBorders>
                    <w:tl2br w:val="nil"/>
                    <w:tr2bl w:val="nil"/>
                  </w:tcBorders>
                  <w:vAlign w:val="center"/>
                </w:tcPr>
                <w:p w14:paraId="3C76D24E">
                  <w:pPr>
                    <w:pStyle w:val="39"/>
                    <w:bidi w:val="0"/>
                    <w:rPr>
                      <w:rFonts w:hint="default"/>
                      <w:color w:val="auto"/>
                    </w:rPr>
                  </w:pPr>
                </w:p>
              </w:tc>
            </w:tr>
            <w:tr w14:paraId="65FF01D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583" w:type="pct"/>
                  <w:vMerge w:val="continue"/>
                  <w:tcBorders>
                    <w:tl2br w:val="nil"/>
                    <w:tr2bl w:val="nil"/>
                  </w:tcBorders>
                  <w:vAlign w:val="center"/>
                </w:tcPr>
                <w:p w14:paraId="038B61C8">
                  <w:pPr>
                    <w:pStyle w:val="39"/>
                    <w:bidi w:val="0"/>
                  </w:pPr>
                </w:p>
              </w:tc>
              <w:tc>
                <w:tcPr>
                  <w:tcW w:w="1017" w:type="pct"/>
                  <w:tcBorders>
                    <w:tl2br w:val="nil"/>
                    <w:tr2bl w:val="nil"/>
                  </w:tcBorders>
                  <w:vAlign w:val="center"/>
                </w:tcPr>
                <w:p w14:paraId="05D1A3D1">
                  <w:pPr>
                    <w:pStyle w:val="39"/>
                    <w:bidi w:val="0"/>
                    <w:ind w:firstLine="0" w:firstLineChars="0"/>
                    <w:rPr>
                      <w:rFonts w:hint="default"/>
                      <w:color w:val="auto"/>
                    </w:rPr>
                  </w:pPr>
                  <w:r>
                    <w:rPr>
                      <w:rFonts w:hint="eastAsia"/>
                      <w:color w:val="auto"/>
                      <w:lang w:val="en-US" w:eastAsia="zh-CN"/>
                    </w:rPr>
                    <w:t>日平均</w:t>
                  </w:r>
                </w:p>
              </w:tc>
              <w:tc>
                <w:tcPr>
                  <w:tcW w:w="1073" w:type="pct"/>
                  <w:tcBorders>
                    <w:tl2br w:val="nil"/>
                    <w:tr2bl w:val="nil"/>
                  </w:tcBorders>
                  <w:vAlign w:val="center"/>
                </w:tcPr>
                <w:p w14:paraId="4FBE9E9B">
                  <w:pPr>
                    <w:pStyle w:val="39"/>
                    <w:bidi w:val="0"/>
                    <w:rPr>
                      <w:rFonts w:hint="default" w:eastAsia="宋体"/>
                      <w:color w:val="auto"/>
                      <w:lang w:val="en-US" w:eastAsia="zh-CN"/>
                    </w:rPr>
                  </w:pPr>
                  <w:r>
                    <w:rPr>
                      <w:rFonts w:hint="eastAsia" w:eastAsia="宋体"/>
                      <w:color w:val="auto"/>
                      <w:lang w:val="en-US" w:eastAsia="zh-CN"/>
                    </w:rPr>
                    <w:t>0.0025</w:t>
                  </w:r>
                </w:p>
              </w:tc>
              <w:tc>
                <w:tcPr>
                  <w:tcW w:w="1326" w:type="pct"/>
                  <w:vMerge w:val="continue"/>
                  <w:tcBorders>
                    <w:tl2br w:val="nil"/>
                    <w:tr2bl w:val="nil"/>
                  </w:tcBorders>
                  <w:vAlign w:val="center"/>
                </w:tcPr>
                <w:p w14:paraId="12CF433F">
                  <w:pPr>
                    <w:pStyle w:val="39"/>
                    <w:bidi w:val="0"/>
                    <w:rPr>
                      <w:rFonts w:hint="default"/>
                      <w:color w:val="auto"/>
                    </w:rPr>
                  </w:pPr>
                </w:p>
              </w:tc>
            </w:tr>
            <w:tr w14:paraId="0430D1C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5000" w:type="pct"/>
                  <w:gridSpan w:val="4"/>
                  <w:tcBorders>
                    <w:tl2br w:val="nil"/>
                    <w:tr2bl w:val="nil"/>
                  </w:tcBorders>
                  <w:vAlign w:val="center"/>
                </w:tcPr>
                <w:p w14:paraId="4A6240AC">
                  <w:pPr>
                    <w:pStyle w:val="39"/>
                    <w:bidi w:val="0"/>
                    <w:jc w:val="both"/>
                    <w:rPr>
                      <w:rFonts w:hint="eastAsia" w:ascii="Times New Roman" w:hAnsi="Times New Roman" w:eastAsia="宋体" w:cs="Times New Roman"/>
                      <w:color w:val="auto"/>
                      <w:lang w:eastAsia="zh-CN"/>
                    </w:rPr>
                  </w:pPr>
                  <w:r>
                    <w:rPr>
                      <w:rFonts w:hint="eastAsia"/>
                      <w:color w:val="auto"/>
                      <w:vertAlign w:val="superscript"/>
                      <w:lang w:val="en-US" w:eastAsia="zh-CN"/>
                    </w:rPr>
                    <w:t>a</w:t>
                  </w:r>
                  <w:r>
                    <w:rPr>
                      <w:rFonts w:hint="default"/>
                      <w:color w:val="auto"/>
                    </w:rPr>
                    <w:t>自本标准实施之日</w:t>
                  </w:r>
                  <w:r>
                    <w:rPr>
                      <w:rFonts w:hint="eastAsia"/>
                      <w:color w:val="auto"/>
                      <w:lang w:eastAsia="zh-CN"/>
                    </w:rPr>
                    <w:t>（</w:t>
                  </w:r>
                  <w:r>
                    <w:rPr>
                      <w:rFonts w:hint="eastAsia"/>
                      <w:color w:val="auto"/>
                      <w:lang w:val="en-US" w:eastAsia="zh-CN"/>
                    </w:rPr>
                    <w:t>2026年3月1日</w:t>
                  </w:r>
                  <w:r>
                    <w:rPr>
                      <w:rFonts w:hint="eastAsia"/>
                      <w:color w:val="auto"/>
                      <w:lang w:eastAsia="zh-CN"/>
                    </w:rPr>
                    <w:t>）</w:t>
                  </w:r>
                  <w:r>
                    <w:rPr>
                      <w:rFonts w:hint="default"/>
                      <w:color w:val="auto"/>
                    </w:rPr>
                    <w:t>起至</w:t>
                  </w:r>
                  <w:r>
                    <w:rPr>
                      <w:rFonts w:hint="default" w:ascii="Times New Roman" w:hAnsi="Times New Roman" w:cs="Times New Roman"/>
                      <w:color w:val="auto"/>
                    </w:rPr>
                    <w:t>2030年12月31日止，过渡阶段浓度限值为50μg/m</w:t>
                  </w:r>
                  <w:r>
                    <w:rPr>
                      <w:rFonts w:hint="eastAsia" w:ascii="Times New Roman" w:hAnsi="Times New Roman" w:cs="Times New Roman"/>
                      <w:color w:val="auto"/>
                      <w:vertAlign w:val="superscript"/>
                      <w:lang w:val="en-US" w:eastAsia="zh-CN"/>
                    </w:rPr>
                    <w:t>2</w:t>
                  </w:r>
                </w:p>
                <w:p w14:paraId="51B601FF">
                  <w:pPr>
                    <w:pStyle w:val="39"/>
                    <w:bidi w:val="0"/>
                    <w:jc w:val="both"/>
                    <w:rPr>
                      <w:rFonts w:hint="default"/>
                      <w:color w:val="auto"/>
                    </w:rPr>
                  </w:pPr>
                  <w:r>
                    <w:rPr>
                      <w:rFonts w:hint="default" w:ascii="Times New Roman" w:hAnsi="Times New Roman" w:cs="Times New Roman"/>
                      <w:color w:val="auto"/>
                      <w:vertAlign w:val="superscript"/>
                      <w:lang w:val="en-US" w:eastAsia="zh-CN"/>
                    </w:rPr>
                    <w:t>b</w:t>
                  </w:r>
                  <w:r>
                    <w:rPr>
                      <w:rFonts w:hint="default" w:ascii="Times New Roman" w:hAnsi="Times New Roman" w:cs="Times New Roman"/>
                      <w:color w:val="auto"/>
                    </w:rPr>
                    <w:t>自本标准实施之日</w:t>
                  </w:r>
                  <w:r>
                    <w:rPr>
                      <w:rFonts w:hint="eastAsia" w:cs="Times New Roman"/>
                      <w:color w:val="auto"/>
                      <w:lang w:eastAsia="zh-CN"/>
                    </w:rPr>
                    <w:t>（</w:t>
                  </w:r>
                  <w:r>
                    <w:rPr>
                      <w:rFonts w:hint="eastAsia"/>
                      <w:color w:val="auto"/>
                      <w:lang w:val="en-US" w:eastAsia="zh-CN"/>
                    </w:rPr>
                    <w:t>2026年3月1日</w:t>
                  </w:r>
                  <w:r>
                    <w:rPr>
                      <w:rFonts w:hint="eastAsia" w:cs="Times New Roman"/>
                      <w:color w:val="auto"/>
                      <w:lang w:eastAsia="zh-CN"/>
                    </w:rPr>
                    <w:t>）</w:t>
                  </w:r>
                  <w:r>
                    <w:rPr>
                      <w:rFonts w:hint="default" w:ascii="Times New Roman" w:hAnsi="Times New Roman" w:cs="Times New Roman"/>
                      <w:color w:val="auto"/>
                    </w:rPr>
                    <w:t>起至2030年12月31日止，过渡阶段浓度限值为100μg/m</w:t>
                  </w:r>
                  <w:r>
                    <w:rPr>
                      <w:rFonts w:hint="eastAsia" w:ascii="Times New Roman" w:hAnsi="Times New Roman" w:cs="Times New Roman"/>
                      <w:color w:val="auto"/>
                      <w:vertAlign w:val="superscript"/>
                      <w:lang w:val="en-US" w:eastAsia="zh-CN"/>
                    </w:rPr>
                    <w:t>2</w:t>
                  </w:r>
                  <w:r>
                    <w:rPr>
                      <w:rFonts w:hint="default"/>
                      <w:color w:val="auto"/>
                    </w:rPr>
                    <w:t>。</w:t>
                  </w:r>
                </w:p>
              </w:tc>
            </w:tr>
          </w:tbl>
          <w:p w14:paraId="53E1574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2、地表水环境质量标准</w:t>
            </w:r>
          </w:p>
          <w:p w14:paraId="32EA27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本项目线路工程东南侧470m处的</w:t>
            </w:r>
            <w:r>
              <w:rPr>
                <w:rFonts w:hint="default" w:ascii="Times New Roman" w:hAnsi="Times New Roman" w:eastAsia="宋体" w:cs="Times New Roman"/>
                <w:sz w:val="24"/>
                <w:szCs w:val="24"/>
                <w:lang w:val="en-US" w:eastAsia="zh-CN"/>
              </w:rPr>
              <w:t>平甸河（大开门段），根据《云南省水功能区划（2014年修订版）》，该段属于平甸河新平保留区，范围为平甸河水库坝址—入小河底河口，用水功能为农业、工业、景观用水，水环境功能类别为Ⅲ类。</w:t>
            </w:r>
          </w:p>
          <w:p w14:paraId="79614494">
            <w:pPr>
              <w:pStyle w:val="26"/>
              <w:keepNext w:val="0"/>
              <w:keepLines w:val="0"/>
              <w:pageBreakBefore w:val="0"/>
              <w:widowControl w:val="0"/>
              <w:kinsoku/>
              <w:wordWrap/>
              <w:overflowPunct/>
              <w:topLinePunct w:val="0"/>
              <w:autoSpaceDE/>
              <w:autoSpaceDN/>
              <w:bidi w:val="0"/>
              <w:spacing w:line="360" w:lineRule="auto"/>
              <w:textAlignment w:val="auto"/>
              <w:rPr>
                <w:rFonts w:hint="eastAsia" w:ascii="黑体" w:hAnsi="黑体" w:eastAsia="黑体" w:cs="黑体"/>
                <w:b w:val="0"/>
                <w:bCs w:val="0"/>
                <w:color w:val="auto"/>
              </w:rPr>
            </w:pPr>
            <w:r>
              <w:rPr>
                <w:rFonts w:hint="eastAsia" w:ascii="黑体" w:hAnsi="黑体" w:eastAsia="黑体" w:cs="黑体"/>
                <w:b w:val="0"/>
                <w:bCs w:val="0"/>
                <w:color w:val="auto"/>
              </w:rPr>
              <w:t>表3</w:t>
            </w:r>
            <w:r>
              <w:rPr>
                <w:rFonts w:hint="eastAsia" w:ascii="黑体" w:hAnsi="黑体" w:eastAsia="黑体" w:cs="黑体"/>
                <w:b w:val="0"/>
                <w:bCs w:val="0"/>
                <w:color w:val="auto"/>
                <w:lang w:val="en-US" w:eastAsia="zh-CN"/>
              </w:rPr>
              <w:t>-11</w:t>
            </w:r>
            <w:r>
              <w:rPr>
                <w:rFonts w:hint="eastAsia" w:ascii="黑体" w:hAnsi="黑体" w:eastAsia="黑体" w:cs="黑体"/>
                <w:b w:val="0"/>
                <w:bCs w:val="0"/>
                <w:color w:val="auto"/>
              </w:rPr>
              <w:t xml:space="preserve"> 《地表水环境质量标准》单位：mg/L，pH除外</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99"/>
              <w:gridCol w:w="1318"/>
              <w:gridCol w:w="1728"/>
              <w:gridCol w:w="1118"/>
              <w:gridCol w:w="1582"/>
            </w:tblGrid>
            <w:tr w14:paraId="55BEE3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46BA1CB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项目</w:t>
                  </w:r>
                </w:p>
              </w:tc>
              <w:tc>
                <w:tcPr>
                  <w:tcW w:w="617" w:type="pct"/>
                  <w:tcBorders>
                    <w:tl2br w:val="nil"/>
                    <w:tr2bl w:val="nil"/>
                  </w:tcBorders>
                  <w:vAlign w:val="center"/>
                </w:tcPr>
                <w:p w14:paraId="0BD1FB3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pH</w:t>
                  </w:r>
                </w:p>
              </w:tc>
              <w:tc>
                <w:tcPr>
                  <w:tcW w:w="814" w:type="pct"/>
                  <w:tcBorders>
                    <w:tl2br w:val="nil"/>
                    <w:tr2bl w:val="nil"/>
                  </w:tcBorders>
                  <w:vAlign w:val="center"/>
                </w:tcPr>
                <w:p w14:paraId="6412A08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COD</w:t>
                  </w:r>
                </w:p>
              </w:tc>
              <w:tc>
                <w:tcPr>
                  <w:tcW w:w="1067" w:type="pct"/>
                  <w:tcBorders>
                    <w:tl2br w:val="nil"/>
                    <w:tr2bl w:val="nil"/>
                  </w:tcBorders>
                  <w:vAlign w:val="center"/>
                </w:tcPr>
                <w:p w14:paraId="2E3BC01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BOD</w:t>
                  </w:r>
                  <w:r>
                    <w:rPr>
                      <w:rFonts w:hint="default" w:ascii="Times New Roman" w:hAnsi="Times New Roman" w:eastAsia="宋体" w:cs="Times New Roman"/>
                      <w:sz w:val="18"/>
                      <w:szCs w:val="18"/>
                      <w:vertAlign w:val="subscript"/>
                      <w:lang w:val="en-US" w:eastAsia="zh-CN"/>
                    </w:rPr>
                    <w:t>5</w:t>
                  </w:r>
                </w:p>
              </w:tc>
              <w:tc>
                <w:tcPr>
                  <w:tcW w:w="690" w:type="pct"/>
                  <w:tcBorders>
                    <w:tl2br w:val="nil"/>
                    <w:tr2bl w:val="nil"/>
                  </w:tcBorders>
                  <w:vAlign w:val="center"/>
                </w:tcPr>
                <w:p w14:paraId="3DEAD93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NH</w:t>
                  </w:r>
                  <w:r>
                    <w:rPr>
                      <w:rFonts w:hint="default" w:ascii="Times New Roman" w:hAnsi="Times New Roman" w:eastAsia="宋体" w:cs="Times New Roman"/>
                      <w:sz w:val="18"/>
                      <w:szCs w:val="18"/>
                      <w:vertAlign w:val="subscript"/>
                      <w:lang w:val="en-US" w:eastAsia="zh-CN"/>
                    </w:rPr>
                    <w:t>3</w:t>
                  </w:r>
                  <w:r>
                    <w:rPr>
                      <w:rFonts w:hint="default" w:ascii="Times New Roman" w:hAnsi="Times New Roman" w:eastAsia="宋体" w:cs="Times New Roman"/>
                      <w:sz w:val="18"/>
                      <w:szCs w:val="18"/>
                      <w:vertAlign w:val="baseline"/>
                      <w:lang w:val="en-US" w:eastAsia="zh-CN"/>
                    </w:rPr>
                    <w:t>-N</w:t>
                  </w:r>
                </w:p>
              </w:tc>
              <w:tc>
                <w:tcPr>
                  <w:tcW w:w="977" w:type="pct"/>
                  <w:tcBorders>
                    <w:tl2br w:val="nil"/>
                    <w:tr2bl w:val="nil"/>
                  </w:tcBorders>
                  <w:vAlign w:val="center"/>
                </w:tcPr>
                <w:p w14:paraId="3B6DEA2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TP</w:t>
                  </w:r>
                </w:p>
              </w:tc>
            </w:tr>
            <w:tr w14:paraId="4B819E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0C0B2BE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rPr>
                  </w:pPr>
                  <w:r>
                    <w:rPr>
                      <w:rFonts w:hint="default" w:ascii="Times New Roman" w:hAnsi="Times New Roman" w:eastAsia="宋体" w:cs="Times New Roman"/>
                      <w:sz w:val="18"/>
                      <w:szCs w:val="18"/>
                      <w:lang w:val="en-US" w:eastAsia="zh-CN"/>
                    </w:rPr>
                    <w:t>Ⅲ类标准</w:t>
                  </w:r>
                </w:p>
              </w:tc>
              <w:tc>
                <w:tcPr>
                  <w:tcW w:w="617" w:type="pct"/>
                  <w:tcBorders>
                    <w:tl2br w:val="nil"/>
                    <w:tr2bl w:val="nil"/>
                  </w:tcBorders>
                  <w:vAlign w:val="center"/>
                </w:tcPr>
                <w:p w14:paraId="71D1439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6-9</w:t>
                  </w:r>
                </w:p>
              </w:tc>
              <w:tc>
                <w:tcPr>
                  <w:tcW w:w="814" w:type="pct"/>
                  <w:tcBorders>
                    <w:tl2br w:val="nil"/>
                    <w:tr2bl w:val="nil"/>
                  </w:tcBorders>
                  <w:vAlign w:val="center"/>
                </w:tcPr>
                <w:p w14:paraId="3922C52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20</w:t>
                  </w:r>
                </w:p>
              </w:tc>
              <w:tc>
                <w:tcPr>
                  <w:tcW w:w="1067" w:type="pct"/>
                  <w:tcBorders>
                    <w:tl2br w:val="nil"/>
                    <w:tr2bl w:val="nil"/>
                  </w:tcBorders>
                  <w:vAlign w:val="center"/>
                </w:tcPr>
                <w:p w14:paraId="1151263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4</w:t>
                  </w:r>
                </w:p>
              </w:tc>
              <w:tc>
                <w:tcPr>
                  <w:tcW w:w="690" w:type="pct"/>
                  <w:tcBorders>
                    <w:tl2br w:val="nil"/>
                    <w:tr2bl w:val="nil"/>
                  </w:tcBorders>
                  <w:vAlign w:val="center"/>
                </w:tcPr>
                <w:p w14:paraId="667B54D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977" w:type="pct"/>
                  <w:tcBorders>
                    <w:tl2br w:val="nil"/>
                    <w:tr2bl w:val="nil"/>
                  </w:tcBorders>
                  <w:vAlign w:val="center"/>
                </w:tcPr>
                <w:p w14:paraId="3319172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0.2</w:t>
                  </w:r>
                </w:p>
              </w:tc>
            </w:tr>
            <w:tr w14:paraId="67759E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2345E62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eastAsia="宋体" w:cs="Times New Roman"/>
                      <w:sz w:val="18"/>
                      <w:szCs w:val="18"/>
                      <w:vertAlign w:val="baseline"/>
                      <w:lang w:val="en-US" w:eastAsia="zh-CN"/>
                    </w:rPr>
                    <w:t>项目</w:t>
                  </w:r>
                </w:p>
              </w:tc>
              <w:tc>
                <w:tcPr>
                  <w:tcW w:w="617" w:type="pct"/>
                  <w:tcBorders>
                    <w:tl2br w:val="nil"/>
                    <w:tr2bl w:val="nil"/>
                  </w:tcBorders>
                  <w:vAlign w:val="center"/>
                </w:tcPr>
                <w:p w14:paraId="7A35711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总氮</w:t>
                  </w:r>
                </w:p>
              </w:tc>
              <w:tc>
                <w:tcPr>
                  <w:tcW w:w="814" w:type="pct"/>
                  <w:tcBorders>
                    <w:tl2br w:val="nil"/>
                    <w:tr2bl w:val="nil"/>
                  </w:tcBorders>
                  <w:vAlign w:val="center"/>
                </w:tcPr>
                <w:p w14:paraId="7FBC7C1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铜</w:t>
                  </w:r>
                </w:p>
              </w:tc>
              <w:tc>
                <w:tcPr>
                  <w:tcW w:w="1067" w:type="pct"/>
                  <w:tcBorders>
                    <w:tl2br w:val="nil"/>
                    <w:tr2bl w:val="nil"/>
                  </w:tcBorders>
                  <w:vAlign w:val="center"/>
                </w:tcPr>
                <w:p w14:paraId="08FCBC4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总锌</w:t>
                  </w:r>
                </w:p>
              </w:tc>
              <w:tc>
                <w:tcPr>
                  <w:tcW w:w="690" w:type="pct"/>
                  <w:tcBorders>
                    <w:tl2br w:val="nil"/>
                    <w:tr2bl w:val="nil"/>
                  </w:tcBorders>
                  <w:vAlign w:val="center"/>
                </w:tcPr>
                <w:p w14:paraId="4F3DEB8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氟化物</w:t>
                  </w:r>
                </w:p>
              </w:tc>
              <w:tc>
                <w:tcPr>
                  <w:tcW w:w="977" w:type="pct"/>
                  <w:tcBorders>
                    <w:tl2br w:val="nil"/>
                    <w:tr2bl w:val="nil"/>
                  </w:tcBorders>
                  <w:vAlign w:val="center"/>
                </w:tcPr>
                <w:p w14:paraId="11C99D4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砷</w:t>
                  </w:r>
                </w:p>
              </w:tc>
            </w:tr>
            <w:tr w14:paraId="7C1A6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20309F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eastAsia="宋体" w:cs="Times New Roman"/>
                      <w:sz w:val="18"/>
                      <w:szCs w:val="18"/>
                      <w:lang w:val="en-US" w:eastAsia="zh-CN"/>
                    </w:rPr>
                    <w:t>Ⅲ类标准</w:t>
                  </w:r>
                </w:p>
              </w:tc>
              <w:tc>
                <w:tcPr>
                  <w:tcW w:w="617" w:type="pct"/>
                  <w:tcBorders>
                    <w:tl2br w:val="nil"/>
                    <w:tr2bl w:val="nil"/>
                  </w:tcBorders>
                  <w:vAlign w:val="center"/>
                </w:tcPr>
                <w:p w14:paraId="13D4CE4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814" w:type="pct"/>
                  <w:tcBorders>
                    <w:tl2br w:val="nil"/>
                    <w:tr2bl w:val="nil"/>
                  </w:tcBorders>
                  <w:vAlign w:val="center"/>
                </w:tcPr>
                <w:p w14:paraId="0076850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1067" w:type="pct"/>
                  <w:tcBorders>
                    <w:tl2br w:val="nil"/>
                    <w:tr2bl w:val="nil"/>
                  </w:tcBorders>
                  <w:vAlign w:val="center"/>
                </w:tcPr>
                <w:p w14:paraId="14F3AE4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690" w:type="pct"/>
                  <w:tcBorders>
                    <w:tl2br w:val="nil"/>
                    <w:tr2bl w:val="nil"/>
                  </w:tcBorders>
                  <w:vAlign w:val="center"/>
                </w:tcPr>
                <w:p w14:paraId="259FAAB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w:t>
                  </w:r>
                </w:p>
              </w:tc>
              <w:tc>
                <w:tcPr>
                  <w:tcW w:w="977" w:type="pct"/>
                  <w:tcBorders>
                    <w:tl2br w:val="nil"/>
                    <w:tr2bl w:val="nil"/>
                  </w:tcBorders>
                  <w:vAlign w:val="center"/>
                </w:tcPr>
                <w:p w14:paraId="3EFECCB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0.05</w:t>
                  </w:r>
                </w:p>
              </w:tc>
            </w:tr>
            <w:tr w14:paraId="0F0736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0427EB0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eastAsia="宋体" w:cs="Times New Roman"/>
                      <w:sz w:val="18"/>
                      <w:szCs w:val="18"/>
                      <w:vertAlign w:val="baseline"/>
                      <w:lang w:val="en-US" w:eastAsia="zh-CN"/>
                    </w:rPr>
                    <w:t>项目</w:t>
                  </w:r>
                </w:p>
              </w:tc>
              <w:tc>
                <w:tcPr>
                  <w:tcW w:w="617" w:type="pct"/>
                  <w:tcBorders>
                    <w:tl2br w:val="nil"/>
                    <w:tr2bl w:val="nil"/>
                  </w:tcBorders>
                  <w:vAlign w:val="center"/>
                </w:tcPr>
                <w:p w14:paraId="6A2EB46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汞</w:t>
                  </w:r>
                </w:p>
              </w:tc>
              <w:tc>
                <w:tcPr>
                  <w:tcW w:w="814" w:type="pct"/>
                  <w:tcBorders>
                    <w:tl2br w:val="nil"/>
                    <w:tr2bl w:val="nil"/>
                  </w:tcBorders>
                  <w:vAlign w:val="center"/>
                </w:tcPr>
                <w:p w14:paraId="2CA3B74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镉</w:t>
                  </w:r>
                </w:p>
              </w:tc>
              <w:tc>
                <w:tcPr>
                  <w:tcW w:w="1067" w:type="pct"/>
                  <w:tcBorders>
                    <w:tl2br w:val="nil"/>
                    <w:tr2bl w:val="nil"/>
                  </w:tcBorders>
                  <w:vAlign w:val="center"/>
                </w:tcPr>
                <w:p w14:paraId="1E65D51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六价铬</w:t>
                  </w:r>
                </w:p>
              </w:tc>
              <w:tc>
                <w:tcPr>
                  <w:tcW w:w="690" w:type="pct"/>
                  <w:tcBorders>
                    <w:tl2br w:val="nil"/>
                    <w:tr2bl w:val="nil"/>
                  </w:tcBorders>
                  <w:vAlign w:val="center"/>
                </w:tcPr>
                <w:p w14:paraId="737CD26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铅</w:t>
                  </w:r>
                </w:p>
              </w:tc>
              <w:tc>
                <w:tcPr>
                  <w:tcW w:w="977" w:type="pct"/>
                  <w:tcBorders>
                    <w:tl2br w:val="nil"/>
                    <w:tr2bl w:val="nil"/>
                  </w:tcBorders>
                  <w:vAlign w:val="center"/>
                </w:tcPr>
                <w:p w14:paraId="0AC1537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氰化物</w:t>
                  </w:r>
                </w:p>
              </w:tc>
            </w:tr>
            <w:tr w14:paraId="1F23A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1A14EE3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eastAsia="宋体" w:cs="Times New Roman"/>
                      <w:sz w:val="18"/>
                      <w:szCs w:val="18"/>
                      <w:lang w:val="en-US" w:eastAsia="zh-CN"/>
                    </w:rPr>
                    <w:t>Ⅲ类标准</w:t>
                  </w:r>
                </w:p>
              </w:tc>
              <w:tc>
                <w:tcPr>
                  <w:tcW w:w="617" w:type="pct"/>
                  <w:tcBorders>
                    <w:tl2br w:val="nil"/>
                    <w:tr2bl w:val="nil"/>
                  </w:tcBorders>
                  <w:vAlign w:val="center"/>
                </w:tcPr>
                <w:p w14:paraId="27CDBE0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0.001</w:t>
                  </w:r>
                </w:p>
              </w:tc>
              <w:tc>
                <w:tcPr>
                  <w:tcW w:w="814" w:type="pct"/>
                  <w:tcBorders>
                    <w:tl2br w:val="nil"/>
                    <w:tr2bl w:val="nil"/>
                  </w:tcBorders>
                  <w:vAlign w:val="center"/>
                </w:tcPr>
                <w:p w14:paraId="680AE25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0.005</w:t>
                  </w:r>
                </w:p>
              </w:tc>
              <w:tc>
                <w:tcPr>
                  <w:tcW w:w="1067" w:type="pct"/>
                  <w:tcBorders>
                    <w:tl2br w:val="nil"/>
                    <w:tr2bl w:val="nil"/>
                  </w:tcBorders>
                  <w:vAlign w:val="center"/>
                </w:tcPr>
                <w:p w14:paraId="18B0A68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0.05</w:t>
                  </w:r>
                </w:p>
              </w:tc>
              <w:tc>
                <w:tcPr>
                  <w:tcW w:w="690" w:type="pct"/>
                  <w:tcBorders>
                    <w:tl2br w:val="nil"/>
                    <w:tr2bl w:val="nil"/>
                  </w:tcBorders>
                  <w:vAlign w:val="center"/>
                </w:tcPr>
                <w:p w14:paraId="2AB4B1E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0.05</w:t>
                  </w:r>
                </w:p>
              </w:tc>
              <w:tc>
                <w:tcPr>
                  <w:tcW w:w="977" w:type="pct"/>
                  <w:tcBorders>
                    <w:tl2br w:val="nil"/>
                    <w:tr2bl w:val="nil"/>
                  </w:tcBorders>
                  <w:vAlign w:val="center"/>
                </w:tcPr>
                <w:p w14:paraId="021A430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0.2</w:t>
                  </w:r>
                </w:p>
              </w:tc>
            </w:tr>
            <w:tr w14:paraId="729DC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3DDCE14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eastAsia="宋体" w:cs="Times New Roman"/>
                      <w:sz w:val="18"/>
                      <w:szCs w:val="18"/>
                      <w:vertAlign w:val="baseline"/>
                      <w:lang w:val="en-US" w:eastAsia="zh-CN"/>
                    </w:rPr>
                    <w:t>项目</w:t>
                  </w:r>
                </w:p>
              </w:tc>
              <w:tc>
                <w:tcPr>
                  <w:tcW w:w="617" w:type="pct"/>
                  <w:tcBorders>
                    <w:tl2br w:val="nil"/>
                    <w:tr2bl w:val="nil"/>
                  </w:tcBorders>
                  <w:vAlign w:val="center"/>
                </w:tcPr>
                <w:p w14:paraId="3848E8C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挥发分</w:t>
                  </w:r>
                </w:p>
              </w:tc>
              <w:tc>
                <w:tcPr>
                  <w:tcW w:w="814" w:type="pct"/>
                  <w:tcBorders>
                    <w:tl2br w:val="nil"/>
                    <w:tr2bl w:val="nil"/>
                  </w:tcBorders>
                  <w:vAlign w:val="center"/>
                </w:tcPr>
                <w:p w14:paraId="1FEED11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石油类</w:t>
                  </w:r>
                </w:p>
              </w:tc>
              <w:tc>
                <w:tcPr>
                  <w:tcW w:w="1067" w:type="pct"/>
                  <w:tcBorders>
                    <w:tl2br w:val="nil"/>
                    <w:tr2bl w:val="nil"/>
                  </w:tcBorders>
                  <w:vAlign w:val="center"/>
                </w:tcPr>
                <w:p w14:paraId="627CCFD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阴离子表面活性剂</w:t>
                  </w:r>
                </w:p>
              </w:tc>
              <w:tc>
                <w:tcPr>
                  <w:tcW w:w="690" w:type="pct"/>
                  <w:tcBorders>
                    <w:tl2br w:val="nil"/>
                    <w:tr2bl w:val="nil"/>
                  </w:tcBorders>
                  <w:vAlign w:val="center"/>
                </w:tcPr>
                <w:p w14:paraId="5B51D55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硫化物</w:t>
                  </w:r>
                </w:p>
              </w:tc>
              <w:tc>
                <w:tcPr>
                  <w:tcW w:w="977" w:type="pct"/>
                  <w:tcBorders>
                    <w:tl2br w:val="nil"/>
                    <w:tr2bl w:val="nil"/>
                  </w:tcBorders>
                  <w:vAlign w:val="center"/>
                </w:tcPr>
                <w:p w14:paraId="1DCF3FE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粪大肠菌（个/L）</w:t>
                  </w:r>
                </w:p>
              </w:tc>
            </w:tr>
            <w:tr w14:paraId="5D272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08ABF33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eastAsia="宋体" w:cs="Times New Roman"/>
                      <w:sz w:val="18"/>
                      <w:szCs w:val="18"/>
                      <w:lang w:val="en-US" w:eastAsia="zh-CN"/>
                    </w:rPr>
                    <w:t>Ⅲ类标准</w:t>
                  </w:r>
                </w:p>
              </w:tc>
              <w:tc>
                <w:tcPr>
                  <w:tcW w:w="617" w:type="pct"/>
                  <w:tcBorders>
                    <w:tl2br w:val="nil"/>
                    <w:tr2bl w:val="nil"/>
                  </w:tcBorders>
                  <w:vAlign w:val="center"/>
                </w:tcPr>
                <w:p w14:paraId="556633C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0.005</w:t>
                  </w:r>
                </w:p>
              </w:tc>
              <w:tc>
                <w:tcPr>
                  <w:tcW w:w="814" w:type="pct"/>
                  <w:tcBorders>
                    <w:tl2br w:val="nil"/>
                    <w:tr2bl w:val="nil"/>
                  </w:tcBorders>
                  <w:vAlign w:val="center"/>
                </w:tcPr>
                <w:p w14:paraId="76C6F9D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0.05</w:t>
                  </w:r>
                </w:p>
              </w:tc>
              <w:tc>
                <w:tcPr>
                  <w:tcW w:w="1067" w:type="pct"/>
                  <w:tcBorders>
                    <w:tl2br w:val="nil"/>
                    <w:tr2bl w:val="nil"/>
                  </w:tcBorders>
                  <w:vAlign w:val="center"/>
                </w:tcPr>
                <w:p w14:paraId="3E9B51D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0.2</w:t>
                  </w:r>
                </w:p>
              </w:tc>
              <w:tc>
                <w:tcPr>
                  <w:tcW w:w="690" w:type="pct"/>
                  <w:tcBorders>
                    <w:tl2br w:val="nil"/>
                    <w:tr2bl w:val="nil"/>
                  </w:tcBorders>
                  <w:vAlign w:val="center"/>
                </w:tcPr>
                <w:p w14:paraId="234A78A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0.2</w:t>
                  </w:r>
                </w:p>
              </w:tc>
              <w:tc>
                <w:tcPr>
                  <w:tcW w:w="977" w:type="pct"/>
                  <w:tcBorders>
                    <w:tl2br w:val="nil"/>
                    <w:tr2bl w:val="nil"/>
                  </w:tcBorders>
                  <w:vAlign w:val="center"/>
                </w:tcPr>
                <w:p w14:paraId="2EA11DC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10000</w:t>
                  </w:r>
                </w:p>
              </w:tc>
            </w:tr>
          </w:tbl>
          <w:p w14:paraId="0433A66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3、声环境质量标准</w:t>
            </w:r>
          </w:p>
          <w:p w14:paraId="32E806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本项目线路工程</w:t>
            </w:r>
            <w:r>
              <w:rPr>
                <w:rFonts w:hint="eastAsia" w:ascii="Times New Roman" w:hAnsi="Times New Roman" w:eastAsia="宋体" w:cs="Times New Roman"/>
                <w:sz w:val="24"/>
                <w:szCs w:val="24"/>
                <w:lang w:val="en-US" w:eastAsia="zh-CN"/>
              </w:rPr>
              <w:t>位于新平工业园区内，属于以工业生产为主要功能的区域，区域声环境执行《声环境质量标准》（</w:t>
            </w:r>
            <w:r>
              <w:rPr>
                <w:rFonts w:hint="default" w:ascii="Times New Roman" w:hAnsi="Times New Roman" w:eastAsia="宋体" w:cs="Times New Roman"/>
                <w:sz w:val="24"/>
                <w:szCs w:val="24"/>
                <w:lang w:val="en-US" w:eastAsia="zh-CN"/>
              </w:rPr>
              <w:t>GB3096-2008</w:t>
            </w:r>
            <w:r>
              <w:rPr>
                <w:rFonts w:hint="eastAsia" w:ascii="Times New Roman" w:hAnsi="Times New Roman" w:eastAsia="宋体" w:cs="Times New Roman"/>
                <w:sz w:val="24"/>
                <w:szCs w:val="24"/>
                <w:lang w:val="en-US" w:eastAsia="zh-CN"/>
              </w:rPr>
              <w:t>）中的</w:t>
            </w: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类标准限值</w:t>
            </w:r>
            <w:r>
              <w:rPr>
                <w:rFonts w:hint="eastAsia" w:cs="Times New Roman"/>
                <w:sz w:val="24"/>
                <w:szCs w:val="24"/>
                <w:lang w:val="en-US" w:eastAsia="zh-CN"/>
              </w:rPr>
              <w:t>，铁路专用线两侧30m范围内参照执行4b标准限值，</w:t>
            </w:r>
            <w:r>
              <w:rPr>
                <w:rFonts w:hint="eastAsia" w:ascii="Times New Roman" w:hAnsi="Times New Roman" w:eastAsia="宋体" w:cs="Times New Roman"/>
                <w:sz w:val="24"/>
                <w:szCs w:val="24"/>
                <w:lang w:val="en-US" w:eastAsia="zh-CN"/>
              </w:rPr>
              <w:t>具体标准限值见下表。</w:t>
            </w:r>
          </w:p>
          <w:p w14:paraId="6EA80A37">
            <w:pPr>
              <w:jc w:val="center"/>
              <w:rPr>
                <w:rFonts w:hint="default" w:ascii="Times New Roman" w:hAnsi="Times New Roman" w:eastAsia="黑体" w:cs="Times New Roman"/>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表3-12  声环境质量标准   单位：dB（A）</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72"/>
              <w:gridCol w:w="1771"/>
              <w:gridCol w:w="2022"/>
              <w:gridCol w:w="2028"/>
            </w:tblGrid>
            <w:tr w14:paraId="5B5679B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279" w:hRule="atLeast"/>
                <w:jc w:val="center"/>
              </w:trPr>
              <w:tc>
                <w:tcPr>
                  <w:tcW w:w="1403" w:type="pct"/>
                  <w:tcBorders>
                    <w:tl2br w:val="nil"/>
                    <w:tr2bl w:val="nil"/>
                  </w:tcBorders>
                  <w:vAlign w:val="center"/>
                </w:tcPr>
                <w:p w14:paraId="162FC94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w:t>
                  </w:r>
                </w:p>
              </w:tc>
              <w:tc>
                <w:tcPr>
                  <w:tcW w:w="1094" w:type="pct"/>
                  <w:tcBorders>
                    <w:tl2br w:val="nil"/>
                    <w:tr2bl w:val="nil"/>
                  </w:tcBorders>
                  <w:vAlign w:val="center"/>
                </w:tcPr>
                <w:p w14:paraId="5444DCEC">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类别</w:t>
                  </w:r>
                </w:p>
              </w:tc>
              <w:tc>
                <w:tcPr>
                  <w:tcW w:w="1249" w:type="pct"/>
                  <w:tcBorders>
                    <w:tl2br w:val="nil"/>
                    <w:tr2bl w:val="nil"/>
                  </w:tcBorders>
                  <w:vAlign w:val="center"/>
                </w:tcPr>
                <w:p w14:paraId="0B0656E4">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昼间</w:t>
                  </w:r>
                </w:p>
              </w:tc>
              <w:tc>
                <w:tcPr>
                  <w:tcW w:w="1252" w:type="pct"/>
                  <w:tcBorders>
                    <w:tl2br w:val="nil"/>
                    <w:tr2bl w:val="nil"/>
                  </w:tcBorders>
                  <w:vAlign w:val="center"/>
                </w:tcPr>
                <w:p w14:paraId="389EE3F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夜间</w:t>
                  </w:r>
                </w:p>
              </w:tc>
            </w:tr>
            <w:tr w14:paraId="3819717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1403" w:type="pct"/>
                  <w:tcBorders>
                    <w:tl2br w:val="nil"/>
                    <w:tr2bl w:val="nil"/>
                  </w:tcBorders>
                  <w:vAlign w:val="center"/>
                </w:tcPr>
                <w:p w14:paraId="7C067FA3">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本项目铁路专用线</w:t>
                  </w:r>
                </w:p>
              </w:tc>
              <w:tc>
                <w:tcPr>
                  <w:tcW w:w="1094" w:type="pct"/>
                  <w:tcBorders>
                    <w:tl2br w:val="nil"/>
                    <w:tr2bl w:val="nil"/>
                  </w:tcBorders>
                  <w:vAlign w:val="center"/>
                </w:tcPr>
                <w:p w14:paraId="09C72E86">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类</w:t>
                  </w:r>
                </w:p>
              </w:tc>
              <w:tc>
                <w:tcPr>
                  <w:tcW w:w="1249" w:type="pct"/>
                  <w:tcBorders>
                    <w:tl2br w:val="nil"/>
                    <w:tr2bl w:val="nil"/>
                  </w:tcBorders>
                  <w:vAlign w:val="center"/>
                </w:tcPr>
                <w:p w14:paraId="5DE7162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w:t>
                  </w:r>
                </w:p>
              </w:tc>
              <w:tc>
                <w:tcPr>
                  <w:tcW w:w="1252" w:type="pct"/>
                  <w:tcBorders>
                    <w:tl2br w:val="nil"/>
                    <w:tr2bl w:val="nil"/>
                  </w:tcBorders>
                  <w:vAlign w:val="center"/>
                </w:tcPr>
                <w:p w14:paraId="6F168AC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r>
            <w:tr w14:paraId="69904C4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1403" w:type="pct"/>
                  <w:tcBorders>
                    <w:tl2br w:val="nil"/>
                    <w:tr2bl w:val="nil"/>
                  </w:tcBorders>
                  <w:vAlign w:val="center"/>
                </w:tcPr>
                <w:p w14:paraId="7735CA63">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专用线两侧30m范围内</w:t>
                  </w:r>
                </w:p>
              </w:tc>
              <w:tc>
                <w:tcPr>
                  <w:tcW w:w="1094" w:type="pct"/>
                  <w:tcBorders>
                    <w:tl2br w:val="nil"/>
                    <w:tr2bl w:val="nil"/>
                  </w:tcBorders>
                  <w:vAlign w:val="center"/>
                </w:tcPr>
                <w:p w14:paraId="2EBC9917">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4b</w:t>
                  </w:r>
                </w:p>
              </w:tc>
              <w:tc>
                <w:tcPr>
                  <w:tcW w:w="1249" w:type="pct"/>
                  <w:tcBorders>
                    <w:tl2br w:val="nil"/>
                    <w:tr2bl w:val="nil"/>
                  </w:tcBorders>
                  <w:vAlign w:val="center"/>
                </w:tcPr>
                <w:p w14:paraId="4912CC7B">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70</w:t>
                  </w:r>
                </w:p>
              </w:tc>
              <w:tc>
                <w:tcPr>
                  <w:tcW w:w="1252" w:type="pct"/>
                  <w:tcBorders>
                    <w:tl2br w:val="nil"/>
                    <w:tr2bl w:val="nil"/>
                  </w:tcBorders>
                  <w:vAlign w:val="center"/>
                </w:tcPr>
                <w:p w14:paraId="2EFEA0D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r>
          </w:tbl>
          <w:p w14:paraId="10E1B89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振动环境标准</w:t>
            </w:r>
          </w:p>
          <w:p w14:paraId="1BC37D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根据《城市区域环境振动标准》（</w:t>
            </w:r>
            <w:r>
              <w:rPr>
                <w:rFonts w:hint="default" w:cs="Times New Roman"/>
                <w:sz w:val="24"/>
                <w:szCs w:val="24"/>
                <w:lang w:val="en-US" w:eastAsia="zh-CN"/>
              </w:rPr>
              <w:t>GB10070-88</w:t>
            </w:r>
            <w:r>
              <w:rPr>
                <w:rFonts w:hint="eastAsia" w:cs="Times New Roman"/>
                <w:sz w:val="24"/>
                <w:szCs w:val="24"/>
                <w:lang w:val="en-US" w:eastAsia="zh-CN"/>
              </w:rPr>
              <w:t>），“铁路干线两侧”是指距每日车流量不少于</w:t>
            </w:r>
            <w:r>
              <w:rPr>
                <w:rFonts w:hint="default" w:cs="Times New Roman"/>
                <w:sz w:val="24"/>
                <w:szCs w:val="24"/>
                <w:lang w:val="en-US" w:eastAsia="zh-CN"/>
              </w:rPr>
              <w:t>20</w:t>
            </w:r>
            <w:r>
              <w:rPr>
                <w:rFonts w:hint="eastAsia" w:cs="Times New Roman"/>
                <w:sz w:val="24"/>
                <w:szCs w:val="24"/>
                <w:lang w:val="en-US" w:eastAsia="zh-CN"/>
              </w:rPr>
              <w:t>列的铁道外轨</w:t>
            </w:r>
            <w:r>
              <w:rPr>
                <w:rFonts w:hint="default" w:cs="Times New Roman"/>
                <w:sz w:val="24"/>
                <w:szCs w:val="24"/>
                <w:lang w:val="en-US" w:eastAsia="zh-CN"/>
              </w:rPr>
              <w:t>30m</w:t>
            </w:r>
            <w:r>
              <w:rPr>
                <w:rFonts w:hint="eastAsia" w:cs="Times New Roman"/>
                <w:sz w:val="24"/>
                <w:szCs w:val="24"/>
                <w:lang w:val="en-US" w:eastAsia="zh-CN"/>
              </w:rPr>
              <w:t>外区域。该项目近期车流量为</w:t>
            </w:r>
            <w:r>
              <w:rPr>
                <w:rFonts w:hint="default" w:cs="Times New Roman"/>
                <w:sz w:val="24"/>
                <w:szCs w:val="24"/>
                <w:lang w:val="en-US" w:eastAsia="zh-CN"/>
              </w:rPr>
              <w:t>6.9</w:t>
            </w:r>
            <w:r>
              <w:rPr>
                <w:rFonts w:hint="eastAsia" w:cs="Times New Roman"/>
                <w:sz w:val="24"/>
                <w:szCs w:val="24"/>
                <w:lang w:val="en-US" w:eastAsia="zh-CN"/>
              </w:rPr>
              <w:t>列/日、远期车流量为</w:t>
            </w:r>
            <w:r>
              <w:rPr>
                <w:rFonts w:hint="default" w:cs="Times New Roman"/>
                <w:sz w:val="24"/>
                <w:szCs w:val="24"/>
                <w:lang w:val="en-US" w:eastAsia="zh-CN"/>
              </w:rPr>
              <w:t>10.7</w:t>
            </w:r>
            <w:r>
              <w:rPr>
                <w:rFonts w:hint="eastAsia" w:cs="Times New Roman"/>
                <w:sz w:val="24"/>
                <w:szCs w:val="24"/>
                <w:lang w:val="en-US" w:eastAsia="zh-CN"/>
              </w:rPr>
              <w:t>列/日，不属于“铁路干线两侧”。故该项目振动标准执行《城市区域环境振动标准》（</w:t>
            </w:r>
            <w:r>
              <w:rPr>
                <w:rFonts w:hint="default" w:cs="Times New Roman"/>
                <w:sz w:val="24"/>
                <w:szCs w:val="24"/>
                <w:lang w:val="en-US" w:eastAsia="zh-CN"/>
              </w:rPr>
              <w:t>GB10070-88</w:t>
            </w:r>
            <w:r>
              <w:rPr>
                <w:rFonts w:hint="eastAsia" w:cs="Times New Roman"/>
                <w:sz w:val="24"/>
                <w:szCs w:val="24"/>
                <w:lang w:val="en-US" w:eastAsia="zh-CN"/>
              </w:rPr>
              <w:t>）中的工业集中区标准限值。</w:t>
            </w:r>
          </w:p>
          <w:p w14:paraId="7FCA9455">
            <w:pPr>
              <w:jc w:val="center"/>
              <w:rPr>
                <w:rFonts w:hint="default" w:ascii="Times New Roman" w:hAnsi="Times New Roman" w:eastAsia="黑体" w:cs="Times New Roman"/>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表3-13  区域铅垂向Z振级标准限值   单位：dB（A）</w:t>
            </w:r>
          </w:p>
          <w:tbl>
            <w:tblPr>
              <w:tblStyle w:val="23"/>
              <w:tblW w:w="807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691"/>
              <w:gridCol w:w="2692"/>
            </w:tblGrid>
            <w:tr w14:paraId="3365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1" w:type="dxa"/>
                  <w:vMerge w:val="restart"/>
                  <w:tcBorders>
                    <w:left w:val="nil"/>
                  </w:tcBorders>
                  <w:vAlign w:val="center"/>
                </w:tcPr>
                <w:p w14:paraId="47243E1F">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适用地带</w:t>
                  </w:r>
                </w:p>
              </w:tc>
              <w:tc>
                <w:tcPr>
                  <w:tcW w:w="5383" w:type="dxa"/>
                  <w:gridSpan w:val="2"/>
                  <w:tcBorders>
                    <w:right w:val="nil"/>
                  </w:tcBorders>
                  <w:vAlign w:val="center"/>
                </w:tcPr>
                <w:p w14:paraId="1820F313">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等效声级（dB）</w:t>
                  </w:r>
                </w:p>
              </w:tc>
            </w:tr>
            <w:tr w14:paraId="5117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1" w:type="dxa"/>
                  <w:vMerge w:val="continue"/>
                  <w:tcBorders>
                    <w:left w:val="nil"/>
                  </w:tcBorders>
                  <w:vAlign w:val="center"/>
                </w:tcPr>
                <w:p w14:paraId="4142956A">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2691" w:type="dxa"/>
                  <w:vAlign w:val="center"/>
                </w:tcPr>
                <w:p w14:paraId="271AC734">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昼间</w:t>
                  </w:r>
                </w:p>
              </w:tc>
              <w:tc>
                <w:tcPr>
                  <w:tcW w:w="2692" w:type="dxa"/>
                  <w:tcBorders>
                    <w:right w:val="nil"/>
                  </w:tcBorders>
                  <w:vAlign w:val="center"/>
                </w:tcPr>
                <w:p w14:paraId="548DE557">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夜间</w:t>
                  </w:r>
                </w:p>
              </w:tc>
            </w:tr>
            <w:tr w14:paraId="19C7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1" w:type="dxa"/>
                  <w:tcBorders>
                    <w:left w:val="nil"/>
                  </w:tcBorders>
                  <w:vAlign w:val="center"/>
                </w:tcPr>
                <w:p w14:paraId="014697DF">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工业集中区</w:t>
                  </w:r>
                </w:p>
              </w:tc>
              <w:tc>
                <w:tcPr>
                  <w:tcW w:w="2691" w:type="dxa"/>
                  <w:vAlign w:val="center"/>
                </w:tcPr>
                <w:p w14:paraId="4AB0BB21">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2692" w:type="dxa"/>
                  <w:tcBorders>
                    <w:right w:val="nil"/>
                  </w:tcBorders>
                  <w:vAlign w:val="center"/>
                </w:tcPr>
                <w:p w14:paraId="3A966652">
                  <w:pPr>
                    <w:keepNext w:val="0"/>
                    <w:keepLines w:val="0"/>
                    <w:pageBreakBefore w:val="0"/>
                    <w:widowControl w:val="0"/>
                    <w:kinsoku/>
                    <w:wordWrap/>
                    <w:overflowPunct/>
                    <w:autoSpaceDE w:val="0"/>
                    <w:autoSpaceDN w:val="0"/>
                    <w:bidi w:val="0"/>
                    <w:adjustRightInd w:val="0"/>
                    <w:snapToGrid w:val="0"/>
                    <w:spacing w:afterAutospacing="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72</w:t>
                  </w:r>
                </w:p>
              </w:tc>
            </w:tr>
          </w:tbl>
          <w:p w14:paraId="620C538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en-US" w:eastAsia="zh-CN"/>
              </w:rPr>
              <w:t>污染物排放标准</w:t>
            </w:r>
          </w:p>
          <w:p w14:paraId="0149F30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1、废气</w:t>
            </w:r>
          </w:p>
          <w:p w14:paraId="3A8CCB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施工期</w:t>
            </w:r>
          </w:p>
          <w:p w14:paraId="562E4D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施工期废气</w:t>
            </w:r>
            <w:r>
              <w:rPr>
                <w:rFonts w:hint="eastAsia" w:ascii="Times New Roman" w:hAnsi="Times New Roman" w:eastAsia="宋体" w:cs="Times New Roman"/>
                <w:sz w:val="24"/>
                <w:szCs w:val="24"/>
                <w:lang w:val="en-US" w:eastAsia="zh-CN"/>
              </w:rPr>
              <w:t>主要为基础开挖产生的少量扬尘，</w:t>
            </w:r>
            <w:r>
              <w:rPr>
                <w:rFonts w:hint="default" w:ascii="Times New Roman" w:hAnsi="Times New Roman" w:eastAsia="宋体" w:cs="Times New Roman"/>
                <w:sz w:val="24"/>
                <w:szCs w:val="24"/>
                <w:lang w:val="en-US" w:eastAsia="zh-CN"/>
              </w:rPr>
              <w:t>以无组织形式排放，执行《大气污染物综合排放标准》（GB16297-1996）中无组织排放监控浓度限值。排放标准见下表：</w:t>
            </w:r>
          </w:p>
          <w:p w14:paraId="727C74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表3-14  大气污染物综合排放标准</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3536"/>
              <w:gridCol w:w="2312"/>
            </w:tblGrid>
            <w:tr w14:paraId="6385B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8" w:hRule="exact"/>
                <w:jc w:val="center"/>
              </w:trPr>
              <w:tc>
                <w:tcPr>
                  <w:tcW w:w="1387" w:type="pct"/>
                  <w:vMerge w:val="restart"/>
                  <w:tcBorders>
                    <w:tl2br w:val="nil"/>
                    <w:tr2bl w:val="nil"/>
                  </w:tcBorders>
                  <w:vAlign w:val="center"/>
                </w:tcPr>
                <w:p w14:paraId="7C819BD0">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3612" w:type="pct"/>
                  <w:gridSpan w:val="2"/>
                  <w:tcBorders>
                    <w:tl2br w:val="nil"/>
                    <w:tr2bl w:val="nil"/>
                  </w:tcBorders>
                  <w:vAlign w:val="center"/>
                </w:tcPr>
                <w:p w14:paraId="7E5A55D8">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无组织排放监控浓度限值</w:t>
                  </w:r>
                </w:p>
              </w:tc>
            </w:tr>
            <w:tr w14:paraId="1E93C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1387" w:type="pct"/>
                  <w:vMerge w:val="continue"/>
                  <w:tcBorders>
                    <w:tl2br w:val="nil"/>
                    <w:tr2bl w:val="nil"/>
                  </w:tcBorders>
                  <w:vAlign w:val="center"/>
                </w:tcPr>
                <w:p w14:paraId="4A1A957E">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184" w:type="pct"/>
                  <w:tcBorders>
                    <w:tl2br w:val="nil"/>
                    <w:tr2bl w:val="nil"/>
                  </w:tcBorders>
                  <w:vAlign w:val="center"/>
                </w:tcPr>
                <w:p w14:paraId="5570858A">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监控点</w:t>
                  </w:r>
                </w:p>
              </w:tc>
              <w:tc>
                <w:tcPr>
                  <w:tcW w:w="1428" w:type="pct"/>
                  <w:tcBorders>
                    <w:tl2br w:val="nil"/>
                    <w:tr2bl w:val="nil"/>
                  </w:tcBorders>
                  <w:vAlign w:val="center"/>
                </w:tcPr>
                <w:p w14:paraId="681EA889">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浓度mg/m</w:t>
                  </w:r>
                  <w:r>
                    <w:rPr>
                      <w:rFonts w:hint="default" w:ascii="Times New Roman" w:hAnsi="Times New Roman" w:eastAsia="宋体" w:cs="Times New Roman"/>
                      <w:color w:val="auto"/>
                      <w:sz w:val="18"/>
                      <w:szCs w:val="18"/>
                      <w:highlight w:val="none"/>
                      <w:vertAlign w:val="superscript"/>
                      <w:lang w:val="en-US" w:eastAsia="zh-CN"/>
                    </w:rPr>
                    <w:t>3</w:t>
                  </w:r>
                </w:p>
              </w:tc>
            </w:tr>
            <w:tr w14:paraId="3C4065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387" w:type="pct"/>
                  <w:tcBorders>
                    <w:tl2br w:val="nil"/>
                    <w:tr2bl w:val="nil"/>
                  </w:tcBorders>
                  <w:vAlign w:val="center"/>
                </w:tcPr>
                <w:p w14:paraId="7F4A74B4">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2184" w:type="pct"/>
                  <w:tcBorders>
                    <w:tl2br w:val="nil"/>
                    <w:tr2bl w:val="nil"/>
                  </w:tcBorders>
                  <w:vAlign w:val="center"/>
                </w:tcPr>
                <w:p w14:paraId="79FE18D8">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周界外浓度最高点</w:t>
                  </w:r>
                </w:p>
              </w:tc>
              <w:tc>
                <w:tcPr>
                  <w:tcW w:w="1428" w:type="pct"/>
                  <w:tcBorders>
                    <w:tl2br w:val="nil"/>
                    <w:tr2bl w:val="nil"/>
                  </w:tcBorders>
                  <w:vAlign w:val="center"/>
                </w:tcPr>
                <w:p w14:paraId="22C02DE6">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r>
          </w:tbl>
          <w:p w14:paraId="5C811F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2" w:name="_Toc69474319"/>
            <w:bookmarkStart w:id="13" w:name="_Toc70081698"/>
            <w:bookmarkStart w:id="14" w:name="_Toc14787"/>
            <w:bookmarkStart w:id="15" w:name="_Toc3653"/>
            <w:bookmarkStart w:id="16" w:name="_Toc1613"/>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运营期</w:t>
            </w:r>
            <w:bookmarkEnd w:id="12"/>
            <w:bookmarkEnd w:id="13"/>
          </w:p>
          <w:bookmarkEnd w:id="14"/>
          <w:bookmarkEnd w:id="15"/>
          <w:bookmarkEnd w:id="16"/>
          <w:p w14:paraId="43B3B6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运营期产生的少量装卸粉尘无组织排放执行《大气污染物综合排放标准》（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）中标准限值，标准值见</w:t>
            </w:r>
            <w:r>
              <w:rPr>
                <w:rFonts w:hint="eastAsia" w:cs="Times New Roman"/>
                <w:sz w:val="24"/>
                <w:szCs w:val="24"/>
                <w:lang w:val="en-US" w:eastAsia="zh-CN"/>
              </w:rPr>
              <w:t>下</w:t>
            </w:r>
            <w:r>
              <w:rPr>
                <w:rFonts w:hint="eastAsia" w:ascii="Times New Roman" w:hAnsi="Times New Roman" w:eastAsia="宋体" w:cs="Times New Roman"/>
                <w:sz w:val="24"/>
                <w:szCs w:val="24"/>
                <w:lang w:val="en-US" w:eastAsia="zh-CN"/>
              </w:rPr>
              <w:t>表</w:t>
            </w:r>
            <w:r>
              <w:rPr>
                <w:rFonts w:hint="eastAsia" w:cs="Times New Roman"/>
                <w:sz w:val="24"/>
                <w:szCs w:val="24"/>
                <w:lang w:val="en-US" w:eastAsia="zh-CN"/>
              </w:rPr>
              <w:t>：</w:t>
            </w:r>
          </w:p>
          <w:p w14:paraId="10FF23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表3-15  《大气污染物综合排放标准》标准限值</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3536"/>
              <w:gridCol w:w="2312"/>
            </w:tblGrid>
            <w:tr w14:paraId="774046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1387" w:type="pct"/>
                  <w:vMerge w:val="restart"/>
                  <w:tcBorders>
                    <w:tl2br w:val="nil"/>
                    <w:tr2bl w:val="nil"/>
                  </w:tcBorders>
                  <w:vAlign w:val="center"/>
                </w:tcPr>
                <w:p w14:paraId="39591919">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3612" w:type="pct"/>
                  <w:gridSpan w:val="2"/>
                  <w:tcBorders>
                    <w:tl2br w:val="nil"/>
                    <w:tr2bl w:val="nil"/>
                  </w:tcBorders>
                  <w:vAlign w:val="center"/>
                </w:tcPr>
                <w:p w14:paraId="006E61AE">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无组织排放监控浓度限值</w:t>
                  </w:r>
                </w:p>
              </w:tc>
            </w:tr>
            <w:tr w14:paraId="1E2C5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1387" w:type="pct"/>
                  <w:vMerge w:val="continue"/>
                  <w:tcBorders>
                    <w:tl2br w:val="nil"/>
                    <w:tr2bl w:val="nil"/>
                  </w:tcBorders>
                  <w:vAlign w:val="center"/>
                </w:tcPr>
                <w:p w14:paraId="3C93DE48">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2184" w:type="pct"/>
                  <w:tcBorders>
                    <w:tl2br w:val="nil"/>
                    <w:tr2bl w:val="nil"/>
                  </w:tcBorders>
                  <w:vAlign w:val="center"/>
                </w:tcPr>
                <w:p w14:paraId="59B00A0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监控点</w:t>
                  </w:r>
                </w:p>
              </w:tc>
              <w:tc>
                <w:tcPr>
                  <w:tcW w:w="1428" w:type="pct"/>
                  <w:tcBorders>
                    <w:tl2br w:val="nil"/>
                    <w:tr2bl w:val="nil"/>
                  </w:tcBorders>
                  <w:vAlign w:val="center"/>
                </w:tcPr>
                <w:p w14:paraId="37948CF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浓度mg/m</w:t>
                  </w:r>
                  <w:r>
                    <w:rPr>
                      <w:rFonts w:hint="default" w:ascii="Times New Roman" w:hAnsi="Times New Roman" w:eastAsia="宋体" w:cs="Times New Roman"/>
                      <w:color w:val="auto"/>
                      <w:sz w:val="18"/>
                      <w:szCs w:val="18"/>
                      <w:highlight w:val="none"/>
                      <w:vertAlign w:val="superscript"/>
                      <w:lang w:val="en-US" w:eastAsia="zh-CN"/>
                    </w:rPr>
                    <w:t>3</w:t>
                  </w:r>
                </w:p>
              </w:tc>
            </w:tr>
            <w:tr w14:paraId="218BC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387" w:type="pct"/>
                  <w:tcBorders>
                    <w:tl2br w:val="nil"/>
                    <w:tr2bl w:val="nil"/>
                  </w:tcBorders>
                  <w:vAlign w:val="center"/>
                </w:tcPr>
                <w:p w14:paraId="508B6487">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2184" w:type="pct"/>
                  <w:vMerge w:val="restart"/>
                  <w:tcBorders>
                    <w:tl2br w:val="nil"/>
                    <w:tr2bl w:val="nil"/>
                  </w:tcBorders>
                  <w:vAlign w:val="center"/>
                </w:tcPr>
                <w:p w14:paraId="23251E2F">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项目厂界</w:t>
                  </w:r>
                </w:p>
              </w:tc>
              <w:tc>
                <w:tcPr>
                  <w:tcW w:w="1428" w:type="pct"/>
                  <w:tcBorders>
                    <w:tl2br w:val="nil"/>
                    <w:tr2bl w:val="nil"/>
                  </w:tcBorders>
                  <w:vAlign w:val="center"/>
                </w:tcPr>
                <w:p w14:paraId="756C8C5C">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r>
            <w:tr w14:paraId="58DD63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387" w:type="pct"/>
                  <w:tcBorders>
                    <w:tl2br w:val="nil"/>
                    <w:tr2bl w:val="nil"/>
                  </w:tcBorders>
                  <w:vAlign w:val="center"/>
                </w:tcPr>
                <w:p w14:paraId="7026BC34">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二氧化硫</w:t>
                  </w:r>
                </w:p>
              </w:tc>
              <w:tc>
                <w:tcPr>
                  <w:tcW w:w="2184" w:type="pct"/>
                  <w:vMerge w:val="continue"/>
                  <w:tcBorders>
                    <w:tl2br w:val="nil"/>
                    <w:tr2bl w:val="nil"/>
                  </w:tcBorders>
                  <w:vAlign w:val="center"/>
                </w:tcPr>
                <w:p w14:paraId="35534CE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eastAsia" w:cs="Times New Roman"/>
                      <w:color w:val="auto"/>
                      <w:sz w:val="18"/>
                      <w:szCs w:val="18"/>
                      <w:highlight w:val="none"/>
                      <w:lang w:val="en-US" w:eastAsia="zh-CN"/>
                    </w:rPr>
                  </w:pPr>
                </w:p>
              </w:tc>
              <w:tc>
                <w:tcPr>
                  <w:tcW w:w="1428" w:type="pct"/>
                  <w:tcBorders>
                    <w:tl2br w:val="nil"/>
                    <w:tr2bl w:val="nil"/>
                  </w:tcBorders>
                  <w:vAlign w:val="center"/>
                </w:tcPr>
                <w:p w14:paraId="3C2F340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w:t>
                  </w:r>
                </w:p>
              </w:tc>
            </w:tr>
            <w:tr w14:paraId="3ADC9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387" w:type="pct"/>
                  <w:tcBorders>
                    <w:tl2br w:val="nil"/>
                    <w:tr2bl w:val="nil"/>
                  </w:tcBorders>
                  <w:vAlign w:val="center"/>
                </w:tcPr>
                <w:p w14:paraId="1F0126E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氮氧化物</w:t>
                  </w:r>
                </w:p>
              </w:tc>
              <w:tc>
                <w:tcPr>
                  <w:tcW w:w="2184" w:type="pct"/>
                  <w:vMerge w:val="continue"/>
                  <w:tcBorders>
                    <w:tl2br w:val="nil"/>
                    <w:tr2bl w:val="nil"/>
                  </w:tcBorders>
                  <w:vAlign w:val="center"/>
                </w:tcPr>
                <w:p w14:paraId="0E091387">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eastAsia" w:cs="Times New Roman"/>
                      <w:color w:val="auto"/>
                      <w:sz w:val="18"/>
                      <w:szCs w:val="18"/>
                      <w:highlight w:val="none"/>
                      <w:lang w:val="en-US" w:eastAsia="zh-CN"/>
                    </w:rPr>
                  </w:pPr>
                </w:p>
              </w:tc>
              <w:tc>
                <w:tcPr>
                  <w:tcW w:w="1428" w:type="pct"/>
                  <w:tcBorders>
                    <w:tl2br w:val="nil"/>
                    <w:tr2bl w:val="nil"/>
                  </w:tcBorders>
                  <w:vAlign w:val="center"/>
                </w:tcPr>
                <w:p w14:paraId="3D9F455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0.12</w:t>
                  </w:r>
                </w:p>
              </w:tc>
            </w:tr>
          </w:tbl>
          <w:p w14:paraId="64D079A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2、水污染物排放标准</w:t>
            </w:r>
          </w:p>
          <w:p w14:paraId="7F653E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（1）施工期废水：</w:t>
            </w:r>
            <w:r>
              <w:rPr>
                <w:rFonts w:hint="default" w:ascii="Times New Roman" w:hAnsi="Times New Roman" w:eastAsia="宋体" w:cs="Times New Roman"/>
                <w:sz w:val="24"/>
                <w:szCs w:val="24"/>
                <w:lang w:val="en-US" w:eastAsia="zh-CN"/>
              </w:rPr>
              <w:t>项目施工期不设施工营地，施工期废水主要是施工人员清洗废水、施工机械和车辆清洗废水，经统一收集简单沉淀后回用于施工场地洒水降尘，不外排，故不设排放标准。</w:t>
            </w:r>
          </w:p>
          <w:p w14:paraId="12ADA6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（2）运营期废水：运营</w:t>
            </w:r>
            <w:r>
              <w:rPr>
                <w:rFonts w:hint="default" w:ascii="Times New Roman" w:hAnsi="Times New Roman" w:eastAsia="宋体" w:cs="Times New Roman"/>
                <w:sz w:val="24"/>
                <w:szCs w:val="24"/>
                <w:lang w:val="en-US" w:eastAsia="zh-CN"/>
              </w:rPr>
              <w:t>期废水主要为工作人员生活污水，</w:t>
            </w:r>
            <w:r>
              <w:rPr>
                <w:rFonts w:hint="eastAsia" w:cs="Times New Roman"/>
                <w:sz w:val="24"/>
                <w:szCs w:val="24"/>
                <w:lang w:val="en-US" w:eastAsia="zh-CN"/>
              </w:rPr>
              <w:t>通过化粪池预处理后，排入新建的一体化污水处理设施，</w:t>
            </w:r>
            <w:r>
              <w:rPr>
                <w:rFonts w:hint="default" w:ascii="Times New Roman" w:hAnsi="Times New Roman" w:eastAsia="宋体" w:cs="Times New Roman"/>
                <w:sz w:val="24"/>
                <w:szCs w:val="24"/>
                <w:lang w:val="en-US" w:eastAsia="zh-CN"/>
              </w:rPr>
              <w:t>处理能力为10m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d</w:t>
            </w:r>
            <w:r>
              <w:rPr>
                <w:rFonts w:hint="default" w:ascii="Times New Roman" w:hAnsi="Times New Roman" w:eastAsia="宋体" w:cs="Times New Roman"/>
                <w:sz w:val="24"/>
                <w:szCs w:val="24"/>
                <w:lang w:val="en-US" w:eastAsia="zh-CN"/>
              </w:rPr>
              <w:t>，处理达《城市污水再生利</w:t>
            </w:r>
            <w:r>
              <w:rPr>
                <w:rFonts w:hint="eastAsia" w:ascii="Times New Roman" w:hAnsi="Times New Roman" w:eastAsia="宋体" w:cs="Times New Roman"/>
                <w:sz w:val="24"/>
                <w:szCs w:val="24"/>
                <w:lang w:val="en-US" w:eastAsia="zh-CN"/>
              </w:rPr>
              <w:t>用城市杂用水水质》（GB/T18920-2020）道路清扫、绿化用水标准后，回用于项目绿化及洒水降尘。</w:t>
            </w:r>
          </w:p>
          <w:p w14:paraId="6653AA18">
            <w:pPr>
              <w:jc w:val="center"/>
              <w:rPr>
                <w:rFonts w:hint="default" w:ascii="Times New Roman" w:hAnsi="Times New Roman" w:eastAsia="黑体" w:cs="Times New Roman"/>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表3-16     《城市污水</w:t>
            </w:r>
            <w:r>
              <w:rPr>
                <w:rFonts w:hint="default" w:ascii="Times New Roman" w:hAnsi="Times New Roman" w:eastAsia="黑体" w:cs="Times New Roman"/>
                <w:b w:val="0"/>
                <w:bCs w:val="0"/>
                <w:color w:val="auto"/>
                <w:sz w:val="21"/>
                <w:szCs w:val="21"/>
                <w:highlight w:val="none"/>
                <w:lang w:val="en-US" w:eastAsia="zh-CN"/>
              </w:rPr>
              <w:t>再生利</w:t>
            </w:r>
            <w:r>
              <w:rPr>
                <w:rFonts w:hint="eastAsia" w:ascii="Times New Roman" w:hAnsi="Times New Roman" w:eastAsia="黑体" w:cs="Times New Roman"/>
                <w:b w:val="0"/>
                <w:bCs w:val="0"/>
                <w:color w:val="auto"/>
                <w:sz w:val="21"/>
                <w:szCs w:val="21"/>
                <w:highlight w:val="none"/>
                <w:lang w:val="en-US" w:eastAsia="zh-CN"/>
              </w:rPr>
              <w:t>用城市杂用水水质》标准限值</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604"/>
              <w:gridCol w:w="512"/>
              <w:gridCol w:w="5354"/>
            </w:tblGrid>
            <w:tr w14:paraId="62B6AF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86" w:type="pct"/>
                  <w:tcBorders>
                    <w:tl2br w:val="nil"/>
                    <w:tr2bl w:val="nil"/>
                  </w:tcBorders>
                  <w:noWrap w:val="0"/>
                  <w:vAlign w:val="center"/>
                </w:tcPr>
                <w:p w14:paraId="13F8922E">
                  <w:pPr>
                    <w:widowControl/>
                    <w:snapToGrid w:val="0"/>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序号</w:t>
                  </w:r>
                </w:p>
              </w:tc>
              <w:tc>
                <w:tcPr>
                  <w:tcW w:w="1306" w:type="pct"/>
                  <w:gridSpan w:val="2"/>
                  <w:tcBorders>
                    <w:tl2br w:val="nil"/>
                    <w:tr2bl w:val="nil"/>
                  </w:tcBorders>
                  <w:noWrap w:val="0"/>
                  <w:vAlign w:val="center"/>
                </w:tcPr>
                <w:p w14:paraId="0045CBF5">
                  <w:pPr>
                    <w:widowControl/>
                    <w:snapToGrid w:val="0"/>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项目指标</w:t>
                  </w:r>
                </w:p>
              </w:tc>
              <w:tc>
                <w:tcPr>
                  <w:tcW w:w="3306" w:type="pct"/>
                  <w:tcBorders>
                    <w:tl2br w:val="nil"/>
                    <w:tr2bl w:val="nil"/>
                  </w:tcBorders>
                  <w:noWrap w:val="0"/>
                  <w:vAlign w:val="center"/>
                </w:tcPr>
                <w:p w14:paraId="6698241C">
                  <w:pPr>
                    <w:widowControl/>
                    <w:snapToGrid w:val="0"/>
                    <w:ind w:left="0" w:leftChars="0" w:right="0" w:rightChars="0" w:firstLine="0" w:firstLine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城市绿化</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道路清扫、消防</w:t>
                  </w:r>
                  <w:r>
                    <w:rPr>
                      <w:rFonts w:hint="eastAsia" w:cs="Times New Roman"/>
                      <w:color w:val="auto"/>
                      <w:kern w:val="0"/>
                      <w:sz w:val="18"/>
                      <w:szCs w:val="18"/>
                      <w:lang w:eastAsia="zh-CN"/>
                    </w:rPr>
                    <w:t>、</w:t>
                  </w:r>
                  <w:r>
                    <w:rPr>
                      <w:rFonts w:hint="eastAsia" w:cs="Times New Roman"/>
                      <w:color w:val="auto"/>
                      <w:kern w:val="0"/>
                      <w:sz w:val="18"/>
                      <w:szCs w:val="18"/>
                      <w:lang w:val="en-US" w:eastAsia="zh-CN"/>
                    </w:rPr>
                    <w:t>建筑施工</w:t>
                  </w:r>
                </w:p>
              </w:tc>
            </w:tr>
            <w:tr w14:paraId="0FC7A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31197BFA">
                  <w:pPr>
                    <w:widowControl/>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1306" w:type="pct"/>
                  <w:gridSpan w:val="2"/>
                  <w:tcBorders>
                    <w:tl2br w:val="nil"/>
                    <w:tr2bl w:val="nil"/>
                  </w:tcBorders>
                  <w:noWrap w:val="0"/>
                  <w:vAlign w:val="center"/>
                </w:tcPr>
                <w:p w14:paraId="1C436F60">
                  <w:pPr>
                    <w:widowControl/>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pH</w:t>
                  </w:r>
                </w:p>
              </w:tc>
              <w:tc>
                <w:tcPr>
                  <w:tcW w:w="3306" w:type="pct"/>
                  <w:tcBorders>
                    <w:tl2br w:val="nil"/>
                    <w:tr2bl w:val="nil"/>
                  </w:tcBorders>
                  <w:noWrap w:val="0"/>
                  <w:vAlign w:val="center"/>
                </w:tcPr>
                <w:p w14:paraId="5847E018">
                  <w:pPr>
                    <w:widowControl/>
                    <w:ind w:left="0" w:leftChars="0" w:right="0" w:rightChars="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6.0～9.0</w:t>
                  </w:r>
                </w:p>
              </w:tc>
            </w:tr>
            <w:tr w14:paraId="07DA97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10945010">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w:t>
                  </w:r>
                </w:p>
              </w:tc>
              <w:tc>
                <w:tcPr>
                  <w:tcW w:w="990" w:type="pct"/>
                  <w:tcBorders>
                    <w:tl2br w:val="nil"/>
                    <w:tr2bl w:val="nil"/>
                  </w:tcBorders>
                  <w:noWrap w:val="0"/>
                  <w:vAlign w:val="center"/>
                </w:tcPr>
                <w:p w14:paraId="678B2D96">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色（度）</w:t>
                  </w:r>
                </w:p>
              </w:tc>
              <w:tc>
                <w:tcPr>
                  <w:tcW w:w="316" w:type="pct"/>
                  <w:tcBorders>
                    <w:tl2br w:val="nil"/>
                    <w:tr2bl w:val="nil"/>
                  </w:tcBorders>
                  <w:noWrap w:val="0"/>
                  <w:vAlign w:val="center"/>
                </w:tcPr>
                <w:p w14:paraId="0E5632A7">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1A7B0DFC">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30</w:t>
                  </w:r>
                </w:p>
              </w:tc>
            </w:tr>
            <w:tr w14:paraId="2EB729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4C6B3146">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990" w:type="pct"/>
                  <w:tcBorders>
                    <w:tl2br w:val="nil"/>
                    <w:tr2bl w:val="nil"/>
                  </w:tcBorders>
                  <w:noWrap w:val="0"/>
                  <w:vAlign w:val="center"/>
                </w:tcPr>
                <w:p w14:paraId="7F929202">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嗅</w:t>
                  </w:r>
                </w:p>
              </w:tc>
              <w:tc>
                <w:tcPr>
                  <w:tcW w:w="316" w:type="pct"/>
                  <w:tcBorders>
                    <w:tl2br w:val="nil"/>
                    <w:tr2bl w:val="nil"/>
                  </w:tcBorders>
                  <w:noWrap w:val="0"/>
                  <w:vAlign w:val="center"/>
                </w:tcPr>
                <w:p w14:paraId="1F52CE18">
                  <w:pPr>
                    <w:widowControl/>
                    <w:ind w:left="0" w:leftChars="0" w:right="0" w:rightChars="0" w:firstLine="0" w:firstLineChars="0"/>
                    <w:jc w:val="center"/>
                    <w:rPr>
                      <w:rFonts w:hint="default" w:ascii="Times New Roman" w:hAnsi="Times New Roman" w:eastAsia="宋体" w:cs="Times New Roman"/>
                      <w:kern w:val="0"/>
                      <w:sz w:val="18"/>
                      <w:szCs w:val="18"/>
                    </w:rPr>
                  </w:pPr>
                </w:p>
              </w:tc>
              <w:tc>
                <w:tcPr>
                  <w:tcW w:w="3306" w:type="pct"/>
                  <w:tcBorders>
                    <w:tl2br w:val="nil"/>
                    <w:tr2bl w:val="nil"/>
                  </w:tcBorders>
                  <w:noWrap w:val="0"/>
                  <w:vAlign w:val="center"/>
                </w:tcPr>
                <w:p w14:paraId="0C0399FB">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无不快感</w:t>
                  </w:r>
                </w:p>
              </w:tc>
            </w:tr>
            <w:tr w14:paraId="2B8AC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41C60F88">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w:t>
                  </w:r>
                </w:p>
              </w:tc>
              <w:tc>
                <w:tcPr>
                  <w:tcW w:w="990" w:type="pct"/>
                  <w:tcBorders>
                    <w:tl2br w:val="nil"/>
                    <w:tr2bl w:val="nil"/>
                  </w:tcBorders>
                  <w:noWrap w:val="0"/>
                  <w:vAlign w:val="center"/>
                </w:tcPr>
                <w:p w14:paraId="59AE3383">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浊度（NTU）</w:t>
                  </w:r>
                </w:p>
              </w:tc>
              <w:tc>
                <w:tcPr>
                  <w:tcW w:w="316" w:type="pct"/>
                  <w:tcBorders>
                    <w:tl2br w:val="nil"/>
                    <w:tr2bl w:val="nil"/>
                  </w:tcBorders>
                  <w:noWrap w:val="0"/>
                  <w:vAlign w:val="center"/>
                </w:tcPr>
                <w:p w14:paraId="5D6B71EB">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18C66DE7">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10</w:t>
                  </w:r>
                </w:p>
              </w:tc>
            </w:tr>
            <w:tr w14:paraId="3041DF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21CEB403">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w:t>
                  </w:r>
                </w:p>
              </w:tc>
              <w:tc>
                <w:tcPr>
                  <w:tcW w:w="990" w:type="pct"/>
                  <w:tcBorders>
                    <w:tl2br w:val="nil"/>
                    <w:tr2bl w:val="nil"/>
                  </w:tcBorders>
                  <w:noWrap w:val="0"/>
                  <w:vAlign w:val="center"/>
                </w:tcPr>
                <w:p w14:paraId="703794D5">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溶解性总固体（mg/L）</w:t>
                  </w:r>
                </w:p>
              </w:tc>
              <w:tc>
                <w:tcPr>
                  <w:tcW w:w="316" w:type="pct"/>
                  <w:tcBorders>
                    <w:tl2br w:val="nil"/>
                    <w:tr2bl w:val="nil"/>
                  </w:tcBorders>
                  <w:noWrap w:val="0"/>
                  <w:vAlign w:val="center"/>
                </w:tcPr>
                <w:p w14:paraId="1A54C473">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7276CB08">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1000</w:t>
                  </w:r>
                </w:p>
              </w:tc>
            </w:tr>
            <w:tr w14:paraId="78ECD9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431C6228">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6</w:t>
                  </w:r>
                </w:p>
              </w:tc>
              <w:tc>
                <w:tcPr>
                  <w:tcW w:w="990" w:type="pct"/>
                  <w:tcBorders>
                    <w:tl2br w:val="nil"/>
                    <w:tr2bl w:val="nil"/>
                  </w:tcBorders>
                  <w:noWrap w:val="0"/>
                  <w:vAlign w:val="center"/>
                </w:tcPr>
                <w:p w14:paraId="17B0A607">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五</w:t>
                  </w:r>
                  <w:r>
                    <w:rPr>
                      <w:rFonts w:hint="default" w:ascii="Times New Roman" w:hAnsi="Times New Roman" w:eastAsia="宋体" w:cs="Times New Roman"/>
                      <w:kern w:val="0"/>
                      <w:sz w:val="18"/>
                      <w:szCs w:val="18"/>
                    </w:rPr>
                    <w:t>日生化需氧量BOD</w:t>
                  </w:r>
                  <w:r>
                    <w:rPr>
                      <w:rFonts w:hint="default" w:ascii="Times New Roman" w:hAnsi="Times New Roman" w:eastAsia="宋体" w:cs="Times New Roman"/>
                      <w:kern w:val="0"/>
                      <w:sz w:val="18"/>
                      <w:szCs w:val="18"/>
                      <w:vertAlign w:val="subscript"/>
                    </w:rPr>
                    <w:t>5</w:t>
                  </w:r>
                  <w:r>
                    <w:rPr>
                      <w:rFonts w:hint="default" w:ascii="Times New Roman" w:hAnsi="Times New Roman" w:eastAsia="宋体" w:cs="Times New Roman"/>
                      <w:kern w:val="0"/>
                      <w:sz w:val="18"/>
                      <w:szCs w:val="18"/>
                    </w:rPr>
                    <w:t>（mg/L）</w:t>
                  </w:r>
                </w:p>
              </w:tc>
              <w:tc>
                <w:tcPr>
                  <w:tcW w:w="316" w:type="pct"/>
                  <w:tcBorders>
                    <w:tl2br w:val="nil"/>
                    <w:tr2bl w:val="nil"/>
                  </w:tcBorders>
                  <w:noWrap w:val="0"/>
                  <w:vAlign w:val="center"/>
                </w:tcPr>
                <w:p w14:paraId="756FE159">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11EEC590">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10</w:t>
                  </w:r>
                </w:p>
              </w:tc>
            </w:tr>
            <w:tr w14:paraId="3931F5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16D83881">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7</w:t>
                  </w:r>
                </w:p>
              </w:tc>
              <w:tc>
                <w:tcPr>
                  <w:tcW w:w="990" w:type="pct"/>
                  <w:tcBorders>
                    <w:tl2br w:val="nil"/>
                    <w:tr2bl w:val="nil"/>
                  </w:tcBorders>
                  <w:noWrap w:val="0"/>
                  <w:vAlign w:val="center"/>
                </w:tcPr>
                <w:p w14:paraId="18E6020F">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氨氯（mg/L）</w:t>
                  </w:r>
                </w:p>
              </w:tc>
              <w:tc>
                <w:tcPr>
                  <w:tcW w:w="316" w:type="pct"/>
                  <w:tcBorders>
                    <w:tl2br w:val="nil"/>
                    <w:tr2bl w:val="nil"/>
                  </w:tcBorders>
                  <w:noWrap w:val="0"/>
                  <w:vAlign w:val="center"/>
                </w:tcPr>
                <w:p w14:paraId="12B004C4">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4FBD0B8D">
                  <w:pPr>
                    <w:widowControl/>
                    <w:ind w:left="0" w:leftChars="0" w:right="0" w:rightChars="0" w:firstLine="0" w:firstLineChars="0"/>
                    <w:jc w:val="center"/>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8</w:t>
                  </w:r>
                </w:p>
              </w:tc>
            </w:tr>
            <w:tr w14:paraId="56EBFB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0F7DDAF4">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8</w:t>
                  </w:r>
                </w:p>
              </w:tc>
              <w:tc>
                <w:tcPr>
                  <w:tcW w:w="990" w:type="pct"/>
                  <w:tcBorders>
                    <w:tl2br w:val="nil"/>
                    <w:tr2bl w:val="nil"/>
                  </w:tcBorders>
                  <w:noWrap w:val="0"/>
                  <w:vAlign w:val="center"/>
                </w:tcPr>
                <w:p w14:paraId="2DE45068">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阴离子表面活性剂（mg/L）</w:t>
                  </w:r>
                </w:p>
              </w:tc>
              <w:tc>
                <w:tcPr>
                  <w:tcW w:w="316" w:type="pct"/>
                  <w:tcBorders>
                    <w:tl2br w:val="nil"/>
                    <w:tr2bl w:val="nil"/>
                  </w:tcBorders>
                  <w:noWrap w:val="0"/>
                  <w:vAlign w:val="center"/>
                </w:tcPr>
                <w:p w14:paraId="4925F828">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0678F8E6">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w:t>
                  </w:r>
                </w:p>
              </w:tc>
            </w:tr>
            <w:tr w14:paraId="421A08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28625F3D">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9</w:t>
                  </w:r>
                </w:p>
              </w:tc>
              <w:tc>
                <w:tcPr>
                  <w:tcW w:w="990" w:type="pct"/>
                  <w:tcBorders>
                    <w:tl2br w:val="nil"/>
                    <w:tr2bl w:val="nil"/>
                  </w:tcBorders>
                  <w:noWrap w:val="0"/>
                  <w:vAlign w:val="center"/>
                </w:tcPr>
                <w:p w14:paraId="330A1E1C">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铁（mg/L）</w:t>
                  </w:r>
                </w:p>
              </w:tc>
              <w:tc>
                <w:tcPr>
                  <w:tcW w:w="316" w:type="pct"/>
                  <w:tcBorders>
                    <w:tl2br w:val="nil"/>
                    <w:tr2bl w:val="nil"/>
                  </w:tcBorders>
                  <w:noWrap w:val="0"/>
                  <w:vAlign w:val="center"/>
                </w:tcPr>
                <w:p w14:paraId="063FFAF6">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42624CFD">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r>
            <w:tr w14:paraId="618EE7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3B4C995B">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10</w:t>
                  </w:r>
                </w:p>
              </w:tc>
              <w:tc>
                <w:tcPr>
                  <w:tcW w:w="990" w:type="pct"/>
                  <w:tcBorders>
                    <w:tl2br w:val="nil"/>
                    <w:tr2bl w:val="nil"/>
                  </w:tcBorders>
                  <w:noWrap w:val="0"/>
                  <w:vAlign w:val="center"/>
                </w:tcPr>
                <w:p w14:paraId="0F758DB3">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锰（mg/L）</w:t>
                  </w:r>
                </w:p>
              </w:tc>
              <w:tc>
                <w:tcPr>
                  <w:tcW w:w="316" w:type="pct"/>
                  <w:tcBorders>
                    <w:tl2br w:val="nil"/>
                    <w:tr2bl w:val="nil"/>
                  </w:tcBorders>
                  <w:noWrap w:val="0"/>
                  <w:vAlign w:val="center"/>
                </w:tcPr>
                <w:p w14:paraId="4D115B17">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4BE97059">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r>
            <w:tr w14:paraId="60EAF0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l2br w:val="nil"/>
                    <w:tr2bl w:val="nil"/>
                  </w:tcBorders>
                  <w:noWrap w:val="0"/>
                  <w:vAlign w:val="center"/>
                </w:tcPr>
                <w:p w14:paraId="73AAB98B">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11</w:t>
                  </w:r>
                </w:p>
              </w:tc>
              <w:tc>
                <w:tcPr>
                  <w:tcW w:w="990" w:type="pct"/>
                  <w:tcBorders>
                    <w:tl2br w:val="nil"/>
                    <w:tr2bl w:val="nil"/>
                  </w:tcBorders>
                  <w:noWrap w:val="0"/>
                  <w:vAlign w:val="center"/>
                </w:tcPr>
                <w:p w14:paraId="7848D601">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溶解氧（mg/L）</w:t>
                  </w:r>
                </w:p>
              </w:tc>
              <w:tc>
                <w:tcPr>
                  <w:tcW w:w="316" w:type="pct"/>
                  <w:tcBorders>
                    <w:tl2br w:val="nil"/>
                    <w:tr2bl w:val="nil"/>
                  </w:tcBorders>
                  <w:noWrap w:val="0"/>
                  <w:vAlign w:val="center"/>
                </w:tcPr>
                <w:p w14:paraId="594B2CC4">
                  <w:pPr>
                    <w:widowControl/>
                    <w:ind w:left="0" w:leftChars="0" w:right="0" w:rightChars="0"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t>
                  </w:r>
                </w:p>
              </w:tc>
              <w:tc>
                <w:tcPr>
                  <w:tcW w:w="3306" w:type="pct"/>
                  <w:tcBorders>
                    <w:tl2br w:val="nil"/>
                    <w:tr2bl w:val="nil"/>
                  </w:tcBorders>
                  <w:noWrap w:val="0"/>
                  <w:vAlign w:val="center"/>
                </w:tcPr>
                <w:p w14:paraId="36931653">
                  <w:pPr>
                    <w:widowControl/>
                    <w:ind w:left="0" w:leftChars="0" w:right="0" w:rightChars="0" w:firstLine="0" w:firstLineChars="0"/>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2.0</w:t>
                  </w:r>
                </w:p>
              </w:tc>
            </w:tr>
          </w:tbl>
          <w:p w14:paraId="303BF3B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3、噪声排放标准</w:t>
            </w:r>
          </w:p>
          <w:p w14:paraId="10D146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（1）施工期：施工期噪声执行《建筑施工</w:t>
            </w:r>
            <w:r>
              <w:rPr>
                <w:rFonts w:hint="eastAsia" w:cs="Times New Roman"/>
                <w:sz w:val="24"/>
                <w:szCs w:val="24"/>
                <w:lang w:val="en-US" w:eastAsia="zh-CN"/>
              </w:rPr>
              <w:t>噪声排放标准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GB12523-20</w:t>
            </w:r>
            <w:r>
              <w:rPr>
                <w:rFonts w:hint="eastAsia" w:cs="Times New Roman"/>
                <w:sz w:val="24"/>
                <w:szCs w:val="24"/>
                <w:lang w:val="en-US" w:eastAsia="zh-CN"/>
              </w:rPr>
              <w:t>25</w:t>
            </w:r>
            <w:r>
              <w:rPr>
                <w:rFonts w:hint="eastAsia" w:ascii="Times New Roman" w:hAnsi="Times New Roman" w:eastAsia="宋体" w:cs="Times New Roman"/>
                <w:sz w:val="24"/>
                <w:szCs w:val="24"/>
                <w:lang w:val="en-US" w:eastAsia="zh-CN"/>
              </w:rPr>
              <w:t>）中的要求，标准值详见下表。</w:t>
            </w:r>
          </w:p>
          <w:p w14:paraId="5C97C7F1">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17</w:t>
            </w:r>
            <w:r>
              <w:rPr>
                <w:rFonts w:hint="eastAsia" w:ascii="Times New Roman" w:hAnsi="Times New Roman" w:eastAsia="黑体" w:cs="Times New Roman"/>
                <w:b w:val="0"/>
                <w:bCs w:val="0"/>
                <w:color w:val="auto"/>
                <w:sz w:val="21"/>
                <w:szCs w:val="21"/>
                <w:highlight w:val="none"/>
                <w:lang w:val="en-US" w:eastAsia="zh-CN"/>
              </w:rPr>
              <w:t xml:space="preserve">  建筑施工场界环境噪声排放标准   单位：dB（A）</w:t>
            </w:r>
          </w:p>
          <w:tbl>
            <w:tblPr>
              <w:tblStyle w:val="22"/>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3036"/>
              <w:gridCol w:w="3036"/>
            </w:tblGrid>
            <w:tr w14:paraId="16BEE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2" w:hRule="atLeast"/>
              </w:trPr>
              <w:tc>
                <w:tcPr>
                  <w:tcW w:w="1249" w:type="pct"/>
                  <w:tcBorders>
                    <w:tl2br w:val="nil"/>
                    <w:tr2bl w:val="nil"/>
                  </w:tcBorders>
                  <w:vAlign w:val="top"/>
                </w:tcPr>
                <w:p w14:paraId="4B12FE27">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时段</w:t>
                  </w:r>
                </w:p>
              </w:tc>
              <w:tc>
                <w:tcPr>
                  <w:tcW w:w="1875" w:type="pct"/>
                  <w:tcBorders>
                    <w:tl2br w:val="nil"/>
                    <w:tr2bl w:val="nil"/>
                  </w:tcBorders>
                  <w:vAlign w:val="top"/>
                </w:tcPr>
                <w:p w14:paraId="6E45AB13">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w:t>
                  </w:r>
                </w:p>
              </w:tc>
              <w:tc>
                <w:tcPr>
                  <w:tcW w:w="1875" w:type="pct"/>
                  <w:tcBorders>
                    <w:tl2br w:val="nil"/>
                    <w:tr2bl w:val="nil"/>
                  </w:tcBorders>
                  <w:vAlign w:val="top"/>
                </w:tcPr>
                <w:p w14:paraId="48F6062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夜间</w:t>
                  </w:r>
                </w:p>
              </w:tc>
            </w:tr>
            <w:tr w14:paraId="072F8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9" w:type="pct"/>
                  <w:tcBorders>
                    <w:tl2br w:val="nil"/>
                    <w:tr2bl w:val="nil"/>
                  </w:tcBorders>
                  <w:vAlign w:val="top"/>
                </w:tcPr>
                <w:p w14:paraId="1C0568AE">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噪声限制</w:t>
                  </w:r>
                </w:p>
              </w:tc>
              <w:tc>
                <w:tcPr>
                  <w:tcW w:w="1875" w:type="pct"/>
                  <w:tcBorders>
                    <w:tl2br w:val="nil"/>
                    <w:tr2bl w:val="nil"/>
                  </w:tcBorders>
                  <w:vAlign w:val="top"/>
                </w:tcPr>
                <w:p w14:paraId="152E5B80">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70</w:t>
                  </w:r>
                </w:p>
              </w:tc>
              <w:tc>
                <w:tcPr>
                  <w:tcW w:w="1875" w:type="pct"/>
                  <w:tcBorders>
                    <w:tl2br w:val="nil"/>
                    <w:tr2bl w:val="nil"/>
                  </w:tcBorders>
                  <w:vAlign w:val="top"/>
                </w:tcPr>
                <w:p w14:paraId="248ED232">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r>
          </w:tbl>
          <w:p w14:paraId="24F2A5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（2）运营期：项目铁路外侧轨道中心线</w:t>
            </w:r>
            <w:r>
              <w:rPr>
                <w:rFonts w:hint="default" w:ascii="Times New Roman" w:hAnsi="Times New Roman" w:eastAsia="宋体" w:cs="Times New Roman"/>
                <w:sz w:val="24"/>
                <w:szCs w:val="24"/>
                <w:lang w:val="en-US" w:eastAsia="zh-CN"/>
              </w:rPr>
              <w:t>30m</w:t>
            </w:r>
            <w:r>
              <w:rPr>
                <w:rFonts w:hint="eastAsia" w:ascii="Times New Roman" w:hAnsi="Times New Roman" w:eastAsia="宋体" w:cs="Times New Roman"/>
                <w:sz w:val="24"/>
                <w:szCs w:val="24"/>
                <w:lang w:val="en-US" w:eastAsia="zh-CN"/>
              </w:rPr>
              <w:t>处执行《铁路边界噪声限值及其测量方法》（</w:t>
            </w:r>
            <w:r>
              <w:rPr>
                <w:rFonts w:hint="default" w:ascii="Times New Roman" w:hAnsi="Times New Roman" w:eastAsia="宋体" w:cs="Times New Roman"/>
                <w:sz w:val="24"/>
                <w:szCs w:val="24"/>
                <w:lang w:val="en-US" w:eastAsia="zh-CN"/>
              </w:rPr>
              <w:t>GB12525-90</w:t>
            </w:r>
            <w:r>
              <w:rPr>
                <w:rFonts w:hint="eastAsia" w:ascii="Times New Roman" w:hAnsi="Times New Roman" w:eastAsia="宋体" w:cs="Times New Roman"/>
                <w:sz w:val="24"/>
                <w:szCs w:val="24"/>
                <w:lang w:val="en-US" w:eastAsia="zh-CN"/>
              </w:rPr>
              <w:t>）修改方案中表</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限值，具体标准值见下表。</w:t>
            </w:r>
          </w:p>
          <w:p w14:paraId="08D8D545">
            <w:pPr>
              <w:keepNext w:val="0"/>
              <w:keepLines w:val="0"/>
              <w:widowControl/>
              <w:suppressLineNumbers w:val="0"/>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黑体" w:cs="Times New Roman"/>
                <w:b w:val="0"/>
                <w:bCs w:val="0"/>
                <w:color w:val="auto"/>
                <w:sz w:val="21"/>
                <w:szCs w:val="21"/>
                <w:highlight w:val="none"/>
                <w:lang w:val="en-US" w:eastAsia="zh-CN"/>
              </w:rPr>
              <w:t>表3-</w:t>
            </w:r>
            <w:r>
              <w:rPr>
                <w:rFonts w:hint="eastAsia" w:eastAsia="黑体" w:cs="Times New Roman"/>
                <w:b w:val="0"/>
                <w:bCs w:val="0"/>
                <w:color w:val="auto"/>
                <w:sz w:val="21"/>
                <w:szCs w:val="21"/>
                <w:highlight w:val="none"/>
                <w:lang w:val="en-US" w:eastAsia="zh-CN"/>
              </w:rPr>
              <w:t>18</w:t>
            </w:r>
            <w:r>
              <w:rPr>
                <w:rFonts w:hint="eastAsia" w:ascii="Times New Roman" w:hAnsi="Times New Roman" w:eastAsia="黑体" w:cs="Times New Roman"/>
                <w:b w:val="0"/>
                <w:bCs w:val="0"/>
                <w:color w:val="auto"/>
                <w:sz w:val="21"/>
                <w:szCs w:val="21"/>
                <w:highlight w:val="none"/>
                <w:lang w:val="en-US" w:eastAsia="zh-CN"/>
              </w:rPr>
              <w:t xml:space="preserve">  </w:t>
            </w:r>
            <w:r>
              <w:rPr>
                <w:rFonts w:hint="eastAsia" w:eastAsia="黑体" w:cs="Times New Roman"/>
                <w:b w:val="0"/>
                <w:bCs w:val="0"/>
                <w:color w:val="auto"/>
                <w:sz w:val="21"/>
                <w:szCs w:val="21"/>
                <w:highlight w:val="none"/>
                <w:lang w:val="en-US" w:eastAsia="zh-CN"/>
              </w:rPr>
              <w:t>新建铁路边界铁路噪声限</w:t>
            </w:r>
            <w:r>
              <w:rPr>
                <w:rFonts w:hint="eastAsia" w:ascii="Times New Roman" w:hAnsi="Times New Roman" w:eastAsia="黑体" w:cs="Times New Roman"/>
                <w:b w:val="0"/>
                <w:bCs w:val="0"/>
                <w:color w:val="auto"/>
                <w:sz w:val="21"/>
                <w:szCs w:val="21"/>
                <w:highlight w:val="none"/>
                <w:lang w:val="en-US" w:eastAsia="zh-CN"/>
              </w:rPr>
              <w:t xml:space="preserve">值   （等效声级 </w:t>
            </w:r>
            <w:r>
              <w:rPr>
                <w:rFonts w:hint="default" w:ascii="Times New Roman" w:hAnsi="Times New Roman" w:eastAsia="黑体" w:cs="Times New Roman"/>
                <w:b w:val="0"/>
                <w:bCs w:val="0"/>
                <w:color w:val="auto"/>
                <w:sz w:val="21"/>
                <w:szCs w:val="21"/>
                <w:highlight w:val="none"/>
                <w:lang w:val="en-US" w:eastAsia="zh-CN"/>
              </w:rPr>
              <w:t>Leq</w:t>
            </w:r>
            <w:r>
              <w:rPr>
                <w:rFonts w:hint="eastAsia" w:ascii="Times New Roman" w:hAnsi="Times New Roman" w:eastAsia="黑体" w:cs="Times New Roman"/>
                <w:b w:val="0"/>
                <w:bCs w:val="0"/>
                <w:color w:val="auto"/>
                <w:sz w:val="21"/>
                <w:szCs w:val="21"/>
                <w:highlight w:val="none"/>
                <w:lang w:val="en-US" w:eastAsia="zh-CN"/>
              </w:rPr>
              <w:t>）</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6403"/>
            </w:tblGrid>
            <w:tr w14:paraId="3727E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44" w:type="pct"/>
                  <w:tcBorders>
                    <w:tl2br w:val="nil"/>
                    <w:tr2bl w:val="nil"/>
                  </w:tcBorders>
                  <w:vAlign w:val="center"/>
                </w:tcPr>
                <w:p w14:paraId="600B4DB8">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时段</w:t>
                  </w:r>
                </w:p>
              </w:tc>
              <w:tc>
                <w:tcPr>
                  <w:tcW w:w="3955" w:type="pct"/>
                  <w:tcBorders>
                    <w:tl2br w:val="nil"/>
                    <w:tr2bl w:val="nil"/>
                  </w:tcBorders>
                  <w:vAlign w:val="center"/>
                </w:tcPr>
                <w:p w14:paraId="2DBAFAFB">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噪声限值噪声限值（单位：</w:t>
                  </w:r>
                  <w:r>
                    <w:rPr>
                      <w:rFonts w:hint="default" w:cs="Times New Roman"/>
                      <w:color w:val="auto"/>
                      <w:sz w:val="18"/>
                      <w:szCs w:val="18"/>
                      <w:highlight w:val="none"/>
                      <w:lang w:val="en-US" w:eastAsia="zh-CN"/>
                    </w:rPr>
                    <w:t>dB</w:t>
                  </w:r>
                  <w:r>
                    <w:rPr>
                      <w:rFonts w:hint="eastAsia" w:cs="Times New Roman"/>
                      <w:color w:val="auto"/>
                      <w:sz w:val="18"/>
                      <w:szCs w:val="18"/>
                      <w:highlight w:val="none"/>
                      <w:lang w:val="en-US" w:eastAsia="zh-CN"/>
                    </w:rPr>
                    <w:t>（A））</w:t>
                  </w:r>
                </w:p>
              </w:tc>
            </w:tr>
            <w:tr w14:paraId="6962E7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44" w:type="pct"/>
                  <w:tcBorders>
                    <w:tl2br w:val="nil"/>
                    <w:tr2bl w:val="nil"/>
                  </w:tcBorders>
                  <w:vAlign w:val="center"/>
                </w:tcPr>
                <w:p w14:paraId="735990F0">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昼间</w:t>
                  </w:r>
                </w:p>
              </w:tc>
              <w:tc>
                <w:tcPr>
                  <w:tcW w:w="3955" w:type="pct"/>
                  <w:tcBorders>
                    <w:tl2br w:val="nil"/>
                    <w:tr2bl w:val="nil"/>
                  </w:tcBorders>
                  <w:vAlign w:val="center"/>
                </w:tcPr>
                <w:p w14:paraId="4D99DBA5">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70</w:t>
                  </w:r>
                </w:p>
              </w:tc>
            </w:tr>
            <w:tr w14:paraId="59EE2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044" w:type="pct"/>
                  <w:tcBorders>
                    <w:tl2br w:val="nil"/>
                    <w:tr2bl w:val="nil"/>
                  </w:tcBorders>
                  <w:vAlign w:val="center"/>
                </w:tcPr>
                <w:p w14:paraId="75E174F1">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夜间</w:t>
                  </w:r>
                </w:p>
              </w:tc>
              <w:tc>
                <w:tcPr>
                  <w:tcW w:w="3955" w:type="pct"/>
                  <w:tcBorders>
                    <w:tl2br w:val="nil"/>
                    <w:tr2bl w:val="nil"/>
                  </w:tcBorders>
                  <w:vAlign w:val="center"/>
                </w:tcPr>
                <w:p w14:paraId="0D2AC78D">
                  <w:pPr>
                    <w:keepNext w:val="0"/>
                    <w:keepLines w:val="0"/>
                    <w:pageBreakBefore w:val="0"/>
                    <w:widowControl w:val="0"/>
                    <w:kinsoku/>
                    <w:wordWrap/>
                    <w:overflowPunct/>
                    <w:autoSpaceDE w:val="0"/>
                    <w:autoSpaceDN w:val="0"/>
                    <w:bidi w:val="0"/>
                    <w:adjustRightInd w:val="0"/>
                    <w:snapToGrid w:val="0"/>
                    <w:spacing w:afterAutospacing="0"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r>
          </w:tbl>
          <w:p w14:paraId="03D8BED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w:t>
            </w:r>
            <w:r>
              <w:rPr>
                <w:rFonts w:hint="eastAsia" w:cs="Times New Roman"/>
                <w:b/>
                <w:bCs/>
                <w:sz w:val="24"/>
                <w:szCs w:val="24"/>
                <w:lang w:val="en-US" w:eastAsia="zh-CN"/>
              </w:rPr>
              <w:t>振动</w:t>
            </w:r>
          </w:p>
          <w:p w14:paraId="6FEC8A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根据《城市区域环境振动标准》（</w:t>
            </w:r>
            <w:r>
              <w:rPr>
                <w:rFonts w:hint="default" w:ascii="Times New Roman" w:hAnsi="Times New Roman" w:eastAsia="宋体" w:cs="Times New Roman"/>
                <w:sz w:val="24"/>
                <w:szCs w:val="24"/>
                <w:lang w:val="en-US" w:eastAsia="zh-CN"/>
              </w:rPr>
              <w:t>GB10070-88</w:t>
            </w:r>
            <w:r>
              <w:rPr>
                <w:rFonts w:hint="eastAsia" w:ascii="Times New Roman" w:hAnsi="Times New Roman" w:eastAsia="宋体" w:cs="Times New Roman"/>
                <w:sz w:val="24"/>
                <w:szCs w:val="24"/>
                <w:lang w:val="en-US" w:eastAsia="zh-CN"/>
              </w:rPr>
              <w:t>），“铁路干线两侧”是指距每日车流量不少于</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列的铁道外轨</w:t>
            </w:r>
            <w:r>
              <w:rPr>
                <w:rFonts w:hint="default" w:ascii="Times New Roman" w:hAnsi="Times New Roman" w:eastAsia="宋体" w:cs="Times New Roman"/>
                <w:sz w:val="24"/>
                <w:szCs w:val="24"/>
                <w:lang w:val="en-US" w:eastAsia="zh-CN"/>
              </w:rPr>
              <w:t>30m</w:t>
            </w:r>
            <w:r>
              <w:rPr>
                <w:rFonts w:hint="eastAsia" w:ascii="Times New Roman" w:hAnsi="Times New Roman" w:eastAsia="宋体" w:cs="Times New Roman"/>
                <w:sz w:val="24"/>
                <w:szCs w:val="24"/>
                <w:lang w:val="en-US" w:eastAsia="zh-CN"/>
              </w:rPr>
              <w:t>外区域。该项目车流量为</w:t>
            </w:r>
            <w:r>
              <w:rPr>
                <w:rFonts w:hint="eastAsia" w:cs="Times New Roman"/>
                <w:sz w:val="24"/>
                <w:szCs w:val="24"/>
                <w:lang w:val="en-US" w:eastAsia="zh-CN"/>
              </w:rPr>
              <w:t>11.2</w:t>
            </w:r>
            <w:r>
              <w:rPr>
                <w:rFonts w:hint="eastAsia" w:ascii="Times New Roman" w:hAnsi="Times New Roman" w:eastAsia="宋体" w:cs="Times New Roman"/>
                <w:sz w:val="24"/>
                <w:szCs w:val="24"/>
                <w:lang w:val="en-US" w:eastAsia="zh-CN"/>
              </w:rPr>
              <w:t>列/日</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不属于“铁路干线两侧”。故该项目振动标准执行《城市区域环境振动标准》（</w:t>
            </w:r>
            <w:r>
              <w:rPr>
                <w:rFonts w:hint="default" w:ascii="Times New Roman" w:hAnsi="Times New Roman" w:eastAsia="宋体" w:cs="Times New Roman"/>
                <w:sz w:val="24"/>
                <w:szCs w:val="24"/>
                <w:lang w:val="en-US" w:eastAsia="zh-CN"/>
              </w:rPr>
              <w:t>GB10070-88</w:t>
            </w:r>
            <w:r>
              <w:rPr>
                <w:rFonts w:hint="eastAsia" w:ascii="Times New Roman" w:hAnsi="Times New Roman" w:eastAsia="宋体" w:cs="Times New Roman"/>
                <w:sz w:val="24"/>
                <w:szCs w:val="24"/>
                <w:lang w:val="en-US" w:eastAsia="zh-CN"/>
              </w:rPr>
              <w:t>）中的工业集中区标准限值。</w:t>
            </w:r>
          </w:p>
          <w:p w14:paraId="782A25A5">
            <w:pPr>
              <w:jc w:val="center"/>
              <w:rPr>
                <w:rFonts w:hint="default"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表3-19  区域铅垂向Z振级标准限值</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2696"/>
              <w:gridCol w:w="2702"/>
            </w:tblGrid>
            <w:tr w14:paraId="63066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65" w:type="pct"/>
                  <w:vMerge w:val="restart"/>
                  <w:tcBorders>
                    <w:tl2br w:val="nil"/>
                    <w:tr2bl w:val="nil"/>
                  </w:tcBorders>
                  <w:vAlign w:val="center"/>
                </w:tcPr>
                <w:p w14:paraId="36FA4F2F">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适用地带</w:t>
                  </w:r>
                </w:p>
              </w:tc>
              <w:tc>
                <w:tcPr>
                  <w:tcW w:w="3334" w:type="pct"/>
                  <w:gridSpan w:val="2"/>
                  <w:tcBorders>
                    <w:tl2br w:val="nil"/>
                    <w:tr2bl w:val="nil"/>
                  </w:tcBorders>
                  <w:vAlign w:val="center"/>
                </w:tcPr>
                <w:p w14:paraId="2DFB95BA">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等效声级</w:t>
                  </w:r>
                </w:p>
              </w:tc>
            </w:tr>
            <w:tr w14:paraId="042323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tcBorders>
                    <w:tl2br w:val="nil"/>
                    <w:tr2bl w:val="nil"/>
                  </w:tcBorders>
                  <w:vAlign w:val="center"/>
                </w:tcPr>
                <w:p w14:paraId="03D29D9C">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665" w:type="pct"/>
                  <w:tcBorders>
                    <w:tl2br w:val="nil"/>
                    <w:tr2bl w:val="nil"/>
                  </w:tcBorders>
                  <w:vAlign w:val="center"/>
                </w:tcPr>
                <w:p w14:paraId="0D540957">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w:t>
                  </w:r>
                </w:p>
              </w:tc>
              <w:tc>
                <w:tcPr>
                  <w:tcW w:w="1668" w:type="pct"/>
                  <w:tcBorders>
                    <w:tl2br w:val="nil"/>
                    <w:tr2bl w:val="nil"/>
                  </w:tcBorders>
                  <w:vAlign w:val="center"/>
                </w:tcPr>
                <w:p w14:paraId="2BD88DFC">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夜间</w:t>
                  </w:r>
                </w:p>
              </w:tc>
            </w:tr>
            <w:tr w14:paraId="4656B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vAlign w:val="center"/>
                </w:tcPr>
                <w:p w14:paraId="098D9B87">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工业集中区</w:t>
                  </w:r>
                </w:p>
              </w:tc>
              <w:tc>
                <w:tcPr>
                  <w:tcW w:w="1665" w:type="pct"/>
                  <w:tcBorders>
                    <w:tl2br w:val="nil"/>
                    <w:tr2bl w:val="nil"/>
                  </w:tcBorders>
                  <w:vAlign w:val="center"/>
                </w:tcPr>
                <w:p w14:paraId="1C34FF28">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1668" w:type="pct"/>
                  <w:tcBorders>
                    <w:tl2br w:val="nil"/>
                    <w:tr2bl w:val="nil"/>
                  </w:tcBorders>
                  <w:vAlign w:val="center"/>
                </w:tcPr>
                <w:p w14:paraId="26F50D47">
                  <w:pPr>
                    <w:keepNext w:val="0"/>
                    <w:keepLines w:val="0"/>
                    <w:pageBreakBefore w:val="0"/>
                    <w:widowControl w:val="0"/>
                    <w:kinsoku/>
                    <w:wordWrap/>
                    <w:overflowPunct/>
                    <w:topLinePunct w:val="0"/>
                    <w:autoSpaceDE w:val="0"/>
                    <w:autoSpaceDN w:val="0"/>
                    <w:bidi w:val="0"/>
                    <w:adjustRightInd w:val="0"/>
                    <w:snapToGrid w:val="0"/>
                    <w:spacing w:afterAutospacing="0"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72</w:t>
                  </w:r>
                </w:p>
              </w:tc>
            </w:tr>
          </w:tbl>
          <w:p w14:paraId="7AEB804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5、固废</w:t>
            </w:r>
          </w:p>
          <w:p w14:paraId="058C79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项目产生的一般固体废物贮存与处置执行《一般工业固体废物贮存和填埋污染控制标准》（GB18599-2020）中要求，不得形成二次污染。</w:t>
            </w:r>
          </w:p>
          <w:p w14:paraId="0C5AD3C4">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危险废物按《国家危险废物名录（2025年版）》进行分类，其暂存、管理贮存执行《危险废物贮存污染控制标准》（GB18597-2023）。</w:t>
            </w:r>
          </w:p>
          <w:p w14:paraId="239C96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sz w:val="24"/>
                <w:szCs w:val="24"/>
                <w:lang w:val="en-US" w:eastAsia="zh-CN"/>
              </w:rPr>
              <w:t>生活垃圾处理参照执行《城市生活垃圾处理及污染防治技术政策》（建城[2000]120号）和《生活垃圾处理技术指南》（建城[2010]61号）以及国家、省关于固体废物污染环境防治的法律法规。</w:t>
            </w:r>
          </w:p>
        </w:tc>
      </w:tr>
      <w:tr w14:paraId="6D57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735A62C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总量控制指标</w:t>
            </w:r>
          </w:p>
        </w:tc>
        <w:tc>
          <w:tcPr>
            <w:tcW w:w="8312" w:type="dxa"/>
          </w:tcPr>
          <w:p w14:paraId="05B5D7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cs="Times New Roman"/>
                <w:b/>
                <w:bCs/>
                <w:sz w:val="24"/>
                <w:szCs w:val="24"/>
                <w:lang w:val="en-US" w:eastAsia="zh-CN"/>
              </w:rPr>
            </w:pPr>
            <w:r>
              <w:rPr>
                <w:rFonts w:hint="eastAsia" w:cs="Times New Roman"/>
                <w:b/>
                <w:bCs/>
                <w:sz w:val="24"/>
                <w:szCs w:val="24"/>
                <w:lang w:val="en-US" w:eastAsia="zh-CN"/>
              </w:rPr>
              <w:t>总量控制建议</w:t>
            </w:r>
          </w:p>
          <w:p w14:paraId="666E23A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sz w:val="24"/>
                <w:szCs w:val="24"/>
                <w:lang w:val="en-US" w:eastAsia="zh-CN"/>
              </w:rPr>
            </w:pPr>
            <w:r>
              <w:rPr>
                <w:rFonts w:hint="eastAsia" w:cs="Times New Roman"/>
                <w:b/>
                <w:bCs/>
                <w:sz w:val="24"/>
                <w:szCs w:val="24"/>
                <w:lang w:val="en-US" w:eastAsia="zh-CN"/>
              </w:rPr>
              <w:t>一、废气</w:t>
            </w:r>
          </w:p>
          <w:p w14:paraId="425663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项目运营期主要为货物线内燃机废气</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项目区内进出停放汽车排放的尾气</w:t>
            </w:r>
            <w:r>
              <w:rPr>
                <w:rFonts w:hint="eastAsia" w:cs="Times New Roman"/>
                <w:sz w:val="24"/>
                <w:szCs w:val="24"/>
                <w:lang w:val="en-US" w:eastAsia="zh-CN"/>
              </w:rPr>
              <w:t>以及煤装卸粉尘</w:t>
            </w:r>
            <w:r>
              <w:rPr>
                <w:rFonts w:hint="eastAsia" w:ascii="Times New Roman" w:hAnsi="Times New Roman" w:eastAsia="宋体" w:cs="Times New Roman"/>
                <w:sz w:val="24"/>
                <w:szCs w:val="24"/>
                <w:lang w:val="en-US" w:eastAsia="zh-CN"/>
              </w:rPr>
              <w:t>，内燃机废气</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项目区内进出停放汽车排放的尾气污染物排放具有点多、面广、呈低架源无组织排放形式的特点，其排放量较小</w:t>
            </w:r>
            <w:r>
              <w:rPr>
                <w:rFonts w:hint="eastAsia" w:cs="Times New Roman"/>
                <w:sz w:val="24"/>
                <w:szCs w:val="24"/>
                <w:lang w:val="en-US" w:eastAsia="zh-CN"/>
              </w:rPr>
              <w:t>；煤装卸粉尘通过采取洒水降尘后，排放量较小，</w:t>
            </w:r>
            <w:r>
              <w:rPr>
                <w:rFonts w:hint="eastAsia" w:ascii="Times New Roman" w:hAnsi="Times New Roman" w:eastAsia="宋体" w:cs="Times New Roman"/>
                <w:sz w:val="24"/>
                <w:szCs w:val="24"/>
                <w:lang w:val="en-US" w:eastAsia="zh-CN"/>
              </w:rPr>
              <w:t>项目不设废气总量控制指标。</w:t>
            </w:r>
          </w:p>
          <w:p w14:paraId="79F950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sz w:val="24"/>
                <w:szCs w:val="24"/>
                <w:lang w:val="en-US" w:eastAsia="zh-CN"/>
              </w:rPr>
            </w:pPr>
            <w:r>
              <w:rPr>
                <w:rFonts w:hint="eastAsia" w:cs="Times New Roman"/>
                <w:b/>
                <w:bCs/>
                <w:sz w:val="24"/>
                <w:szCs w:val="24"/>
                <w:lang w:val="en-US" w:eastAsia="zh-CN"/>
              </w:rPr>
              <w:t>二、废水</w:t>
            </w:r>
          </w:p>
          <w:p w14:paraId="0E5CB1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本项目运营期废水主要为生活污水，生活污水通过化粪池预处理后，排入新建的一体化污水处理设施，处理能力为10m</w:t>
            </w:r>
            <w:r>
              <w:rPr>
                <w:rFonts w:hint="eastAsia" w:cs="Times New Roman"/>
                <w:sz w:val="24"/>
                <w:szCs w:val="24"/>
                <w:vertAlign w:val="superscript"/>
                <w:lang w:val="en-US" w:eastAsia="zh-CN"/>
              </w:rPr>
              <w:t>3</w:t>
            </w:r>
            <w:r>
              <w:rPr>
                <w:rFonts w:hint="eastAsia" w:cs="Times New Roman"/>
                <w:sz w:val="24"/>
                <w:szCs w:val="24"/>
                <w:lang w:val="en-US" w:eastAsia="zh-CN"/>
              </w:rPr>
              <w:t>/d，处理后回用于厂区绿化，不外排；</w:t>
            </w:r>
            <w:r>
              <w:rPr>
                <w:rFonts w:hint="default" w:ascii="Times New Roman" w:hAnsi="Times New Roman" w:cs="Times New Roman"/>
                <w:color w:val="auto"/>
                <w:sz w:val="24"/>
                <w:highlight w:val="none"/>
                <w:lang w:val="en-US" w:eastAsia="zh-CN"/>
              </w:rPr>
              <w:t>初期雨水经过收集</w:t>
            </w:r>
            <w:r>
              <w:rPr>
                <w:rFonts w:hint="eastAsia" w:cs="Times New Roman"/>
                <w:color w:val="auto"/>
                <w:sz w:val="24"/>
                <w:highlight w:val="none"/>
                <w:lang w:val="en-US" w:eastAsia="zh-CN"/>
              </w:rPr>
              <w:t>沉淀后回用于洒水降尘</w:t>
            </w:r>
            <w:r>
              <w:rPr>
                <w:rFonts w:hint="default" w:ascii="Times New Roman" w:hAnsi="Times New Roman" w:cs="Times New Roman"/>
                <w:color w:val="auto"/>
                <w:sz w:val="24"/>
                <w:highlight w:val="none"/>
                <w:lang w:val="en-US" w:eastAsia="zh-CN"/>
              </w:rPr>
              <w:t>，不外排。</w:t>
            </w:r>
            <w:r>
              <w:rPr>
                <w:rFonts w:hint="eastAsia" w:ascii="Times New Roman" w:hAnsi="Times New Roman" w:eastAsia="宋体" w:cs="Times New Roman"/>
                <w:sz w:val="24"/>
                <w:szCs w:val="24"/>
                <w:lang w:val="en-US" w:eastAsia="zh-CN"/>
              </w:rPr>
              <w:t>因此，本项目不设废水总量指标。</w:t>
            </w:r>
          </w:p>
          <w:p w14:paraId="7DC717A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三、固废</w:t>
            </w:r>
          </w:p>
          <w:p w14:paraId="21CE80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固体废物处理率</w:t>
            </w:r>
            <w:r>
              <w:rPr>
                <w:rFonts w:hint="default" w:ascii="Times New Roman" w:hAnsi="Times New Roman" w:eastAsia="宋体" w:cs="Times New Roman"/>
                <w:sz w:val="24"/>
                <w:szCs w:val="24"/>
                <w:lang w:val="en-US" w:eastAsia="zh-CN"/>
              </w:rPr>
              <w:t>100%</w:t>
            </w:r>
            <w:r>
              <w:rPr>
                <w:rFonts w:hint="eastAsia" w:cs="Times New Roman"/>
                <w:sz w:val="24"/>
                <w:szCs w:val="24"/>
                <w:lang w:val="en-US" w:eastAsia="zh-CN"/>
              </w:rPr>
              <w:t>，不设总量指标</w:t>
            </w:r>
            <w:r>
              <w:rPr>
                <w:rFonts w:hint="eastAsia" w:ascii="Times New Roman" w:hAnsi="Times New Roman" w:eastAsia="宋体" w:cs="Times New Roman"/>
                <w:sz w:val="24"/>
                <w:szCs w:val="24"/>
                <w:lang w:val="en-US" w:eastAsia="zh-CN"/>
              </w:rPr>
              <w:t>。</w:t>
            </w:r>
          </w:p>
          <w:p w14:paraId="249006FE">
            <w:pPr>
              <w:pStyle w:val="2"/>
              <w:rPr>
                <w:rFonts w:hint="eastAsia"/>
                <w:lang w:val="en-US" w:eastAsia="zh-CN"/>
              </w:rPr>
            </w:pPr>
          </w:p>
          <w:p w14:paraId="321C7B14">
            <w:pPr>
              <w:pStyle w:val="2"/>
              <w:rPr>
                <w:rFonts w:hint="eastAsia"/>
                <w:lang w:val="en-US" w:eastAsia="zh-CN"/>
              </w:rPr>
            </w:pPr>
          </w:p>
          <w:p w14:paraId="2D8AAB92">
            <w:pPr>
              <w:pStyle w:val="2"/>
              <w:rPr>
                <w:rFonts w:hint="eastAsia"/>
                <w:lang w:val="en-US" w:eastAsia="zh-CN"/>
              </w:rPr>
            </w:pPr>
          </w:p>
          <w:p w14:paraId="7DAED509">
            <w:pPr>
              <w:pStyle w:val="2"/>
              <w:rPr>
                <w:rFonts w:hint="eastAsia"/>
                <w:lang w:val="en-US" w:eastAsia="zh-CN"/>
              </w:rPr>
            </w:pPr>
          </w:p>
          <w:p w14:paraId="7EF0A520">
            <w:pPr>
              <w:pStyle w:val="2"/>
              <w:rPr>
                <w:rFonts w:hint="eastAsia"/>
                <w:lang w:val="en-US" w:eastAsia="zh-CN"/>
              </w:rPr>
            </w:pPr>
          </w:p>
          <w:p w14:paraId="330EC6BD">
            <w:pPr>
              <w:pStyle w:val="2"/>
              <w:rPr>
                <w:rFonts w:hint="eastAsia"/>
                <w:lang w:val="en-US" w:eastAsia="zh-CN"/>
              </w:rPr>
            </w:pPr>
          </w:p>
          <w:p w14:paraId="241F560F">
            <w:pPr>
              <w:pStyle w:val="2"/>
              <w:rPr>
                <w:rFonts w:hint="eastAsia"/>
                <w:lang w:val="en-US" w:eastAsia="zh-CN"/>
              </w:rPr>
            </w:pPr>
          </w:p>
          <w:p w14:paraId="51570D37">
            <w:pPr>
              <w:pStyle w:val="2"/>
              <w:rPr>
                <w:rFonts w:hint="eastAsia"/>
                <w:lang w:val="en-US" w:eastAsia="zh-CN"/>
              </w:rPr>
            </w:pPr>
          </w:p>
          <w:p w14:paraId="2B7C7A4F">
            <w:pPr>
              <w:pStyle w:val="2"/>
              <w:rPr>
                <w:rFonts w:hint="eastAsia"/>
                <w:lang w:val="en-US" w:eastAsia="zh-CN"/>
              </w:rPr>
            </w:pPr>
          </w:p>
          <w:p w14:paraId="7D208F50">
            <w:pPr>
              <w:pStyle w:val="2"/>
              <w:rPr>
                <w:rFonts w:hint="eastAsia"/>
                <w:lang w:val="en-US" w:eastAsia="zh-CN"/>
              </w:rPr>
            </w:pPr>
          </w:p>
          <w:p w14:paraId="2662FF65">
            <w:pPr>
              <w:pStyle w:val="2"/>
              <w:rPr>
                <w:rFonts w:hint="eastAsia"/>
                <w:lang w:val="en-US" w:eastAsia="zh-CN"/>
              </w:rPr>
            </w:pPr>
          </w:p>
          <w:p w14:paraId="19FF85F8">
            <w:pPr>
              <w:pStyle w:val="2"/>
              <w:rPr>
                <w:rFonts w:hint="eastAsia"/>
                <w:lang w:val="en-US" w:eastAsia="zh-CN"/>
              </w:rPr>
            </w:pPr>
          </w:p>
          <w:p w14:paraId="2BB79741">
            <w:pPr>
              <w:pStyle w:val="2"/>
              <w:rPr>
                <w:rFonts w:hint="default"/>
                <w:lang w:val="en-US" w:eastAsia="zh-CN"/>
              </w:rPr>
            </w:pPr>
          </w:p>
        </w:tc>
      </w:tr>
    </w:tbl>
    <w:p w14:paraId="2C12CBA5">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highlight w:val="none"/>
          <w:lang w:val="en-US" w:eastAsia="zh-CN"/>
        </w:rPr>
      </w:pPr>
      <w:bookmarkStart w:id="17" w:name="_Toc29751"/>
      <w:bookmarkStart w:id="18" w:name="_Toc6439"/>
      <w:bookmarkStart w:id="19" w:name="_Toc17103"/>
      <w:r>
        <w:rPr>
          <w:rFonts w:hint="eastAsia" w:ascii="Times New Roman" w:hAnsi="Times New Roman" w:cs="Times New Roman"/>
          <w:color w:val="auto"/>
          <w:highlight w:val="none"/>
          <w:lang w:val="en-US" w:eastAsia="zh-CN"/>
        </w:rPr>
        <w:t>四、生态环境影响分析</w:t>
      </w:r>
      <w:bookmarkEnd w:id="17"/>
      <w:bookmarkEnd w:id="18"/>
      <w:bookmarkEnd w:id="19"/>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095"/>
      </w:tblGrid>
      <w:tr w14:paraId="144E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dxa"/>
            <w:vAlign w:val="center"/>
          </w:tcPr>
          <w:p w14:paraId="129A829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施工期生态环境影响分析</w:t>
            </w:r>
          </w:p>
        </w:tc>
        <w:tc>
          <w:tcPr>
            <w:tcW w:w="8101" w:type="dxa"/>
          </w:tcPr>
          <w:p w14:paraId="412CB5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工程建设施工特点分析，施工期的环境影响属短期、可恢复和局地的环境影响。工程建设期间，各项施工活动将不可避免地对周围环境产生影响。除生态影响之外，还包括废气、废水、噪声、振动以及固体废物等对周围生态环境的影响。</w:t>
            </w:r>
          </w:p>
          <w:p w14:paraId="0598316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4.1施工期</w:t>
            </w:r>
            <w:r>
              <w:rPr>
                <w:rFonts w:hint="eastAsia" w:ascii="Times New Roman" w:hAnsi="Times New Roman" w:cs="Times New Roman"/>
                <w:b/>
                <w:bCs/>
                <w:sz w:val="24"/>
                <w:szCs w:val="24"/>
                <w:lang w:val="en-US" w:eastAsia="zh-CN"/>
              </w:rPr>
              <w:t>生态影响分析</w:t>
            </w:r>
          </w:p>
          <w:p w14:paraId="2BCCA5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工程施工期路基、站场工程对土地利用、地表植被、土壤结构、水土流失影响较大。项目铁路专用线生态影响特性见表</w:t>
            </w:r>
            <w:r>
              <w:rPr>
                <w:rFonts w:hint="default" w:ascii="Times New Roman" w:hAnsi="Times New Roman" w:cs="Times New Roman"/>
                <w:sz w:val="24"/>
                <w:szCs w:val="24"/>
                <w:lang w:val="en-US" w:eastAsia="zh-CN"/>
              </w:rPr>
              <w:t>4-1</w:t>
            </w:r>
            <w:r>
              <w:rPr>
                <w:rFonts w:hint="eastAsia" w:ascii="Times New Roman" w:hAnsi="Times New Roman" w:cs="Times New Roman"/>
                <w:sz w:val="24"/>
                <w:szCs w:val="24"/>
                <w:lang w:val="en-US" w:eastAsia="zh-CN"/>
              </w:rPr>
              <w:t>。</w:t>
            </w:r>
          </w:p>
          <w:p w14:paraId="4904D59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表4-1   铁路专线建设生态影响特性表</w:t>
            </w:r>
          </w:p>
          <w:tbl>
            <w:tblPr>
              <w:tblStyle w:val="23"/>
              <w:tblW w:w="78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2850"/>
              <w:gridCol w:w="1580"/>
              <w:gridCol w:w="2247"/>
            </w:tblGrid>
            <w:tr w14:paraId="76795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tcBorders>
                    <w:tl2br w:val="nil"/>
                    <w:tr2bl w:val="nil"/>
                  </w:tcBorders>
                  <w:vAlign w:val="center"/>
                </w:tcPr>
                <w:p w14:paraId="0E0F0D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工程名称</w:t>
                  </w:r>
                </w:p>
              </w:tc>
              <w:tc>
                <w:tcPr>
                  <w:tcW w:w="2850" w:type="dxa"/>
                  <w:tcBorders>
                    <w:tl2br w:val="nil"/>
                    <w:tr2bl w:val="nil"/>
                  </w:tcBorders>
                  <w:vAlign w:val="center"/>
                </w:tcPr>
                <w:p w14:paraId="35152F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影响原因</w:t>
                  </w:r>
                </w:p>
              </w:tc>
              <w:tc>
                <w:tcPr>
                  <w:tcW w:w="1580" w:type="dxa"/>
                  <w:tcBorders>
                    <w:tl2br w:val="nil"/>
                    <w:tr2bl w:val="nil"/>
                  </w:tcBorders>
                  <w:vAlign w:val="center"/>
                </w:tcPr>
                <w:p w14:paraId="0E4C4E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影响范围</w:t>
                  </w:r>
                </w:p>
              </w:tc>
              <w:tc>
                <w:tcPr>
                  <w:tcW w:w="2247" w:type="dxa"/>
                  <w:tcBorders>
                    <w:tl2br w:val="nil"/>
                    <w:tr2bl w:val="nil"/>
                  </w:tcBorders>
                  <w:vAlign w:val="center"/>
                </w:tcPr>
                <w:p w14:paraId="5D6F25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影响表现</w:t>
                  </w:r>
                </w:p>
              </w:tc>
            </w:tr>
            <w:tr w14:paraId="21B11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tcBorders>
                    <w:tl2br w:val="nil"/>
                    <w:tr2bl w:val="nil"/>
                  </w:tcBorders>
                  <w:vAlign w:val="center"/>
                </w:tcPr>
                <w:p w14:paraId="5BD89A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路基工程</w:t>
                  </w:r>
                </w:p>
              </w:tc>
              <w:tc>
                <w:tcPr>
                  <w:tcW w:w="2850" w:type="dxa"/>
                  <w:tcBorders>
                    <w:tl2br w:val="nil"/>
                    <w:tr2bl w:val="nil"/>
                  </w:tcBorders>
                  <w:vAlign w:val="center"/>
                </w:tcPr>
                <w:p w14:paraId="5BFB88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路基开挖、压占土地、高填深挖、弃渣</w:t>
                  </w:r>
                </w:p>
              </w:tc>
              <w:tc>
                <w:tcPr>
                  <w:tcW w:w="1580" w:type="dxa"/>
                  <w:tcBorders>
                    <w:tl2br w:val="nil"/>
                    <w:tr2bl w:val="nil"/>
                  </w:tcBorders>
                  <w:vAlign w:val="center"/>
                </w:tcPr>
                <w:p w14:paraId="1BB1BD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施工范围及周边</w:t>
                  </w:r>
                </w:p>
              </w:tc>
              <w:tc>
                <w:tcPr>
                  <w:tcW w:w="2247" w:type="dxa"/>
                  <w:tcBorders>
                    <w:tl2br w:val="nil"/>
                    <w:tr2bl w:val="nil"/>
                  </w:tcBorders>
                  <w:vAlign w:val="center"/>
                </w:tcPr>
                <w:p w14:paraId="5177FE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土地利用类型改变，生物量减少，植被破坏，水土流失</w:t>
                  </w:r>
                </w:p>
              </w:tc>
            </w:tr>
            <w:tr w14:paraId="51E55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tcBorders>
                    <w:tl2br w:val="nil"/>
                    <w:tr2bl w:val="nil"/>
                  </w:tcBorders>
                  <w:vAlign w:val="center"/>
                </w:tcPr>
                <w:p w14:paraId="31B4FA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桥涵工程</w:t>
                  </w:r>
                </w:p>
              </w:tc>
              <w:tc>
                <w:tcPr>
                  <w:tcW w:w="2850" w:type="dxa"/>
                  <w:tcBorders>
                    <w:tl2br w:val="nil"/>
                    <w:tr2bl w:val="nil"/>
                  </w:tcBorders>
                  <w:vAlign w:val="center"/>
                </w:tcPr>
                <w:p w14:paraId="13B4F9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开挖、填筑</w:t>
                  </w:r>
                </w:p>
              </w:tc>
              <w:tc>
                <w:tcPr>
                  <w:tcW w:w="1580" w:type="dxa"/>
                  <w:tcBorders>
                    <w:tl2br w:val="nil"/>
                    <w:tr2bl w:val="nil"/>
                  </w:tcBorders>
                  <w:vAlign w:val="center"/>
                </w:tcPr>
                <w:p w14:paraId="750AC6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施工范围及周边</w:t>
                  </w:r>
                </w:p>
              </w:tc>
              <w:tc>
                <w:tcPr>
                  <w:tcW w:w="2247" w:type="dxa"/>
                  <w:tcBorders>
                    <w:tl2br w:val="nil"/>
                    <w:tr2bl w:val="nil"/>
                  </w:tcBorders>
                  <w:vAlign w:val="center"/>
                </w:tcPr>
                <w:p w14:paraId="251D17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扰动局部地表</w:t>
                  </w:r>
                </w:p>
              </w:tc>
            </w:tr>
            <w:tr w14:paraId="01147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tcBorders>
                    <w:tl2br w:val="nil"/>
                    <w:tr2bl w:val="nil"/>
                  </w:tcBorders>
                  <w:vAlign w:val="center"/>
                </w:tcPr>
                <w:p w14:paraId="6DC54B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站场工程</w:t>
                  </w:r>
                </w:p>
              </w:tc>
              <w:tc>
                <w:tcPr>
                  <w:tcW w:w="2850" w:type="dxa"/>
                  <w:tcBorders>
                    <w:tl2br w:val="nil"/>
                    <w:tr2bl w:val="nil"/>
                  </w:tcBorders>
                  <w:vAlign w:val="center"/>
                </w:tcPr>
                <w:p w14:paraId="66025B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开挖、压占</w:t>
                  </w:r>
                </w:p>
              </w:tc>
              <w:tc>
                <w:tcPr>
                  <w:tcW w:w="1580" w:type="dxa"/>
                  <w:tcBorders>
                    <w:tl2br w:val="nil"/>
                    <w:tr2bl w:val="nil"/>
                  </w:tcBorders>
                  <w:vAlign w:val="center"/>
                </w:tcPr>
                <w:p w14:paraId="546D7D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施工范围及周边</w:t>
                  </w:r>
                </w:p>
              </w:tc>
              <w:tc>
                <w:tcPr>
                  <w:tcW w:w="2247" w:type="dxa"/>
                  <w:tcBorders>
                    <w:tl2br w:val="nil"/>
                    <w:tr2bl w:val="nil"/>
                  </w:tcBorders>
                  <w:vAlign w:val="center"/>
                </w:tcPr>
                <w:p w14:paraId="25F688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土地利用类型改变，植被破坏，水土流失</w:t>
                  </w:r>
                </w:p>
              </w:tc>
            </w:tr>
            <w:tr w14:paraId="43DBA4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8" w:type="dxa"/>
                  <w:tcBorders>
                    <w:tl2br w:val="nil"/>
                    <w:tr2bl w:val="nil"/>
                  </w:tcBorders>
                  <w:vAlign w:val="center"/>
                </w:tcPr>
                <w:p w14:paraId="0E6664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临时工程</w:t>
                  </w:r>
                </w:p>
              </w:tc>
              <w:tc>
                <w:tcPr>
                  <w:tcW w:w="2850" w:type="dxa"/>
                  <w:tcBorders>
                    <w:tl2br w:val="nil"/>
                    <w:tr2bl w:val="nil"/>
                  </w:tcBorders>
                  <w:vAlign w:val="center"/>
                </w:tcPr>
                <w:p w14:paraId="1ABB90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开挖、压占</w:t>
                  </w:r>
                  <w:r>
                    <w:rPr>
                      <w:rFonts w:hint="eastAsia" w:ascii="Times New Roman" w:hAnsi="Times New Roman" w:cs="Times New Roman"/>
                      <w:b w:val="0"/>
                      <w:bCs w:val="0"/>
                      <w:sz w:val="18"/>
                      <w:szCs w:val="18"/>
                      <w:vertAlign w:val="baseline"/>
                      <w:lang w:val="en-US" w:eastAsia="zh-CN"/>
                    </w:rPr>
                    <w:t>、扰动</w:t>
                  </w:r>
                </w:p>
              </w:tc>
              <w:tc>
                <w:tcPr>
                  <w:tcW w:w="1580" w:type="dxa"/>
                  <w:tcBorders>
                    <w:tl2br w:val="nil"/>
                    <w:tr2bl w:val="nil"/>
                  </w:tcBorders>
                  <w:vAlign w:val="center"/>
                </w:tcPr>
                <w:p w14:paraId="2B6055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施工范围及周边</w:t>
                  </w:r>
                </w:p>
              </w:tc>
              <w:tc>
                <w:tcPr>
                  <w:tcW w:w="2247" w:type="dxa"/>
                  <w:tcBorders>
                    <w:tl2br w:val="nil"/>
                    <w:tr2bl w:val="nil"/>
                  </w:tcBorders>
                  <w:vAlign w:val="center"/>
                </w:tcPr>
                <w:p w14:paraId="7C500B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生物量可以恢复，用地类型可能改变，水土流失</w:t>
                  </w:r>
                </w:p>
              </w:tc>
            </w:tr>
          </w:tbl>
          <w:p w14:paraId="143269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）对土地</w:t>
            </w:r>
            <w:r>
              <w:rPr>
                <w:rFonts w:hint="eastAsia" w:cs="Times New Roman"/>
                <w:sz w:val="24"/>
                <w:szCs w:val="24"/>
                <w:lang w:val="en-US" w:eastAsia="zh-CN"/>
              </w:rPr>
              <w:t>资源的影响分析</w:t>
            </w:r>
          </w:p>
          <w:p w14:paraId="10E30B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eastAsia" w:cs="Times New Roman"/>
                <w:sz w:val="24"/>
                <w:szCs w:val="24"/>
                <w:lang w:val="en-US" w:eastAsia="zh-CN"/>
              </w:rPr>
              <w:t>本工程对沿线土地利用的影响主要为永久性占地造成的影响。项目位于新平产业园区钢城片区，永久占地面积</w:t>
            </w:r>
            <w:r>
              <w:rPr>
                <w:rFonts w:hint="eastAsia"/>
                <w:sz w:val="24"/>
                <w:szCs w:val="24"/>
                <w:lang w:val="en-US" w:eastAsia="zh-CN"/>
              </w:rPr>
              <w:t>330.05亩</w:t>
            </w:r>
            <w:r>
              <w:rPr>
                <w:rFonts w:hint="eastAsia" w:cs="Times New Roman"/>
                <w:sz w:val="24"/>
                <w:szCs w:val="24"/>
                <w:lang w:val="en-US" w:eastAsia="zh-CN"/>
              </w:rPr>
              <w:t>，永久性占地将在站场使用期内改变土地利用方式，其土地利用功能发生了永久的、不可逆转的变化。项目建设对土地的永久占用，将使被占地范围内的土壤理化性质发生改变，破坏原来宜农、宜林土壤结构及肥力，导致该范围内的土壤不能作为种植土壤。永久占地将使沿线土地利用格局发生改变，但工程征地范围外的用地基本不受影响，可继续保持其土地利用功能，因此该影响不明显。临时占地通过后期进行植被恢复，对生态环境影响较小。</w:t>
            </w:r>
          </w:p>
          <w:p w14:paraId="19F34C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对植被的影响分析</w:t>
            </w:r>
          </w:p>
          <w:p w14:paraId="29C4DC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施工期植被破坏主要是永久占地和临时占地植被破坏以及施工扬尘对植被的影响。</w:t>
            </w:r>
          </w:p>
          <w:p w14:paraId="692353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①永久占地对植被的影响</w:t>
            </w:r>
          </w:p>
          <w:p w14:paraId="5C1DC9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施工期拟建铁路工程路基施工永久占地使土体结构几乎完全改变，地表植被全部遭到毁灭性破坏。从沿线植被的分布和工程用地情况分析，施工区域植被系统类型单一，植被覆盖率相对较低。工程影响范围内未发现国家或地方重点保护的野生植物。从工程建设的条带状特点看，由于植被损失面积占沿线地区同一植被类型面积的比例极小，故工程占地对沿线植被资源数量影响不大，仅是造成沿线植被的生物量略有减少，不会导致评价区植物群落的改变，对于生物多样性的影响很小，也不会从根本上改变某种植物的遗传结构、空间分布格局和种群更新。在施工后期及运营期的植被恢复过程中，应以乡土植物为主，慎重引进外来绿化物种，避免因引进新物种而产生外来物种入侵现象。根据对既有铁路的现场调查，区域尽管生态环境较为恶劣，但铁路所种植植被经过初期的养护后，均可正常生长，因此，项目采取的植物措施是必要且可行的，评价要求项目对种植的植物在初期重视养管，确保植被种植效果。采取这些措施对当地植被的</w:t>
            </w:r>
            <w:r>
              <w:rPr>
                <w:rFonts w:hint="eastAsia" w:ascii="Times New Roman" w:hAnsi="Times New Roman" w:eastAsia="宋体" w:cs="Times New Roman"/>
                <w:sz w:val="24"/>
                <w:szCs w:val="24"/>
                <w:lang w:val="en-US" w:eastAsia="zh-CN"/>
              </w:rPr>
              <w:t>繁衍</w:t>
            </w:r>
            <w:r>
              <w:rPr>
                <w:rFonts w:hint="default" w:ascii="Times New Roman" w:hAnsi="Times New Roman" w:eastAsia="宋体" w:cs="Times New Roman"/>
                <w:sz w:val="24"/>
                <w:szCs w:val="24"/>
                <w:lang w:val="en-US" w:eastAsia="zh-CN"/>
              </w:rPr>
              <w:t>、提高植被覆盖度、改善局部小气候起到很大作用，还可以改善植被覆盖地段地上、地下的生态环境条件，</w:t>
            </w:r>
            <w:r>
              <w:rPr>
                <w:rFonts w:hint="eastAsia" w:cs="Times New Roman"/>
                <w:sz w:val="24"/>
                <w:szCs w:val="24"/>
                <w:lang w:val="en-US" w:eastAsia="zh-CN"/>
              </w:rPr>
              <w:t>有利于多种生物的活动和繁衍，增加有机质含量，从而促进土壤形成。人工植被通过演替能够形成适应当地环境的相对稳定的生态系统，环境向良性发展，可大大降低了工程对植物资源影响的负面效应，所在区域造成的植被生物量损失将得到补偿，对植被生态环境影响是可以承受的。</w:t>
            </w:r>
          </w:p>
          <w:p w14:paraId="274C8C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②临时占地对植被的影响</w:t>
            </w:r>
          </w:p>
          <w:p w14:paraId="365024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施工便道等施工临时占地范围内植被将遭到严重破坏，原有植被成分基本消失，植物的根系也受到彻底破坏；挖掘施工中各种机械、车辆和人员活动的碾压、践踏以及挖出土的堆放，造成植被的破坏较为严重，特别是灌木层和草本层的破坏明显，其对环境的抵抗能力下降。同时，施工机械、人员践踏、活动也会使施工区及周围灌木和草本植物受到不同程度的影响，由于机械、车辆、人员活动较少，对植被的破坏程度相对较轻。按照生态学理论，临时占地造成的植被破坏具有暂时性，一般随施工结束而终止。项目施工结束后可以通过植被恢复降低影响，待植被恢复稳定后，影响可逐渐消失，因此项目临时占地对植被破坏影响时段较短，是可以恢复的。</w:t>
            </w:r>
          </w:p>
          <w:p w14:paraId="2D0098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cs="Times New Roman"/>
                <w:sz w:val="24"/>
                <w:szCs w:val="24"/>
                <w:lang w:val="en-US" w:eastAsia="zh-CN"/>
              </w:rPr>
              <w:t>③</w:t>
            </w:r>
            <w:r>
              <w:rPr>
                <w:rFonts w:hint="eastAsia" w:cs="Times New Roman"/>
                <w:sz w:val="24"/>
                <w:szCs w:val="24"/>
                <w:lang w:val="en-US" w:eastAsia="zh-CN"/>
              </w:rPr>
              <w:t>施工扬尘对植被的影响</w:t>
            </w:r>
          </w:p>
          <w:p w14:paraId="7795D7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default" w:cs="Times New Roman"/>
                <w:sz w:val="24"/>
                <w:szCs w:val="24"/>
                <w:lang w:val="en-US" w:eastAsia="zh-CN"/>
              </w:rPr>
              <w:t>沉降在植物表面会对植被的光合作用和呼吸作用产生影响。但由于当地大风天气较多，灰尘长期附着在植物叶面的情况发生较少，且当地植物为耐风沙型植物物种，对灰尘影响具有较强的抗性，且这种影响也是暂时的，将随着施工结束而消失。因此，要采取有效措施，使其对环境的不利影响减小到尽可能小的程度。</w:t>
            </w:r>
          </w:p>
          <w:p w14:paraId="47A7CD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default" w:cs="Times New Roman"/>
                <w:sz w:val="24"/>
                <w:szCs w:val="24"/>
                <w:lang w:val="en-US" w:eastAsia="zh-CN"/>
              </w:rPr>
              <w:t>④生物量损失分析</w:t>
            </w:r>
          </w:p>
          <w:p w14:paraId="3EE0EC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default" w:cs="Times New Roman"/>
                <w:sz w:val="24"/>
                <w:szCs w:val="24"/>
                <w:lang w:val="en-US" w:eastAsia="zh-CN"/>
              </w:rPr>
              <w:t>工程建设涉及到各类土地占用等因素，必将对沿途范围内的生物生产力造成一定的影响。对本工程所经区域来说，施工场地的临时用地和工程建设的永久占地造成的生物生产力损失也不同。临时用地仅造成生物生产力暂时性损失，若施工结束后植被能够得到有效的生长条件，则其生产力在一定时期后即可得到恢复，而永久占地的生物生产力损失则是永久性不可逆的。</w:t>
            </w:r>
          </w:p>
          <w:p w14:paraId="5BA768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对动物的影响分析</w:t>
            </w:r>
          </w:p>
          <w:p w14:paraId="643CA9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的活动和机械噪声等将对施工区及一定范围内野生动物的活动和栖息产生一定影响，但因这种影响只是引起野生动物暂时的、局部的迁移，待施工结束后这种影响亦结束。施工期区域内自然植被的破坏会使一些野生动物失去部分觅食地、栖息场所和活动区域，不过由于铁路工程线性分布的特点，植被破坏呈</w:t>
            </w:r>
            <w:r>
              <w:rPr>
                <w:rFonts w:hint="eastAsia" w:cs="Times New Roman"/>
                <w:sz w:val="24"/>
                <w:szCs w:val="24"/>
                <w:lang w:val="en-US" w:eastAsia="zh-CN"/>
              </w:rPr>
              <w:t>一个</w:t>
            </w:r>
            <w:r>
              <w:rPr>
                <w:rFonts w:hint="eastAsia" w:ascii="Times New Roman" w:hAnsi="Times New Roman" w:eastAsia="宋体" w:cs="Times New Roman"/>
                <w:sz w:val="24"/>
                <w:szCs w:val="24"/>
                <w:lang w:val="en-US" w:eastAsia="zh-CN"/>
              </w:rPr>
              <w:t>非常窄的狭长型区域，对野生动物的生存环境只会产生轻微的影响。此外，施工过程中，人为干扰如施工人员滥捕乱猎等现象的出现，价格直接影响到这一地区的某种野生动物种群数量，如野兔、野鸡等。这种影响可以通过对施工人员的宣传教育和管理来消除。</w:t>
            </w:r>
          </w:p>
          <w:p w14:paraId="350019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总之，项目的建设不会使铁路沿线所经地区野生动物物种数发生变化，其种群数量也不会发生变化，且铁路沿线所经地区野生动物种类较少，缺少大型野生哺乳动物，现有的野生动物多为一些常见的鸟类、啮齿类及昆虫等。沿线野生动物数量很少、偶尔才可见到，通过加强对施工人员的管理，不会对其造成影响。且在该区域内未发现较为珍稀的野生动物，也无珍稀鸟类栖息活动。因此，施工期对野生动物的影响很小。</w:t>
            </w:r>
          </w:p>
          <w:p w14:paraId="623A38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（4）工程对生态系统的影响分析</w:t>
            </w:r>
          </w:p>
          <w:p w14:paraId="74B933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1）对区域生态系统影响方式</w:t>
            </w:r>
          </w:p>
          <w:p w14:paraId="138923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铁路建设对沿线生态系统的影响包括永久性影响和暂时性影响。永久性影响来自永久性用地及部分临时用地（主要为不合理施工造成的不可逆影响），永久性用地是指路基占地；暂时性可通过科学的生态措施和有效的管理使其降低，而永久性占地的影响是不可逆的。铁路建设对环境的污染影响主要集中在路两侧1km范围内，对生态系统最直接的破坏为道路两侧50m范围内，即永久性占地部分。</w:t>
            </w:r>
          </w:p>
          <w:p w14:paraId="3F3DA0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2）对区域生态效能的影响分析</w:t>
            </w:r>
          </w:p>
          <w:p w14:paraId="01A800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施工将使占用范围内的土壤、植被遭到破坏，地表裸露，局部蒸发量加大，土壤理化性质和土壤结构改变，局部形成水土流失，占地范围内森林生态防护效能暂时丧失，减弱局部小区域内林地的生态效能。但由于铁路为线形工程，且占用林地面积较小，整体上不会对该区域生态功能造成很大影响。项目建设过程中，建设单位将实行严格的环境保护工程措施，减少对项目区周边区域植被和林木的干扰和影响，同时对铁路沿线区间路基两侧采取栽植灌木进行植被恢复措施。因此工程建设对区域林地生态效能所产生的影响也很小。工程占用林地和草地将降低保护区的植被覆盖率，局部地表裸露，易形成新的水土流失，近而引起局地沙化现象。但由于铁路建设为线性工程，工程建设占用土地面积较少，因此不会对区域林业生态系统和草地生态系统造成大的影响。</w:t>
            </w:r>
          </w:p>
          <w:p w14:paraId="1FADC8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3）对区域生态系统功能结构完整性的影响分析</w:t>
            </w:r>
          </w:p>
          <w:p w14:paraId="3BAB5D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工程占地面积较小，线性分布在区域范围内，在项目建设运营过程中严格落实各项环保措施，项目建设不会对区域生态功能结构完整性产生影响。</w:t>
            </w:r>
          </w:p>
          <w:p w14:paraId="69CA9A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（5）水土流失影响分析</w:t>
            </w:r>
          </w:p>
          <w:p w14:paraId="74B2B5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本项目施工期间由于地表开挖裸露，极易造成严重的冲沟侵蚀。临时存放在施工场地的软土堆体易受到雨水冲刷而形成水土流失。项目</w:t>
            </w:r>
            <w:r>
              <w:rPr>
                <w:rFonts w:hint="eastAsia" w:cs="Times New Roman"/>
                <w:sz w:val="24"/>
                <w:szCs w:val="24"/>
                <w:lang w:val="en-US" w:eastAsia="zh-CN"/>
              </w:rPr>
              <w:t>开挖土石方量全部用于回填</w:t>
            </w:r>
            <w:r>
              <w:rPr>
                <w:rFonts w:hint="eastAsia" w:ascii="Times New Roman" w:hAnsi="Times New Roman" w:cs="Times New Roman"/>
                <w:sz w:val="24"/>
                <w:szCs w:val="24"/>
                <w:lang w:val="en-US" w:eastAsia="zh-CN"/>
              </w:rPr>
              <w:t>，不设弃渣场；</w:t>
            </w:r>
            <w:r>
              <w:rPr>
                <w:rFonts w:hint="default" w:ascii="Times New Roman" w:hAnsi="Times New Roman" w:eastAsia="宋体" w:cs="Times New Roman"/>
                <w:color w:val="auto"/>
                <w:kern w:val="2"/>
                <w:sz w:val="24"/>
                <w:szCs w:val="24"/>
                <w:highlight w:val="none"/>
                <w:lang w:val="en-US" w:eastAsia="zh-CN" w:bidi="ar-SA"/>
              </w:rPr>
              <w:t>工程建设中要严格执行和加强各种水土流失防治措施，若不采取积极有效的水土流失防治措施，必将造成大量的水土流失，对铁路安全运营将带来不利影响，还会导致区域生态环境的恶化。</w:t>
            </w:r>
          </w:p>
          <w:p w14:paraId="428D93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（6）路基、站场工程影响</w:t>
            </w:r>
          </w:p>
          <w:p w14:paraId="50EDAF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站场等主体工程将占用土地，破坏地表植被等，路基坡面和站场地面开挖将改变、压埋或损坏原有植被、地貌，改变原有土地的使用功能，使铁路征地范围内的表层土裸露或形成松散堆积体，失去原有植被的防冲、固土能力。边坡开挖及土石方工程还易产生水土流失，在部分地段形成了高陡、不稳定的人工开挖边坡，这些边坡改变了原坡面结构，降低了边坡稳定性，若不加以防护，容易产生冲刷现象，增加新的水土流失，甚至还可能致使边坡失稳产生崩塌、滑坡。本线路基、站场土石方工程挖方大于填方，除部分利用外，一些挖方将作为弃方，该部分弃方如处置不当，将有可能造成严重的水土流失，或形成泥石流等地质灾害。</w:t>
            </w:r>
          </w:p>
          <w:p w14:paraId="31F7C11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施工期</w:t>
            </w:r>
            <w:r>
              <w:rPr>
                <w:rFonts w:hint="eastAsia" w:ascii="Times New Roman" w:hAnsi="Times New Roman" w:cs="Times New Roman"/>
                <w:b/>
                <w:bCs/>
                <w:sz w:val="24"/>
                <w:szCs w:val="24"/>
                <w:lang w:val="en-US" w:eastAsia="zh-CN"/>
              </w:rPr>
              <w:t>大气</w:t>
            </w:r>
            <w:r>
              <w:rPr>
                <w:rFonts w:hint="default" w:ascii="Times New Roman" w:hAnsi="Times New Roman" w:eastAsia="宋体" w:cs="Times New Roman"/>
                <w:b/>
                <w:bCs/>
                <w:sz w:val="24"/>
                <w:szCs w:val="24"/>
                <w:lang w:val="en-US" w:eastAsia="zh-CN"/>
              </w:rPr>
              <w:t>环境影响分析</w:t>
            </w:r>
          </w:p>
          <w:p w14:paraId="402798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施工期产生的大气污染源主要为项目沿线施工区域的施工扬尘、施工设备和运输车辆的燃油废气，砼构件预制场、钢混结合梁拼装场、材料</w:t>
            </w:r>
            <w:r>
              <w:rPr>
                <w:rFonts w:hint="eastAsia" w:cs="Times New Roman"/>
                <w:sz w:val="24"/>
                <w:szCs w:val="24"/>
                <w:lang w:val="en-US" w:eastAsia="zh-CN"/>
              </w:rPr>
              <w:t>堆场</w:t>
            </w:r>
            <w:r>
              <w:rPr>
                <w:rFonts w:hint="eastAsia" w:ascii="Times New Roman" w:hAnsi="Times New Roman" w:eastAsia="宋体" w:cs="Times New Roman"/>
                <w:sz w:val="24"/>
                <w:szCs w:val="24"/>
                <w:lang w:val="en-US" w:eastAsia="zh-CN"/>
              </w:rPr>
              <w:t>废气，钢筋加工场废气</w:t>
            </w:r>
          </w:p>
          <w:p w14:paraId="0317F9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此外，运输及一些动力设备运行时产生的燃油烟气对环境也有一定的影响。工地内设指挥部，施工人员不在建设工地内食宿，无生活废气产生。</w:t>
            </w:r>
          </w:p>
          <w:p w14:paraId="2CFB708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施工扬尘影响分析</w:t>
            </w:r>
          </w:p>
          <w:p w14:paraId="034CD1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对整个施工期而言，施工产生的扬尘主要集中在地基开挖阶段及土建施工阶段，按起尘的原因可分为风力起尘和动力起尘，主要产生于地基开挖过程、建材的装卸、堆放</w:t>
            </w:r>
            <w:r>
              <w:rPr>
                <w:rFonts w:hint="eastAsia" w:cs="Times New Roman"/>
                <w:sz w:val="24"/>
                <w:szCs w:val="24"/>
                <w:lang w:val="en-US" w:eastAsia="zh-CN"/>
              </w:rPr>
              <w:t>以及</w:t>
            </w:r>
            <w:r>
              <w:rPr>
                <w:rFonts w:hint="eastAsia" w:ascii="Times New Roman" w:hAnsi="Times New Roman" w:cs="Times New Roman"/>
                <w:sz w:val="24"/>
                <w:szCs w:val="24"/>
                <w:lang w:val="en-US" w:eastAsia="zh-CN"/>
              </w:rPr>
              <w:t>线路建设等过程中，由于外力而产生的尘粒再悬浮而造成的。</w:t>
            </w:r>
          </w:p>
          <w:p w14:paraId="16EFDC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）施工场地扬尘</w:t>
            </w:r>
          </w:p>
          <w:p w14:paraId="4FD374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在建设施工中会产生扬尘，呈无组织排放，散落在施工场地和周围地表。施工场地扬尘主要为地基开挖和裸露场地的风力扬尘。由于施工的需要，一些建材需露天堆放；项目地基的开挖过程及施工点区域施工时将造成大面积地表裸露，在气候干燥又有风的情况下，会产生扬尘，同时土方清运过程也会扬起少量扬尘，在施工场地采取洒水、遮盖、围挡等措施后产生的扬尘对</w:t>
            </w:r>
            <w:r>
              <w:rPr>
                <w:rFonts w:hint="eastAsia" w:cs="Times New Roman"/>
                <w:sz w:val="24"/>
                <w:szCs w:val="24"/>
                <w:lang w:val="en-US" w:eastAsia="zh-CN"/>
              </w:rPr>
              <w:t>周边大气环境</w:t>
            </w:r>
            <w:r>
              <w:rPr>
                <w:rFonts w:hint="eastAsia" w:ascii="Times New Roman" w:hAnsi="Times New Roman" w:cs="Times New Roman"/>
                <w:sz w:val="24"/>
                <w:szCs w:val="24"/>
                <w:lang w:val="en-US" w:eastAsia="zh-CN"/>
              </w:rPr>
              <w:t>影响不大。</w:t>
            </w:r>
          </w:p>
          <w:p w14:paraId="4FC108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（2）车辆行驶的动力起尘</w:t>
            </w:r>
          </w:p>
          <w:p w14:paraId="2CCABC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据有关文献，车辆</w:t>
            </w:r>
            <w:r>
              <w:rPr>
                <w:rFonts w:hint="default" w:ascii="Times New Roman" w:hAnsi="Times New Roman" w:cs="Times New Roman"/>
                <w:sz w:val="24"/>
                <w:szCs w:val="24"/>
                <w:lang w:val="en-US" w:eastAsia="zh-CN"/>
              </w:rPr>
              <w:t>行驶产生的扬尘占总扬尘的60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以上，车辆行驶产生的扬尘，在完全干燥情况下，可按下列经验公式计算：</w:t>
            </w:r>
          </w:p>
          <w:p w14:paraId="498AC5C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Q＝0.123×（V/5）×（W/6.8）×0.85×（P/0.5）×0.75</w:t>
            </w:r>
          </w:p>
          <w:p w14:paraId="411949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式中：Q——汽车行驶时的扬尘，kg/km•辆；</w:t>
            </w:r>
          </w:p>
          <w:p w14:paraId="495C30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V——汽车速度，km/h；</w:t>
            </w:r>
          </w:p>
          <w:p w14:paraId="12241F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w:t>
            </w:r>
            <w:r>
              <w:rPr>
                <w:rFonts w:hint="eastAsia" w:ascii="Times New Roman" w:hAnsi="Times New Roman" w:cs="Times New Roman"/>
                <w:sz w:val="24"/>
                <w:szCs w:val="24"/>
                <w:lang w:val="en-US" w:eastAsia="zh-CN"/>
              </w:rPr>
              <w:t>——汽车载重量，吨；</w:t>
            </w:r>
          </w:p>
          <w:p w14:paraId="0B06C1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w:t>
            </w:r>
            <w:r>
              <w:rPr>
                <w:rFonts w:hint="eastAsia" w:ascii="Times New Roman" w:hAnsi="Times New Roman" w:cs="Times New Roman"/>
                <w:sz w:val="24"/>
                <w:szCs w:val="24"/>
                <w:lang w:val="en-US" w:eastAsia="zh-CN"/>
              </w:rPr>
              <w:t>——道路表面粉尘量，</w:t>
            </w:r>
            <w:r>
              <w:rPr>
                <w:rFonts w:hint="default" w:ascii="Times New Roman" w:hAnsi="Times New Roman" w:cs="Times New Roman"/>
                <w:sz w:val="24"/>
                <w:szCs w:val="24"/>
                <w:lang w:val="en-US" w:eastAsia="zh-CN"/>
              </w:rPr>
              <w:t>kg/m</w:t>
            </w:r>
            <w:r>
              <w:rPr>
                <w:rFonts w:hint="default"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w:t>
            </w:r>
          </w:p>
          <w:p w14:paraId="2BBC3B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下表中为</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吨卡车通过一段长度为</w:t>
            </w:r>
            <w:r>
              <w:rPr>
                <w:rFonts w:hint="default" w:ascii="Times New Roman" w:hAnsi="Times New Roman" w:cs="Times New Roman"/>
                <w:sz w:val="24"/>
                <w:szCs w:val="24"/>
                <w:lang w:val="en-US" w:eastAsia="zh-CN"/>
              </w:rPr>
              <w:t>1km</w:t>
            </w:r>
            <w:r>
              <w:rPr>
                <w:rFonts w:hint="eastAsia" w:ascii="Times New Roman" w:hAnsi="Times New Roman" w:cs="Times New Roman"/>
                <w:sz w:val="24"/>
                <w:szCs w:val="24"/>
                <w:lang w:val="en-US" w:eastAsia="zh-CN"/>
              </w:rPr>
              <w:t>的路面时，不同路面清洁程度，不同行驶情况下的扬尘量。</w:t>
            </w:r>
          </w:p>
          <w:p w14:paraId="6A39AA8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表4-2   在不同车速和地面清洁程度的汽车扬尘</w:t>
            </w:r>
          </w:p>
          <w:tbl>
            <w:tblPr>
              <w:tblStyle w:val="23"/>
              <w:tblW w:w="78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126"/>
              <w:gridCol w:w="1126"/>
              <w:gridCol w:w="1126"/>
              <w:gridCol w:w="1127"/>
              <w:gridCol w:w="1127"/>
              <w:gridCol w:w="1127"/>
            </w:tblGrid>
            <w:tr w14:paraId="1FF6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left w:val="nil"/>
                    <w:tl2br w:val="single" w:color="auto" w:sz="4" w:space="0"/>
                  </w:tcBorders>
                  <w:vAlign w:val="center"/>
                </w:tcPr>
                <w:p w14:paraId="6640CA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P</w:t>
                  </w:r>
                </w:p>
                <w:p w14:paraId="3161A1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车速</w:t>
                  </w:r>
                </w:p>
              </w:tc>
              <w:tc>
                <w:tcPr>
                  <w:tcW w:w="1126" w:type="dxa"/>
                  <w:vAlign w:val="center"/>
                </w:tcPr>
                <w:p w14:paraId="133212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w:t>
                  </w:r>
                </w:p>
              </w:tc>
              <w:tc>
                <w:tcPr>
                  <w:tcW w:w="1126" w:type="dxa"/>
                  <w:vAlign w:val="center"/>
                </w:tcPr>
                <w:p w14:paraId="55EAEE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w:t>
                  </w:r>
                </w:p>
              </w:tc>
              <w:tc>
                <w:tcPr>
                  <w:tcW w:w="1126" w:type="dxa"/>
                  <w:vAlign w:val="center"/>
                </w:tcPr>
                <w:p w14:paraId="0A28A3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0.3</w:t>
                  </w:r>
                </w:p>
              </w:tc>
              <w:tc>
                <w:tcPr>
                  <w:tcW w:w="1127" w:type="dxa"/>
                  <w:vAlign w:val="center"/>
                </w:tcPr>
                <w:p w14:paraId="15C66B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0.4</w:t>
                  </w:r>
                </w:p>
              </w:tc>
              <w:tc>
                <w:tcPr>
                  <w:tcW w:w="1127" w:type="dxa"/>
                  <w:vAlign w:val="center"/>
                </w:tcPr>
                <w:p w14:paraId="2605A8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0.5</w:t>
                  </w:r>
                </w:p>
              </w:tc>
              <w:tc>
                <w:tcPr>
                  <w:tcW w:w="1127" w:type="dxa"/>
                  <w:tcBorders>
                    <w:right w:val="nil"/>
                  </w:tcBorders>
                  <w:vAlign w:val="center"/>
                </w:tcPr>
                <w:p w14:paraId="1D3AC0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r>
            <w:tr w14:paraId="359B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left w:val="nil"/>
                  </w:tcBorders>
                  <w:vAlign w:val="center"/>
                </w:tcPr>
                <w:p w14:paraId="736839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5（km/h）</w:t>
                  </w:r>
                </w:p>
              </w:tc>
              <w:tc>
                <w:tcPr>
                  <w:tcW w:w="1126" w:type="dxa"/>
                  <w:vAlign w:val="center"/>
                </w:tcPr>
                <w:p w14:paraId="545BC9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0.051</w:t>
                  </w:r>
                </w:p>
              </w:tc>
              <w:tc>
                <w:tcPr>
                  <w:tcW w:w="1126" w:type="dxa"/>
                  <w:vAlign w:val="center"/>
                </w:tcPr>
                <w:p w14:paraId="258AD8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0.086</w:t>
                  </w:r>
                </w:p>
              </w:tc>
              <w:tc>
                <w:tcPr>
                  <w:tcW w:w="1126" w:type="dxa"/>
                  <w:vAlign w:val="center"/>
                </w:tcPr>
                <w:p w14:paraId="1D3215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0.116</w:t>
                  </w:r>
                </w:p>
              </w:tc>
              <w:tc>
                <w:tcPr>
                  <w:tcW w:w="1127" w:type="dxa"/>
                  <w:vAlign w:val="center"/>
                </w:tcPr>
                <w:p w14:paraId="2686A2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0.144</w:t>
                  </w:r>
                </w:p>
              </w:tc>
              <w:tc>
                <w:tcPr>
                  <w:tcW w:w="1127" w:type="dxa"/>
                  <w:vAlign w:val="center"/>
                </w:tcPr>
                <w:p w14:paraId="06A753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0.171</w:t>
                  </w:r>
                </w:p>
              </w:tc>
              <w:tc>
                <w:tcPr>
                  <w:tcW w:w="1127" w:type="dxa"/>
                  <w:tcBorders>
                    <w:right w:val="nil"/>
                  </w:tcBorders>
                  <w:vAlign w:val="center"/>
                </w:tcPr>
                <w:p w14:paraId="752A92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0.287</w:t>
                  </w:r>
                </w:p>
              </w:tc>
            </w:tr>
            <w:tr w14:paraId="6677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left w:val="nil"/>
                  </w:tcBorders>
                  <w:vAlign w:val="center"/>
                </w:tcPr>
                <w:p w14:paraId="7BBC11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10（km/h）</w:t>
                  </w:r>
                </w:p>
              </w:tc>
              <w:tc>
                <w:tcPr>
                  <w:tcW w:w="1126" w:type="dxa"/>
                  <w:vAlign w:val="center"/>
                </w:tcPr>
                <w:p w14:paraId="6EB167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0.102</w:t>
                  </w:r>
                </w:p>
              </w:tc>
              <w:tc>
                <w:tcPr>
                  <w:tcW w:w="1126" w:type="dxa"/>
                  <w:vAlign w:val="center"/>
                </w:tcPr>
                <w:p w14:paraId="2D0A79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0.171</w:t>
                  </w:r>
                </w:p>
              </w:tc>
              <w:tc>
                <w:tcPr>
                  <w:tcW w:w="1126" w:type="dxa"/>
                  <w:vAlign w:val="center"/>
                </w:tcPr>
                <w:p w14:paraId="7D1680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0.232</w:t>
                  </w:r>
                </w:p>
              </w:tc>
              <w:tc>
                <w:tcPr>
                  <w:tcW w:w="1127" w:type="dxa"/>
                  <w:vAlign w:val="center"/>
                </w:tcPr>
                <w:p w14:paraId="0F3FC5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0.289</w:t>
                  </w:r>
                </w:p>
              </w:tc>
              <w:tc>
                <w:tcPr>
                  <w:tcW w:w="1127" w:type="dxa"/>
                  <w:vAlign w:val="center"/>
                </w:tcPr>
                <w:p w14:paraId="0ED6CA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0.341</w:t>
                  </w:r>
                </w:p>
              </w:tc>
              <w:tc>
                <w:tcPr>
                  <w:tcW w:w="1127" w:type="dxa"/>
                  <w:tcBorders>
                    <w:right w:val="nil"/>
                  </w:tcBorders>
                  <w:vAlign w:val="center"/>
                </w:tcPr>
                <w:p w14:paraId="702450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0.574</w:t>
                  </w:r>
                </w:p>
              </w:tc>
            </w:tr>
            <w:tr w14:paraId="284D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left w:val="nil"/>
                  </w:tcBorders>
                  <w:vAlign w:val="center"/>
                </w:tcPr>
                <w:p w14:paraId="4CF6C2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15（km/h）</w:t>
                  </w:r>
                </w:p>
              </w:tc>
              <w:tc>
                <w:tcPr>
                  <w:tcW w:w="1126" w:type="dxa"/>
                  <w:vAlign w:val="center"/>
                </w:tcPr>
                <w:p w14:paraId="401697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0.153</w:t>
                  </w:r>
                </w:p>
              </w:tc>
              <w:tc>
                <w:tcPr>
                  <w:tcW w:w="1126" w:type="dxa"/>
                  <w:vAlign w:val="center"/>
                </w:tcPr>
                <w:p w14:paraId="34EDE0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0.257</w:t>
                  </w:r>
                </w:p>
              </w:tc>
              <w:tc>
                <w:tcPr>
                  <w:tcW w:w="1126" w:type="dxa"/>
                  <w:vAlign w:val="center"/>
                </w:tcPr>
                <w:p w14:paraId="246815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0.249</w:t>
                  </w:r>
                </w:p>
              </w:tc>
              <w:tc>
                <w:tcPr>
                  <w:tcW w:w="1127" w:type="dxa"/>
                  <w:vAlign w:val="center"/>
                </w:tcPr>
                <w:p w14:paraId="2DE12D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0.433</w:t>
                  </w:r>
                </w:p>
              </w:tc>
              <w:tc>
                <w:tcPr>
                  <w:tcW w:w="1127" w:type="dxa"/>
                  <w:vAlign w:val="center"/>
                </w:tcPr>
                <w:p w14:paraId="449975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0.512</w:t>
                  </w:r>
                </w:p>
              </w:tc>
              <w:tc>
                <w:tcPr>
                  <w:tcW w:w="1127" w:type="dxa"/>
                  <w:tcBorders>
                    <w:right w:val="nil"/>
                  </w:tcBorders>
                  <w:vAlign w:val="center"/>
                </w:tcPr>
                <w:p w14:paraId="2C7765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0.861</w:t>
                  </w:r>
                </w:p>
              </w:tc>
            </w:tr>
            <w:tr w14:paraId="2491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left w:val="nil"/>
                  </w:tcBorders>
                  <w:vAlign w:val="center"/>
                </w:tcPr>
                <w:p w14:paraId="25B59F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20（km/h）</w:t>
                  </w:r>
                </w:p>
              </w:tc>
              <w:tc>
                <w:tcPr>
                  <w:tcW w:w="1126" w:type="dxa"/>
                  <w:vAlign w:val="center"/>
                </w:tcPr>
                <w:p w14:paraId="128A6F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0.255</w:t>
                  </w:r>
                </w:p>
              </w:tc>
              <w:tc>
                <w:tcPr>
                  <w:tcW w:w="1126" w:type="dxa"/>
                  <w:vAlign w:val="center"/>
                </w:tcPr>
                <w:p w14:paraId="2CD75D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0.429</w:t>
                  </w:r>
                </w:p>
              </w:tc>
              <w:tc>
                <w:tcPr>
                  <w:tcW w:w="1126" w:type="dxa"/>
                  <w:vAlign w:val="center"/>
                </w:tcPr>
                <w:p w14:paraId="3F181B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0.582</w:t>
                  </w:r>
                </w:p>
              </w:tc>
              <w:tc>
                <w:tcPr>
                  <w:tcW w:w="1127" w:type="dxa"/>
                  <w:vAlign w:val="center"/>
                </w:tcPr>
                <w:p w14:paraId="4F5062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0.722</w:t>
                  </w:r>
                </w:p>
              </w:tc>
              <w:tc>
                <w:tcPr>
                  <w:tcW w:w="1127" w:type="dxa"/>
                  <w:vAlign w:val="center"/>
                </w:tcPr>
                <w:p w14:paraId="1FABE3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0.853</w:t>
                  </w:r>
                </w:p>
              </w:tc>
              <w:tc>
                <w:tcPr>
                  <w:tcW w:w="1127" w:type="dxa"/>
                  <w:tcBorders>
                    <w:right w:val="nil"/>
                  </w:tcBorders>
                  <w:vAlign w:val="center"/>
                </w:tcPr>
                <w:p w14:paraId="59920C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1.435</w:t>
                  </w:r>
                </w:p>
              </w:tc>
            </w:tr>
          </w:tbl>
          <w:p w14:paraId="7EE40E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由上表可见，在同样路面清洁程度条件下，车速越快，扬尘量越大；而在同样车速情况下，路面越脏，则扬尘量越大。因此限速行驶及保持路面的清洁是减少汽车扬尘的有效办法。</w:t>
            </w:r>
          </w:p>
          <w:p w14:paraId="74425E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一般情况下，施工工地在自然风作用下产生的扬尘所影响的范围是</w:t>
            </w:r>
            <w:r>
              <w:rPr>
                <w:rFonts w:hint="default" w:ascii="Times New Roman" w:hAnsi="Times New Roman" w:cs="Times New Roman"/>
                <w:sz w:val="24"/>
                <w:szCs w:val="24"/>
                <w:lang w:val="en-US" w:eastAsia="zh-CN"/>
              </w:rPr>
              <w:t>100m</w:t>
            </w:r>
            <w:r>
              <w:rPr>
                <w:rFonts w:hint="eastAsia" w:ascii="Times New Roman" w:hAnsi="Times New Roman" w:cs="Times New Roman"/>
                <w:sz w:val="24"/>
                <w:szCs w:val="24"/>
                <w:lang w:val="en-US" w:eastAsia="zh-CN"/>
              </w:rPr>
              <w:t>以内。如果在施工期间对车辆行驶的路面实施洒水抑尘，可有效的防止扬尘的产生。项目</w:t>
            </w:r>
            <w:r>
              <w:rPr>
                <w:rFonts w:hint="default" w:ascii="Times New Roman" w:hAnsi="Times New Roman" w:cs="Times New Roman"/>
                <w:sz w:val="24"/>
                <w:szCs w:val="24"/>
                <w:lang w:val="en-US" w:eastAsia="zh-CN"/>
              </w:rPr>
              <w:t>100m</w:t>
            </w:r>
            <w:r>
              <w:rPr>
                <w:rFonts w:hint="eastAsia" w:ascii="Times New Roman" w:hAnsi="Times New Roman" w:cs="Times New Roman"/>
                <w:sz w:val="24"/>
                <w:szCs w:val="24"/>
                <w:lang w:val="en-US" w:eastAsia="zh-CN"/>
              </w:rPr>
              <w:t>范围内敏感点经过洒水降尘效果见表下所示。</w:t>
            </w:r>
          </w:p>
          <w:p w14:paraId="0C3D0E7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表4-3   施工场地洒水抑尘试验结果</w:t>
            </w:r>
          </w:p>
          <w:tbl>
            <w:tblPr>
              <w:tblStyle w:val="23"/>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14"/>
              <w:gridCol w:w="1314"/>
              <w:gridCol w:w="1314"/>
              <w:gridCol w:w="1314"/>
              <w:gridCol w:w="1315"/>
            </w:tblGrid>
            <w:tr w14:paraId="2A3D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tcBorders>
                    <w:left w:val="nil"/>
                  </w:tcBorders>
                  <w:vAlign w:val="center"/>
                </w:tcPr>
                <w:p w14:paraId="5EF99A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与施工工地距离</w:t>
                  </w:r>
                </w:p>
              </w:tc>
              <w:tc>
                <w:tcPr>
                  <w:tcW w:w="1314" w:type="dxa"/>
                  <w:vAlign w:val="center"/>
                </w:tcPr>
                <w:p w14:paraId="728E6E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314" w:type="dxa"/>
                  <w:vAlign w:val="center"/>
                </w:tcPr>
                <w:p w14:paraId="0174BB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20</w:t>
                  </w:r>
                </w:p>
              </w:tc>
              <w:tc>
                <w:tcPr>
                  <w:tcW w:w="1314" w:type="dxa"/>
                  <w:vAlign w:val="center"/>
                </w:tcPr>
                <w:p w14:paraId="408FC6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50</w:t>
                  </w:r>
                </w:p>
              </w:tc>
              <w:tc>
                <w:tcPr>
                  <w:tcW w:w="1315" w:type="dxa"/>
                  <w:tcBorders>
                    <w:right w:val="nil"/>
                  </w:tcBorders>
                  <w:vAlign w:val="center"/>
                </w:tcPr>
                <w:p w14:paraId="69C9E5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100</w:t>
                  </w:r>
                </w:p>
              </w:tc>
            </w:tr>
            <w:tr w14:paraId="014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14" w:type="dxa"/>
                  <w:vMerge w:val="restart"/>
                  <w:tcBorders>
                    <w:left w:val="nil"/>
                  </w:tcBorders>
                  <w:vAlign w:val="center"/>
                </w:tcPr>
                <w:p w14:paraId="2642087F">
                  <w:pPr>
                    <w:keepNext w:val="0"/>
                    <w:keepLines w:val="0"/>
                    <w:widowControl/>
                    <w:suppressLineNumbers w:val="0"/>
                    <w:ind w:left="0" w:leftChars="0" w:right="0" w:rightChars="0" w:firstLine="0" w:firstLineChars="0"/>
                    <w:jc w:val="center"/>
                    <w:rPr>
                      <w:rFonts w:hint="default" w:ascii="Times New Roman" w:hAnsi="Times New Roman" w:cs="Times New Roman"/>
                      <w:b w:val="0"/>
                      <w:bCs w:val="0"/>
                      <w:sz w:val="18"/>
                      <w:szCs w:val="18"/>
                      <w:vertAlign w:val="baseline"/>
                      <w:lang w:val="en-US" w:eastAsia="zh-CN"/>
                    </w:rPr>
                  </w:pPr>
                  <w:r>
                    <w:rPr>
                      <w:rFonts w:hint="default" w:ascii="Times New Roman" w:hAnsi="Times New Roman" w:eastAsia="宋体" w:cs="Times New Roman"/>
                      <w:color w:val="000000"/>
                      <w:kern w:val="0"/>
                      <w:sz w:val="20"/>
                      <w:szCs w:val="20"/>
                      <w:lang w:val="en-US" w:eastAsia="zh-CN" w:bidi="ar"/>
                    </w:rPr>
                    <w:t>TSP</w:t>
                  </w:r>
                  <w:r>
                    <w:rPr>
                      <w:rFonts w:hint="eastAsia" w:ascii="宋体" w:hAnsi="宋体" w:eastAsia="宋体" w:cs="宋体"/>
                      <w:color w:val="000000"/>
                      <w:kern w:val="0"/>
                      <w:sz w:val="20"/>
                      <w:szCs w:val="20"/>
                      <w:lang w:val="en-US" w:eastAsia="zh-CN" w:bidi="ar"/>
                    </w:rPr>
                    <w:t>小时平均浓度</w:t>
                  </w:r>
                  <w:r>
                    <w:rPr>
                      <w:rFonts w:hint="eastAsia" w:ascii="Times New Roman" w:hAnsi="Times New Roman" w:eastAsia="宋体" w:cs="Times New Roman"/>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mg/m</w:t>
                  </w:r>
                  <w:r>
                    <w:rPr>
                      <w:rFonts w:hint="eastAsia" w:ascii="Times New Roman" w:hAnsi="Times New Roman" w:cs="Times New Roman"/>
                      <w:color w:val="000000"/>
                      <w:kern w:val="0"/>
                      <w:sz w:val="20"/>
                      <w:szCs w:val="20"/>
                      <w:vertAlign w:val="superscript"/>
                      <w:lang w:val="en-US" w:eastAsia="zh-CN" w:bidi="ar"/>
                    </w:rPr>
                    <w:t>3</w:t>
                  </w:r>
                  <w:r>
                    <w:rPr>
                      <w:rFonts w:hint="eastAsia" w:ascii="Times New Roman" w:hAnsi="Times New Roman" w:eastAsia="宋体" w:cs="Times New Roman"/>
                      <w:color w:val="000000"/>
                      <w:kern w:val="0"/>
                      <w:sz w:val="20"/>
                      <w:szCs w:val="20"/>
                      <w:lang w:val="en-US" w:eastAsia="zh-CN" w:bidi="ar"/>
                    </w:rPr>
                    <w:t>）</w:t>
                  </w:r>
                </w:p>
              </w:tc>
              <w:tc>
                <w:tcPr>
                  <w:tcW w:w="1314" w:type="dxa"/>
                  <w:vAlign w:val="center"/>
                </w:tcPr>
                <w:p w14:paraId="5DE25E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洒水</w:t>
                  </w:r>
                </w:p>
              </w:tc>
              <w:tc>
                <w:tcPr>
                  <w:tcW w:w="1314" w:type="dxa"/>
                  <w:vAlign w:val="center"/>
                </w:tcPr>
                <w:p w14:paraId="7CC710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10.14</w:t>
                  </w:r>
                </w:p>
              </w:tc>
              <w:tc>
                <w:tcPr>
                  <w:tcW w:w="1314" w:type="dxa"/>
                  <w:vAlign w:val="center"/>
                </w:tcPr>
                <w:p w14:paraId="0E0B14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2.89</w:t>
                  </w:r>
                </w:p>
              </w:tc>
              <w:tc>
                <w:tcPr>
                  <w:tcW w:w="1314" w:type="dxa"/>
                  <w:vAlign w:val="center"/>
                </w:tcPr>
                <w:p w14:paraId="0E90FE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1.15</w:t>
                  </w:r>
                </w:p>
              </w:tc>
              <w:tc>
                <w:tcPr>
                  <w:tcW w:w="1315" w:type="dxa"/>
                  <w:tcBorders>
                    <w:right w:val="nil"/>
                  </w:tcBorders>
                  <w:vAlign w:val="center"/>
                </w:tcPr>
                <w:p w14:paraId="445B25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0.86</w:t>
                  </w:r>
                </w:p>
              </w:tc>
            </w:tr>
            <w:tr w14:paraId="0EF2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tcBorders>
                    <w:left w:val="nil"/>
                  </w:tcBorders>
                  <w:vAlign w:val="center"/>
                </w:tcPr>
                <w:p w14:paraId="166106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p>
              </w:tc>
              <w:tc>
                <w:tcPr>
                  <w:tcW w:w="1314" w:type="dxa"/>
                  <w:vAlign w:val="center"/>
                </w:tcPr>
                <w:p w14:paraId="4057A1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不洒水</w:t>
                  </w:r>
                </w:p>
              </w:tc>
              <w:tc>
                <w:tcPr>
                  <w:tcW w:w="1314" w:type="dxa"/>
                  <w:vAlign w:val="center"/>
                </w:tcPr>
                <w:p w14:paraId="74A089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2.01</w:t>
                  </w:r>
                </w:p>
              </w:tc>
              <w:tc>
                <w:tcPr>
                  <w:tcW w:w="1314" w:type="dxa"/>
                  <w:vAlign w:val="center"/>
                </w:tcPr>
                <w:p w14:paraId="1C7772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1.40</w:t>
                  </w:r>
                </w:p>
              </w:tc>
              <w:tc>
                <w:tcPr>
                  <w:tcW w:w="1314" w:type="dxa"/>
                  <w:vAlign w:val="center"/>
                </w:tcPr>
                <w:p w14:paraId="1CBD4B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0.67</w:t>
                  </w:r>
                </w:p>
              </w:tc>
              <w:tc>
                <w:tcPr>
                  <w:tcW w:w="1315" w:type="dxa"/>
                  <w:tcBorders>
                    <w:right w:val="nil"/>
                  </w:tcBorders>
                  <w:vAlign w:val="center"/>
                </w:tcPr>
                <w:p w14:paraId="3BD781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0.60</w:t>
                  </w:r>
                </w:p>
              </w:tc>
            </w:tr>
          </w:tbl>
          <w:p w14:paraId="2698EA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由上表可以看出，项目施工期扬尘会对周围</w:t>
            </w:r>
            <w:r>
              <w:rPr>
                <w:rFonts w:hint="default" w:ascii="Times New Roman" w:hAnsi="Times New Roman" w:cs="Times New Roman"/>
                <w:sz w:val="24"/>
                <w:szCs w:val="24"/>
                <w:lang w:val="en-US" w:eastAsia="zh-CN"/>
              </w:rPr>
              <w:t>100m</w:t>
            </w:r>
            <w:r>
              <w:rPr>
                <w:rFonts w:hint="eastAsia" w:ascii="Times New Roman" w:hAnsi="Times New Roman" w:cs="Times New Roman"/>
                <w:sz w:val="24"/>
                <w:szCs w:val="24"/>
                <w:lang w:val="en-US" w:eastAsia="zh-CN"/>
              </w:rPr>
              <w:t>范围内产生不良影响，项目施工期扬尘通过洒水降尘后可以使空气中粉尘量减少</w:t>
            </w:r>
            <w:r>
              <w:rPr>
                <w:rFonts w:hint="default" w:ascii="Times New Roman" w:hAnsi="Times New Roman" w:cs="Times New Roman"/>
                <w:sz w:val="24"/>
                <w:szCs w:val="24"/>
                <w:lang w:val="en-US" w:eastAsia="zh-CN"/>
              </w:rPr>
              <w:t>70%</w:t>
            </w:r>
            <w:r>
              <w:rPr>
                <w:rFonts w:hint="eastAsia" w:ascii="Times New Roman" w:hAnsi="Times New Roman" w:cs="Times New Roman"/>
                <w:sz w:val="24"/>
                <w:szCs w:val="24"/>
                <w:lang w:val="en-US" w:eastAsia="zh-CN"/>
              </w:rPr>
              <w:t>左右，可将</w:t>
            </w:r>
            <w:r>
              <w:rPr>
                <w:rFonts w:hint="default" w:ascii="Times New Roman" w:hAnsi="Times New Roman" w:cs="Times New Roman"/>
                <w:sz w:val="24"/>
                <w:szCs w:val="24"/>
                <w:lang w:val="en-US" w:eastAsia="zh-CN"/>
              </w:rPr>
              <w:t>TSP</w:t>
            </w:r>
            <w:r>
              <w:rPr>
                <w:rFonts w:hint="eastAsia" w:ascii="Times New Roman" w:hAnsi="Times New Roman" w:cs="Times New Roman"/>
                <w:sz w:val="24"/>
                <w:szCs w:val="24"/>
                <w:lang w:val="en-US" w:eastAsia="zh-CN"/>
              </w:rPr>
              <w:t>的污染距离缩小到</w:t>
            </w:r>
            <w:r>
              <w:rPr>
                <w:rFonts w:hint="default" w:ascii="Times New Roman" w:hAnsi="Times New Roman" w:cs="Times New Roman"/>
                <w:sz w:val="24"/>
                <w:szCs w:val="24"/>
                <w:lang w:val="en-US" w:eastAsia="zh-CN"/>
              </w:rPr>
              <w:t>20m</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50m</w:t>
            </w:r>
            <w:r>
              <w:rPr>
                <w:rFonts w:hint="eastAsia" w:ascii="Times New Roman" w:hAnsi="Times New Roman" w:cs="Times New Roman"/>
                <w:sz w:val="24"/>
                <w:szCs w:val="24"/>
                <w:lang w:val="en-US" w:eastAsia="zh-CN"/>
              </w:rPr>
              <w:t>。</w:t>
            </w:r>
          </w:p>
          <w:p w14:paraId="5C54EF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建议项目每天实施洒水降尘，尽量减少施工粉尘对周围大气的影响。项目厂界外大气敏感目标为大开门社区</w:t>
            </w:r>
            <w:r>
              <w:rPr>
                <w:rFonts w:hint="eastAsia" w:cs="Times New Roman"/>
                <w:sz w:val="24"/>
                <w:szCs w:val="24"/>
                <w:lang w:val="en-US" w:eastAsia="zh-CN"/>
              </w:rPr>
              <w:t>，距</w:t>
            </w:r>
            <w:r>
              <w:rPr>
                <w:rFonts w:hint="eastAsia" w:ascii="Times New Roman" w:hAnsi="Times New Roman" w:cs="Times New Roman"/>
                <w:sz w:val="24"/>
                <w:szCs w:val="24"/>
                <w:lang w:val="en-US" w:eastAsia="zh-CN"/>
              </w:rPr>
              <w:t>项目边界360</w:t>
            </w:r>
            <w:r>
              <w:rPr>
                <w:rFonts w:hint="default" w:ascii="Times New Roman" w:hAnsi="Times New Roman" w:cs="Times New Roman"/>
                <w:sz w:val="24"/>
                <w:szCs w:val="24"/>
                <w:lang w:val="en-US" w:eastAsia="zh-CN"/>
              </w:rPr>
              <w:t>m</w:t>
            </w:r>
            <w:r>
              <w:rPr>
                <w:rFonts w:hint="eastAsia" w:ascii="Times New Roman" w:hAnsi="Times New Roman" w:cs="Times New Roman"/>
                <w:sz w:val="24"/>
                <w:szCs w:val="24"/>
                <w:lang w:val="en-US" w:eastAsia="zh-CN"/>
              </w:rPr>
              <w:t>，经洒水降尘处理后影响较小。</w:t>
            </w:r>
          </w:p>
          <w:p w14:paraId="74AD02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（3）材料堆场废气</w:t>
            </w:r>
          </w:p>
          <w:p w14:paraId="2FDDB2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cs="Times New Roman"/>
                <w:sz w:val="24"/>
                <w:szCs w:val="24"/>
                <w:lang w:val="en-US" w:eastAsia="zh-CN"/>
              </w:rPr>
              <w:t>项目区材料堆场会产生一定的粉尘，</w:t>
            </w:r>
            <w:r>
              <w:rPr>
                <w:rFonts w:hint="eastAsia" w:ascii="Times New Roman" w:hAnsi="Times New Roman" w:cs="Times New Roman"/>
                <w:sz w:val="24"/>
                <w:szCs w:val="24"/>
                <w:lang w:val="en-US" w:eastAsia="zh-CN"/>
              </w:rPr>
              <w:t>项目采取洒水抑尘、对堆场设置围挡措施后，对周边环境影响较小，施工期结束后污染源即不存在。</w:t>
            </w:r>
          </w:p>
          <w:p w14:paraId="736097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（4）钢混结合梁拼装场、钢筋加工场废气影响</w:t>
            </w:r>
          </w:p>
          <w:p w14:paraId="4C44E2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钢混结合梁拼装场、钢筋加工场焊接烟尘产生量为</w:t>
            </w:r>
            <w:r>
              <w:rPr>
                <w:rFonts w:hint="default" w:ascii="Times New Roman" w:hAnsi="Times New Roman" w:cs="Times New Roman"/>
                <w:sz w:val="24"/>
                <w:szCs w:val="24"/>
                <w:lang w:val="en-US" w:eastAsia="zh-CN"/>
              </w:rPr>
              <w:t>0.0</w:t>
            </w:r>
            <w:r>
              <w:rPr>
                <w:rFonts w:hint="eastAsia" w:cs="Times New Roman"/>
                <w:sz w:val="24"/>
                <w:szCs w:val="24"/>
                <w:lang w:val="en-US" w:eastAsia="zh-CN"/>
              </w:rPr>
              <w:t>1</w:t>
            </w:r>
            <w:r>
              <w:rPr>
                <w:rFonts w:hint="default" w:ascii="Times New Roman" w:hAnsi="Times New Roman" w:cs="Times New Roman"/>
                <w:sz w:val="24"/>
                <w:szCs w:val="24"/>
                <w:lang w:val="en-US" w:eastAsia="zh-CN"/>
              </w:rPr>
              <w:t>4t/a</w:t>
            </w:r>
            <w:r>
              <w:rPr>
                <w:rFonts w:hint="eastAsia" w:ascii="Times New Roman" w:hAnsi="Times New Roman" w:cs="Times New Roman"/>
                <w:sz w:val="24"/>
                <w:szCs w:val="24"/>
                <w:lang w:val="en-US" w:eastAsia="zh-CN"/>
              </w:rPr>
              <w:t>，该部分废气无组织排放。采用移动式焊接烟尘净化器对焊接烟尘进行处理，净化效率可达</w:t>
            </w:r>
            <w:r>
              <w:rPr>
                <w:rFonts w:hint="default" w:ascii="Times New Roman" w:hAnsi="Times New Roman" w:cs="Times New Roman"/>
                <w:sz w:val="24"/>
                <w:szCs w:val="24"/>
                <w:lang w:val="en-US" w:eastAsia="zh-CN"/>
              </w:rPr>
              <w:t>80%</w:t>
            </w:r>
            <w:r>
              <w:rPr>
                <w:rFonts w:hint="eastAsia" w:ascii="Times New Roman" w:hAnsi="Times New Roman" w:cs="Times New Roman"/>
                <w:sz w:val="24"/>
                <w:szCs w:val="24"/>
                <w:lang w:val="en-US" w:eastAsia="zh-CN"/>
              </w:rPr>
              <w:t>以上，经处理后焊接烟尘排放于钢筋棚内，焊接时间作业较短，只在施工期范围内产生影响，采取措施后对周边环境影响较小。</w:t>
            </w:r>
          </w:p>
          <w:p w14:paraId="11179D4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.2</w:t>
            </w:r>
            <w:r>
              <w:rPr>
                <w:rFonts w:hint="eastAsia" w:ascii="宋体" w:hAnsi="宋体" w:eastAsia="宋体" w:cs="宋体"/>
                <w:b/>
                <w:bCs/>
                <w:color w:val="000000"/>
                <w:kern w:val="0"/>
                <w:sz w:val="24"/>
                <w:szCs w:val="24"/>
                <w:lang w:val="en-US" w:eastAsia="zh-CN" w:bidi="ar"/>
              </w:rPr>
              <w:t>施工场地机械废气</w:t>
            </w:r>
          </w:p>
          <w:p w14:paraId="04B285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施工场地使用的燃油机械，将产生</w:t>
            </w:r>
            <w:r>
              <w:rPr>
                <w:rFonts w:hint="default" w:ascii="Times New Roman" w:hAnsi="Times New Roman" w:cs="Times New Roman"/>
                <w:sz w:val="24"/>
                <w:szCs w:val="24"/>
                <w:lang w:val="en-US" w:eastAsia="zh-CN"/>
              </w:rPr>
              <w:t>CO</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NO</w:t>
            </w:r>
            <w:r>
              <w:rPr>
                <w:rFonts w:hint="eastAsia" w:cs="Times New Roman"/>
                <w:sz w:val="24"/>
                <w:szCs w:val="24"/>
                <w:lang w:val="en-US" w:eastAsia="zh-CN"/>
              </w:rPr>
              <w:t>x</w:t>
            </w:r>
            <w:r>
              <w:rPr>
                <w:rFonts w:hint="eastAsia" w:ascii="Times New Roman" w:hAnsi="Times New Roman" w:cs="Times New Roman"/>
                <w:sz w:val="24"/>
                <w:szCs w:val="24"/>
                <w:lang w:val="en-US" w:eastAsia="zh-CN"/>
              </w:rPr>
              <w:t>、</w:t>
            </w:r>
            <w:r>
              <w:rPr>
                <w:rFonts w:hint="eastAsia" w:cs="Times New Roman"/>
                <w:sz w:val="24"/>
                <w:szCs w:val="24"/>
                <w:lang w:val="en-US" w:eastAsia="zh-CN"/>
              </w:rPr>
              <w:t>NM</w:t>
            </w:r>
            <w:r>
              <w:rPr>
                <w:rFonts w:hint="default" w:ascii="Times New Roman" w:hAnsi="Times New Roman" w:cs="Times New Roman"/>
                <w:sz w:val="24"/>
                <w:szCs w:val="24"/>
                <w:lang w:val="en-US" w:eastAsia="zh-CN"/>
              </w:rPr>
              <w:t>HC</w:t>
            </w:r>
            <w:r>
              <w:rPr>
                <w:rFonts w:hint="eastAsia" w:ascii="Times New Roman" w:hAnsi="Times New Roman" w:cs="Times New Roman"/>
                <w:sz w:val="24"/>
                <w:szCs w:val="24"/>
                <w:lang w:val="en-US" w:eastAsia="zh-CN"/>
              </w:rPr>
              <w:t>等污染物。铁路施工所使用的机械多为大型机械，单车排放系数较大，但机械数量少且较分散，机械废气污染程度相对较轻。</w:t>
            </w:r>
            <w:r>
              <w:rPr>
                <w:rFonts w:hint="eastAsia" w:cs="Times New Roman"/>
                <w:sz w:val="24"/>
                <w:szCs w:val="24"/>
                <w:lang w:val="en-US" w:eastAsia="zh-CN"/>
              </w:rPr>
              <w:t>根据</w:t>
            </w:r>
            <w:r>
              <w:rPr>
                <w:rFonts w:hint="eastAsia" w:ascii="Times New Roman" w:hAnsi="Times New Roman" w:cs="Times New Roman"/>
                <w:sz w:val="24"/>
                <w:szCs w:val="24"/>
                <w:lang w:val="en-US" w:eastAsia="zh-CN"/>
              </w:rPr>
              <w:t>类似工程施工现场监测结果，在距离现场</w:t>
            </w:r>
            <w:r>
              <w:rPr>
                <w:rFonts w:hint="default" w:ascii="Times New Roman" w:hAnsi="Times New Roman" w:cs="Times New Roman"/>
                <w:sz w:val="24"/>
                <w:szCs w:val="24"/>
                <w:lang w:val="en-US" w:eastAsia="zh-CN"/>
              </w:rPr>
              <w:t>50m</w:t>
            </w:r>
            <w:r>
              <w:rPr>
                <w:rFonts w:hint="eastAsia" w:ascii="Times New Roman" w:hAnsi="Times New Roman" w:cs="Times New Roman"/>
                <w:sz w:val="24"/>
                <w:szCs w:val="24"/>
                <w:lang w:val="en-US" w:eastAsia="zh-CN"/>
              </w:rPr>
              <w:t>处，大气环境中</w:t>
            </w:r>
            <w:r>
              <w:rPr>
                <w:rFonts w:hint="default" w:ascii="Times New Roman" w:hAnsi="Times New Roman" w:cs="Times New Roman"/>
                <w:sz w:val="24"/>
                <w:szCs w:val="24"/>
                <w:lang w:val="en-US" w:eastAsia="zh-CN"/>
              </w:rPr>
              <w:t>CO</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NO</w:t>
            </w:r>
            <w:r>
              <w:rPr>
                <w:rFonts w:hint="eastAsia" w:cs="Times New Roman"/>
                <w:sz w:val="24"/>
                <w:szCs w:val="24"/>
                <w:lang w:val="en-US" w:eastAsia="zh-CN"/>
              </w:rPr>
              <w:t>x</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小时平均浓度分别为</w:t>
            </w:r>
            <w:r>
              <w:rPr>
                <w:rFonts w:hint="default" w:ascii="Times New Roman" w:hAnsi="Times New Roman" w:cs="Times New Roman"/>
                <w:sz w:val="24"/>
                <w:szCs w:val="24"/>
                <w:lang w:val="en-US" w:eastAsia="zh-CN"/>
              </w:rPr>
              <w:t>0.20mg/m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和</w:t>
            </w:r>
            <w:r>
              <w:rPr>
                <w:rFonts w:hint="default" w:ascii="Times New Roman" w:hAnsi="Times New Roman" w:cs="Times New Roman"/>
                <w:sz w:val="24"/>
                <w:szCs w:val="24"/>
                <w:lang w:val="en-US" w:eastAsia="zh-CN"/>
              </w:rPr>
              <w:t>0.13mg/m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；日平均浓度分别为</w:t>
            </w:r>
            <w:r>
              <w:rPr>
                <w:rFonts w:hint="default" w:ascii="Times New Roman" w:hAnsi="Times New Roman" w:cs="Times New Roman"/>
                <w:sz w:val="24"/>
                <w:szCs w:val="24"/>
                <w:lang w:val="en-US" w:eastAsia="zh-CN"/>
              </w:rPr>
              <w:t>0.13mg/m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和</w:t>
            </w:r>
            <w:r>
              <w:rPr>
                <w:rFonts w:hint="default" w:ascii="Times New Roman" w:hAnsi="Times New Roman" w:cs="Times New Roman"/>
                <w:sz w:val="24"/>
                <w:szCs w:val="24"/>
                <w:lang w:val="en-US" w:eastAsia="zh-CN"/>
              </w:rPr>
              <w:t>0.062mg/m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，项目周边敏感点距施工场界36</w:t>
            </w:r>
            <w:r>
              <w:rPr>
                <w:rFonts w:hint="default" w:ascii="Times New Roman" w:hAnsi="Times New Roman" w:cs="Times New Roman"/>
                <w:sz w:val="24"/>
                <w:szCs w:val="24"/>
                <w:lang w:val="en-US" w:eastAsia="zh-CN"/>
              </w:rPr>
              <w:t>0m</w:t>
            </w:r>
            <w:r>
              <w:rPr>
                <w:rFonts w:hint="eastAsia" w:ascii="Times New Roman" w:hAnsi="Times New Roman" w:cs="Times New Roman"/>
                <w:sz w:val="24"/>
                <w:szCs w:val="24"/>
                <w:lang w:val="en-US" w:eastAsia="zh-CN"/>
              </w:rPr>
              <w:t>，满足《环境空气质量标准》（</w:t>
            </w:r>
            <w:r>
              <w:rPr>
                <w:rFonts w:hint="default" w:ascii="Times New Roman" w:hAnsi="Times New Roman" w:cs="Times New Roman"/>
                <w:sz w:val="24"/>
                <w:szCs w:val="24"/>
                <w:lang w:val="en-US" w:eastAsia="zh-CN"/>
              </w:rPr>
              <w:t>GB3095-20</w:t>
            </w:r>
            <w:r>
              <w:rPr>
                <w:rFonts w:hint="eastAsia" w:cs="Times New Roman"/>
                <w:sz w:val="24"/>
                <w:szCs w:val="24"/>
                <w:lang w:val="en-US" w:eastAsia="zh-CN"/>
              </w:rPr>
              <w:t>26</w:t>
            </w:r>
            <w:r>
              <w:rPr>
                <w:rFonts w:hint="eastAsia" w:ascii="Times New Roman" w:hAnsi="Times New Roman" w:cs="Times New Roman"/>
                <w:sz w:val="24"/>
                <w:szCs w:val="24"/>
                <w:lang w:val="en-US" w:eastAsia="zh-CN"/>
              </w:rPr>
              <w:t>）二级标准的</w:t>
            </w:r>
            <w:r>
              <w:rPr>
                <w:rFonts w:hint="default" w:ascii="Times New Roman" w:hAnsi="Times New Roman" w:cs="Times New Roman"/>
                <w:sz w:val="24"/>
                <w:szCs w:val="24"/>
                <w:lang w:val="en-US" w:eastAsia="zh-CN"/>
              </w:rPr>
              <w:t>CO</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NO</w:t>
            </w:r>
            <w:r>
              <w:rPr>
                <w:rFonts w:hint="eastAsia" w:cs="Times New Roman"/>
                <w:sz w:val="24"/>
                <w:szCs w:val="24"/>
                <w:lang w:val="en-US" w:eastAsia="zh-CN"/>
              </w:rPr>
              <w:t>x</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小时平均浓度分别为</w:t>
            </w:r>
            <w:r>
              <w:rPr>
                <w:rFonts w:hint="default" w:ascii="Times New Roman" w:hAnsi="Times New Roman" w:cs="Times New Roman"/>
                <w:sz w:val="24"/>
                <w:szCs w:val="24"/>
                <w:lang w:val="en-US" w:eastAsia="zh-CN"/>
              </w:rPr>
              <w:t>10mg/m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和</w:t>
            </w:r>
            <w:r>
              <w:rPr>
                <w:rFonts w:hint="default" w:ascii="Times New Roman" w:hAnsi="Times New Roman" w:cs="Times New Roman"/>
                <w:sz w:val="24"/>
                <w:szCs w:val="24"/>
                <w:lang w:val="en-US" w:eastAsia="zh-CN"/>
              </w:rPr>
              <w:t>0.25mg/m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，日平均浓度</w:t>
            </w:r>
            <w:r>
              <w:rPr>
                <w:rFonts w:hint="default" w:ascii="Times New Roman" w:hAnsi="Times New Roman" w:cs="Times New Roman"/>
                <w:sz w:val="24"/>
                <w:szCs w:val="24"/>
                <w:lang w:val="en-US" w:eastAsia="zh-CN"/>
              </w:rPr>
              <w:t>4mg/m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和</w:t>
            </w:r>
            <w:r>
              <w:rPr>
                <w:rFonts w:hint="default" w:ascii="Times New Roman" w:hAnsi="Times New Roman" w:cs="Times New Roman"/>
                <w:sz w:val="24"/>
                <w:szCs w:val="24"/>
                <w:lang w:val="en-US" w:eastAsia="zh-CN"/>
              </w:rPr>
              <w:t>0.1mg/m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w:t>
            </w:r>
          </w:p>
          <w:p w14:paraId="3F872D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因此，施工机械对项目周边的影响</w:t>
            </w:r>
            <w:r>
              <w:rPr>
                <w:rFonts w:hint="eastAsia" w:cs="Times New Roman"/>
                <w:sz w:val="24"/>
                <w:szCs w:val="24"/>
                <w:lang w:val="en-US" w:eastAsia="zh-CN"/>
              </w:rPr>
              <w:t>可以</w:t>
            </w:r>
            <w:r>
              <w:rPr>
                <w:rFonts w:hint="eastAsia" w:ascii="Times New Roman" w:hAnsi="Times New Roman" w:cs="Times New Roman"/>
                <w:sz w:val="24"/>
                <w:szCs w:val="24"/>
                <w:lang w:val="en-US" w:eastAsia="zh-CN"/>
              </w:rPr>
              <w:t>接受。</w:t>
            </w:r>
          </w:p>
          <w:p w14:paraId="2F482DE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val="en-US" w:eastAsia="zh-CN"/>
              </w:rPr>
              <w:t>施工废气防治措施</w:t>
            </w:r>
          </w:p>
          <w:p w14:paraId="43AF64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为减小扬尘对周围环境的影响，环评要求建设单位在施工过程中采取以下措施：</w:t>
            </w:r>
          </w:p>
          <w:p w14:paraId="2A0F5A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①施工期在厂界四周设置</w:t>
            </w:r>
            <w:r>
              <w:rPr>
                <w:rFonts w:hint="eastAsia" w:ascii="Times New Roman" w:hAnsi="Times New Roman" w:eastAsia="宋体" w:cs="Times New Roman"/>
                <w:sz w:val="24"/>
                <w:szCs w:val="24"/>
                <w:lang w:val="en-US" w:eastAsia="zh-CN"/>
              </w:rPr>
              <w:t>不低于</w:t>
            </w:r>
            <w:r>
              <w:rPr>
                <w:rFonts w:hint="default" w:ascii="Times New Roman" w:hAnsi="Times New Roman" w:eastAsia="宋体" w:cs="Times New Roman"/>
                <w:sz w:val="24"/>
                <w:szCs w:val="24"/>
                <w:lang w:val="en-US" w:eastAsia="zh-CN"/>
              </w:rPr>
              <w:t>2.5m围挡，实行围挡封闭施工</w:t>
            </w:r>
            <w:r>
              <w:rPr>
                <w:rFonts w:hint="eastAsia" w:ascii="Times New Roman" w:hAnsi="Times New Roman" w:eastAsia="宋体" w:cs="Times New Roman"/>
                <w:sz w:val="24"/>
                <w:szCs w:val="24"/>
                <w:lang w:val="en-US" w:eastAsia="zh-CN"/>
              </w:rPr>
              <w:t>；</w:t>
            </w:r>
          </w:p>
          <w:p w14:paraId="1B0EE2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②加强</w:t>
            </w:r>
            <w:r>
              <w:rPr>
                <w:rFonts w:hint="default" w:ascii="Times New Roman" w:hAnsi="Times New Roman" w:eastAsia="宋体" w:cs="Times New Roman"/>
                <w:sz w:val="24"/>
                <w:szCs w:val="24"/>
                <w:lang w:val="en-US" w:eastAsia="zh-CN"/>
              </w:rPr>
              <w:t>运输车辆</w:t>
            </w:r>
            <w:r>
              <w:rPr>
                <w:rFonts w:hint="eastAsia" w:ascii="Times New Roman" w:hAnsi="Times New Roman" w:eastAsia="宋体" w:cs="Times New Roman"/>
                <w:sz w:val="24"/>
                <w:szCs w:val="24"/>
                <w:lang w:val="en-US" w:eastAsia="zh-CN"/>
              </w:rPr>
              <w:t>管理，</w:t>
            </w:r>
            <w:r>
              <w:rPr>
                <w:rFonts w:hint="default" w:ascii="Times New Roman" w:hAnsi="Times New Roman" w:eastAsia="宋体" w:cs="Times New Roman"/>
                <w:sz w:val="24"/>
                <w:szCs w:val="24"/>
                <w:lang w:val="en-US" w:eastAsia="zh-CN"/>
              </w:rPr>
              <w:t>建筑材料运输应采取封闭运输方式</w:t>
            </w:r>
            <w:r>
              <w:rPr>
                <w:rFonts w:hint="eastAsia" w:ascii="Times New Roman" w:hAnsi="Times New Roman" w:eastAsia="宋体" w:cs="Times New Roman"/>
                <w:sz w:val="24"/>
                <w:szCs w:val="24"/>
                <w:lang w:val="en-US" w:eastAsia="zh-CN"/>
              </w:rPr>
              <w:t>或</w:t>
            </w:r>
            <w:r>
              <w:rPr>
                <w:rFonts w:hint="default" w:ascii="Times New Roman" w:hAnsi="Times New Roman" w:eastAsia="宋体" w:cs="Times New Roman"/>
                <w:sz w:val="24"/>
                <w:szCs w:val="24"/>
                <w:lang w:val="en-US" w:eastAsia="zh-CN"/>
              </w:rPr>
              <w:t>车辆应覆盖蓬布</w:t>
            </w:r>
            <w:r>
              <w:rPr>
                <w:rFonts w:hint="eastAsia" w:ascii="Times New Roman" w:hAnsi="Times New Roman" w:eastAsia="宋体" w:cs="Times New Roman"/>
                <w:sz w:val="24"/>
                <w:szCs w:val="24"/>
                <w:lang w:val="en-US" w:eastAsia="zh-CN"/>
              </w:rPr>
              <w:t>，保持车身清洁，防止</w:t>
            </w:r>
            <w:r>
              <w:rPr>
                <w:rFonts w:hint="default" w:ascii="Times New Roman" w:hAnsi="Times New Roman" w:eastAsia="宋体" w:cs="Times New Roman"/>
                <w:sz w:val="24"/>
                <w:szCs w:val="24"/>
                <w:lang w:val="en-US" w:eastAsia="zh-CN"/>
              </w:rPr>
              <w:t>二次扬尘污染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限制车速，严禁超高、超载运输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对运输频率较高、较固定的线路采用洒水进行降尘处理</w:t>
            </w:r>
            <w:r>
              <w:rPr>
                <w:rFonts w:hint="eastAsia" w:ascii="Times New Roman" w:hAnsi="Times New Roman" w:eastAsia="宋体" w:cs="Times New Roman"/>
                <w:sz w:val="24"/>
                <w:szCs w:val="24"/>
                <w:lang w:val="en-US" w:eastAsia="zh-CN"/>
              </w:rPr>
              <w:t>；</w:t>
            </w:r>
          </w:p>
          <w:p w14:paraId="7DAF98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③在严重扬尘</w:t>
            </w:r>
            <w:r>
              <w:rPr>
                <w:rFonts w:hint="eastAsia" w:ascii="Times New Roman" w:hAnsi="Times New Roman" w:eastAsia="宋体" w:cs="Times New Roman"/>
                <w:sz w:val="24"/>
                <w:szCs w:val="24"/>
                <w:lang w:val="en-US" w:eastAsia="zh-CN"/>
              </w:rPr>
              <w:t>施工</w:t>
            </w:r>
            <w:r>
              <w:rPr>
                <w:rFonts w:hint="default" w:ascii="Times New Roman" w:hAnsi="Times New Roman" w:eastAsia="宋体" w:cs="Times New Roman"/>
                <w:sz w:val="24"/>
                <w:szCs w:val="24"/>
                <w:lang w:val="en-US" w:eastAsia="zh-CN"/>
              </w:rPr>
              <w:t>点，采用水枪定期洒水降尘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施工场地需适时洒水抑尘，大风或干燥天气应适当增加洒水次数</w:t>
            </w:r>
            <w:r>
              <w:rPr>
                <w:rFonts w:hint="eastAsia" w:ascii="Times New Roman" w:hAnsi="Times New Roman" w:eastAsia="宋体" w:cs="Times New Roman"/>
                <w:sz w:val="24"/>
                <w:szCs w:val="24"/>
                <w:lang w:val="en-US" w:eastAsia="zh-CN"/>
              </w:rPr>
              <w:t>；</w:t>
            </w:r>
          </w:p>
          <w:p w14:paraId="181123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④工地出入口设置车辆冲洗设施，运输车辆必须冲洗后出场</w:t>
            </w:r>
            <w:r>
              <w:rPr>
                <w:rFonts w:hint="eastAsia" w:ascii="Times New Roman" w:hAnsi="Times New Roman" w:eastAsia="宋体" w:cs="Times New Roman"/>
                <w:sz w:val="24"/>
                <w:szCs w:val="24"/>
                <w:lang w:val="en-US" w:eastAsia="zh-CN"/>
              </w:rPr>
              <w:t>；</w:t>
            </w:r>
          </w:p>
          <w:p w14:paraId="2A1241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w:t>
            </w:r>
            <w:r>
              <w:rPr>
                <w:rFonts w:hint="default" w:ascii="Times New Roman" w:hAnsi="Times New Roman" w:eastAsia="宋体" w:cs="Times New Roman"/>
                <w:sz w:val="24"/>
                <w:szCs w:val="24"/>
                <w:lang w:val="en-US" w:eastAsia="zh-CN"/>
              </w:rPr>
              <w:t>施工场地粉</w:t>
            </w:r>
            <w:r>
              <w:rPr>
                <w:rFonts w:hint="eastAsia" w:ascii="Times New Roman" w:hAnsi="Times New Roman" w:eastAsia="宋体" w:cs="Times New Roman"/>
                <w:sz w:val="24"/>
                <w:szCs w:val="24"/>
                <w:lang w:val="en-US" w:eastAsia="zh-CN"/>
              </w:rPr>
              <w:t>（粒）</w:t>
            </w:r>
            <w:r>
              <w:rPr>
                <w:rFonts w:hint="default" w:ascii="Times New Roman" w:hAnsi="Times New Roman" w:eastAsia="宋体" w:cs="Times New Roman"/>
                <w:sz w:val="24"/>
                <w:szCs w:val="24"/>
                <w:lang w:val="en-US" w:eastAsia="zh-CN"/>
              </w:rPr>
              <w:t>状料堆应尽量选在避风处，对其进行遮盖，防止大量扬尘产生</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粉状物料装卸时禁止凌空抛洒</w:t>
            </w:r>
            <w:r>
              <w:rPr>
                <w:rFonts w:hint="eastAsia" w:ascii="Times New Roman" w:hAnsi="Times New Roman" w:eastAsia="宋体" w:cs="Times New Roman"/>
                <w:sz w:val="24"/>
                <w:szCs w:val="24"/>
                <w:lang w:val="en-US" w:eastAsia="zh-CN"/>
              </w:rPr>
              <w:t>；</w:t>
            </w:r>
          </w:p>
          <w:p w14:paraId="746BF4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w:t>
            </w:r>
            <w:r>
              <w:rPr>
                <w:rFonts w:hint="default" w:ascii="Times New Roman" w:hAnsi="Times New Roman" w:eastAsia="宋体" w:cs="Times New Roman"/>
                <w:sz w:val="24"/>
                <w:szCs w:val="24"/>
                <w:lang w:val="en-US" w:eastAsia="zh-CN"/>
              </w:rPr>
              <w:t>加强施工现场扬尘控制。严禁从建筑物高处向下倾倒建筑垃圾</w:t>
            </w:r>
            <w:r>
              <w:rPr>
                <w:rFonts w:hint="eastAsia" w:ascii="Times New Roman" w:hAnsi="Times New Roman" w:eastAsia="宋体" w:cs="Times New Roman"/>
                <w:sz w:val="24"/>
                <w:szCs w:val="24"/>
                <w:lang w:val="en-US" w:eastAsia="zh-CN"/>
              </w:rPr>
              <w:t>；</w:t>
            </w:r>
          </w:p>
          <w:p w14:paraId="7F11D8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⑦</w:t>
            </w:r>
            <w:r>
              <w:rPr>
                <w:rFonts w:hint="default" w:ascii="Times New Roman" w:hAnsi="Times New Roman" w:eastAsia="宋体" w:cs="Times New Roman"/>
                <w:sz w:val="24"/>
                <w:szCs w:val="24"/>
                <w:lang w:val="en-US" w:eastAsia="zh-CN"/>
              </w:rPr>
              <w:t>项目使用应选用油耗低、效率高、废气排放达标的施工机械；加强管理，运输车辆必须尾气达标</w:t>
            </w:r>
            <w:r>
              <w:rPr>
                <w:rFonts w:hint="eastAsia" w:ascii="Times New Roman" w:hAnsi="Times New Roman" w:eastAsia="宋体" w:cs="Times New Roman"/>
                <w:sz w:val="24"/>
                <w:szCs w:val="24"/>
                <w:lang w:val="en-US" w:eastAsia="zh-CN"/>
              </w:rPr>
              <w:t>；</w:t>
            </w:r>
          </w:p>
          <w:p w14:paraId="4AC772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⑧文明施工，</w:t>
            </w:r>
            <w:r>
              <w:rPr>
                <w:rFonts w:hint="default" w:ascii="Times New Roman" w:hAnsi="Times New Roman" w:eastAsia="宋体" w:cs="Times New Roman"/>
                <w:sz w:val="24"/>
                <w:szCs w:val="24"/>
                <w:lang w:val="en-US" w:eastAsia="zh-CN"/>
              </w:rPr>
              <w:t>对建筑垃圾及弃土应及时处理、清运、以减少占地，防止粉尘污染</w:t>
            </w:r>
            <w:r>
              <w:rPr>
                <w:rFonts w:hint="eastAsia" w:ascii="Times New Roman" w:hAnsi="Times New Roman" w:eastAsia="宋体" w:cs="Times New Roman"/>
                <w:sz w:val="24"/>
                <w:szCs w:val="24"/>
                <w:lang w:val="en-US" w:eastAsia="zh-CN"/>
              </w:rPr>
              <w:t>；</w:t>
            </w:r>
          </w:p>
          <w:p w14:paraId="075F9E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⑨</w:t>
            </w:r>
            <w:r>
              <w:rPr>
                <w:rFonts w:hint="default" w:ascii="Times New Roman" w:hAnsi="Times New Roman" w:eastAsia="宋体" w:cs="Times New Roman"/>
                <w:sz w:val="24"/>
                <w:szCs w:val="24"/>
                <w:lang w:val="en-US" w:eastAsia="zh-CN"/>
              </w:rPr>
              <w:t>专人负责施工场地和车辆的清洁打扫，保证施工场地和道路的清洁。</w:t>
            </w:r>
          </w:p>
          <w:p w14:paraId="5ABAA5C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val="en-US" w:eastAsia="zh-CN"/>
              </w:rPr>
              <w:t>施工废气环境影响结论</w:t>
            </w:r>
          </w:p>
          <w:p w14:paraId="028C99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sz w:val="24"/>
                <w:szCs w:val="24"/>
                <w:lang w:val="en-US" w:eastAsia="zh-CN"/>
              </w:rPr>
              <w:t>施工粉尘污染环境的时间与程度都是有限的，切实采取以上措施后，能够最大限度减少项目施工期废气的影响。施工场地周围较空旷，大气扩散条件相对较好，故一般情况下，施工机械和运输车辆所产生污染在空气中经自然扩散和稀释后，对评价区域的空气环境质量影响不大。</w:t>
            </w:r>
          </w:p>
          <w:p w14:paraId="1EAEBF5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施工期</w:t>
            </w:r>
            <w:r>
              <w:rPr>
                <w:rFonts w:hint="eastAsia" w:ascii="Times New Roman" w:hAnsi="Times New Roman" w:cs="Times New Roman"/>
                <w:b/>
                <w:bCs/>
                <w:sz w:val="24"/>
                <w:szCs w:val="24"/>
                <w:lang w:val="en-US" w:eastAsia="zh-CN"/>
              </w:rPr>
              <w:t>地</w:t>
            </w:r>
            <w:r>
              <w:rPr>
                <w:rFonts w:hint="eastAsia" w:cs="Times New Roman"/>
                <w:b/>
                <w:bCs/>
                <w:sz w:val="24"/>
                <w:szCs w:val="24"/>
                <w:lang w:val="en-US" w:eastAsia="zh-CN"/>
              </w:rPr>
              <w:t>废水</w:t>
            </w:r>
            <w:r>
              <w:rPr>
                <w:rFonts w:hint="default" w:ascii="Times New Roman" w:hAnsi="Times New Roman" w:eastAsia="宋体" w:cs="Times New Roman"/>
                <w:b/>
                <w:bCs/>
                <w:sz w:val="24"/>
                <w:szCs w:val="24"/>
                <w:lang w:val="en-US" w:eastAsia="zh-CN"/>
              </w:rPr>
              <w:t>环境影响分析</w:t>
            </w:r>
          </w:p>
          <w:p w14:paraId="67BB3B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本项目施工期产生的废水主要为施工废水、地表径流以及生活污水。</w:t>
            </w:r>
          </w:p>
          <w:p w14:paraId="70E8939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4.3.1</w:t>
            </w:r>
            <w:r>
              <w:rPr>
                <w:rFonts w:hint="eastAsia" w:ascii="Times New Roman" w:hAnsi="Times New Roman" w:eastAsia="宋体" w:cs="Times New Roman"/>
                <w:b/>
                <w:bCs/>
                <w:sz w:val="24"/>
                <w:szCs w:val="24"/>
                <w:lang w:val="en-US" w:eastAsia="zh-CN"/>
              </w:rPr>
              <w:t>施工废水</w:t>
            </w:r>
          </w:p>
          <w:p w14:paraId="34DA4B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施工废水主要</w:t>
            </w:r>
            <w:r>
              <w:rPr>
                <w:rFonts w:hint="eastAsia" w:cs="Times New Roman"/>
                <w:sz w:val="24"/>
                <w:szCs w:val="24"/>
                <w:lang w:val="en-US" w:eastAsia="zh-CN"/>
              </w:rPr>
              <w:t>为施工器械清洗</w:t>
            </w:r>
            <w:r>
              <w:rPr>
                <w:rFonts w:hint="eastAsia" w:ascii="Times New Roman" w:hAnsi="Times New Roman" w:eastAsia="宋体" w:cs="Times New Roman"/>
                <w:sz w:val="24"/>
                <w:szCs w:val="24"/>
                <w:lang w:val="en-US" w:eastAsia="zh-CN"/>
              </w:rPr>
              <w:t>产生的废水</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主要污染物为</w:t>
            </w:r>
            <w:r>
              <w:rPr>
                <w:rFonts w:hint="default" w:ascii="Times New Roman" w:hAnsi="Times New Roman" w:eastAsia="宋体" w:cs="Times New Roman"/>
                <w:sz w:val="24"/>
                <w:szCs w:val="24"/>
                <w:lang w:val="en-US" w:eastAsia="zh-CN"/>
              </w:rPr>
              <w:t>SS</w:t>
            </w:r>
            <w:r>
              <w:rPr>
                <w:rFonts w:hint="eastAsia" w:ascii="Times New Roman" w:hAnsi="Times New Roman" w:eastAsia="宋体" w:cs="Times New Roman"/>
                <w:sz w:val="24"/>
                <w:szCs w:val="24"/>
                <w:lang w:val="en-US" w:eastAsia="zh-CN"/>
              </w:rPr>
              <w:t>，产生量不大，在施工场地内设置临时沉淀池，废水经沉淀后回用于</w:t>
            </w:r>
            <w:r>
              <w:rPr>
                <w:rFonts w:hint="eastAsia" w:cs="Times New Roman"/>
                <w:sz w:val="24"/>
                <w:szCs w:val="24"/>
                <w:lang w:val="en-US" w:eastAsia="zh-CN"/>
              </w:rPr>
              <w:t>厂区</w:t>
            </w:r>
            <w:r>
              <w:rPr>
                <w:rFonts w:hint="eastAsia" w:ascii="Times New Roman" w:hAnsi="Times New Roman" w:eastAsia="宋体" w:cs="Times New Roman"/>
                <w:sz w:val="24"/>
                <w:szCs w:val="24"/>
                <w:lang w:val="en-US" w:eastAsia="zh-CN"/>
              </w:rPr>
              <w:t>洒水抑尘。</w:t>
            </w:r>
            <w:r>
              <w:rPr>
                <w:rFonts w:hint="eastAsia" w:ascii="Times New Roman" w:hAnsi="Times New Roman" w:cs="Times New Roman"/>
                <w:sz w:val="24"/>
                <w:szCs w:val="24"/>
                <w:lang w:val="en-US" w:eastAsia="zh-CN"/>
              </w:rPr>
              <w:t>铁路专用线</w:t>
            </w:r>
            <w:r>
              <w:rPr>
                <w:rFonts w:hint="eastAsia" w:ascii="Times New Roman" w:hAnsi="Times New Roman" w:eastAsia="宋体" w:cs="Times New Roman"/>
                <w:sz w:val="24"/>
                <w:szCs w:val="24"/>
                <w:lang w:val="en-US" w:eastAsia="zh-CN"/>
              </w:rPr>
              <w:t>施工规模不大，建筑施工废水产生量较小，经回用后</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不外排，对周围水体质量影响较小。</w:t>
            </w:r>
          </w:p>
          <w:p w14:paraId="14349FB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4.3.2</w:t>
            </w:r>
            <w:r>
              <w:rPr>
                <w:rFonts w:hint="eastAsia" w:cs="Times New Roman"/>
                <w:b/>
                <w:bCs/>
                <w:sz w:val="24"/>
                <w:szCs w:val="24"/>
                <w:lang w:val="en-US" w:eastAsia="zh-CN"/>
              </w:rPr>
              <w:t>地表径流</w:t>
            </w:r>
          </w:p>
          <w:p w14:paraId="097806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雨天地表径流主要为雨天降水冲刷施工场地产生，所含污染物主要为</w:t>
            </w:r>
            <w:r>
              <w:rPr>
                <w:rFonts w:hint="default" w:ascii="Times New Roman" w:hAnsi="Times New Roman" w:eastAsia="宋体" w:cs="Times New Roman"/>
                <w:sz w:val="24"/>
                <w:szCs w:val="24"/>
                <w:lang w:val="en-US" w:eastAsia="zh-CN"/>
              </w:rPr>
              <w:t>SS</w:t>
            </w:r>
            <w:r>
              <w:rPr>
                <w:rFonts w:hint="eastAsia" w:ascii="Times New Roman" w:hAnsi="Times New Roman" w:eastAsia="宋体" w:cs="Times New Roman"/>
                <w:sz w:val="24"/>
                <w:szCs w:val="24"/>
                <w:lang w:val="en-US" w:eastAsia="zh-CN"/>
              </w:rPr>
              <w:t>，其中</w:t>
            </w:r>
            <w:r>
              <w:rPr>
                <w:rFonts w:hint="default" w:ascii="Times New Roman" w:hAnsi="Times New Roman" w:eastAsia="宋体" w:cs="Times New Roman"/>
                <w:sz w:val="24"/>
                <w:szCs w:val="24"/>
                <w:lang w:val="en-US" w:eastAsia="zh-CN"/>
              </w:rPr>
              <w:t>SS</w:t>
            </w:r>
            <w:r>
              <w:rPr>
                <w:rFonts w:hint="eastAsia" w:ascii="Times New Roman" w:hAnsi="Times New Roman" w:eastAsia="宋体" w:cs="Times New Roman"/>
                <w:sz w:val="24"/>
                <w:szCs w:val="24"/>
                <w:lang w:val="en-US" w:eastAsia="zh-CN"/>
              </w:rPr>
              <w:t>浓度为</w:t>
            </w:r>
            <w:r>
              <w:rPr>
                <w:rFonts w:hint="default" w:ascii="Times New Roman" w:hAnsi="Times New Roman" w:eastAsia="宋体" w:cs="Times New Roman"/>
                <w:sz w:val="24"/>
                <w:szCs w:val="24"/>
                <w:lang w:val="en-US" w:eastAsia="zh-CN"/>
              </w:rPr>
              <w:t>200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500mg/L</w:t>
            </w:r>
            <w:r>
              <w:rPr>
                <w:rFonts w:hint="eastAsia" w:ascii="Times New Roman" w:hAnsi="Times New Roman" w:eastAsia="宋体" w:cs="Times New Roman"/>
                <w:sz w:val="24"/>
                <w:szCs w:val="24"/>
                <w:lang w:val="en-US" w:eastAsia="zh-CN"/>
              </w:rPr>
              <w:t>左右。施工期路基、桩基开挖产生大量裸露面及土方处理过程中若处理不当，遇雨季冲刷泥土，泥沙随水进入地表水体，将会导致附近地表水体悬浮物浓度有较大幅度升高；建筑材料随意堆放，阻塞雨水排水沟，雨季雨水无法流走，雨水漫流堆积场地，不利于排水，淹没周边农田，也对周边居民出行造成影响。</w:t>
            </w:r>
          </w:p>
          <w:p w14:paraId="4D9FC2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eastAsia="宋体" w:cs="Times New Roman"/>
                <w:sz w:val="24"/>
                <w:szCs w:val="24"/>
                <w:lang w:val="en-US" w:eastAsia="zh-CN"/>
              </w:rPr>
              <w:t>本项目采取规范临时占地、裸露地表和物料遮盖的措施，可减少雨水冲刷泥沙量。在雨水径流量较大时，通过临时排水沟排入沉淀池处理后，部分回用于场内洒水抑尘、建筑养护用水等，剩余部分通过临时排放口排入市政雨水管网。采取措施后，能够将雨水冲刷的影响降至最低。</w:t>
            </w:r>
          </w:p>
          <w:p w14:paraId="1A9F172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4.3.3施工人员生活污水</w:t>
            </w:r>
          </w:p>
          <w:p w14:paraId="4D70AB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施工人员不在项目区食宿</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项目施工期间需布设施工场地及施工指挥部，为临时活动板房，主要用于现场指挥人员办公、施工工具的堆放，</w:t>
            </w:r>
            <w:r>
              <w:rPr>
                <w:rFonts w:hint="eastAsia" w:cs="Times New Roman"/>
                <w:sz w:val="24"/>
                <w:szCs w:val="24"/>
                <w:lang w:val="en-US" w:eastAsia="zh-CN"/>
              </w:rPr>
              <w:t>施工期间生活污水主要为办公废水和施工人员洗手废水，设置临时沉淀池，收集沉淀后用于厂区洒水降尘，不外排。</w:t>
            </w:r>
          </w:p>
          <w:p w14:paraId="7E44314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4.3.</w:t>
            </w:r>
            <w:r>
              <w:rPr>
                <w:rFonts w:hint="eastAsia" w:ascii="Times New Roman" w:hAnsi="Times New Roman" w:cs="Times New Roman"/>
                <w:b/>
                <w:bCs/>
                <w:sz w:val="24"/>
                <w:szCs w:val="24"/>
                <w:lang w:val="en-US" w:eastAsia="zh-CN"/>
              </w:rPr>
              <w:t>4</w:t>
            </w:r>
            <w:r>
              <w:rPr>
                <w:rFonts w:hint="eastAsia" w:ascii="Times New Roman" w:hAnsi="Times New Roman" w:eastAsia="宋体" w:cs="Times New Roman"/>
                <w:b/>
                <w:bCs/>
                <w:sz w:val="24"/>
                <w:szCs w:val="24"/>
                <w:lang w:val="en-US" w:eastAsia="zh-CN"/>
              </w:rPr>
              <w:t>水环境保护措施</w:t>
            </w:r>
          </w:p>
          <w:p w14:paraId="08A325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为防止施工废水污染附近地表水，环评要求建设单位在施工过程中采取以下措施：</w:t>
            </w:r>
          </w:p>
          <w:p w14:paraId="70267E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在项目区设置1个容积为15m</w:t>
            </w:r>
            <w:r>
              <w:rPr>
                <w:rFonts w:hint="eastAsia" w:cs="Times New Roman"/>
                <w:sz w:val="24"/>
                <w:szCs w:val="24"/>
                <w:vertAlign w:val="superscript"/>
                <w:lang w:val="en-US" w:eastAsia="zh-CN"/>
              </w:rPr>
              <w:t>3</w:t>
            </w:r>
            <w:r>
              <w:rPr>
                <w:rFonts w:hint="eastAsia" w:cs="Times New Roman"/>
                <w:sz w:val="24"/>
                <w:szCs w:val="24"/>
                <w:vertAlign w:val="baseline"/>
                <w:lang w:val="en-US" w:eastAsia="zh-CN"/>
              </w:rPr>
              <w:t>的沉淀池，收集施工期的施工废水、地表径流以及施工人员生活污水，沉淀后回用于厂区洒水降尘或建筑养护，不外排。</w:t>
            </w:r>
          </w:p>
          <w:p w14:paraId="281AC34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eastAsia" w:cs="Times New Roman"/>
                <w:b/>
                <w:bCs/>
                <w:sz w:val="24"/>
                <w:szCs w:val="24"/>
                <w:lang w:val="en-US" w:eastAsia="zh-CN"/>
              </w:rPr>
              <w:t>5</w:t>
            </w:r>
            <w:r>
              <w:rPr>
                <w:rFonts w:hint="eastAsia" w:ascii="Times New Roman" w:hAnsi="Times New Roman" w:eastAsia="宋体" w:cs="Times New Roman"/>
                <w:b/>
                <w:bCs/>
                <w:sz w:val="24"/>
                <w:szCs w:val="24"/>
                <w:lang w:val="en-US" w:eastAsia="zh-CN"/>
              </w:rPr>
              <w:t>施工废</w:t>
            </w:r>
            <w:r>
              <w:rPr>
                <w:rFonts w:hint="eastAsia" w:cs="Times New Roman"/>
                <w:b/>
                <w:bCs/>
                <w:sz w:val="24"/>
                <w:szCs w:val="24"/>
                <w:lang w:val="en-US" w:eastAsia="zh-CN"/>
              </w:rPr>
              <w:t>水</w:t>
            </w:r>
            <w:r>
              <w:rPr>
                <w:rFonts w:hint="eastAsia" w:ascii="Times New Roman" w:hAnsi="Times New Roman" w:eastAsia="宋体" w:cs="Times New Roman"/>
                <w:b/>
                <w:bCs/>
                <w:sz w:val="24"/>
                <w:szCs w:val="24"/>
                <w:lang w:val="en-US" w:eastAsia="zh-CN"/>
              </w:rPr>
              <w:t>环境影响结论</w:t>
            </w:r>
          </w:p>
          <w:p w14:paraId="419B26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项目施工期产生的施工废水</w:t>
            </w:r>
            <w:r>
              <w:rPr>
                <w:rFonts w:hint="eastAsia" w:cs="Times New Roman"/>
                <w:sz w:val="24"/>
                <w:szCs w:val="24"/>
                <w:lang w:val="en-US" w:eastAsia="zh-CN"/>
              </w:rPr>
              <w:t>和生活污水</w:t>
            </w:r>
            <w:r>
              <w:rPr>
                <w:rFonts w:hint="eastAsia" w:ascii="Times New Roman" w:hAnsi="Times New Roman" w:eastAsia="宋体" w:cs="Times New Roman"/>
                <w:sz w:val="24"/>
                <w:szCs w:val="24"/>
                <w:lang w:val="en-US" w:eastAsia="zh-CN"/>
              </w:rPr>
              <w:t>经沉淀池沉淀后回用于厂区洒水抑尘、建筑养护用水等，不外排；雨天地表径流经沉淀池处理后，回用于场内洒水抑尘用水、建筑养护用水等。因此，项目施工期废水对周环境产生的影响是可以接受的</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且施工期影响随着施工结束而消失。</w:t>
            </w:r>
          </w:p>
          <w:p w14:paraId="029EC89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施工期</w:t>
            </w:r>
            <w:r>
              <w:rPr>
                <w:rFonts w:hint="eastAsia" w:ascii="Times New Roman" w:hAnsi="Times New Roman" w:cs="Times New Roman"/>
                <w:b/>
                <w:bCs/>
                <w:sz w:val="24"/>
                <w:szCs w:val="24"/>
                <w:lang w:val="en-US" w:eastAsia="zh-CN"/>
              </w:rPr>
              <w:t>噪声</w:t>
            </w:r>
            <w:r>
              <w:rPr>
                <w:rFonts w:hint="default" w:ascii="Times New Roman" w:hAnsi="Times New Roman" w:eastAsia="宋体" w:cs="Times New Roman"/>
                <w:b/>
                <w:bCs/>
                <w:sz w:val="24"/>
                <w:szCs w:val="24"/>
                <w:lang w:val="en-US" w:eastAsia="zh-CN"/>
              </w:rPr>
              <w:t>环境影响分析</w:t>
            </w:r>
          </w:p>
          <w:p w14:paraId="5A522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施工期噪声源分析</w:t>
            </w:r>
          </w:p>
          <w:p w14:paraId="748F6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（1）声源</w:t>
            </w:r>
          </w:p>
          <w:p w14:paraId="35DF0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施工噪声主要来源于运输车辆和</w:t>
            </w:r>
            <w:r>
              <w:rPr>
                <w:rFonts w:hint="default" w:ascii="Times New Roman" w:hAnsi="Times New Roman" w:eastAsia="宋体" w:cs="Times New Roman"/>
                <w:b w:val="0"/>
                <w:bCs w:val="0"/>
                <w:color w:val="auto"/>
                <w:sz w:val="24"/>
                <w:szCs w:val="24"/>
                <w:highlight w:val="none"/>
              </w:rPr>
              <w:t>推土机、</w:t>
            </w:r>
            <w:r>
              <w:rPr>
                <w:rFonts w:hint="default" w:ascii="Times New Roman" w:hAnsi="Times New Roman" w:eastAsia="宋体" w:cs="Times New Roman"/>
                <w:color w:val="auto"/>
                <w:sz w:val="24"/>
                <w:szCs w:val="24"/>
                <w:highlight w:val="none"/>
                <w:lang w:val="en-US" w:eastAsia="zh-CN"/>
              </w:rPr>
              <w:t>挖掘机、装载机等施工机械，其声级值在</w:t>
            </w:r>
            <w:r>
              <w:rPr>
                <w:rFonts w:hint="default" w:ascii="Times New Roman" w:hAnsi="Times New Roman" w:eastAsia="宋体" w:cs="Times New Roman"/>
                <w:b w:val="0"/>
                <w:bCs w:val="0"/>
                <w:color w:val="auto"/>
                <w:sz w:val="24"/>
                <w:szCs w:val="24"/>
                <w:highlight w:val="none"/>
                <w:lang w:val="en-US" w:eastAsia="zh-CN"/>
              </w:rPr>
              <w:t>80</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90</w:t>
            </w:r>
            <w:r>
              <w:rPr>
                <w:rFonts w:hint="default" w:ascii="Times New Roman" w:hAnsi="Times New Roman" w:eastAsia="宋体" w:cs="Times New Roman"/>
                <w:b w:val="0"/>
                <w:bCs w:val="0"/>
                <w:color w:val="auto"/>
                <w:sz w:val="24"/>
                <w:szCs w:val="24"/>
                <w:highlight w:val="none"/>
              </w:rPr>
              <w:t>dB</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A</w:t>
            </w:r>
            <w:r>
              <w:rPr>
                <w:rFonts w:hint="eastAsia"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左右。</w:t>
            </w:r>
          </w:p>
          <w:p w14:paraId="35B04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（2）噪声预测</w:t>
            </w:r>
          </w:p>
          <w:p w14:paraId="63D9D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施工机械中除各种运输车辆外，一般可视为固定声源。在不考虑其他因素情况下，不同距离处施工机械噪声预测模式如下：</w:t>
            </w:r>
          </w:p>
          <w:p w14:paraId="34DF000F">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jc w:val="center"/>
              <w:textAlignment w:val="auto"/>
              <w:rPr>
                <w:rFonts w:hint="default" w:ascii="Times New Roman" w:hAnsi="Times New Roman" w:eastAsia="宋体" w:cs="Times New Roman"/>
                <w:color w:val="auto"/>
                <w:sz w:val="24"/>
                <w:szCs w:val="24"/>
                <w:highlight w:val="none"/>
                <w:lang w:val="pt-BR"/>
              </w:rPr>
            </w:pPr>
            <w:r>
              <w:rPr>
                <w:rFonts w:hint="default" w:ascii="Times New Roman" w:hAnsi="Times New Roman" w:eastAsia="宋体" w:cs="Times New Roman"/>
                <w:i/>
                <w:iCs/>
                <w:color w:val="auto"/>
                <w:sz w:val="24"/>
                <w:szCs w:val="24"/>
                <w:highlight w:val="none"/>
                <w:lang w:val="pt-BR" w:bidi="ar"/>
              </w:rPr>
              <w:t>L</w:t>
            </w:r>
            <w:r>
              <w:rPr>
                <w:rFonts w:hint="default" w:ascii="Times New Roman" w:hAnsi="Times New Roman" w:eastAsia="宋体" w:cs="Times New Roman"/>
                <w:i/>
                <w:iCs/>
                <w:color w:val="auto"/>
                <w:sz w:val="24"/>
                <w:szCs w:val="24"/>
                <w:highlight w:val="none"/>
                <w:lang w:val="en-US" w:eastAsia="zh-CN" w:bidi="ar"/>
              </w:rPr>
              <w:t>p</w:t>
            </w:r>
            <w:r>
              <w:rPr>
                <w:rFonts w:hint="default" w:ascii="Times New Roman" w:hAnsi="Times New Roman" w:eastAsia="宋体" w:cs="Times New Roman"/>
                <w:i/>
                <w:iCs/>
                <w:color w:val="auto"/>
                <w:sz w:val="24"/>
                <w:szCs w:val="24"/>
                <w:highlight w:val="none"/>
                <w:lang w:val="pt-BR" w:bidi="ar"/>
              </w:rPr>
              <w:t>(r)</w:t>
            </w:r>
            <w:r>
              <w:rPr>
                <w:rFonts w:hint="default" w:ascii="Times New Roman" w:hAnsi="Times New Roman" w:eastAsia="宋体" w:cs="Times New Roman"/>
                <w:color w:val="auto"/>
                <w:sz w:val="24"/>
                <w:szCs w:val="24"/>
                <w:highlight w:val="none"/>
                <w:lang w:val="pt-BR" w:bidi="ar"/>
              </w:rPr>
              <w:t>=</w:t>
            </w:r>
            <w:r>
              <w:rPr>
                <w:rFonts w:hint="default" w:ascii="Times New Roman" w:hAnsi="Times New Roman" w:eastAsia="宋体" w:cs="Times New Roman"/>
                <w:i/>
                <w:iCs/>
                <w:color w:val="auto"/>
                <w:sz w:val="24"/>
                <w:szCs w:val="24"/>
                <w:highlight w:val="none"/>
                <w:lang w:val="pt-BR" w:bidi="ar"/>
              </w:rPr>
              <w:t>Lr</w:t>
            </w:r>
            <w:r>
              <w:rPr>
                <w:rFonts w:hint="default" w:ascii="Times New Roman" w:hAnsi="Times New Roman" w:eastAsia="宋体" w:cs="Times New Roman"/>
                <w:i/>
                <w:iCs/>
                <w:color w:val="auto"/>
                <w:sz w:val="24"/>
                <w:szCs w:val="24"/>
                <w:highlight w:val="none"/>
                <w:vertAlign w:val="subscript"/>
                <w:lang w:val="pt-BR" w:bidi="ar"/>
              </w:rPr>
              <w:t>0</w:t>
            </w:r>
            <w:r>
              <w:rPr>
                <w:rFonts w:hint="default" w:ascii="Times New Roman" w:hAnsi="Times New Roman" w:eastAsia="宋体" w:cs="Times New Roman"/>
                <w:color w:val="auto"/>
                <w:sz w:val="24"/>
                <w:szCs w:val="24"/>
                <w:highlight w:val="none"/>
                <w:lang w:val="pt-BR" w:bidi="ar"/>
              </w:rPr>
              <w:t>-20l</w:t>
            </w:r>
            <w:r>
              <w:rPr>
                <w:rFonts w:hint="default" w:ascii="Times New Roman" w:hAnsi="Times New Roman" w:eastAsia="宋体" w:cs="Times New Roman"/>
                <w:i w:val="0"/>
                <w:iCs w:val="0"/>
                <w:color w:val="auto"/>
                <w:sz w:val="24"/>
                <w:szCs w:val="24"/>
                <w:highlight w:val="none"/>
                <w:lang w:val="pt-BR" w:bidi="ar"/>
              </w:rPr>
              <w:t>g</w:t>
            </w:r>
            <w:r>
              <w:rPr>
                <w:rFonts w:hint="default" w:ascii="Times New Roman" w:hAnsi="Times New Roman" w:eastAsia="宋体" w:cs="Times New Roman"/>
                <w:i/>
                <w:iCs/>
                <w:color w:val="auto"/>
                <w:sz w:val="24"/>
                <w:szCs w:val="24"/>
                <w:highlight w:val="none"/>
                <w:lang w:val="pt-BR" w:bidi="ar"/>
              </w:rPr>
              <w:t>(r/r</w:t>
            </w:r>
            <w:r>
              <w:rPr>
                <w:rFonts w:hint="default" w:ascii="Times New Roman" w:hAnsi="Times New Roman" w:eastAsia="宋体" w:cs="Times New Roman"/>
                <w:i/>
                <w:iCs/>
                <w:color w:val="auto"/>
                <w:sz w:val="24"/>
                <w:szCs w:val="24"/>
                <w:highlight w:val="none"/>
                <w:vertAlign w:val="subscript"/>
                <w:lang w:val="pt-BR" w:bidi="ar"/>
              </w:rPr>
              <w:t>0</w:t>
            </w:r>
            <w:r>
              <w:rPr>
                <w:rFonts w:hint="default" w:ascii="Times New Roman" w:hAnsi="Times New Roman" w:eastAsia="宋体" w:cs="Times New Roman"/>
                <w:i/>
                <w:iCs/>
                <w:color w:val="auto"/>
                <w:sz w:val="24"/>
                <w:szCs w:val="24"/>
                <w:highlight w:val="none"/>
                <w:lang w:val="pt-BR" w:bidi="ar"/>
              </w:rPr>
              <w:t>)</w:t>
            </w:r>
          </w:p>
          <w:p w14:paraId="031883FC">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式中：</w:t>
            </w:r>
            <w:r>
              <w:rPr>
                <w:rFonts w:hint="default" w:ascii="Times New Roman" w:hAnsi="Times New Roman" w:eastAsia="宋体" w:cs="Times New Roman"/>
                <w:i/>
                <w:iCs/>
                <w:color w:val="auto"/>
                <w:sz w:val="24"/>
                <w:szCs w:val="24"/>
                <w:highlight w:val="none"/>
                <w:lang w:val="pt-BR" w:bidi="ar"/>
              </w:rPr>
              <w:t>L</w:t>
            </w:r>
            <w:r>
              <w:rPr>
                <w:rFonts w:hint="default" w:ascii="Times New Roman" w:hAnsi="Times New Roman" w:eastAsia="宋体" w:cs="Times New Roman"/>
                <w:i/>
                <w:iCs/>
                <w:color w:val="auto"/>
                <w:sz w:val="24"/>
                <w:szCs w:val="24"/>
                <w:highlight w:val="none"/>
                <w:lang w:val="en-US" w:eastAsia="zh-CN" w:bidi="ar"/>
              </w:rPr>
              <w:t>p</w:t>
            </w:r>
            <w:r>
              <w:rPr>
                <w:rFonts w:hint="default" w:ascii="Times New Roman" w:hAnsi="Times New Roman" w:eastAsia="宋体" w:cs="Times New Roman"/>
                <w:i/>
                <w:iCs/>
                <w:color w:val="auto"/>
                <w:sz w:val="24"/>
                <w:szCs w:val="24"/>
                <w:highlight w:val="none"/>
                <w:lang w:val="pt-BR" w:bidi="ar"/>
              </w:rPr>
              <w:t>(r)</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预测点处声压级，dB；</w:t>
            </w:r>
          </w:p>
          <w:p w14:paraId="48B99024">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firstLine="1200" w:firstLineChars="5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highlight w:val="none"/>
                <w:lang w:val="pt-BR" w:bidi="ar"/>
              </w:rPr>
              <w:t>Lr</w:t>
            </w:r>
            <w:r>
              <w:rPr>
                <w:rFonts w:hint="default" w:ascii="Times New Roman" w:hAnsi="Times New Roman" w:eastAsia="宋体" w:cs="Times New Roman"/>
                <w:i/>
                <w:iCs/>
                <w:color w:val="auto"/>
                <w:sz w:val="24"/>
                <w:szCs w:val="24"/>
                <w:highlight w:val="none"/>
                <w:vertAlign w:val="subscript"/>
                <w:lang w:val="pt-BR" w:bidi="ar"/>
              </w:rPr>
              <w:t>0</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参考位置r0处的声压级，dB；</w:t>
            </w:r>
          </w:p>
          <w:p w14:paraId="0A0FE63D">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firstLine="1200" w:firstLineChars="5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highlight w:val="none"/>
                <w:lang w:bidi="ar"/>
              </w:rPr>
              <w:t>r</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预测点距声源的距离；</w:t>
            </w:r>
          </w:p>
          <w:p w14:paraId="0D008DF2">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360" w:lineRule="auto"/>
              <w:ind w:left="0" w:right="0" w:firstLine="1200" w:firstLineChars="5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i/>
                <w:iCs/>
                <w:color w:val="auto"/>
                <w:sz w:val="24"/>
                <w:szCs w:val="24"/>
                <w:highlight w:val="none"/>
                <w:lang w:bidi="ar"/>
              </w:rPr>
              <w:t>r</w:t>
            </w:r>
            <w:r>
              <w:rPr>
                <w:rFonts w:hint="default" w:ascii="Times New Roman" w:hAnsi="Times New Roman" w:eastAsia="宋体" w:cs="Times New Roman"/>
                <w:i/>
                <w:iCs/>
                <w:color w:val="auto"/>
                <w:sz w:val="24"/>
                <w:szCs w:val="24"/>
                <w:highlight w:val="none"/>
                <w:vertAlign w:val="subscript"/>
                <w:lang w:bidi="ar"/>
              </w:rPr>
              <w:t>0</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参考位置距声源的距离；</w:t>
            </w:r>
          </w:p>
          <w:p w14:paraId="6A647D7D">
            <w:pPr>
              <w:pStyle w:val="41"/>
              <w:keepNext w:val="0"/>
              <w:keepLines w:val="0"/>
              <w:pageBreakBefore w:val="0"/>
              <w:widowControl w:val="0"/>
              <w:suppressLineNumbers w:val="0"/>
              <w:kinsoku/>
              <w:wordWrap/>
              <w:overflowPunct/>
              <w:topLinePunct w:val="0"/>
              <w:bidi w:val="0"/>
              <w:adjustRightInd/>
              <w:snapToGrid/>
              <w:spacing w:beforeAutospacing="0" w:afterAutospacing="0" w:line="360" w:lineRule="auto"/>
              <w:ind w:left="0" w:right="0"/>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各声源在某一预测点产生的合成声级采用以下计算模式：</w:t>
            </w:r>
          </w:p>
          <w:p w14:paraId="10213249">
            <w:pPr>
              <w:pStyle w:val="41"/>
              <w:keepNext w:val="0"/>
              <w:keepLines w:val="0"/>
              <w:pageBreakBefore w:val="0"/>
              <w:widowControl w:val="0"/>
              <w:suppressLineNumbers w:val="0"/>
              <w:kinsoku/>
              <w:wordWrap/>
              <w:overflowPunct/>
              <w:topLinePunct w:val="0"/>
              <w:bidi w:val="0"/>
              <w:adjustRightInd/>
              <w:snapToGrid/>
              <w:spacing w:beforeAutospacing="0" w:afterAutospacing="0" w:line="360" w:lineRule="auto"/>
              <w:ind w:left="0" w:right="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position w:val="-34"/>
                <w:sz w:val="24"/>
                <w:szCs w:val="24"/>
                <w:highlight w:val="none"/>
              </w:rPr>
              <w:object>
                <v:shape id="_x0000_i1029" o:spt="75" type="#_x0000_t75" style="height:40pt;width:98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p>
          <w:p w14:paraId="4A64BA2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项目施工期主要的噪声源，各施工机械设备等效声级影响范围详见下表。</w:t>
            </w:r>
          </w:p>
          <w:p w14:paraId="3AB7A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黑体" w:hAnsi="黑体" w:eastAsia="黑体" w:cs="黑体"/>
                <w:b w:val="0"/>
                <w:bCs w:val="0"/>
                <w:color w:val="auto"/>
                <w:kern w:val="0"/>
                <w:sz w:val="21"/>
                <w:szCs w:val="21"/>
                <w:highlight w:val="none"/>
                <w:lang w:val="en-US" w:eastAsia="zh-CN" w:bidi="ar"/>
              </w:rPr>
            </w:pPr>
            <w:r>
              <w:rPr>
                <w:rFonts w:hint="eastAsia" w:ascii="黑体" w:hAnsi="黑体" w:eastAsia="黑体" w:cs="黑体"/>
                <w:b w:val="0"/>
                <w:bCs w:val="0"/>
                <w:color w:val="auto"/>
                <w:kern w:val="0"/>
                <w:sz w:val="21"/>
                <w:szCs w:val="21"/>
                <w:highlight w:val="none"/>
                <w:lang w:val="en-US" w:eastAsia="zh-CN" w:bidi="ar"/>
              </w:rPr>
              <w:t>表4-4  距声源不同距离处的噪声值预测结果一览表 单位：dB（A）</w:t>
            </w:r>
          </w:p>
          <w:tbl>
            <w:tblPr>
              <w:tblStyle w:val="23"/>
              <w:tblW w:w="78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807"/>
              <w:gridCol w:w="679"/>
              <w:gridCol w:w="667"/>
              <w:gridCol w:w="626"/>
              <w:gridCol w:w="640"/>
              <w:gridCol w:w="599"/>
              <w:gridCol w:w="685"/>
              <w:gridCol w:w="688"/>
              <w:gridCol w:w="740"/>
              <w:gridCol w:w="637"/>
            </w:tblGrid>
            <w:tr w14:paraId="1CAAED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Borders>
                    <w:tl2br w:val="nil"/>
                    <w:tr2bl w:val="nil"/>
                  </w:tcBorders>
                  <w:vAlign w:val="center"/>
                </w:tcPr>
                <w:p w14:paraId="60310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设备名称</w:t>
                  </w:r>
                </w:p>
              </w:tc>
              <w:tc>
                <w:tcPr>
                  <w:tcW w:w="807" w:type="dxa"/>
                  <w:tcBorders>
                    <w:tl2br w:val="nil"/>
                    <w:tr2bl w:val="nil"/>
                  </w:tcBorders>
                  <w:vAlign w:val="center"/>
                </w:tcPr>
                <w:p w14:paraId="0E777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源强（1m）</w:t>
                  </w:r>
                </w:p>
              </w:tc>
              <w:tc>
                <w:tcPr>
                  <w:tcW w:w="679" w:type="dxa"/>
                  <w:tcBorders>
                    <w:tl2br w:val="nil"/>
                    <w:tr2bl w:val="nil"/>
                  </w:tcBorders>
                  <w:vAlign w:val="center"/>
                </w:tcPr>
                <w:p w14:paraId="1AEA6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5m</w:t>
                  </w:r>
                </w:p>
              </w:tc>
              <w:tc>
                <w:tcPr>
                  <w:tcW w:w="667" w:type="dxa"/>
                  <w:tcBorders>
                    <w:tl2br w:val="nil"/>
                    <w:tr2bl w:val="nil"/>
                  </w:tcBorders>
                  <w:vAlign w:val="center"/>
                </w:tcPr>
                <w:p w14:paraId="16C42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10m</w:t>
                  </w:r>
                </w:p>
              </w:tc>
              <w:tc>
                <w:tcPr>
                  <w:tcW w:w="626" w:type="dxa"/>
                  <w:tcBorders>
                    <w:tl2br w:val="nil"/>
                    <w:tr2bl w:val="nil"/>
                  </w:tcBorders>
                  <w:vAlign w:val="center"/>
                </w:tcPr>
                <w:p w14:paraId="0D996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20m</w:t>
                  </w:r>
                </w:p>
              </w:tc>
              <w:tc>
                <w:tcPr>
                  <w:tcW w:w="640" w:type="dxa"/>
                  <w:tcBorders>
                    <w:tl2br w:val="nil"/>
                    <w:tr2bl w:val="nil"/>
                  </w:tcBorders>
                  <w:vAlign w:val="center"/>
                </w:tcPr>
                <w:p w14:paraId="3C61F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40m</w:t>
                  </w:r>
                </w:p>
              </w:tc>
              <w:tc>
                <w:tcPr>
                  <w:tcW w:w="599" w:type="dxa"/>
                  <w:tcBorders>
                    <w:tl2br w:val="nil"/>
                    <w:tr2bl w:val="nil"/>
                  </w:tcBorders>
                  <w:vAlign w:val="center"/>
                </w:tcPr>
                <w:p w14:paraId="5C567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50m</w:t>
                  </w:r>
                </w:p>
              </w:tc>
              <w:tc>
                <w:tcPr>
                  <w:tcW w:w="685" w:type="dxa"/>
                  <w:tcBorders>
                    <w:tl2br w:val="nil"/>
                    <w:tr2bl w:val="nil"/>
                  </w:tcBorders>
                  <w:vAlign w:val="center"/>
                </w:tcPr>
                <w:p w14:paraId="550EA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100m</w:t>
                  </w:r>
                </w:p>
              </w:tc>
              <w:tc>
                <w:tcPr>
                  <w:tcW w:w="688" w:type="dxa"/>
                  <w:tcBorders>
                    <w:tl2br w:val="nil"/>
                    <w:tr2bl w:val="nil"/>
                  </w:tcBorders>
                  <w:vAlign w:val="center"/>
                </w:tcPr>
                <w:p w14:paraId="766BC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150m</w:t>
                  </w:r>
                </w:p>
              </w:tc>
              <w:tc>
                <w:tcPr>
                  <w:tcW w:w="740" w:type="dxa"/>
                  <w:tcBorders>
                    <w:tl2br w:val="nil"/>
                    <w:tr2bl w:val="nil"/>
                  </w:tcBorders>
                  <w:vAlign w:val="center"/>
                </w:tcPr>
                <w:p w14:paraId="402EC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200m</w:t>
                  </w:r>
                </w:p>
              </w:tc>
              <w:tc>
                <w:tcPr>
                  <w:tcW w:w="637" w:type="dxa"/>
                  <w:tcBorders>
                    <w:tl2br w:val="nil"/>
                    <w:tr2bl w:val="nil"/>
                  </w:tcBorders>
                  <w:vAlign w:val="center"/>
                </w:tcPr>
                <w:p w14:paraId="0CE1D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300m</w:t>
                  </w:r>
                </w:p>
              </w:tc>
            </w:tr>
            <w:tr w14:paraId="24D539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Borders>
                    <w:tl2br w:val="nil"/>
                    <w:tr2bl w:val="nil"/>
                  </w:tcBorders>
                  <w:vAlign w:val="center"/>
                </w:tcPr>
                <w:p w14:paraId="3242D40C">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kern w:val="2"/>
                      <w:sz w:val="18"/>
                      <w:szCs w:val="18"/>
                      <w:highlight w:val="none"/>
                      <w:lang w:val="en-US" w:eastAsia="zh-CN" w:bidi="ar-SA"/>
                    </w:rPr>
                  </w:pPr>
                  <w:r>
                    <w:rPr>
                      <w:rFonts w:hint="default"/>
                      <w:color w:val="auto"/>
                      <w:spacing w:val="6"/>
                      <w:sz w:val="18"/>
                      <w:szCs w:val="18"/>
                      <w:highlight w:val="none"/>
                    </w:rPr>
                    <w:t>推土机</w:t>
                  </w:r>
                </w:p>
              </w:tc>
              <w:tc>
                <w:tcPr>
                  <w:tcW w:w="807" w:type="dxa"/>
                  <w:tcBorders>
                    <w:tl2br w:val="nil"/>
                    <w:tr2bl w:val="nil"/>
                  </w:tcBorders>
                  <w:vAlign w:val="center"/>
                </w:tcPr>
                <w:p w14:paraId="2194FD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1"/>
                      <w:sz w:val="18"/>
                      <w:szCs w:val="18"/>
                      <w:highlight w:val="none"/>
                    </w:rPr>
                    <w:t>70</w:t>
                  </w:r>
                </w:p>
              </w:tc>
              <w:tc>
                <w:tcPr>
                  <w:tcW w:w="679" w:type="dxa"/>
                  <w:tcBorders>
                    <w:tl2br w:val="nil"/>
                    <w:tr2bl w:val="nil"/>
                  </w:tcBorders>
                  <w:vAlign w:val="center"/>
                </w:tcPr>
                <w:p w14:paraId="22FD00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56</w:t>
                  </w:r>
                </w:p>
              </w:tc>
              <w:tc>
                <w:tcPr>
                  <w:tcW w:w="667" w:type="dxa"/>
                  <w:tcBorders>
                    <w:tl2br w:val="nil"/>
                    <w:tr2bl w:val="nil"/>
                  </w:tcBorders>
                  <w:vAlign w:val="center"/>
                </w:tcPr>
                <w:p w14:paraId="48AD23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50</w:t>
                  </w:r>
                </w:p>
              </w:tc>
              <w:tc>
                <w:tcPr>
                  <w:tcW w:w="626" w:type="dxa"/>
                  <w:tcBorders>
                    <w:tl2br w:val="nil"/>
                    <w:tr2bl w:val="nil"/>
                  </w:tcBorders>
                  <w:vAlign w:val="center"/>
                </w:tcPr>
                <w:p w14:paraId="0191C2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3"/>
                      <w:sz w:val="18"/>
                      <w:szCs w:val="18"/>
                      <w:highlight w:val="none"/>
                    </w:rPr>
                    <w:t>44</w:t>
                  </w:r>
                </w:p>
              </w:tc>
              <w:tc>
                <w:tcPr>
                  <w:tcW w:w="640" w:type="dxa"/>
                  <w:tcBorders>
                    <w:tl2br w:val="nil"/>
                    <w:tr2bl w:val="nil"/>
                  </w:tcBorders>
                  <w:vAlign w:val="center"/>
                </w:tcPr>
                <w:p w14:paraId="78C9E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38</w:t>
                  </w:r>
                </w:p>
              </w:tc>
              <w:tc>
                <w:tcPr>
                  <w:tcW w:w="599" w:type="dxa"/>
                  <w:tcBorders>
                    <w:tl2br w:val="nil"/>
                    <w:tr2bl w:val="nil"/>
                  </w:tcBorders>
                  <w:vAlign w:val="center"/>
                </w:tcPr>
                <w:p w14:paraId="74996F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36</w:t>
                  </w:r>
                </w:p>
              </w:tc>
              <w:tc>
                <w:tcPr>
                  <w:tcW w:w="685" w:type="dxa"/>
                  <w:tcBorders>
                    <w:tl2br w:val="nil"/>
                    <w:tr2bl w:val="nil"/>
                  </w:tcBorders>
                  <w:vAlign w:val="center"/>
                </w:tcPr>
                <w:p w14:paraId="66E049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30</w:t>
                  </w:r>
                </w:p>
              </w:tc>
              <w:tc>
                <w:tcPr>
                  <w:tcW w:w="688" w:type="dxa"/>
                  <w:tcBorders>
                    <w:tl2br w:val="nil"/>
                    <w:tr2bl w:val="nil"/>
                  </w:tcBorders>
                  <w:vAlign w:val="center"/>
                </w:tcPr>
                <w:p w14:paraId="4B716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26</w:t>
                  </w:r>
                </w:p>
              </w:tc>
              <w:tc>
                <w:tcPr>
                  <w:tcW w:w="740" w:type="dxa"/>
                  <w:tcBorders>
                    <w:tl2br w:val="nil"/>
                    <w:tr2bl w:val="nil"/>
                  </w:tcBorders>
                  <w:vAlign w:val="center"/>
                </w:tcPr>
                <w:p w14:paraId="32F96A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24</w:t>
                  </w:r>
                </w:p>
              </w:tc>
              <w:tc>
                <w:tcPr>
                  <w:tcW w:w="637" w:type="dxa"/>
                  <w:tcBorders>
                    <w:tl2br w:val="nil"/>
                    <w:tr2bl w:val="nil"/>
                  </w:tcBorders>
                  <w:vAlign w:val="center"/>
                </w:tcPr>
                <w:p w14:paraId="357BB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20</w:t>
                  </w:r>
                </w:p>
              </w:tc>
            </w:tr>
            <w:tr w14:paraId="625347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Borders>
                    <w:tl2br w:val="nil"/>
                    <w:tr2bl w:val="nil"/>
                  </w:tcBorders>
                  <w:vAlign w:val="center"/>
                </w:tcPr>
                <w:p w14:paraId="17D39CCC">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kern w:val="2"/>
                      <w:sz w:val="18"/>
                      <w:szCs w:val="18"/>
                      <w:highlight w:val="none"/>
                      <w:lang w:val="en-US" w:eastAsia="zh-CN" w:bidi="ar-SA"/>
                    </w:rPr>
                  </w:pPr>
                  <w:r>
                    <w:rPr>
                      <w:rFonts w:hint="default"/>
                      <w:color w:val="auto"/>
                      <w:spacing w:val="7"/>
                      <w:sz w:val="18"/>
                      <w:szCs w:val="18"/>
                      <w:highlight w:val="none"/>
                    </w:rPr>
                    <w:t>挖掘机</w:t>
                  </w:r>
                </w:p>
              </w:tc>
              <w:tc>
                <w:tcPr>
                  <w:tcW w:w="807" w:type="dxa"/>
                  <w:tcBorders>
                    <w:tl2br w:val="nil"/>
                    <w:tr2bl w:val="nil"/>
                  </w:tcBorders>
                  <w:vAlign w:val="center"/>
                </w:tcPr>
                <w:p w14:paraId="2DB6F9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80</w:t>
                  </w:r>
                </w:p>
              </w:tc>
              <w:tc>
                <w:tcPr>
                  <w:tcW w:w="679" w:type="dxa"/>
                  <w:tcBorders>
                    <w:tl2br w:val="nil"/>
                    <w:tr2bl w:val="nil"/>
                  </w:tcBorders>
                  <w:vAlign w:val="center"/>
                </w:tcPr>
                <w:p w14:paraId="7E53A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66</w:t>
                  </w:r>
                </w:p>
              </w:tc>
              <w:tc>
                <w:tcPr>
                  <w:tcW w:w="667" w:type="dxa"/>
                  <w:tcBorders>
                    <w:tl2br w:val="nil"/>
                    <w:tr2bl w:val="nil"/>
                  </w:tcBorders>
                  <w:vAlign w:val="center"/>
                </w:tcPr>
                <w:p w14:paraId="45897C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60</w:t>
                  </w:r>
                </w:p>
              </w:tc>
              <w:tc>
                <w:tcPr>
                  <w:tcW w:w="626" w:type="dxa"/>
                  <w:tcBorders>
                    <w:tl2br w:val="nil"/>
                    <w:tr2bl w:val="nil"/>
                  </w:tcBorders>
                  <w:vAlign w:val="center"/>
                </w:tcPr>
                <w:p w14:paraId="05849A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54</w:t>
                  </w:r>
                </w:p>
              </w:tc>
              <w:tc>
                <w:tcPr>
                  <w:tcW w:w="640" w:type="dxa"/>
                  <w:tcBorders>
                    <w:tl2br w:val="nil"/>
                    <w:tr2bl w:val="nil"/>
                  </w:tcBorders>
                  <w:vAlign w:val="center"/>
                </w:tcPr>
                <w:p w14:paraId="46603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48</w:t>
                  </w:r>
                </w:p>
              </w:tc>
              <w:tc>
                <w:tcPr>
                  <w:tcW w:w="599" w:type="dxa"/>
                  <w:tcBorders>
                    <w:tl2br w:val="nil"/>
                    <w:tr2bl w:val="nil"/>
                  </w:tcBorders>
                  <w:vAlign w:val="center"/>
                </w:tcPr>
                <w:p w14:paraId="3A058E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3"/>
                      <w:sz w:val="18"/>
                      <w:szCs w:val="18"/>
                      <w:highlight w:val="none"/>
                    </w:rPr>
                    <w:t>46</w:t>
                  </w:r>
                </w:p>
              </w:tc>
              <w:tc>
                <w:tcPr>
                  <w:tcW w:w="685" w:type="dxa"/>
                  <w:tcBorders>
                    <w:tl2br w:val="nil"/>
                    <w:tr2bl w:val="nil"/>
                  </w:tcBorders>
                  <w:vAlign w:val="center"/>
                </w:tcPr>
                <w:p w14:paraId="26BA68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3"/>
                      <w:sz w:val="18"/>
                      <w:szCs w:val="18"/>
                      <w:highlight w:val="none"/>
                    </w:rPr>
                    <w:t>40</w:t>
                  </w:r>
                </w:p>
              </w:tc>
              <w:tc>
                <w:tcPr>
                  <w:tcW w:w="688" w:type="dxa"/>
                  <w:tcBorders>
                    <w:tl2br w:val="nil"/>
                    <w:tr2bl w:val="nil"/>
                  </w:tcBorders>
                  <w:vAlign w:val="center"/>
                </w:tcPr>
                <w:p w14:paraId="06665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36</w:t>
                  </w:r>
                </w:p>
              </w:tc>
              <w:tc>
                <w:tcPr>
                  <w:tcW w:w="740" w:type="dxa"/>
                  <w:tcBorders>
                    <w:tl2br w:val="nil"/>
                    <w:tr2bl w:val="nil"/>
                  </w:tcBorders>
                  <w:vAlign w:val="center"/>
                </w:tcPr>
                <w:p w14:paraId="3FA5DD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34</w:t>
                  </w:r>
                </w:p>
              </w:tc>
              <w:tc>
                <w:tcPr>
                  <w:tcW w:w="637" w:type="dxa"/>
                  <w:tcBorders>
                    <w:tl2br w:val="nil"/>
                    <w:tr2bl w:val="nil"/>
                  </w:tcBorders>
                  <w:vAlign w:val="center"/>
                </w:tcPr>
                <w:p w14:paraId="595D0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30</w:t>
                  </w:r>
                </w:p>
              </w:tc>
            </w:tr>
            <w:tr w14:paraId="36435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Borders>
                    <w:tl2br w:val="nil"/>
                    <w:tr2bl w:val="nil"/>
                  </w:tcBorders>
                  <w:vAlign w:val="center"/>
                </w:tcPr>
                <w:p w14:paraId="36F6D335">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kern w:val="2"/>
                      <w:sz w:val="18"/>
                      <w:szCs w:val="18"/>
                      <w:highlight w:val="none"/>
                      <w:lang w:val="en-US" w:eastAsia="zh-CN" w:bidi="ar-SA"/>
                    </w:rPr>
                  </w:pPr>
                  <w:r>
                    <w:rPr>
                      <w:rFonts w:hint="default"/>
                      <w:color w:val="auto"/>
                      <w:spacing w:val="6"/>
                      <w:sz w:val="18"/>
                      <w:szCs w:val="18"/>
                      <w:highlight w:val="none"/>
                    </w:rPr>
                    <w:t>装载机</w:t>
                  </w:r>
                </w:p>
              </w:tc>
              <w:tc>
                <w:tcPr>
                  <w:tcW w:w="807" w:type="dxa"/>
                  <w:tcBorders>
                    <w:tl2br w:val="nil"/>
                    <w:tr2bl w:val="nil"/>
                  </w:tcBorders>
                  <w:vAlign w:val="center"/>
                </w:tcPr>
                <w:p w14:paraId="203808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85</w:t>
                  </w:r>
                </w:p>
              </w:tc>
              <w:tc>
                <w:tcPr>
                  <w:tcW w:w="679" w:type="dxa"/>
                  <w:tcBorders>
                    <w:tl2br w:val="nil"/>
                    <w:tr2bl w:val="nil"/>
                  </w:tcBorders>
                  <w:vAlign w:val="center"/>
                </w:tcPr>
                <w:p w14:paraId="56BC15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1"/>
                      <w:sz w:val="18"/>
                      <w:szCs w:val="18"/>
                      <w:highlight w:val="none"/>
                    </w:rPr>
                    <w:t>71</w:t>
                  </w:r>
                </w:p>
              </w:tc>
              <w:tc>
                <w:tcPr>
                  <w:tcW w:w="667" w:type="dxa"/>
                  <w:tcBorders>
                    <w:tl2br w:val="nil"/>
                    <w:tr2bl w:val="nil"/>
                  </w:tcBorders>
                  <w:vAlign w:val="center"/>
                </w:tcPr>
                <w:p w14:paraId="33F970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65</w:t>
                  </w:r>
                </w:p>
              </w:tc>
              <w:tc>
                <w:tcPr>
                  <w:tcW w:w="626" w:type="dxa"/>
                  <w:tcBorders>
                    <w:tl2br w:val="nil"/>
                    <w:tr2bl w:val="nil"/>
                  </w:tcBorders>
                  <w:vAlign w:val="center"/>
                </w:tcPr>
                <w:p w14:paraId="49FCCB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60</w:t>
                  </w:r>
                </w:p>
              </w:tc>
              <w:tc>
                <w:tcPr>
                  <w:tcW w:w="640" w:type="dxa"/>
                  <w:tcBorders>
                    <w:tl2br w:val="nil"/>
                    <w:tr2bl w:val="nil"/>
                  </w:tcBorders>
                  <w:vAlign w:val="center"/>
                </w:tcPr>
                <w:p w14:paraId="322C2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53</w:t>
                  </w:r>
                </w:p>
              </w:tc>
              <w:tc>
                <w:tcPr>
                  <w:tcW w:w="599" w:type="dxa"/>
                  <w:tcBorders>
                    <w:tl2br w:val="nil"/>
                    <w:tr2bl w:val="nil"/>
                  </w:tcBorders>
                  <w:vAlign w:val="center"/>
                </w:tcPr>
                <w:p w14:paraId="72BF9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51</w:t>
                  </w:r>
                </w:p>
              </w:tc>
              <w:tc>
                <w:tcPr>
                  <w:tcW w:w="685" w:type="dxa"/>
                  <w:tcBorders>
                    <w:tl2br w:val="nil"/>
                    <w:tr2bl w:val="nil"/>
                  </w:tcBorders>
                  <w:vAlign w:val="center"/>
                </w:tcPr>
                <w:p w14:paraId="349535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3"/>
                      <w:sz w:val="18"/>
                      <w:szCs w:val="18"/>
                      <w:highlight w:val="none"/>
                    </w:rPr>
                    <w:t>45</w:t>
                  </w:r>
                </w:p>
              </w:tc>
              <w:tc>
                <w:tcPr>
                  <w:tcW w:w="688" w:type="dxa"/>
                  <w:tcBorders>
                    <w:tl2br w:val="nil"/>
                    <w:tr2bl w:val="nil"/>
                  </w:tcBorders>
                  <w:vAlign w:val="center"/>
                </w:tcPr>
                <w:p w14:paraId="4DD1E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41</w:t>
                  </w:r>
                </w:p>
              </w:tc>
              <w:tc>
                <w:tcPr>
                  <w:tcW w:w="740" w:type="dxa"/>
                  <w:tcBorders>
                    <w:tl2br w:val="nil"/>
                    <w:tr2bl w:val="nil"/>
                  </w:tcBorders>
                  <w:vAlign w:val="center"/>
                </w:tcPr>
                <w:p w14:paraId="10DBE8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39</w:t>
                  </w:r>
                </w:p>
              </w:tc>
              <w:tc>
                <w:tcPr>
                  <w:tcW w:w="637" w:type="dxa"/>
                  <w:tcBorders>
                    <w:tl2br w:val="nil"/>
                    <w:tr2bl w:val="nil"/>
                  </w:tcBorders>
                  <w:vAlign w:val="center"/>
                </w:tcPr>
                <w:p w14:paraId="0B4BB0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35</w:t>
                  </w:r>
                </w:p>
              </w:tc>
            </w:tr>
          </w:tbl>
          <w:p w14:paraId="10C43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（3）预测结果</w:t>
            </w:r>
          </w:p>
          <w:p w14:paraId="399DCCC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根据上表噪声预测结果可知，项目施工噪声仅对施工点周围20m范围内产生较大影响，其他区域影响较小。</w:t>
            </w:r>
          </w:p>
          <w:p w14:paraId="1E3DDAA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.2噪声防治措施</w:t>
            </w:r>
          </w:p>
          <w:p w14:paraId="753B54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倡导文明施工，进一步降低减少施工噪声影响，可采取如下噪声防治措施：</w:t>
            </w:r>
          </w:p>
          <w:p w14:paraId="261633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①合理安排施工场地，施工场地尽量远离居民区等敏感点；施工场界内合理安排施工机械，噪声大的施工机械布置在远离居民区等敏感点的一侧；</w:t>
            </w: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合理安排作业时间，噪声大的作业尽量安排在白天，夜间禁止打桩；</w:t>
            </w:r>
            <w:r>
              <w:rPr>
                <w:rFonts w:hint="eastAsia" w:ascii="Times New Roman" w:hAnsi="Times New Roman" w:eastAsia="宋体" w:cs="Times New Roman"/>
                <w:color w:val="auto"/>
                <w:sz w:val="24"/>
                <w:szCs w:val="24"/>
                <w:highlight w:val="none"/>
                <w:lang w:val="en-US" w:eastAsia="zh-CN"/>
              </w:rPr>
              <w:t>确需</w:t>
            </w:r>
            <w:r>
              <w:rPr>
                <w:rFonts w:hint="default" w:ascii="Times New Roman" w:hAnsi="Times New Roman" w:eastAsia="宋体" w:cs="Times New Roman"/>
                <w:color w:val="auto"/>
                <w:sz w:val="24"/>
                <w:szCs w:val="24"/>
                <w:highlight w:val="none"/>
                <w:lang w:val="en-US" w:eastAsia="zh-CN"/>
              </w:rPr>
              <w:t>夜间施工作业的</w:t>
            </w:r>
            <w:r>
              <w:rPr>
                <w:rFonts w:hint="eastAsia" w:ascii="Times New Roman" w:hAnsi="Times New Roman" w:eastAsia="宋体" w:cs="Times New Roman"/>
                <w:color w:val="auto"/>
                <w:sz w:val="24"/>
                <w:szCs w:val="24"/>
                <w:highlight w:val="none"/>
                <w:lang w:val="en-US" w:eastAsia="zh-CN"/>
              </w:rPr>
              <w:t>，应在周边关心点</w:t>
            </w:r>
            <w:r>
              <w:rPr>
                <w:rFonts w:hint="default" w:ascii="Times New Roman" w:hAnsi="Times New Roman" w:eastAsia="宋体" w:cs="Times New Roman"/>
                <w:color w:val="auto"/>
                <w:sz w:val="24"/>
                <w:szCs w:val="24"/>
                <w:highlight w:val="none"/>
                <w:lang w:val="en-US" w:eastAsia="zh-CN"/>
              </w:rPr>
              <w:t>张贴施工告示</w:t>
            </w:r>
            <w:r>
              <w:rPr>
                <w:rFonts w:hint="eastAsia" w:ascii="Times New Roman" w:hAnsi="Times New Roman" w:eastAsia="宋体" w:cs="Times New Roman"/>
                <w:color w:val="auto"/>
                <w:sz w:val="24"/>
                <w:szCs w:val="24"/>
                <w:highlight w:val="none"/>
                <w:lang w:val="en-US" w:eastAsia="zh-CN"/>
              </w:rPr>
              <w:t>，并到相关部门备案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并</w:t>
            </w:r>
            <w:r>
              <w:rPr>
                <w:rFonts w:hint="default" w:ascii="Times New Roman" w:hAnsi="Times New Roman" w:eastAsia="宋体" w:cs="Times New Roman"/>
                <w:color w:val="auto"/>
                <w:sz w:val="24"/>
                <w:szCs w:val="24"/>
                <w:highlight w:val="none"/>
                <w:lang w:val="en-US" w:eastAsia="zh-CN"/>
              </w:rPr>
              <w:t>采取措施，最大限度减少施工噪声。</w:t>
            </w:r>
            <w:r>
              <w:rPr>
                <w:rFonts w:hint="eastAsia" w:ascii="Times New Roman" w:hAnsi="Times New Roman" w:eastAsia="宋体" w:cs="Times New Roman"/>
                <w:color w:val="auto"/>
                <w:sz w:val="24"/>
                <w:szCs w:val="24"/>
                <w:highlight w:val="none"/>
                <w:lang w:val="en-US" w:eastAsia="zh-CN"/>
              </w:rPr>
              <w:t>③加强管理，</w:t>
            </w:r>
            <w:r>
              <w:rPr>
                <w:rFonts w:hint="default" w:ascii="Times New Roman" w:hAnsi="Times New Roman" w:eastAsia="宋体" w:cs="Times New Roman"/>
                <w:color w:val="auto"/>
                <w:sz w:val="24"/>
                <w:szCs w:val="24"/>
                <w:highlight w:val="none"/>
                <w:lang w:val="en-US" w:eastAsia="zh-CN"/>
              </w:rPr>
              <w:t>对人为的施工噪声应有管理制度和降噪措施，并进行严格控制。承担夜间材料运输的车辆，进入施工现场严禁鸣笛，装卸材料应做到轻拿轻放，减少噪声扰民；④合理规划施工便道和载重车辆走行时间，尽量不穿村或远离村庄，减小运输噪声对居民的影响；</w:t>
            </w: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做好宣传工作，倡导科学管理和文明施工，降低人为因素造成的噪声污染；</w:t>
            </w:r>
            <w:r>
              <w:rPr>
                <w:rFonts w:hint="eastAsia" w:ascii="Times New Roman" w:hAnsi="Times New Roman" w:eastAsia="宋体" w:cs="Times New Roman"/>
                <w:color w:val="auto"/>
                <w:sz w:val="24"/>
                <w:szCs w:val="24"/>
                <w:highlight w:val="none"/>
                <w:lang w:val="en-US" w:eastAsia="zh-CN"/>
              </w:rPr>
              <w:t>⑥选用低噪声的施工机械及施工工艺，加强施工机械的保养，降低噪声；⑦施工场地四周设置临时隔声声障（如设置临时围墙等）；对位置相对固定的机械设备，能于棚内操作的尽量入操作间</w:t>
            </w:r>
            <w:r>
              <w:rPr>
                <w:rFonts w:hint="default" w:ascii="Times New Roman" w:hAnsi="Times New Roman" w:eastAsia="宋体" w:cs="Times New Roman"/>
                <w:color w:val="auto"/>
                <w:sz w:val="24"/>
                <w:szCs w:val="24"/>
                <w:highlight w:val="none"/>
                <w:lang w:val="en-US" w:eastAsia="zh-CN"/>
              </w:rPr>
              <w:t>。</w:t>
            </w:r>
          </w:p>
          <w:p w14:paraId="01D3E32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val="en-US" w:eastAsia="zh-CN"/>
              </w:rPr>
              <w:t>施工噪声环境影响结论</w:t>
            </w:r>
          </w:p>
          <w:p w14:paraId="2D9C96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于项目施工区域距离居民点较远，且高噪声设备夜间不施工，对周边声环境影响较小。通过采取上述噪声防治措施，将降低噪声影响。施工期间的噪声将随施工活动的结束而消失，属短期影响，总体来看施工期的噪声对周边环境影响很小</w:t>
            </w:r>
            <w:r>
              <w:rPr>
                <w:rFonts w:hint="eastAsia" w:cs="Times New Roman"/>
                <w:sz w:val="24"/>
                <w:szCs w:val="24"/>
                <w:lang w:val="en-US" w:eastAsia="zh-CN"/>
              </w:rPr>
              <w:t>。</w:t>
            </w:r>
          </w:p>
          <w:p w14:paraId="0270AA6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5</w:t>
            </w:r>
            <w:r>
              <w:rPr>
                <w:rFonts w:hint="eastAsia" w:ascii="Times New Roman" w:hAnsi="Times New Roman" w:eastAsia="宋体" w:cs="Times New Roman"/>
                <w:b/>
                <w:bCs/>
                <w:sz w:val="24"/>
                <w:szCs w:val="24"/>
                <w:lang w:val="en-US" w:eastAsia="zh-CN"/>
              </w:rPr>
              <w:t>固废污染影响分析</w:t>
            </w:r>
          </w:p>
          <w:p w14:paraId="6DE831F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土石方</w:t>
            </w:r>
          </w:p>
          <w:p w14:paraId="62C5C4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vertAlign w:val="baseline"/>
                <w:lang w:val="en-US" w:eastAsia="zh-CN"/>
              </w:rPr>
            </w:pPr>
            <w:r>
              <w:rPr>
                <w:rFonts w:hint="eastAsia"/>
                <w:color w:val="auto"/>
                <w:sz w:val="24"/>
                <w:szCs w:val="24"/>
                <w:highlight w:val="none"/>
                <w:lang w:val="en-US" w:eastAsia="zh-CN"/>
              </w:rPr>
              <w:t>根据建设单位提供资料，本项目产生的土石方为4.35万m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，产生的土石方全部用于回填，无弃方产生。</w:t>
            </w:r>
          </w:p>
          <w:p w14:paraId="4A96992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lang w:val="en-US" w:eastAsia="zh-CN"/>
              </w:rPr>
              <w:t>建筑垃圾</w:t>
            </w:r>
          </w:p>
          <w:p w14:paraId="16F89D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产生的建筑垃圾分类处理，废弃的砖块、混凝土等委托渣土清运单位清运处理，少量的废弃铁质、导线和零部件包装材料等，分类集中堆存，其中可再生利用部分回收利用，不能利用的集中收集后清运至当地政府指定的堆放场所堆放处置，禁止随意丢弃。建筑垃圾得到妥善处理，对当地环境影响小。</w:t>
            </w:r>
          </w:p>
          <w:p w14:paraId="31C43C7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val="en-US" w:eastAsia="zh-CN"/>
              </w:rPr>
              <w:t>生活垃圾</w:t>
            </w:r>
          </w:p>
          <w:p w14:paraId="76B03E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施工期生活垃圾</w:t>
            </w:r>
            <w:r>
              <w:rPr>
                <w:rFonts w:hint="eastAsia" w:cs="Times New Roman"/>
                <w:sz w:val="24"/>
                <w:szCs w:val="24"/>
                <w:lang w:val="en-US" w:eastAsia="zh-CN"/>
              </w:rPr>
              <w:t>统一收集后，委托环卫部门清运。</w:t>
            </w:r>
          </w:p>
          <w:p w14:paraId="3BC4723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cs="Times New Roman"/>
                <w:b/>
                <w:bCs/>
                <w:sz w:val="24"/>
                <w:szCs w:val="24"/>
                <w:lang w:val="en-US" w:eastAsia="zh-CN"/>
              </w:rPr>
              <w:t>6</w:t>
            </w:r>
            <w:r>
              <w:rPr>
                <w:rFonts w:hint="default" w:ascii="Times New Roman" w:hAnsi="Times New Roman" w:eastAsia="宋体" w:cs="Times New Roman"/>
                <w:b/>
                <w:bCs/>
                <w:color w:val="auto"/>
                <w:spacing w:val="-2"/>
                <w:kern w:val="2"/>
                <w:sz w:val="24"/>
                <w:szCs w:val="24"/>
                <w:lang w:val="en-US" w:eastAsia="zh-CN" w:bidi="ar-SA"/>
              </w:rPr>
              <w:t>水土流失影响</w:t>
            </w:r>
            <w:r>
              <w:rPr>
                <w:rFonts w:hint="eastAsia" w:ascii="Times New Roman" w:hAnsi="Times New Roman" w:eastAsia="宋体" w:cs="Times New Roman"/>
                <w:b/>
                <w:bCs/>
                <w:color w:val="auto"/>
                <w:spacing w:val="-2"/>
                <w:kern w:val="2"/>
                <w:sz w:val="24"/>
                <w:szCs w:val="24"/>
                <w:lang w:val="en-US" w:eastAsia="zh-CN" w:bidi="ar-SA"/>
              </w:rPr>
              <w:t>及污染防治措施</w:t>
            </w:r>
          </w:p>
          <w:p w14:paraId="279A2D38">
            <w:pPr>
              <w:widowControl w:val="0"/>
              <w:spacing w:line="360" w:lineRule="auto"/>
              <w:ind w:firstLine="472" w:firstLineChars="200"/>
              <w:jc w:val="both"/>
              <w:rPr>
                <w:rFonts w:hint="default" w:ascii="Times New Roman" w:hAnsi="Times New Roman" w:eastAsia="宋体" w:cs="Times New Roman"/>
                <w:color w:val="auto"/>
                <w:spacing w:val="-2"/>
                <w:kern w:val="2"/>
                <w:sz w:val="24"/>
                <w:szCs w:val="24"/>
                <w:lang w:val="en-US" w:eastAsia="zh-CN" w:bidi="ar-SA"/>
              </w:rPr>
            </w:pPr>
            <w:r>
              <w:rPr>
                <w:rFonts w:hint="default" w:ascii="Times New Roman" w:hAnsi="Times New Roman" w:eastAsia="宋体" w:cs="Times New Roman"/>
                <w:color w:val="auto"/>
                <w:spacing w:val="-2"/>
                <w:kern w:val="2"/>
                <w:sz w:val="24"/>
                <w:szCs w:val="24"/>
                <w:lang w:val="en-US" w:eastAsia="zh-CN" w:bidi="ar-SA"/>
              </w:rPr>
              <w:t>项目施工使得地表裸露，遇暴雨时，可能造成水土流失。通过采取在施工场地外围设置临时排水沟对雨水进行导排，对工业场地、道路及生活区周边进行的绿化，禁止暴雨天气施工等措施后，项目施工可能产生的水土流失得到有效防治，对环境影响不大。</w:t>
            </w:r>
          </w:p>
          <w:p w14:paraId="26879603">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both"/>
              <w:textAlignment w:val="auto"/>
              <w:rPr>
                <w:rFonts w:hint="default"/>
                <w:color w:val="auto"/>
                <w:sz w:val="24"/>
                <w:szCs w:val="24"/>
                <w:highlight w:val="none"/>
                <w:lang w:val="en-US" w:eastAsia="zh-CN"/>
              </w:rPr>
            </w:pPr>
            <w:r>
              <w:rPr>
                <w:rFonts w:hint="default" w:ascii="Times New Roman" w:hAnsi="Times New Roman" w:eastAsia="宋体" w:cs="Times New Roman"/>
                <w:color w:val="auto"/>
                <w:spacing w:val="-2"/>
                <w:kern w:val="2"/>
                <w:sz w:val="24"/>
                <w:szCs w:val="24"/>
                <w:lang w:val="en-US" w:eastAsia="zh-CN" w:bidi="ar-SA"/>
              </w:rPr>
              <w:t>综上分析，项目施工对土地利用影响，对动植物影响，对水土流失影响较小。</w:t>
            </w:r>
          </w:p>
        </w:tc>
      </w:tr>
      <w:tr w14:paraId="4B53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421" w:type="dxa"/>
            <w:vAlign w:val="center"/>
          </w:tcPr>
          <w:p w14:paraId="5017AC8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运营期生态环境影响分析</w:t>
            </w:r>
          </w:p>
        </w:tc>
        <w:tc>
          <w:tcPr>
            <w:tcW w:w="8101" w:type="dxa"/>
          </w:tcPr>
          <w:p w14:paraId="41939367">
            <w:pPr>
              <w:widowControl w:val="0"/>
              <w:spacing w:line="360" w:lineRule="auto"/>
              <w:ind w:firstLine="472" w:firstLineChars="200"/>
              <w:jc w:val="both"/>
              <w:rPr>
                <w:rFonts w:hint="default"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项目运营期的主要污染物包括废气、废水、噪声、振动等。</w:t>
            </w:r>
          </w:p>
          <w:p w14:paraId="7C5404A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cs="Times New Roman"/>
                <w:b/>
                <w:bCs/>
                <w:sz w:val="24"/>
                <w:szCs w:val="24"/>
                <w:lang w:val="en-US" w:eastAsia="zh-CN"/>
              </w:rPr>
              <w:t>7运营期大气环境影响分析</w:t>
            </w:r>
          </w:p>
          <w:p w14:paraId="58CE2F9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、汽车尾气</w:t>
            </w:r>
          </w:p>
          <w:p w14:paraId="3CD73617">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项目运营中有汽车出入和作业会产生少量汽车尾气，汽车尾气排放中的主要污染物为</w:t>
            </w:r>
            <w:r>
              <w:rPr>
                <w:rFonts w:hint="default" w:ascii="Times New Roman" w:hAnsi="Times New Roman" w:eastAsia="宋体" w:cs="Times New Roman"/>
                <w:color w:val="auto"/>
                <w:spacing w:val="-2"/>
                <w:kern w:val="2"/>
                <w:sz w:val="24"/>
                <w:szCs w:val="24"/>
                <w:lang w:val="en-US" w:eastAsia="zh-CN" w:bidi="ar-SA"/>
              </w:rPr>
              <w:t>NO</w:t>
            </w:r>
            <w:r>
              <w:rPr>
                <w:rFonts w:hint="eastAsia" w:ascii="Times New Roman" w:hAnsi="Times New Roman" w:cs="Times New Roman"/>
                <w:color w:val="auto"/>
                <w:spacing w:val="-2"/>
                <w:kern w:val="2"/>
                <w:sz w:val="24"/>
                <w:szCs w:val="24"/>
                <w:lang w:val="en-US" w:eastAsia="zh-CN" w:bidi="ar-SA"/>
              </w:rPr>
              <w:t>x</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CO</w:t>
            </w:r>
            <w:r>
              <w:rPr>
                <w:rFonts w:hint="eastAsia" w:cs="Times New Roman"/>
                <w:color w:val="auto"/>
                <w:spacing w:val="-2"/>
                <w:kern w:val="2"/>
                <w:sz w:val="24"/>
                <w:szCs w:val="24"/>
                <w:lang w:val="en-US" w:eastAsia="zh-CN" w:bidi="ar-SA"/>
              </w:rPr>
              <w:t>、NMHC</w:t>
            </w:r>
            <w:r>
              <w:rPr>
                <w:rFonts w:hint="eastAsia" w:ascii="Times New Roman" w:hAnsi="Times New Roman" w:eastAsia="宋体" w:cs="Times New Roman"/>
                <w:color w:val="auto"/>
                <w:spacing w:val="-2"/>
                <w:kern w:val="2"/>
                <w:sz w:val="24"/>
                <w:szCs w:val="24"/>
                <w:lang w:val="en-US" w:eastAsia="zh-CN" w:bidi="ar-SA"/>
              </w:rPr>
              <w:t>。主要由项目内办公以及货品交易的业主的小型车辆、运送货品的配送车辆等产生。项目区通风条件较好，区域范围较大排有利于尾气的扩散。尾气排放后经空气扩散稀释后其对周围环境影响不大。根据</w:t>
            </w:r>
            <w:r>
              <w:rPr>
                <w:rFonts w:hint="eastAsia" w:cs="Times New Roman"/>
                <w:color w:val="auto"/>
                <w:spacing w:val="-2"/>
                <w:kern w:val="2"/>
                <w:sz w:val="24"/>
                <w:szCs w:val="24"/>
                <w:lang w:val="en-US" w:eastAsia="zh-CN" w:bidi="ar-SA"/>
              </w:rPr>
              <w:t>同类</w:t>
            </w:r>
            <w:r>
              <w:rPr>
                <w:rFonts w:hint="eastAsia" w:ascii="Times New Roman" w:hAnsi="Times New Roman" w:eastAsia="宋体" w:cs="Times New Roman"/>
                <w:color w:val="auto"/>
                <w:spacing w:val="-2"/>
                <w:kern w:val="2"/>
                <w:sz w:val="24"/>
                <w:szCs w:val="24"/>
                <w:lang w:val="en-US" w:eastAsia="zh-CN" w:bidi="ar-SA"/>
              </w:rPr>
              <w:t>工程分析，高峰期和平均时段此类车辆尾气产生情况如下：</w:t>
            </w:r>
          </w:p>
          <w:p w14:paraId="032B5BF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表4-5项目内车辆废气排放情况</w:t>
            </w:r>
          </w:p>
          <w:tbl>
            <w:tblPr>
              <w:tblStyle w:val="23"/>
              <w:tblW w:w="78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577"/>
              <w:gridCol w:w="1577"/>
              <w:gridCol w:w="1577"/>
              <w:gridCol w:w="1577"/>
            </w:tblGrid>
            <w:tr w14:paraId="5B5AB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vMerge w:val="restart"/>
                  <w:tcBorders>
                    <w:tl2br w:val="nil"/>
                    <w:tr2bl w:val="nil"/>
                  </w:tcBorders>
                </w:tcPr>
                <w:p w14:paraId="04D9F74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污染物</w:t>
                  </w:r>
                </w:p>
              </w:tc>
              <w:tc>
                <w:tcPr>
                  <w:tcW w:w="3154" w:type="dxa"/>
                  <w:gridSpan w:val="2"/>
                  <w:tcBorders>
                    <w:tl2br w:val="nil"/>
                    <w:tr2bl w:val="nil"/>
                  </w:tcBorders>
                </w:tcPr>
                <w:p w14:paraId="7096B54B">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排放速率（kg/h）</w:t>
                  </w:r>
                </w:p>
              </w:tc>
              <w:tc>
                <w:tcPr>
                  <w:tcW w:w="3154" w:type="dxa"/>
                  <w:gridSpan w:val="2"/>
                  <w:tcBorders>
                    <w:tl2br w:val="nil"/>
                    <w:tr2bl w:val="nil"/>
                  </w:tcBorders>
                </w:tcPr>
                <w:p w14:paraId="345647DA">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源强（g/s）</w:t>
                  </w:r>
                </w:p>
              </w:tc>
            </w:tr>
            <w:tr w14:paraId="35466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vMerge w:val="continue"/>
                  <w:tcBorders>
                    <w:tl2br w:val="nil"/>
                    <w:tr2bl w:val="nil"/>
                  </w:tcBorders>
                </w:tcPr>
                <w:p w14:paraId="7030F9DE">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577" w:type="dxa"/>
                  <w:tcBorders>
                    <w:tl2br w:val="nil"/>
                    <w:tr2bl w:val="nil"/>
                  </w:tcBorders>
                </w:tcPr>
                <w:p w14:paraId="26B812E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高峰期</w:t>
                  </w:r>
                </w:p>
              </w:tc>
              <w:tc>
                <w:tcPr>
                  <w:tcW w:w="1577" w:type="dxa"/>
                  <w:tcBorders>
                    <w:tl2br w:val="nil"/>
                    <w:tr2bl w:val="nil"/>
                  </w:tcBorders>
                </w:tcPr>
                <w:p w14:paraId="73892952">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平均时段</w:t>
                  </w:r>
                </w:p>
              </w:tc>
              <w:tc>
                <w:tcPr>
                  <w:tcW w:w="1577" w:type="dxa"/>
                  <w:tcBorders>
                    <w:tl2br w:val="nil"/>
                    <w:tr2bl w:val="nil"/>
                  </w:tcBorders>
                  <w:vAlign w:val="top"/>
                </w:tcPr>
                <w:p w14:paraId="00213AAB">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高峰期</w:t>
                  </w:r>
                </w:p>
              </w:tc>
              <w:tc>
                <w:tcPr>
                  <w:tcW w:w="1577" w:type="dxa"/>
                  <w:tcBorders>
                    <w:tl2br w:val="nil"/>
                    <w:tr2bl w:val="nil"/>
                  </w:tcBorders>
                  <w:vAlign w:val="top"/>
                </w:tcPr>
                <w:p w14:paraId="08E95832">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平均时段</w:t>
                  </w:r>
                </w:p>
              </w:tc>
            </w:tr>
            <w:tr w14:paraId="5E867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Borders>
                    <w:tl2br w:val="nil"/>
                    <w:tr2bl w:val="nil"/>
                  </w:tcBorders>
                </w:tcPr>
                <w:p w14:paraId="2761E8F2">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CO</w:t>
                  </w:r>
                </w:p>
              </w:tc>
              <w:tc>
                <w:tcPr>
                  <w:tcW w:w="1577" w:type="dxa"/>
                  <w:tcBorders>
                    <w:tl2br w:val="nil"/>
                    <w:tr2bl w:val="nil"/>
                  </w:tcBorders>
                </w:tcPr>
                <w:p w14:paraId="630BC893">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31.84</w:t>
                  </w:r>
                </w:p>
              </w:tc>
              <w:tc>
                <w:tcPr>
                  <w:tcW w:w="1577" w:type="dxa"/>
                  <w:tcBorders>
                    <w:tl2br w:val="nil"/>
                    <w:tr2bl w:val="nil"/>
                  </w:tcBorders>
                </w:tcPr>
                <w:p w14:paraId="796F936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26.2</w:t>
                  </w:r>
                </w:p>
              </w:tc>
              <w:tc>
                <w:tcPr>
                  <w:tcW w:w="1577" w:type="dxa"/>
                  <w:tcBorders>
                    <w:tl2br w:val="nil"/>
                    <w:tr2bl w:val="nil"/>
                  </w:tcBorders>
                  <w:vAlign w:val="top"/>
                </w:tcPr>
                <w:p w14:paraId="0CB6792F">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8.84</w:t>
                  </w:r>
                </w:p>
              </w:tc>
              <w:tc>
                <w:tcPr>
                  <w:tcW w:w="1577" w:type="dxa"/>
                  <w:tcBorders>
                    <w:tl2br w:val="nil"/>
                    <w:tr2bl w:val="nil"/>
                  </w:tcBorders>
                  <w:vAlign w:val="top"/>
                </w:tcPr>
                <w:p w14:paraId="43F658F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7.28</w:t>
                  </w:r>
                </w:p>
              </w:tc>
            </w:tr>
            <w:tr w14:paraId="51E9CB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Borders>
                    <w:tl2br w:val="nil"/>
                    <w:tr2bl w:val="nil"/>
                  </w:tcBorders>
                </w:tcPr>
                <w:p w14:paraId="336362DB">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color w:val="auto"/>
                      <w:spacing w:val="-2"/>
                      <w:kern w:val="2"/>
                      <w:sz w:val="18"/>
                      <w:szCs w:val="18"/>
                      <w:lang w:val="en-US" w:eastAsia="zh-CN" w:bidi="ar-SA"/>
                    </w:rPr>
                    <w:t>NO</w:t>
                  </w:r>
                  <w:r>
                    <w:rPr>
                      <w:rFonts w:hint="default" w:ascii="Times New Roman" w:hAnsi="Times New Roman" w:cs="Times New Roman"/>
                      <w:color w:val="auto"/>
                      <w:spacing w:val="-2"/>
                      <w:kern w:val="2"/>
                      <w:sz w:val="18"/>
                      <w:szCs w:val="18"/>
                      <w:vertAlign w:val="subscript"/>
                      <w:lang w:val="en-US" w:eastAsia="zh-CN" w:bidi="ar-SA"/>
                    </w:rPr>
                    <w:t>2</w:t>
                  </w:r>
                </w:p>
              </w:tc>
              <w:tc>
                <w:tcPr>
                  <w:tcW w:w="1577" w:type="dxa"/>
                  <w:tcBorders>
                    <w:tl2br w:val="nil"/>
                    <w:tr2bl w:val="nil"/>
                  </w:tcBorders>
                </w:tcPr>
                <w:p w14:paraId="451313F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3.85</w:t>
                  </w:r>
                </w:p>
              </w:tc>
              <w:tc>
                <w:tcPr>
                  <w:tcW w:w="1577" w:type="dxa"/>
                  <w:tcBorders>
                    <w:tl2br w:val="nil"/>
                    <w:tr2bl w:val="nil"/>
                  </w:tcBorders>
                </w:tcPr>
                <w:p w14:paraId="6851319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3.1</w:t>
                  </w:r>
                </w:p>
              </w:tc>
              <w:tc>
                <w:tcPr>
                  <w:tcW w:w="1577" w:type="dxa"/>
                  <w:tcBorders>
                    <w:tl2br w:val="nil"/>
                    <w:tr2bl w:val="nil"/>
                  </w:tcBorders>
                </w:tcPr>
                <w:p w14:paraId="5EC7876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1.07</w:t>
                  </w:r>
                </w:p>
              </w:tc>
              <w:tc>
                <w:tcPr>
                  <w:tcW w:w="1577" w:type="dxa"/>
                  <w:tcBorders>
                    <w:tl2br w:val="nil"/>
                    <w:tr2bl w:val="nil"/>
                  </w:tcBorders>
                </w:tcPr>
                <w:p w14:paraId="28D788A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0.8</w:t>
                  </w:r>
                </w:p>
              </w:tc>
            </w:tr>
            <w:tr w14:paraId="516277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Borders>
                    <w:tl2br w:val="nil"/>
                    <w:tr2bl w:val="nil"/>
                  </w:tcBorders>
                </w:tcPr>
                <w:p w14:paraId="0BFD4BE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C</w:t>
                  </w:r>
                </w:p>
              </w:tc>
              <w:tc>
                <w:tcPr>
                  <w:tcW w:w="1577" w:type="dxa"/>
                  <w:tcBorders>
                    <w:tl2br w:val="nil"/>
                    <w:tr2bl w:val="nil"/>
                  </w:tcBorders>
                </w:tcPr>
                <w:p w14:paraId="6588430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0.436</w:t>
                  </w:r>
                </w:p>
              </w:tc>
              <w:tc>
                <w:tcPr>
                  <w:tcW w:w="1577" w:type="dxa"/>
                  <w:tcBorders>
                    <w:tl2br w:val="nil"/>
                    <w:tr2bl w:val="nil"/>
                  </w:tcBorders>
                </w:tcPr>
                <w:p w14:paraId="384B1D8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0.36</w:t>
                  </w:r>
                </w:p>
              </w:tc>
              <w:tc>
                <w:tcPr>
                  <w:tcW w:w="1577" w:type="dxa"/>
                  <w:tcBorders>
                    <w:tl2br w:val="nil"/>
                    <w:tr2bl w:val="nil"/>
                  </w:tcBorders>
                </w:tcPr>
                <w:p w14:paraId="23C03DE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0.121</w:t>
                  </w:r>
                </w:p>
              </w:tc>
              <w:tc>
                <w:tcPr>
                  <w:tcW w:w="1577" w:type="dxa"/>
                  <w:tcBorders>
                    <w:tl2br w:val="nil"/>
                    <w:tr2bl w:val="nil"/>
                  </w:tcBorders>
                </w:tcPr>
                <w:p w14:paraId="12B47FE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0.1</w:t>
                  </w:r>
                </w:p>
              </w:tc>
            </w:tr>
          </w:tbl>
          <w:p w14:paraId="5EBFBBC6">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本项目场地在露天自然通风的条件下，空间开阔，污染物容易扩散，且汽车尾气排放量小，因此对当地大气环境影响较小。</w:t>
            </w:r>
          </w:p>
          <w:p w14:paraId="7EF350A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w:t>
            </w: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备用发电机废气</w:t>
            </w:r>
          </w:p>
          <w:p w14:paraId="1121FFBE">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备用发电机工作时会产生少量的废气，废气中的污染物主要是</w:t>
            </w:r>
            <w:r>
              <w:rPr>
                <w:rFonts w:hint="default" w:ascii="Times New Roman" w:hAnsi="Times New Roman" w:eastAsia="宋体" w:cs="Times New Roman"/>
                <w:color w:val="auto"/>
                <w:spacing w:val="-2"/>
                <w:kern w:val="2"/>
                <w:sz w:val="24"/>
                <w:szCs w:val="24"/>
                <w:lang w:val="en-US" w:eastAsia="zh-CN" w:bidi="ar-SA"/>
              </w:rPr>
              <w:t>CO</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NOx</w:t>
            </w:r>
            <w:r>
              <w:rPr>
                <w:rFonts w:hint="eastAsia" w:ascii="Times New Roman" w:hAnsi="Times New Roman" w:eastAsia="宋体" w:cs="Times New Roman"/>
                <w:color w:val="auto"/>
                <w:spacing w:val="-2"/>
                <w:kern w:val="2"/>
                <w:sz w:val="24"/>
                <w:szCs w:val="24"/>
                <w:lang w:val="en-US" w:eastAsia="zh-CN" w:bidi="ar-SA"/>
              </w:rPr>
              <w:t>及</w:t>
            </w:r>
            <w:r>
              <w:rPr>
                <w:rFonts w:hint="default" w:ascii="Times New Roman" w:hAnsi="Times New Roman" w:eastAsia="宋体" w:cs="Times New Roman"/>
                <w:color w:val="auto"/>
                <w:spacing w:val="-2"/>
                <w:kern w:val="2"/>
                <w:sz w:val="24"/>
                <w:szCs w:val="24"/>
                <w:lang w:val="en-US" w:eastAsia="zh-CN" w:bidi="ar-SA"/>
              </w:rPr>
              <w:t>HC</w:t>
            </w:r>
            <w:r>
              <w:rPr>
                <w:rFonts w:hint="eastAsia" w:ascii="Times New Roman" w:hAnsi="Times New Roman" w:eastAsia="宋体" w:cs="Times New Roman"/>
                <w:color w:val="auto"/>
                <w:spacing w:val="-2"/>
                <w:kern w:val="2"/>
                <w:sz w:val="24"/>
                <w:szCs w:val="24"/>
                <w:lang w:val="en-US" w:eastAsia="zh-CN" w:bidi="ar-SA"/>
              </w:rPr>
              <w:t>。备用发电机产生的废气具有间歇性。考虑只有在维修线路的情况下才会停止供电，本地区电力供应充足，停电次数很少，项目备用发电机启动的次数不多，因此备用发电机组使用的频率不大，发电机的运行时间甚短，产生的污染物量相对较少，且项目区大气扩散条件较好，发电机废气通过稀释扩散后，对周围环境影响不大。</w:t>
            </w:r>
          </w:p>
          <w:p w14:paraId="621E6E8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内燃机废气</w:t>
            </w:r>
          </w:p>
          <w:p w14:paraId="4185A686">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本项目到发线均使用电能，仅货物线部分使用内燃机车牵引，内燃机车的运行产生烟尘、</w:t>
            </w:r>
            <w:r>
              <w:rPr>
                <w:rFonts w:hint="default" w:ascii="Times New Roman" w:hAnsi="Times New Roman" w:eastAsia="宋体" w:cs="Times New Roman"/>
                <w:color w:val="auto"/>
                <w:spacing w:val="-2"/>
                <w:kern w:val="2"/>
                <w:sz w:val="24"/>
                <w:szCs w:val="24"/>
                <w:lang w:val="en-US" w:eastAsia="zh-CN" w:bidi="ar-SA"/>
              </w:rPr>
              <w:t>SO</w:t>
            </w:r>
            <w:r>
              <w:rPr>
                <w:rFonts w:hint="default" w:ascii="Times New Roman" w:hAnsi="Times New Roman" w:eastAsia="宋体" w:cs="Times New Roman"/>
                <w:color w:val="auto"/>
                <w:spacing w:val="-2"/>
                <w:kern w:val="2"/>
                <w:sz w:val="24"/>
                <w:szCs w:val="24"/>
                <w:vertAlign w:val="subscript"/>
                <w:lang w:val="en-US" w:eastAsia="zh-CN" w:bidi="ar-SA"/>
              </w:rPr>
              <w:t>2</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NOx</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CO</w:t>
            </w:r>
            <w:r>
              <w:rPr>
                <w:rFonts w:hint="eastAsia" w:ascii="Times New Roman" w:hAnsi="Times New Roman" w:eastAsia="宋体" w:cs="Times New Roman"/>
                <w:color w:val="auto"/>
                <w:spacing w:val="-2"/>
                <w:kern w:val="2"/>
                <w:sz w:val="24"/>
                <w:szCs w:val="24"/>
                <w:lang w:val="en-US" w:eastAsia="zh-CN" w:bidi="ar-SA"/>
              </w:rPr>
              <w:t>等气体。项目牵引机车运行过程中产生少量的废气，为无组织排放。</w:t>
            </w:r>
          </w:p>
          <w:p w14:paraId="460E2020">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调车机废气中有害物质排放量计算公式：</w:t>
            </w:r>
          </w:p>
          <w:p w14:paraId="020818ED">
            <w:pPr>
              <w:widowControl w:val="0"/>
              <w:spacing w:line="360" w:lineRule="auto"/>
              <w:ind w:left="0" w:leftChars="0" w:right="0" w:rightChars="0" w:firstLine="0" w:firstLineChars="0"/>
              <w:jc w:val="center"/>
              <w:rPr>
                <w:rFonts w:hint="default" w:ascii="Times New Roman" w:hAnsi="Times New Roman" w:eastAsia="宋体" w:cs="Times New Roman"/>
                <w:color w:val="auto"/>
                <w:spacing w:val="-2"/>
                <w:kern w:val="2"/>
                <w:sz w:val="24"/>
                <w:szCs w:val="24"/>
                <w:lang w:val="en-US" w:eastAsia="zh-CN" w:bidi="ar-SA"/>
              </w:rPr>
            </w:pPr>
            <w:r>
              <w:rPr>
                <w:rFonts w:hint="default" w:ascii="Times New Roman" w:hAnsi="Times New Roman" w:eastAsia="宋体" w:cs="Times New Roman"/>
                <w:color w:val="auto"/>
                <w:spacing w:val="-2"/>
                <w:kern w:val="2"/>
                <w:sz w:val="24"/>
                <w:szCs w:val="24"/>
                <w:lang w:val="en-US" w:eastAsia="zh-CN" w:bidi="ar-SA"/>
              </w:rPr>
              <w:t>Qi=Ki</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B</w:t>
            </w:r>
            <w:r>
              <w:rPr>
                <w:rFonts w:hint="eastAsia" w:ascii="Times New Roman" w:hAnsi="Times New Roman" w:eastAsia="宋体" w:cs="Times New Roman"/>
                <w:color w:val="auto"/>
                <w:spacing w:val="-2"/>
                <w:kern w:val="2"/>
                <w:sz w:val="24"/>
                <w:szCs w:val="24"/>
                <w:vertAlign w:val="subscript"/>
                <w:lang w:val="en-US" w:eastAsia="zh-CN" w:bidi="ar-SA"/>
              </w:rPr>
              <w:t>油</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10</w:t>
            </w:r>
            <w:r>
              <w:rPr>
                <w:rFonts w:hint="default" w:ascii="Times New Roman" w:hAnsi="Times New Roman" w:eastAsia="宋体" w:cs="Times New Roman"/>
                <w:color w:val="auto"/>
                <w:spacing w:val="-2"/>
                <w:kern w:val="2"/>
                <w:sz w:val="24"/>
                <w:szCs w:val="24"/>
                <w:vertAlign w:val="superscript"/>
                <w:lang w:val="en-US" w:eastAsia="zh-CN" w:bidi="ar-SA"/>
              </w:rPr>
              <w:t>-6</w:t>
            </w:r>
          </w:p>
          <w:p w14:paraId="536482DB">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式中：</w:t>
            </w:r>
            <w:r>
              <w:rPr>
                <w:rFonts w:hint="default" w:ascii="Times New Roman" w:hAnsi="Times New Roman" w:eastAsia="宋体" w:cs="Times New Roman"/>
                <w:color w:val="auto"/>
                <w:spacing w:val="-2"/>
                <w:kern w:val="2"/>
                <w:sz w:val="24"/>
                <w:szCs w:val="24"/>
                <w:lang w:val="en-US" w:eastAsia="zh-CN" w:bidi="ar-SA"/>
              </w:rPr>
              <w:t>Qi—</w:t>
            </w:r>
            <w:r>
              <w:rPr>
                <w:rFonts w:hint="eastAsia" w:ascii="Times New Roman" w:hAnsi="Times New Roman" w:eastAsia="宋体" w:cs="Times New Roman"/>
                <w:color w:val="auto"/>
                <w:spacing w:val="-2"/>
                <w:kern w:val="2"/>
                <w:sz w:val="24"/>
                <w:szCs w:val="24"/>
                <w:lang w:val="en-US" w:eastAsia="zh-CN" w:bidi="ar-SA"/>
              </w:rPr>
              <w:t>机车</w:t>
            </w:r>
            <w:r>
              <w:rPr>
                <w:rFonts w:hint="default" w:ascii="Times New Roman" w:hAnsi="Times New Roman" w:eastAsia="宋体" w:cs="Times New Roman"/>
                <w:color w:val="auto"/>
                <w:spacing w:val="-2"/>
                <w:kern w:val="2"/>
                <w:sz w:val="24"/>
                <w:szCs w:val="24"/>
                <w:lang w:val="en-US" w:eastAsia="zh-CN" w:bidi="ar-SA"/>
              </w:rPr>
              <w:t>i</w:t>
            </w:r>
            <w:r>
              <w:rPr>
                <w:rFonts w:hint="eastAsia" w:ascii="Times New Roman" w:hAnsi="Times New Roman" w:eastAsia="宋体" w:cs="Times New Roman"/>
                <w:color w:val="auto"/>
                <w:spacing w:val="-2"/>
                <w:kern w:val="2"/>
                <w:sz w:val="24"/>
                <w:szCs w:val="24"/>
                <w:lang w:val="en-US" w:eastAsia="zh-CN" w:bidi="ar-SA"/>
              </w:rPr>
              <w:t>污染物排放量，</w:t>
            </w:r>
            <w:r>
              <w:rPr>
                <w:rFonts w:hint="default" w:ascii="Times New Roman" w:hAnsi="Times New Roman" w:eastAsia="宋体" w:cs="Times New Roman"/>
                <w:color w:val="auto"/>
                <w:spacing w:val="-2"/>
                <w:kern w:val="2"/>
                <w:sz w:val="24"/>
                <w:szCs w:val="24"/>
                <w:lang w:val="en-US" w:eastAsia="zh-CN" w:bidi="ar-SA"/>
              </w:rPr>
              <w:t>t/a</w:t>
            </w:r>
            <w:r>
              <w:rPr>
                <w:rFonts w:hint="eastAsia" w:ascii="Times New Roman" w:hAnsi="Times New Roman" w:eastAsia="宋体" w:cs="Times New Roman"/>
                <w:color w:val="auto"/>
                <w:spacing w:val="-2"/>
                <w:kern w:val="2"/>
                <w:sz w:val="24"/>
                <w:szCs w:val="24"/>
                <w:lang w:val="en-US" w:eastAsia="zh-CN" w:bidi="ar-SA"/>
              </w:rPr>
              <w:t>；</w:t>
            </w:r>
          </w:p>
          <w:p w14:paraId="03079992">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default" w:ascii="Times New Roman" w:hAnsi="Times New Roman" w:eastAsia="宋体" w:cs="Times New Roman"/>
                <w:color w:val="auto"/>
                <w:spacing w:val="-2"/>
                <w:kern w:val="2"/>
                <w:sz w:val="24"/>
                <w:szCs w:val="24"/>
                <w:lang w:val="en-US" w:eastAsia="zh-CN" w:bidi="ar-SA"/>
              </w:rPr>
              <w:t>Ki—</w:t>
            </w:r>
            <w:r>
              <w:rPr>
                <w:rFonts w:hint="eastAsia" w:ascii="Times New Roman" w:hAnsi="Times New Roman" w:eastAsia="宋体" w:cs="Times New Roman"/>
                <w:color w:val="auto"/>
                <w:spacing w:val="-2"/>
                <w:kern w:val="2"/>
                <w:sz w:val="24"/>
                <w:szCs w:val="24"/>
                <w:lang w:val="en-US" w:eastAsia="zh-CN" w:bidi="ar-SA"/>
              </w:rPr>
              <w:t>内燃机车</w:t>
            </w:r>
            <w:r>
              <w:rPr>
                <w:rFonts w:hint="default" w:ascii="Times New Roman" w:hAnsi="Times New Roman" w:eastAsia="宋体" w:cs="Times New Roman"/>
                <w:color w:val="auto"/>
                <w:spacing w:val="-2"/>
                <w:kern w:val="2"/>
                <w:sz w:val="24"/>
                <w:szCs w:val="24"/>
                <w:lang w:val="en-US" w:eastAsia="zh-CN" w:bidi="ar-SA"/>
              </w:rPr>
              <w:t>i</w:t>
            </w:r>
            <w:r>
              <w:rPr>
                <w:rFonts w:hint="eastAsia" w:ascii="Times New Roman" w:hAnsi="Times New Roman" w:eastAsia="宋体" w:cs="Times New Roman"/>
                <w:color w:val="auto"/>
                <w:spacing w:val="-2"/>
                <w:kern w:val="2"/>
                <w:sz w:val="24"/>
                <w:szCs w:val="24"/>
                <w:lang w:val="en-US" w:eastAsia="zh-CN" w:bidi="ar-SA"/>
              </w:rPr>
              <w:t>污染物排放系数，</w:t>
            </w:r>
            <w:r>
              <w:rPr>
                <w:rFonts w:hint="default" w:ascii="Times New Roman" w:hAnsi="Times New Roman" w:eastAsia="宋体" w:cs="Times New Roman"/>
                <w:color w:val="auto"/>
                <w:spacing w:val="-2"/>
                <w:kern w:val="2"/>
                <w:sz w:val="24"/>
                <w:szCs w:val="24"/>
                <w:lang w:val="en-US" w:eastAsia="zh-CN" w:bidi="ar-SA"/>
              </w:rPr>
              <w:t>g/kg</w:t>
            </w:r>
            <w:r>
              <w:rPr>
                <w:rFonts w:hint="eastAsia" w:ascii="Times New Roman" w:hAnsi="Times New Roman" w:eastAsia="宋体" w:cs="Times New Roman"/>
                <w:color w:val="auto"/>
                <w:spacing w:val="-2"/>
                <w:kern w:val="2"/>
                <w:sz w:val="24"/>
                <w:szCs w:val="24"/>
                <w:lang w:val="en-US" w:eastAsia="zh-CN" w:bidi="ar-SA"/>
              </w:rPr>
              <w:t>；</w:t>
            </w:r>
          </w:p>
          <w:p w14:paraId="5CB7444A">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default" w:ascii="Times New Roman" w:hAnsi="Times New Roman" w:eastAsia="宋体" w:cs="Times New Roman"/>
                <w:color w:val="auto"/>
                <w:spacing w:val="-2"/>
                <w:kern w:val="2"/>
                <w:sz w:val="24"/>
                <w:szCs w:val="24"/>
                <w:lang w:val="en-US" w:eastAsia="zh-CN" w:bidi="ar-SA"/>
              </w:rPr>
              <w:t>B</w:t>
            </w:r>
            <w:r>
              <w:rPr>
                <w:rFonts w:hint="eastAsia" w:ascii="Times New Roman" w:hAnsi="Times New Roman" w:eastAsia="宋体" w:cs="Times New Roman"/>
                <w:color w:val="auto"/>
                <w:spacing w:val="-2"/>
                <w:kern w:val="2"/>
                <w:sz w:val="24"/>
                <w:szCs w:val="24"/>
                <w:vertAlign w:val="subscript"/>
                <w:lang w:val="en-US" w:eastAsia="zh-CN" w:bidi="ar-SA"/>
              </w:rPr>
              <w:t>油</w:t>
            </w:r>
            <w:r>
              <w:rPr>
                <w:rFonts w:hint="default" w:ascii="Times New Roman" w:hAnsi="Times New Roman" w:eastAsia="宋体" w:cs="Times New Roman"/>
                <w:color w:val="auto"/>
                <w:spacing w:val="-2"/>
                <w:kern w:val="2"/>
                <w:sz w:val="24"/>
                <w:szCs w:val="24"/>
                <w:lang w:val="en-US" w:eastAsia="zh-CN" w:bidi="ar-SA"/>
              </w:rPr>
              <w:t>—</w:t>
            </w:r>
            <w:r>
              <w:rPr>
                <w:rFonts w:hint="eastAsia" w:ascii="Times New Roman" w:hAnsi="Times New Roman" w:eastAsia="宋体" w:cs="Times New Roman"/>
                <w:color w:val="auto"/>
                <w:spacing w:val="-2"/>
                <w:kern w:val="2"/>
                <w:sz w:val="24"/>
                <w:szCs w:val="24"/>
                <w:lang w:val="en-US" w:eastAsia="zh-CN" w:bidi="ar-SA"/>
              </w:rPr>
              <w:t>机车耗油量，</w:t>
            </w:r>
            <w:r>
              <w:rPr>
                <w:rFonts w:hint="default" w:ascii="Times New Roman" w:hAnsi="Times New Roman" w:eastAsia="宋体" w:cs="Times New Roman"/>
                <w:color w:val="auto"/>
                <w:spacing w:val="-2"/>
                <w:kern w:val="2"/>
                <w:sz w:val="24"/>
                <w:szCs w:val="24"/>
                <w:lang w:val="en-US" w:eastAsia="zh-CN" w:bidi="ar-SA"/>
              </w:rPr>
              <w:t>kg</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10</w:t>
            </w:r>
            <w:r>
              <w:rPr>
                <w:rFonts w:hint="default" w:ascii="Times New Roman" w:hAnsi="Times New Roman" w:eastAsia="宋体" w:cs="Times New Roman"/>
                <w:color w:val="auto"/>
                <w:spacing w:val="-2"/>
                <w:kern w:val="2"/>
                <w:sz w:val="24"/>
                <w:szCs w:val="24"/>
                <w:vertAlign w:val="superscript"/>
                <w:lang w:val="en-US" w:eastAsia="zh-CN" w:bidi="ar-SA"/>
              </w:rPr>
              <w:t>4</w:t>
            </w:r>
            <w:r>
              <w:rPr>
                <w:rFonts w:hint="default" w:ascii="Times New Roman" w:hAnsi="Times New Roman" w:eastAsia="宋体" w:cs="Times New Roman"/>
                <w:color w:val="auto"/>
                <w:spacing w:val="-2"/>
                <w:kern w:val="2"/>
                <w:sz w:val="24"/>
                <w:szCs w:val="24"/>
                <w:lang w:val="en-US" w:eastAsia="zh-CN" w:bidi="ar-SA"/>
              </w:rPr>
              <w:t>t</w:t>
            </w:r>
            <w:r>
              <w:rPr>
                <w:rFonts w:hint="eastAsia"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4"/>
                <w:lang w:val="en-US" w:eastAsia="zh-CN" w:bidi="ar-SA"/>
              </w:rPr>
              <w:t>km</w:t>
            </w:r>
            <w:r>
              <w:rPr>
                <w:rFonts w:hint="eastAsia" w:ascii="Times New Roman" w:hAnsi="Times New Roman" w:eastAsia="宋体" w:cs="Times New Roman"/>
                <w:color w:val="auto"/>
                <w:spacing w:val="-2"/>
                <w:kern w:val="2"/>
                <w:sz w:val="24"/>
                <w:szCs w:val="24"/>
                <w:lang w:val="en-US" w:eastAsia="zh-CN" w:bidi="ar-SA"/>
              </w:rPr>
              <w:t>）。</w:t>
            </w:r>
          </w:p>
          <w:p w14:paraId="00A05650">
            <w:pPr>
              <w:widowControl w:val="0"/>
              <w:spacing w:line="360" w:lineRule="auto"/>
              <w:ind w:firstLine="472" w:firstLineChars="200"/>
              <w:jc w:val="both"/>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机车污染物排放系数见</w:t>
            </w:r>
            <w:r>
              <w:rPr>
                <w:rFonts w:hint="eastAsia" w:ascii="Times New Roman" w:hAnsi="Times New Roman" w:cs="Times New Roman"/>
                <w:color w:val="auto"/>
                <w:spacing w:val="-2"/>
                <w:kern w:val="2"/>
                <w:sz w:val="24"/>
                <w:szCs w:val="24"/>
                <w:lang w:val="en-US" w:eastAsia="zh-CN" w:bidi="ar-SA"/>
              </w:rPr>
              <w:t>下</w:t>
            </w:r>
            <w:r>
              <w:rPr>
                <w:rFonts w:hint="eastAsia" w:ascii="Times New Roman" w:hAnsi="Times New Roman" w:eastAsia="宋体" w:cs="Times New Roman"/>
                <w:color w:val="auto"/>
                <w:spacing w:val="-2"/>
                <w:kern w:val="2"/>
                <w:sz w:val="24"/>
                <w:szCs w:val="24"/>
                <w:lang w:val="en-US" w:eastAsia="zh-CN" w:bidi="ar-SA"/>
              </w:rPr>
              <w:t>表</w:t>
            </w:r>
            <w:r>
              <w:rPr>
                <w:rFonts w:hint="eastAsia" w:ascii="Times New Roman" w:hAnsi="Times New Roman" w:cs="Times New Roman"/>
                <w:color w:val="auto"/>
                <w:spacing w:val="-2"/>
                <w:kern w:val="2"/>
                <w:sz w:val="24"/>
                <w:szCs w:val="24"/>
                <w:lang w:val="en-US" w:eastAsia="zh-CN" w:bidi="ar-SA"/>
              </w:rPr>
              <w:t>。</w:t>
            </w:r>
          </w:p>
          <w:p w14:paraId="0403BDA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表4-6机车污染物排放系数表     单位g/kg</w:t>
            </w:r>
          </w:p>
          <w:tbl>
            <w:tblPr>
              <w:tblStyle w:val="23"/>
              <w:tblW w:w="78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577"/>
              <w:gridCol w:w="1577"/>
              <w:gridCol w:w="1577"/>
              <w:gridCol w:w="1577"/>
            </w:tblGrid>
            <w:tr w14:paraId="6A2C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Borders>
                    <w:left w:val="nil"/>
                  </w:tcBorders>
                  <w:vAlign w:val="center"/>
                </w:tcPr>
                <w:p w14:paraId="339556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项目</w:t>
                  </w:r>
                </w:p>
              </w:tc>
              <w:tc>
                <w:tcPr>
                  <w:tcW w:w="1577" w:type="dxa"/>
                  <w:vAlign w:val="center"/>
                </w:tcPr>
                <w:p w14:paraId="425693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烟尘</w:t>
                  </w:r>
                </w:p>
              </w:tc>
              <w:tc>
                <w:tcPr>
                  <w:tcW w:w="1577" w:type="dxa"/>
                  <w:vAlign w:val="center"/>
                </w:tcPr>
                <w:p w14:paraId="05AA7E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SO</w:t>
                  </w:r>
                  <w:r>
                    <w:rPr>
                      <w:rFonts w:hint="default" w:ascii="Times New Roman" w:hAnsi="Times New Roman" w:eastAsia="宋体" w:cs="Times New Roman"/>
                      <w:color w:val="auto"/>
                      <w:spacing w:val="-2"/>
                      <w:kern w:val="2"/>
                      <w:sz w:val="18"/>
                      <w:szCs w:val="18"/>
                      <w:vertAlign w:val="subscript"/>
                      <w:lang w:val="en-US" w:eastAsia="zh-CN" w:bidi="ar-SA"/>
                    </w:rPr>
                    <w:t>2</w:t>
                  </w:r>
                </w:p>
              </w:tc>
              <w:tc>
                <w:tcPr>
                  <w:tcW w:w="1577" w:type="dxa"/>
                  <w:vAlign w:val="center"/>
                </w:tcPr>
                <w:p w14:paraId="60068B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NOx</w:t>
                  </w:r>
                </w:p>
              </w:tc>
              <w:tc>
                <w:tcPr>
                  <w:tcW w:w="1577" w:type="dxa"/>
                  <w:tcBorders>
                    <w:right w:val="nil"/>
                  </w:tcBorders>
                  <w:vAlign w:val="center"/>
                </w:tcPr>
                <w:p w14:paraId="4FE172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CO</w:t>
                  </w:r>
                </w:p>
              </w:tc>
            </w:tr>
            <w:tr w14:paraId="28D9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Borders>
                    <w:left w:val="nil"/>
                  </w:tcBorders>
                  <w:vAlign w:val="center"/>
                </w:tcPr>
                <w:p w14:paraId="2900DB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内燃机车（仅用于交路及调小机车作业）</w:t>
                  </w:r>
                </w:p>
              </w:tc>
              <w:tc>
                <w:tcPr>
                  <w:tcW w:w="1577" w:type="dxa"/>
                  <w:vAlign w:val="center"/>
                </w:tcPr>
                <w:p w14:paraId="4199D5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15.2</w:t>
                  </w:r>
                </w:p>
              </w:tc>
              <w:tc>
                <w:tcPr>
                  <w:tcW w:w="1577" w:type="dxa"/>
                  <w:vAlign w:val="center"/>
                </w:tcPr>
                <w:p w14:paraId="5F9801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3.2</w:t>
                  </w:r>
                </w:p>
              </w:tc>
              <w:tc>
                <w:tcPr>
                  <w:tcW w:w="1577" w:type="dxa"/>
                  <w:vAlign w:val="center"/>
                </w:tcPr>
                <w:p w14:paraId="144374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19.0</w:t>
                  </w:r>
                </w:p>
              </w:tc>
              <w:tc>
                <w:tcPr>
                  <w:tcW w:w="1577" w:type="dxa"/>
                  <w:tcBorders>
                    <w:right w:val="nil"/>
                  </w:tcBorders>
                  <w:vAlign w:val="center"/>
                </w:tcPr>
                <w:p w14:paraId="79EA70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7.1</w:t>
                  </w:r>
                </w:p>
              </w:tc>
            </w:tr>
          </w:tbl>
          <w:p w14:paraId="09B017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经查阅相关资料，内燃机车的燃料消耗量为</w:t>
            </w:r>
            <w:r>
              <w:rPr>
                <w:rFonts w:hint="default" w:ascii="Times New Roman" w:hAnsi="Times New Roman" w:eastAsia="宋体" w:cs="Times New Roman"/>
                <w:color w:val="000000"/>
                <w:kern w:val="0"/>
                <w:sz w:val="24"/>
                <w:szCs w:val="24"/>
                <w:lang w:val="en-US" w:eastAsia="zh-CN" w:bidi="ar"/>
              </w:rPr>
              <w:t>18-21kg/</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vertAlign w:val="superscript"/>
                <w:lang w:val="en-US" w:eastAsia="zh-CN" w:bidi="ar"/>
              </w:rPr>
              <w:t>4</w:t>
            </w:r>
            <w:r>
              <w:rPr>
                <w:rFonts w:hint="default" w:ascii="Times New Roman" w:hAnsi="Times New Roman" w:eastAsia="宋体" w:cs="Times New Roman"/>
                <w:color w:val="000000"/>
                <w:kern w:val="0"/>
                <w:sz w:val="24"/>
                <w:szCs w:val="24"/>
                <w:lang w:val="en-US" w:eastAsia="zh-CN" w:bidi="ar"/>
              </w:rPr>
              <w:t>t·km</w:t>
            </w:r>
            <w:r>
              <w:rPr>
                <w:rFonts w:hint="eastAsia" w:ascii="宋体" w:hAnsi="宋体" w:eastAsia="宋体" w:cs="宋体"/>
                <w:color w:val="000000"/>
                <w:kern w:val="0"/>
                <w:sz w:val="24"/>
                <w:szCs w:val="24"/>
                <w:lang w:val="en-US" w:eastAsia="zh-CN" w:bidi="ar"/>
              </w:rPr>
              <w:t>）之间，该项目按照</w:t>
            </w:r>
            <w:r>
              <w:rPr>
                <w:rFonts w:hint="default" w:ascii="Times New Roman" w:hAnsi="Times New Roman" w:eastAsia="宋体" w:cs="Times New Roman"/>
                <w:color w:val="000000"/>
                <w:kern w:val="0"/>
                <w:sz w:val="24"/>
                <w:szCs w:val="24"/>
                <w:lang w:val="en-US" w:eastAsia="zh-CN" w:bidi="ar"/>
              </w:rPr>
              <w:t>21kg/</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vertAlign w:val="superscript"/>
                <w:lang w:val="en-US" w:eastAsia="zh-CN" w:bidi="ar"/>
              </w:rPr>
              <w:t>4</w:t>
            </w:r>
            <w:r>
              <w:rPr>
                <w:rFonts w:hint="default" w:ascii="Times New Roman" w:hAnsi="Times New Roman" w:eastAsia="宋体" w:cs="Times New Roman"/>
                <w:color w:val="000000"/>
                <w:kern w:val="0"/>
                <w:sz w:val="24"/>
                <w:szCs w:val="24"/>
                <w:lang w:val="en-US" w:eastAsia="zh-CN" w:bidi="ar"/>
              </w:rPr>
              <w:t>t·km</w:t>
            </w:r>
            <w:r>
              <w:rPr>
                <w:rFonts w:hint="eastAsia" w:ascii="宋体" w:hAnsi="宋体" w:eastAsia="宋体" w:cs="宋体"/>
                <w:color w:val="000000"/>
                <w:kern w:val="0"/>
                <w:sz w:val="24"/>
                <w:szCs w:val="24"/>
                <w:lang w:val="en-US" w:eastAsia="zh-CN" w:bidi="ar"/>
              </w:rPr>
              <w:t>）计算。该项目货物</w:t>
            </w:r>
            <w:r>
              <w:rPr>
                <w:rFonts w:hint="default" w:ascii="Times New Roman" w:hAnsi="Times New Roman" w:eastAsia="宋体" w:cs="Times New Roman"/>
                <w:color w:val="000000"/>
                <w:kern w:val="0"/>
                <w:sz w:val="24"/>
                <w:szCs w:val="24"/>
                <w:lang w:val="en-US" w:eastAsia="zh-CN" w:bidi="ar"/>
              </w:rPr>
              <w:t>线全长共</w:t>
            </w:r>
            <w:r>
              <w:rPr>
                <w:rFonts w:hint="eastAsia" w:cs="Times New Roman"/>
                <w:color w:val="000000"/>
                <w:kern w:val="0"/>
                <w:sz w:val="24"/>
                <w:szCs w:val="24"/>
                <w:lang w:val="en-US" w:eastAsia="zh-CN" w:bidi="ar"/>
              </w:rPr>
              <w:t>1.55</w:t>
            </w:r>
            <w:r>
              <w:rPr>
                <w:rFonts w:hint="default" w:ascii="Times New Roman" w:hAnsi="Times New Roman" w:eastAsia="宋体" w:cs="Times New Roman"/>
                <w:color w:val="000000"/>
                <w:kern w:val="0"/>
                <w:sz w:val="24"/>
                <w:szCs w:val="24"/>
                <w:lang w:val="en-US" w:eastAsia="zh-CN" w:bidi="ar"/>
              </w:rPr>
              <w:t>km，货</w:t>
            </w:r>
            <w:r>
              <w:rPr>
                <w:rFonts w:hint="eastAsia" w:ascii="宋体" w:hAnsi="宋体" w:eastAsia="宋体" w:cs="宋体"/>
                <w:color w:val="000000"/>
                <w:kern w:val="0"/>
                <w:sz w:val="24"/>
                <w:szCs w:val="24"/>
                <w:lang w:val="en-US" w:eastAsia="zh-CN" w:bidi="ar"/>
              </w:rPr>
              <w:t>运量为</w:t>
            </w:r>
            <w:r>
              <w:rPr>
                <w:rFonts w:hint="eastAsia" w:ascii="Times New Roman" w:hAnsi="Times New Roman" w:eastAsia="宋体" w:cs="Times New Roman"/>
                <w:color w:val="000000"/>
                <w:kern w:val="0"/>
                <w:sz w:val="24"/>
                <w:szCs w:val="24"/>
                <w:lang w:val="en-US" w:eastAsia="zh-CN" w:bidi="ar"/>
              </w:rPr>
              <w:t>700万</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（近期）、</w:t>
            </w:r>
            <w:r>
              <w:rPr>
                <w:rFonts w:hint="eastAsia" w:ascii="Times New Roman" w:hAnsi="Times New Roman" w:eastAsia="宋体" w:cs="Times New Roman"/>
                <w:color w:val="000000"/>
                <w:kern w:val="0"/>
                <w:sz w:val="24"/>
                <w:szCs w:val="24"/>
                <w:lang w:val="en-US" w:eastAsia="zh-CN" w:bidi="ar"/>
              </w:rPr>
              <w:t>700万</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（远期）。因此该项目运营期燃料消耗量为</w:t>
            </w:r>
            <w:r>
              <w:rPr>
                <w:rFonts w:hint="eastAsia" w:cs="Times New Roman"/>
                <w:color w:val="000000"/>
                <w:kern w:val="0"/>
                <w:sz w:val="24"/>
                <w:szCs w:val="24"/>
                <w:lang w:val="en-US" w:eastAsia="zh-CN" w:bidi="ar"/>
              </w:rPr>
              <w:t>22.79</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（近期）、</w:t>
            </w:r>
            <w:r>
              <w:rPr>
                <w:rFonts w:hint="eastAsia" w:cs="Times New Roman"/>
                <w:color w:val="000000"/>
                <w:kern w:val="0"/>
                <w:sz w:val="24"/>
                <w:szCs w:val="24"/>
                <w:lang w:val="en-US" w:eastAsia="zh-CN" w:bidi="ar"/>
              </w:rPr>
              <w:t>22.79</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（远期）。</w:t>
            </w:r>
          </w:p>
          <w:p w14:paraId="44B72F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rPr>
            </w:pPr>
            <w:r>
              <w:rPr>
                <w:rFonts w:hint="eastAsia" w:ascii="宋体" w:hAnsi="宋体" w:eastAsia="宋体" w:cs="宋体"/>
                <w:color w:val="000000"/>
                <w:kern w:val="0"/>
                <w:sz w:val="24"/>
                <w:szCs w:val="24"/>
                <w:lang w:val="en-US" w:eastAsia="zh-CN" w:bidi="ar"/>
              </w:rPr>
              <w:t>该项目内燃机大气污染物排放量见下表。</w:t>
            </w:r>
          </w:p>
          <w:p w14:paraId="53FA6F3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表4-7内燃机车大气污染物排放量   单位：t/a</w:t>
            </w:r>
          </w:p>
          <w:tbl>
            <w:tblPr>
              <w:tblStyle w:val="23"/>
              <w:tblW w:w="78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577"/>
              <w:gridCol w:w="1577"/>
              <w:gridCol w:w="1577"/>
              <w:gridCol w:w="1577"/>
            </w:tblGrid>
            <w:tr w14:paraId="1030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Merge w:val="restart"/>
                  <w:tcBorders>
                    <w:left w:val="nil"/>
                  </w:tcBorders>
                  <w:vAlign w:val="center"/>
                </w:tcPr>
                <w:p w14:paraId="5B7F4D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预测年度</w:t>
                  </w:r>
                </w:p>
              </w:tc>
              <w:tc>
                <w:tcPr>
                  <w:tcW w:w="6308" w:type="dxa"/>
                  <w:gridSpan w:val="4"/>
                  <w:tcBorders>
                    <w:right w:val="nil"/>
                  </w:tcBorders>
                  <w:vAlign w:val="center"/>
                </w:tcPr>
                <w:p w14:paraId="73667F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污染物排放量</w:t>
                  </w:r>
                </w:p>
              </w:tc>
            </w:tr>
            <w:tr w14:paraId="0EDD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Merge w:val="continue"/>
                  <w:tcBorders>
                    <w:left w:val="nil"/>
                  </w:tcBorders>
                  <w:vAlign w:val="center"/>
                </w:tcPr>
                <w:p w14:paraId="3EFB3C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p>
              </w:tc>
              <w:tc>
                <w:tcPr>
                  <w:tcW w:w="1577" w:type="dxa"/>
                  <w:vAlign w:val="center"/>
                </w:tcPr>
                <w:p w14:paraId="10061B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烟尘</w:t>
                  </w:r>
                </w:p>
              </w:tc>
              <w:tc>
                <w:tcPr>
                  <w:tcW w:w="1577" w:type="dxa"/>
                  <w:vAlign w:val="center"/>
                </w:tcPr>
                <w:p w14:paraId="1CF26A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SO</w:t>
                  </w:r>
                  <w:r>
                    <w:rPr>
                      <w:rFonts w:hint="default" w:ascii="Times New Roman" w:hAnsi="Times New Roman" w:eastAsia="宋体" w:cs="Times New Roman"/>
                      <w:color w:val="auto"/>
                      <w:spacing w:val="-2"/>
                      <w:kern w:val="2"/>
                      <w:sz w:val="18"/>
                      <w:szCs w:val="18"/>
                      <w:vertAlign w:val="subscript"/>
                      <w:lang w:val="en-US" w:eastAsia="zh-CN" w:bidi="ar-SA"/>
                    </w:rPr>
                    <w:t>2</w:t>
                  </w:r>
                </w:p>
              </w:tc>
              <w:tc>
                <w:tcPr>
                  <w:tcW w:w="1577" w:type="dxa"/>
                  <w:vAlign w:val="center"/>
                </w:tcPr>
                <w:p w14:paraId="1A9B0F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NOx</w:t>
                  </w:r>
                </w:p>
              </w:tc>
              <w:tc>
                <w:tcPr>
                  <w:tcW w:w="1577" w:type="dxa"/>
                  <w:tcBorders>
                    <w:right w:val="nil"/>
                  </w:tcBorders>
                  <w:vAlign w:val="center"/>
                </w:tcPr>
                <w:p w14:paraId="666B20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18"/>
                      <w:szCs w:val="18"/>
                      <w:lang w:val="en-US" w:eastAsia="zh-CN" w:bidi="ar-SA"/>
                    </w:rPr>
                  </w:pPr>
                  <w:r>
                    <w:rPr>
                      <w:rFonts w:hint="default" w:ascii="Times New Roman" w:hAnsi="Times New Roman" w:eastAsia="宋体" w:cs="Times New Roman"/>
                      <w:color w:val="auto"/>
                      <w:spacing w:val="-2"/>
                      <w:kern w:val="2"/>
                      <w:sz w:val="18"/>
                      <w:szCs w:val="18"/>
                      <w:lang w:val="en-US" w:eastAsia="zh-CN" w:bidi="ar-SA"/>
                    </w:rPr>
                    <w:t>CO</w:t>
                  </w:r>
                </w:p>
              </w:tc>
            </w:tr>
            <w:tr w14:paraId="6505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Borders>
                    <w:left w:val="nil"/>
                  </w:tcBorders>
                  <w:vAlign w:val="center"/>
                </w:tcPr>
                <w:p w14:paraId="12A871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2035</w:t>
                  </w:r>
                </w:p>
              </w:tc>
              <w:tc>
                <w:tcPr>
                  <w:tcW w:w="1577" w:type="dxa"/>
                  <w:vAlign w:val="center"/>
                </w:tcPr>
                <w:p w14:paraId="78FB86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0.346</w:t>
                  </w:r>
                </w:p>
              </w:tc>
              <w:tc>
                <w:tcPr>
                  <w:tcW w:w="1577" w:type="dxa"/>
                  <w:vAlign w:val="center"/>
                </w:tcPr>
                <w:p w14:paraId="750312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0.073</w:t>
                  </w:r>
                </w:p>
              </w:tc>
              <w:tc>
                <w:tcPr>
                  <w:tcW w:w="1577" w:type="dxa"/>
                  <w:vAlign w:val="center"/>
                </w:tcPr>
                <w:p w14:paraId="1960F7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0.433</w:t>
                  </w:r>
                </w:p>
              </w:tc>
              <w:tc>
                <w:tcPr>
                  <w:tcW w:w="1577" w:type="dxa"/>
                  <w:tcBorders>
                    <w:right w:val="nil"/>
                  </w:tcBorders>
                  <w:vAlign w:val="center"/>
                </w:tcPr>
                <w:p w14:paraId="0A20AB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0.162</w:t>
                  </w:r>
                </w:p>
              </w:tc>
            </w:tr>
            <w:tr w14:paraId="37F5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tcBorders>
                    <w:left w:val="nil"/>
                  </w:tcBorders>
                  <w:vAlign w:val="center"/>
                </w:tcPr>
                <w:p w14:paraId="0FDD0D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2055</w:t>
                  </w:r>
                </w:p>
              </w:tc>
              <w:tc>
                <w:tcPr>
                  <w:tcW w:w="1577" w:type="dxa"/>
                  <w:vAlign w:val="center"/>
                </w:tcPr>
                <w:p w14:paraId="799410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2.246</w:t>
                  </w:r>
                </w:p>
              </w:tc>
              <w:tc>
                <w:tcPr>
                  <w:tcW w:w="1577" w:type="dxa"/>
                  <w:vAlign w:val="center"/>
                </w:tcPr>
                <w:p w14:paraId="02828A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0.073</w:t>
                  </w:r>
                </w:p>
              </w:tc>
              <w:tc>
                <w:tcPr>
                  <w:tcW w:w="1577" w:type="dxa"/>
                  <w:vAlign w:val="center"/>
                </w:tcPr>
                <w:p w14:paraId="4B61E3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0.433</w:t>
                  </w:r>
                </w:p>
              </w:tc>
              <w:tc>
                <w:tcPr>
                  <w:tcW w:w="1577" w:type="dxa"/>
                  <w:tcBorders>
                    <w:right w:val="nil"/>
                  </w:tcBorders>
                  <w:vAlign w:val="center"/>
                </w:tcPr>
                <w:p w14:paraId="359F06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cs="Times New Roman"/>
                      <w:color w:val="auto"/>
                      <w:spacing w:val="-2"/>
                      <w:kern w:val="2"/>
                      <w:sz w:val="18"/>
                      <w:szCs w:val="18"/>
                      <w:lang w:val="en-US" w:eastAsia="zh-CN" w:bidi="ar-SA"/>
                    </w:rPr>
                    <w:t>0.162</w:t>
                  </w:r>
                </w:p>
              </w:tc>
            </w:tr>
          </w:tbl>
          <w:p w14:paraId="010632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运营后牵引内燃机车大气污染物排放量不大，且属于流动污染源，烟气扩散范围内加上当地年平均风速为</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m/s</w:t>
            </w:r>
            <w:r>
              <w:rPr>
                <w:rFonts w:hint="eastAsia" w:ascii="Times New Roman" w:hAnsi="Times New Roman" w:eastAsia="宋体" w:cs="Times New Roman"/>
                <w:color w:val="000000"/>
                <w:kern w:val="0"/>
                <w:sz w:val="24"/>
                <w:szCs w:val="24"/>
                <w:lang w:val="en-US" w:eastAsia="zh-CN" w:bidi="ar"/>
              </w:rPr>
              <w:t>，风速较大，具备良好的污染物稀释、扩散条件，因此该项目内燃机排放的大气污染物对沿线环境空气质量影响较小。</w:t>
            </w:r>
          </w:p>
          <w:p w14:paraId="354A509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4、物品装卸粉尘</w:t>
            </w:r>
          </w:p>
          <w:p w14:paraId="34484F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本项目运输的货物主要运输钢材、铁矿石、煤、</w:t>
            </w:r>
            <w:r>
              <w:rPr>
                <w:rFonts w:hint="eastAsia" w:cs="Times New Roman"/>
                <w:color w:val="000000"/>
                <w:kern w:val="0"/>
                <w:sz w:val="24"/>
                <w:szCs w:val="24"/>
                <w:lang w:val="en-US" w:eastAsia="zh-CN" w:bidi="ar"/>
              </w:rPr>
              <w:t>焦炭</w:t>
            </w:r>
            <w:r>
              <w:rPr>
                <w:rFonts w:hint="eastAsia" w:ascii="Times New Roman" w:hAnsi="Times New Roman" w:eastAsia="宋体" w:cs="Times New Roman"/>
                <w:color w:val="000000"/>
                <w:kern w:val="0"/>
                <w:sz w:val="24"/>
                <w:szCs w:val="24"/>
                <w:lang w:val="en-US" w:eastAsia="zh-CN" w:bidi="ar"/>
              </w:rPr>
              <w:t>及辅助材料，主要装卸方式为集装箱、棚车、敞车三种。</w:t>
            </w:r>
          </w:p>
          <w:p w14:paraId="40B88D0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b/>
                <w:bCs/>
                <w:color w:val="000000"/>
                <w:kern w:val="0"/>
                <w:sz w:val="24"/>
                <w:szCs w:val="24"/>
                <w:lang w:val="en-US" w:eastAsia="zh-CN" w:bidi="ar"/>
              </w:rPr>
              <w:t>（1）储煤仓粉尘</w:t>
            </w:r>
          </w:p>
          <w:p w14:paraId="23406B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根据《露天煤（矿）场粉尘产生量核定暂行办法》中，对煤炭装卸、堆存的产污、排放系数做了明确的规定。煤炭存储会产生一定粉尘。</w:t>
            </w:r>
          </w:p>
          <w:p w14:paraId="7112744E">
            <w:pPr>
              <w:pStyle w:val="8"/>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eastAsia"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表4-8煤炭堆存核定系数表       kg/t煤</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983"/>
              <w:gridCol w:w="983"/>
              <w:gridCol w:w="983"/>
              <w:gridCol w:w="983"/>
              <w:gridCol w:w="983"/>
              <w:gridCol w:w="983"/>
              <w:gridCol w:w="984"/>
            </w:tblGrid>
            <w:tr w14:paraId="5A77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tcBorders>
                    <w:left w:val="nil"/>
                  </w:tcBorders>
                  <w:vAlign w:val="center"/>
                </w:tcPr>
                <w:p w14:paraId="730172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产污系数</w:t>
                  </w:r>
                </w:p>
              </w:tc>
              <w:tc>
                <w:tcPr>
                  <w:tcW w:w="6882" w:type="dxa"/>
                  <w:gridSpan w:val="7"/>
                  <w:tcBorders>
                    <w:right w:val="nil"/>
                  </w:tcBorders>
                  <w:vAlign w:val="center"/>
                </w:tcPr>
                <w:p w14:paraId="57D534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排放系数</w:t>
                  </w:r>
                </w:p>
              </w:tc>
            </w:tr>
            <w:tr w14:paraId="6026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82" w:type="dxa"/>
                  <w:vMerge w:val="continue"/>
                  <w:tcBorders>
                    <w:left w:val="nil"/>
                  </w:tcBorders>
                  <w:vAlign w:val="center"/>
                </w:tcPr>
                <w:p w14:paraId="46A6E9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p>
              </w:tc>
              <w:tc>
                <w:tcPr>
                  <w:tcW w:w="983" w:type="dxa"/>
                  <w:vMerge w:val="restart"/>
                  <w:vAlign w:val="center"/>
                </w:tcPr>
                <w:p w14:paraId="6A33CA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仅有挡风墙</w:t>
                  </w:r>
                </w:p>
              </w:tc>
              <w:tc>
                <w:tcPr>
                  <w:tcW w:w="983" w:type="dxa"/>
                  <w:vMerge w:val="restart"/>
                  <w:vAlign w:val="center"/>
                </w:tcPr>
                <w:p w14:paraId="44E139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仅有喷淋设施</w:t>
                  </w:r>
                </w:p>
              </w:tc>
              <w:tc>
                <w:tcPr>
                  <w:tcW w:w="983" w:type="dxa"/>
                  <w:vMerge w:val="restart"/>
                  <w:vAlign w:val="center"/>
                </w:tcPr>
                <w:p w14:paraId="1D7E84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建有挡风墙及喷淋设施</w:t>
                  </w:r>
                </w:p>
              </w:tc>
              <w:tc>
                <w:tcPr>
                  <w:tcW w:w="983" w:type="dxa"/>
                  <w:vMerge w:val="restart"/>
                  <w:vAlign w:val="center"/>
                </w:tcPr>
                <w:p w14:paraId="75602C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加盖绿网并使用放风抑尘剂</w:t>
                  </w:r>
                </w:p>
              </w:tc>
              <w:tc>
                <w:tcPr>
                  <w:tcW w:w="1966" w:type="dxa"/>
                  <w:gridSpan w:val="2"/>
                  <w:vAlign w:val="center"/>
                </w:tcPr>
                <w:p w14:paraId="335826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建有防风抑尘网</w:t>
                  </w:r>
                </w:p>
              </w:tc>
              <w:tc>
                <w:tcPr>
                  <w:tcW w:w="984" w:type="dxa"/>
                  <w:vMerge w:val="restart"/>
                  <w:tcBorders>
                    <w:right w:val="nil"/>
                  </w:tcBorders>
                  <w:vAlign w:val="center"/>
                </w:tcPr>
                <w:p w14:paraId="7A7FDB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建有封闭储煤仓</w:t>
                  </w:r>
                </w:p>
              </w:tc>
            </w:tr>
            <w:tr w14:paraId="134E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82" w:type="dxa"/>
                  <w:vMerge w:val="continue"/>
                  <w:tcBorders>
                    <w:left w:val="nil"/>
                  </w:tcBorders>
                  <w:vAlign w:val="center"/>
                </w:tcPr>
                <w:p w14:paraId="186389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pPr>
                </w:p>
              </w:tc>
              <w:tc>
                <w:tcPr>
                  <w:tcW w:w="983" w:type="dxa"/>
                  <w:vMerge w:val="continue"/>
                  <w:vAlign w:val="center"/>
                </w:tcPr>
                <w:p w14:paraId="204EFC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pPr>
                </w:p>
              </w:tc>
              <w:tc>
                <w:tcPr>
                  <w:tcW w:w="983" w:type="dxa"/>
                  <w:vMerge w:val="continue"/>
                  <w:vAlign w:val="center"/>
                </w:tcPr>
                <w:p w14:paraId="7C5E77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pPr>
                </w:p>
              </w:tc>
              <w:tc>
                <w:tcPr>
                  <w:tcW w:w="983" w:type="dxa"/>
                  <w:vMerge w:val="continue"/>
                  <w:vAlign w:val="center"/>
                </w:tcPr>
                <w:p w14:paraId="5B85EC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pPr>
                </w:p>
              </w:tc>
              <w:tc>
                <w:tcPr>
                  <w:tcW w:w="983" w:type="dxa"/>
                  <w:vMerge w:val="continue"/>
                  <w:vAlign w:val="center"/>
                </w:tcPr>
                <w:p w14:paraId="37E3CB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pPr>
                </w:p>
              </w:tc>
              <w:tc>
                <w:tcPr>
                  <w:tcW w:w="983" w:type="dxa"/>
                  <w:vAlign w:val="center"/>
                </w:tcPr>
                <w:p w14:paraId="29420F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有喷淋设施</w:t>
                  </w:r>
                </w:p>
              </w:tc>
              <w:tc>
                <w:tcPr>
                  <w:tcW w:w="983" w:type="dxa"/>
                  <w:vAlign w:val="center"/>
                </w:tcPr>
                <w:p w14:paraId="05EA41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无喷淋设施</w:t>
                  </w:r>
                </w:p>
              </w:tc>
              <w:tc>
                <w:tcPr>
                  <w:tcW w:w="984" w:type="dxa"/>
                  <w:vMerge w:val="continue"/>
                  <w:tcBorders>
                    <w:right w:val="nil"/>
                  </w:tcBorders>
                  <w:vAlign w:val="center"/>
                </w:tcPr>
                <w:p w14:paraId="19B544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p>
              </w:tc>
            </w:tr>
            <w:tr w14:paraId="3C5C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Borders>
                    <w:left w:val="nil"/>
                  </w:tcBorders>
                  <w:vAlign w:val="center"/>
                </w:tcPr>
                <w:p w14:paraId="748DF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1.75</w:t>
                  </w:r>
                </w:p>
              </w:tc>
              <w:tc>
                <w:tcPr>
                  <w:tcW w:w="983" w:type="dxa"/>
                  <w:vAlign w:val="center"/>
                </w:tcPr>
                <w:p w14:paraId="5CE315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1.4</w:t>
                  </w:r>
                </w:p>
              </w:tc>
              <w:tc>
                <w:tcPr>
                  <w:tcW w:w="983" w:type="dxa"/>
                  <w:vAlign w:val="center"/>
                </w:tcPr>
                <w:p w14:paraId="56E527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1.23</w:t>
                  </w:r>
                </w:p>
              </w:tc>
              <w:tc>
                <w:tcPr>
                  <w:tcW w:w="983" w:type="dxa"/>
                  <w:vAlign w:val="center"/>
                </w:tcPr>
                <w:p w14:paraId="63ADCE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0.88</w:t>
                  </w:r>
                </w:p>
              </w:tc>
              <w:tc>
                <w:tcPr>
                  <w:tcW w:w="983" w:type="dxa"/>
                  <w:vAlign w:val="center"/>
                </w:tcPr>
                <w:p w14:paraId="78E547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0.175</w:t>
                  </w:r>
                </w:p>
              </w:tc>
              <w:tc>
                <w:tcPr>
                  <w:tcW w:w="983" w:type="dxa"/>
                  <w:vAlign w:val="center"/>
                </w:tcPr>
                <w:p w14:paraId="199D01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0.175</w:t>
                  </w:r>
                </w:p>
              </w:tc>
              <w:tc>
                <w:tcPr>
                  <w:tcW w:w="983" w:type="dxa"/>
                  <w:vAlign w:val="center"/>
                </w:tcPr>
                <w:p w14:paraId="0787E0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0.35</w:t>
                  </w:r>
                </w:p>
              </w:tc>
              <w:tc>
                <w:tcPr>
                  <w:tcW w:w="984" w:type="dxa"/>
                  <w:tcBorders>
                    <w:right w:val="nil"/>
                  </w:tcBorders>
                  <w:vAlign w:val="center"/>
                </w:tcPr>
                <w:p w14:paraId="0453C5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0.005</w:t>
                  </w:r>
                </w:p>
              </w:tc>
            </w:tr>
          </w:tbl>
          <w:p w14:paraId="752D0D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设置煤堆取作业厂房</w:t>
            </w:r>
            <w:r>
              <w:rPr>
                <w:rFonts w:hint="eastAsia" w:ascii="Times New Roman" w:hAnsi="Times New Roman" w:eastAsia="宋体" w:cs="Times New Roman"/>
                <w:color w:val="000000"/>
                <w:kern w:val="0"/>
                <w:sz w:val="24"/>
                <w:szCs w:val="24"/>
                <w:lang w:val="en-US" w:eastAsia="zh-CN" w:bidi="ar"/>
              </w:rPr>
              <w:t>，最大存储量为</w:t>
            </w:r>
            <w:r>
              <w:rPr>
                <w:rFonts w:hint="eastAsia"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万t，按照设计最大转运规模</w:t>
            </w:r>
            <w:r>
              <w:rPr>
                <w:rFonts w:hint="eastAsia" w:cs="Times New Roman"/>
                <w:color w:val="000000"/>
                <w:kern w:val="0"/>
                <w:sz w:val="24"/>
                <w:szCs w:val="24"/>
                <w:lang w:val="en-US" w:eastAsia="zh-CN" w:bidi="ar"/>
              </w:rPr>
              <w:t>51</w:t>
            </w:r>
            <w:r>
              <w:rPr>
                <w:rFonts w:hint="eastAsia" w:ascii="Times New Roman" w:hAnsi="Times New Roman" w:eastAsia="宋体" w:cs="Times New Roman"/>
                <w:color w:val="000000"/>
                <w:kern w:val="0"/>
                <w:sz w:val="24"/>
                <w:szCs w:val="24"/>
                <w:lang w:val="en-US" w:eastAsia="zh-CN" w:bidi="ar"/>
              </w:rPr>
              <w:t>万t/a计，项目建有封闭储煤仓，产尘系数为0.005kg/t，则储煤库内粉尘产生量为</w:t>
            </w:r>
            <w:r>
              <w:rPr>
                <w:rFonts w:hint="eastAsia" w:cs="Times New Roman"/>
                <w:color w:val="000000"/>
                <w:kern w:val="0"/>
                <w:sz w:val="24"/>
                <w:szCs w:val="24"/>
                <w:lang w:val="en-US" w:eastAsia="zh-CN" w:bidi="ar"/>
              </w:rPr>
              <w:t>25</w:t>
            </w:r>
            <w:r>
              <w:rPr>
                <w:rFonts w:hint="eastAsia" w:ascii="Times New Roman" w:hAnsi="Times New Roman" w:eastAsia="宋体" w:cs="Times New Roman"/>
                <w:color w:val="000000"/>
                <w:kern w:val="0"/>
                <w:sz w:val="24"/>
                <w:szCs w:val="24"/>
                <w:lang w:val="en-US" w:eastAsia="zh-CN" w:bidi="ar"/>
              </w:rPr>
              <w:t>t/a，环评要求在储煤仓内采用喷淋洒水</w:t>
            </w:r>
            <w:r>
              <w:rPr>
                <w:rFonts w:hint="eastAsia" w:cs="Times New Roman"/>
                <w:color w:val="000000"/>
                <w:kern w:val="0"/>
                <w:sz w:val="24"/>
                <w:szCs w:val="24"/>
                <w:lang w:val="en-US" w:eastAsia="zh-CN" w:bidi="ar"/>
              </w:rPr>
              <w:t>降尘</w:t>
            </w:r>
            <w:r>
              <w:rPr>
                <w:rFonts w:hint="eastAsia" w:ascii="Times New Roman" w:hAnsi="Times New Roman" w:eastAsia="宋体" w:cs="Times New Roman"/>
                <w:color w:val="000000"/>
                <w:kern w:val="0"/>
                <w:sz w:val="24"/>
                <w:szCs w:val="24"/>
                <w:lang w:val="en-US" w:eastAsia="zh-CN" w:bidi="ar"/>
              </w:rPr>
              <w:t>，少部分通过储煤库顶部通风设施逸出，综合除尘效率以90%计，</w:t>
            </w:r>
            <w:r>
              <w:rPr>
                <w:rFonts w:hint="eastAsia" w:cs="Times New Roman"/>
                <w:color w:val="000000"/>
                <w:kern w:val="0"/>
                <w:sz w:val="24"/>
                <w:szCs w:val="24"/>
                <w:lang w:val="en-US" w:eastAsia="zh-CN" w:bidi="ar"/>
              </w:rPr>
              <w:t>降尘</w:t>
            </w:r>
            <w:r>
              <w:rPr>
                <w:rFonts w:hint="eastAsia" w:ascii="Times New Roman" w:hAnsi="Times New Roman" w:eastAsia="宋体" w:cs="Times New Roman"/>
                <w:color w:val="000000"/>
                <w:kern w:val="0"/>
                <w:sz w:val="24"/>
                <w:szCs w:val="24"/>
                <w:lang w:val="en-US" w:eastAsia="zh-CN" w:bidi="ar"/>
              </w:rPr>
              <w:t>后储煤仓粉尘排放量为</w:t>
            </w:r>
            <w:r>
              <w:rPr>
                <w:rFonts w:hint="eastAsia" w:cs="Times New Roman"/>
                <w:color w:val="000000"/>
                <w:kern w:val="0"/>
                <w:sz w:val="24"/>
                <w:szCs w:val="24"/>
                <w:lang w:val="en-US" w:eastAsia="zh-CN" w:bidi="ar"/>
              </w:rPr>
              <w:t>2.5</w:t>
            </w:r>
            <w:r>
              <w:rPr>
                <w:rFonts w:hint="eastAsia" w:ascii="Times New Roman" w:hAnsi="Times New Roman" w:eastAsia="宋体" w:cs="Times New Roman"/>
                <w:color w:val="000000"/>
                <w:kern w:val="0"/>
                <w:sz w:val="24"/>
                <w:szCs w:val="24"/>
                <w:lang w:val="en-US" w:eastAsia="zh-CN" w:bidi="ar"/>
              </w:rPr>
              <w:t>t/a（即0.</w:t>
            </w:r>
            <w:r>
              <w:rPr>
                <w:rFonts w:hint="eastAsia" w:cs="Times New Roman"/>
                <w:color w:val="000000"/>
                <w:kern w:val="0"/>
                <w:sz w:val="24"/>
                <w:szCs w:val="24"/>
                <w:lang w:val="en-US" w:eastAsia="zh-CN" w:bidi="ar"/>
              </w:rPr>
              <w:t>316</w:t>
            </w:r>
            <w:r>
              <w:rPr>
                <w:rFonts w:hint="eastAsia" w:ascii="Times New Roman" w:hAnsi="Times New Roman" w:eastAsia="宋体" w:cs="Times New Roman"/>
                <w:color w:val="000000"/>
                <w:kern w:val="0"/>
                <w:sz w:val="24"/>
                <w:szCs w:val="24"/>
                <w:lang w:val="en-US" w:eastAsia="zh-CN" w:bidi="ar"/>
              </w:rPr>
              <w:t>kg/h），经类比采取以上措施，无组织排放的粉尘周界外浓度可控制在《煤炭工业污染物排放标准》</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GB20426-2006</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无组织排放限值即1.0mg/m²以下。</w:t>
            </w:r>
          </w:p>
          <w:p w14:paraId="3164001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（2）煤装车系统无组织粉尘</w:t>
            </w:r>
          </w:p>
          <w:p w14:paraId="6B8881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本项目采用集装箱装运，不会产生粉尘，煤炭通过密闭皮带栈桥输送有效减少了粉尘的逸散，各输煤系统落煤点处设有喷淋洒水设施，抑制落煤煤尘。项目的无组织排放源主要集中在自动装煤系统装车过程。</w:t>
            </w:r>
          </w:p>
          <w:p w14:paraId="3ED7A1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皮带栈桥将煤炭通过自动装煤系统装车过程产生的无组织粉尘。项目皮带栈桥全封闭，煤通过自动装煤系统的定量斗下部的卸料闸门进入卸料溜槽，装车时将溜槽直接伸到接近车厢底部位置卸料，物料流入车厢减少扬起灰尘。</w:t>
            </w:r>
          </w:p>
          <w:p w14:paraId="44CA73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参照已批复的《神木县XX矿业有限责任公司XX煤矿铁路专用线工程环境影响报告表》，火车装车站产尘量参照采用“秦皇岛港口煤炭装卸起尘及其扩散规律的研究”得出的公式计算。</w:t>
            </w:r>
          </w:p>
          <w:p w14:paraId="1E45C57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Times New Roman"/>
                <w:color w:val="000000"/>
                <w:kern w:val="0"/>
                <w:sz w:val="24"/>
                <w:szCs w:val="24"/>
                <w:vertAlign w:val="superscript"/>
                <w:lang w:val="en-US" w:eastAsia="zh-CN" w:bidi="ar"/>
              </w:rPr>
            </w:pPr>
            <w:r>
              <w:rPr>
                <w:rFonts w:hint="eastAsia" w:cs="Times New Roman"/>
                <w:i/>
                <w:iCs/>
                <w:color w:val="000000"/>
                <w:kern w:val="0"/>
                <w:sz w:val="24"/>
                <w:szCs w:val="24"/>
                <w:lang w:val="en-US" w:eastAsia="zh-CN" w:bidi="ar"/>
              </w:rPr>
              <w:t>Q</w:t>
            </w:r>
            <w:r>
              <w:rPr>
                <w:rFonts w:hint="eastAsia" w:cs="Times New Roman"/>
                <w:color w:val="000000"/>
                <w:kern w:val="0"/>
                <w:sz w:val="24"/>
                <w:szCs w:val="24"/>
                <w:lang w:val="en-US" w:eastAsia="zh-CN" w:bidi="ar"/>
              </w:rPr>
              <w:t>=0.03</w:t>
            </w:r>
            <w:r>
              <w:rPr>
                <w:rFonts w:hint="eastAsia" w:cs="Times New Roman"/>
                <w:i/>
                <w:iCs/>
                <w:color w:val="000000"/>
                <w:kern w:val="0"/>
                <w:sz w:val="24"/>
                <w:szCs w:val="24"/>
                <w:lang w:val="en-US" w:eastAsia="zh-CN" w:bidi="ar"/>
              </w:rPr>
              <w:t>U</w:t>
            </w:r>
            <w:r>
              <w:rPr>
                <w:rFonts w:hint="eastAsia" w:cs="Times New Roman"/>
                <w:color w:val="000000"/>
                <w:kern w:val="0"/>
                <w:sz w:val="24"/>
                <w:szCs w:val="24"/>
                <w:vertAlign w:val="superscript"/>
                <w:lang w:val="en-US" w:eastAsia="zh-CN" w:bidi="ar"/>
              </w:rPr>
              <w:t>1.6</w:t>
            </w:r>
            <w:r>
              <w:rPr>
                <w:rFonts w:hint="eastAsia" w:cs="Times New Roman"/>
                <w:i/>
                <w:iCs/>
                <w:color w:val="000000"/>
                <w:kern w:val="0"/>
                <w:sz w:val="24"/>
                <w:szCs w:val="24"/>
                <w:vertAlign w:val="baseline"/>
                <w:lang w:val="en-US" w:eastAsia="zh-CN" w:bidi="ar"/>
              </w:rPr>
              <w:t>H</w:t>
            </w:r>
            <w:r>
              <w:rPr>
                <w:rFonts w:hint="eastAsia" w:cs="Times New Roman"/>
                <w:color w:val="000000"/>
                <w:kern w:val="0"/>
                <w:sz w:val="24"/>
                <w:szCs w:val="24"/>
                <w:vertAlign w:val="superscript"/>
                <w:lang w:val="en-US" w:eastAsia="zh-CN" w:bidi="ar"/>
              </w:rPr>
              <w:t>1.23</w:t>
            </w:r>
            <w:r>
              <w:rPr>
                <w:rFonts w:hint="eastAsia" w:cs="Times New Roman"/>
                <w:i/>
                <w:iCs/>
                <w:color w:val="000000"/>
                <w:kern w:val="0"/>
                <w:sz w:val="24"/>
                <w:szCs w:val="24"/>
                <w:vertAlign w:val="baseline"/>
                <w:lang w:val="en-US" w:eastAsia="zh-CN" w:bidi="ar"/>
              </w:rPr>
              <w:t>e</w:t>
            </w:r>
            <w:r>
              <w:rPr>
                <w:rFonts w:hint="eastAsia" w:cs="Times New Roman"/>
                <w:color w:val="000000"/>
                <w:kern w:val="0"/>
                <w:sz w:val="24"/>
                <w:szCs w:val="24"/>
                <w:vertAlign w:val="superscript"/>
                <w:lang w:val="en-US" w:eastAsia="zh-CN" w:bidi="ar"/>
              </w:rPr>
              <w:t>-0.23w</w:t>
            </w:r>
          </w:p>
          <w:p w14:paraId="3438B8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式中：Q一货物装卸起尘量，kg/t装卸量；</w:t>
            </w:r>
          </w:p>
          <w:p w14:paraId="03F0EC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U平均风速，m/s；参照《建筑防排烟系统技术规范》，项目皮带栈桥采取密闭输送，同时火车车厢四周设为封闭状态，则室内风速取0.4m/s;</w:t>
            </w:r>
          </w:p>
          <w:p w14:paraId="53D9A0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W—含水率，煤炭取12%</w:t>
            </w:r>
            <w:r>
              <w:rPr>
                <w:rFonts w:hint="eastAsia" w:cs="Times New Roman"/>
                <w:color w:val="000000"/>
                <w:kern w:val="0"/>
                <w:sz w:val="24"/>
                <w:szCs w:val="24"/>
                <w:lang w:val="en-US" w:eastAsia="zh-CN" w:bidi="ar"/>
              </w:rPr>
              <w:t>；</w:t>
            </w:r>
          </w:p>
          <w:p w14:paraId="244369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H一装卸高度，装载煤落差取1.5m。</w:t>
            </w:r>
          </w:p>
          <w:p w14:paraId="4AE8E2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经计算，项目远期年装车</w:t>
            </w:r>
            <w:r>
              <w:rPr>
                <w:rFonts w:hint="eastAsia" w:cs="Times New Roman"/>
                <w:color w:val="000000"/>
                <w:kern w:val="0"/>
                <w:sz w:val="24"/>
                <w:szCs w:val="24"/>
                <w:lang w:val="en-US" w:eastAsia="zh-CN" w:bidi="ar"/>
              </w:rPr>
              <w:t>51</w:t>
            </w:r>
            <w:r>
              <w:rPr>
                <w:rFonts w:hint="default" w:ascii="Times New Roman" w:hAnsi="Times New Roman" w:eastAsia="宋体" w:cs="Times New Roman"/>
                <w:color w:val="000000"/>
                <w:kern w:val="0"/>
                <w:sz w:val="24"/>
                <w:szCs w:val="24"/>
                <w:lang w:val="en-US" w:eastAsia="zh-CN" w:bidi="ar"/>
              </w:rPr>
              <w:t>万吨时，火车装车站的起尘量为</w:t>
            </w:r>
            <w:r>
              <w:rPr>
                <w:rFonts w:hint="eastAsia" w:cs="Times New Roman"/>
                <w:color w:val="000000"/>
                <w:kern w:val="0"/>
                <w:sz w:val="24"/>
                <w:szCs w:val="24"/>
                <w:lang w:val="en-US" w:eastAsia="zh-CN" w:bidi="ar"/>
              </w:rPr>
              <w:t>0.0014</w:t>
            </w:r>
            <w:r>
              <w:rPr>
                <w:rFonts w:hint="default" w:ascii="Times New Roman" w:hAnsi="Times New Roman" w:eastAsia="宋体" w:cs="Times New Roman"/>
                <w:color w:val="000000"/>
                <w:kern w:val="0"/>
                <w:sz w:val="24"/>
                <w:szCs w:val="24"/>
                <w:lang w:val="en-US" w:eastAsia="zh-CN" w:bidi="ar"/>
              </w:rPr>
              <w:t>kg/t，</w:t>
            </w:r>
            <w:r>
              <w:rPr>
                <w:rFonts w:hint="eastAsia" w:cs="Times New Roman"/>
                <w:color w:val="000000"/>
                <w:kern w:val="0"/>
                <w:sz w:val="24"/>
                <w:szCs w:val="24"/>
                <w:lang w:val="en-US" w:eastAsia="zh-CN" w:bidi="ar"/>
              </w:rPr>
              <w:t>5.5</w:t>
            </w:r>
            <w:r>
              <w:rPr>
                <w:rFonts w:hint="default" w:ascii="Times New Roman" w:hAnsi="Times New Roman" w:eastAsia="宋体" w:cs="Times New Roman"/>
                <w:color w:val="000000"/>
                <w:kern w:val="0"/>
                <w:sz w:val="24"/>
                <w:szCs w:val="24"/>
                <w:lang w:val="en-US" w:eastAsia="zh-CN" w:bidi="ar"/>
              </w:rPr>
              <w:t>t/a。装车系统采用全封闭形式，装车后立即采取抑尘喷洒作业，项目扬尘量可减少90%左右，则无组织排放量为</w:t>
            </w:r>
            <w:r>
              <w:rPr>
                <w:rFonts w:hint="eastAsia" w:cs="Times New Roman"/>
                <w:color w:val="000000"/>
                <w:kern w:val="0"/>
                <w:sz w:val="24"/>
                <w:szCs w:val="24"/>
                <w:lang w:val="en-US" w:eastAsia="zh-CN" w:bidi="ar"/>
              </w:rPr>
              <w:t>0.55</w:t>
            </w:r>
            <w:r>
              <w:rPr>
                <w:rFonts w:hint="default" w:ascii="Times New Roman" w:hAnsi="Times New Roman" w:eastAsia="宋体" w:cs="Times New Roman"/>
                <w:color w:val="000000"/>
                <w:kern w:val="0"/>
                <w:sz w:val="24"/>
                <w:szCs w:val="24"/>
                <w:lang w:val="en-US" w:eastAsia="zh-CN" w:bidi="ar"/>
              </w:rPr>
              <w:t>t/a。装车完成后，在煤炭表面喷洒防冻抑尘剂。在采取以上措施，通过类比榆树湾煤矿铁路专用线项目，无组织排放的煤尘周界外浓度可控制在《煤炭工业污染物排放标准》（GB20426-2006）无组织排放限值即1.0mg/m²以下。因此，本项目列车装车过程无组织排放的粉尘不会对周围环境空气产生明显影响。</w:t>
            </w:r>
          </w:p>
          <w:p w14:paraId="701879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铁矿石</w:t>
            </w:r>
            <w:r>
              <w:rPr>
                <w:rFonts w:hint="eastAsia" w:ascii="Times New Roman" w:hAnsi="Times New Roman" w:eastAsia="宋体" w:cs="Times New Roman"/>
                <w:color w:val="000000"/>
                <w:kern w:val="0"/>
                <w:sz w:val="24"/>
                <w:szCs w:val="24"/>
                <w:lang w:val="en-US" w:eastAsia="zh-CN" w:bidi="ar"/>
              </w:rPr>
              <w:t>装载到集装箱内运输，集装箱密闭，在本项目场地内卸货后以集装箱的形式存放并以集装箱的方式运走，运输的过程全程密闭不开放，基本无粉尘产生。</w:t>
            </w:r>
          </w:p>
          <w:p w14:paraId="6157CE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钢材运输采取敞车及集装箱的方式运输，不产生粉尘。</w:t>
            </w:r>
          </w:p>
          <w:p w14:paraId="1D3FA0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焦炭</w:t>
            </w:r>
            <w:r>
              <w:rPr>
                <w:rFonts w:hint="eastAsia" w:ascii="Times New Roman" w:hAnsi="Times New Roman" w:eastAsia="宋体" w:cs="Times New Roman"/>
                <w:color w:val="000000"/>
                <w:kern w:val="0"/>
                <w:sz w:val="24"/>
                <w:szCs w:val="24"/>
                <w:lang w:val="en-US" w:eastAsia="zh-CN" w:bidi="ar"/>
              </w:rPr>
              <w:t>及其原料采用棚车运输，均采用密封袋封装，卸货后存放至项目区仓库内，使用时运走处理。仅装卸的过程中粉状料从密封袋溢出会产生粉尘，逸尘量很小。</w:t>
            </w:r>
          </w:p>
          <w:p w14:paraId="797366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因此，本项目</w:t>
            </w:r>
            <w:r>
              <w:rPr>
                <w:rFonts w:hint="eastAsia" w:cs="Times New Roman"/>
                <w:color w:val="000000"/>
                <w:kern w:val="0"/>
                <w:sz w:val="24"/>
                <w:szCs w:val="24"/>
                <w:lang w:val="en-US" w:eastAsia="zh-CN" w:bidi="ar"/>
              </w:rPr>
              <w:t>物料</w:t>
            </w:r>
            <w:r>
              <w:rPr>
                <w:rFonts w:hint="eastAsia" w:ascii="Times New Roman" w:hAnsi="Times New Roman" w:eastAsia="宋体" w:cs="Times New Roman"/>
                <w:color w:val="000000"/>
                <w:kern w:val="0"/>
                <w:sz w:val="24"/>
                <w:szCs w:val="24"/>
                <w:lang w:val="en-US" w:eastAsia="zh-CN" w:bidi="ar"/>
              </w:rPr>
              <w:t>在装卸过程中产生的粉尘量较少，通过空气扩散稀释后，其对周围环境影响不大。</w:t>
            </w:r>
          </w:p>
          <w:p w14:paraId="79E13DD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5、监测计划</w:t>
            </w:r>
          </w:p>
          <w:p w14:paraId="3FABEF00">
            <w:pPr>
              <w:pStyle w:val="8"/>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ascii="Times New Roman" w:hAnsi="Times New Roman" w:eastAsia="黑体" w:cs="Times New Roman"/>
                <w:color w:val="auto"/>
                <w:sz w:val="21"/>
                <w:szCs w:val="21"/>
                <w:lang w:val="en-US" w:eastAsia="zh-CN"/>
              </w:rPr>
              <w:t>9</w:t>
            </w:r>
            <w:r>
              <w:rPr>
                <w:rFonts w:hint="default" w:ascii="Times New Roman" w:hAnsi="Times New Roman" w:eastAsia="黑体" w:cs="Times New Roman"/>
                <w:color w:val="auto"/>
                <w:sz w:val="21"/>
                <w:szCs w:val="21"/>
              </w:rPr>
              <w:t xml:space="preserve">  本项目废气监测情况表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900"/>
              <w:gridCol w:w="1814"/>
              <w:gridCol w:w="953"/>
              <w:gridCol w:w="3090"/>
            </w:tblGrid>
            <w:tr w14:paraId="536242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center"/>
                </w:tcPr>
                <w:p w14:paraId="28C49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监测名称</w:t>
                  </w:r>
                </w:p>
              </w:tc>
              <w:tc>
                <w:tcPr>
                  <w:tcW w:w="571" w:type="pct"/>
                  <w:tcBorders>
                    <w:tl2br w:val="nil"/>
                    <w:tr2bl w:val="nil"/>
                  </w:tcBorders>
                  <w:noWrap w:val="0"/>
                  <w:vAlign w:val="center"/>
                </w:tcPr>
                <w:p w14:paraId="3E6AF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监测因子</w:t>
                  </w:r>
                </w:p>
              </w:tc>
              <w:tc>
                <w:tcPr>
                  <w:tcW w:w="1151" w:type="pct"/>
                  <w:tcBorders>
                    <w:tl2br w:val="nil"/>
                    <w:tr2bl w:val="nil"/>
                  </w:tcBorders>
                  <w:noWrap w:val="0"/>
                  <w:vAlign w:val="center"/>
                </w:tcPr>
                <w:p w14:paraId="282C0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监测点位</w:t>
                  </w:r>
                </w:p>
              </w:tc>
              <w:tc>
                <w:tcPr>
                  <w:tcW w:w="605" w:type="pct"/>
                  <w:tcBorders>
                    <w:tl2br w:val="nil"/>
                    <w:tr2bl w:val="nil"/>
                  </w:tcBorders>
                  <w:noWrap w:val="0"/>
                  <w:vAlign w:val="center"/>
                </w:tcPr>
                <w:p w14:paraId="28969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监测频率</w:t>
                  </w:r>
                </w:p>
              </w:tc>
              <w:tc>
                <w:tcPr>
                  <w:tcW w:w="1961" w:type="pct"/>
                  <w:tcBorders>
                    <w:tl2br w:val="nil"/>
                    <w:tr2bl w:val="nil"/>
                  </w:tcBorders>
                  <w:noWrap w:val="0"/>
                  <w:vAlign w:val="center"/>
                </w:tcPr>
                <w:p w14:paraId="14077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执行标准</w:t>
                  </w:r>
                </w:p>
              </w:tc>
            </w:tr>
            <w:tr w14:paraId="48B0D9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center"/>
                </w:tcPr>
                <w:p w14:paraId="2C8B8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铁路专用线</w:t>
                  </w:r>
                </w:p>
              </w:tc>
              <w:tc>
                <w:tcPr>
                  <w:tcW w:w="571" w:type="pct"/>
                  <w:tcBorders>
                    <w:tl2br w:val="nil"/>
                    <w:tr2bl w:val="nil"/>
                  </w:tcBorders>
                  <w:noWrap w:val="0"/>
                  <w:vAlign w:val="center"/>
                </w:tcPr>
                <w:p w14:paraId="6CDAD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1151" w:type="pct"/>
                  <w:tcBorders>
                    <w:tl2br w:val="nil"/>
                    <w:tr2bl w:val="nil"/>
                  </w:tcBorders>
                  <w:noWrap w:val="0"/>
                  <w:vAlign w:val="center"/>
                </w:tcPr>
                <w:p w14:paraId="5D753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铁路专用线</w:t>
                  </w:r>
                  <w:r>
                    <w:rPr>
                      <w:rFonts w:hint="default" w:ascii="Times New Roman" w:hAnsi="Times New Roman" w:eastAsia="宋体" w:cs="Times New Roman"/>
                      <w:color w:val="auto"/>
                      <w:sz w:val="18"/>
                      <w:szCs w:val="18"/>
                    </w:rPr>
                    <w:t>外上风向10m设置一个点，</w:t>
                  </w:r>
                  <w:r>
                    <w:rPr>
                      <w:rFonts w:hint="eastAsia" w:cs="Times New Roman"/>
                      <w:color w:val="auto"/>
                      <w:sz w:val="18"/>
                      <w:szCs w:val="18"/>
                      <w:lang w:val="en-US" w:eastAsia="zh-CN"/>
                    </w:rPr>
                    <w:t>铁路专用线</w:t>
                  </w:r>
                  <w:r>
                    <w:rPr>
                      <w:rFonts w:hint="default" w:ascii="Times New Roman" w:hAnsi="Times New Roman" w:eastAsia="宋体" w:cs="Times New Roman"/>
                      <w:color w:val="auto"/>
                      <w:sz w:val="18"/>
                      <w:szCs w:val="18"/>
                    </w:rPr>
                    <w:t>外下风向10m处侧下风向呈扇形共布设3个</w:t>
                  </w:r>
                </w:p>
              </w:tc>
              <w:tc>
                <w:tcPr>
                  <w:tcW w:w="605" w:type="pct"/>
                  <w:tcBorders>
                    <w:tl2br w:val="nil"/>
                    <w:tr2bl w:val="nil"/>
                  </w:tcBorders>
                  <w:noWrap w:val="0"/>
                  <w:vAlign w:val="center"/>
                </w:tcPr>
                <w:p w14:paraId="4B016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c>
                <w:tcPr>
                  <w:tcW w:w="1961" w:type="pct"/>
                  <w:tcBorders>
                    <w:tl2br w:val="nil"/>
                    <w:tr2bl w:val="nil"/>
                  </w:tcBorders>
                  <w:noWrap w:val="0"/>
                  <w:vAlign w:val="center"/>
                </w:tcPr>
                <w:p w14:paraId="6D0B9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《大气污染物综合排放标准》（GB16297-1996）</w:t>
                  </w:r>
                  <w:r>
                    <w:rPr>
                      <w:rFonts w:hint="default" w:ascii="Times New Roman" w:hAnsi="Times New Roman" w:eastAsia="宋体" w:cs="Times New Roman"/>
                      <w:color w:val="auto"/>
                      <w:sz w:val="18"/>
                      <w:szCs w:val="18"/>
                      <w:lang w:val="en-US" w:eastAsia="zh-CN"/>
                    </w:rPr>
                    <w:t>的无组织控制要求（即≤1.0mg/m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w:t>
                  </w:r>
                </w:p>
              </w:tc>
            </w:tr>
          </w:tbl>
          <w:p w14:paraId="574635E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default" w:ascii="Times New Roman" w:hAnsi="Times New Roman" w:eastAsia="宋体" w:cs="Times New Roman"/>
                <w:b/>
                <w:bCs/>
                <w:sz w:val="24"/>
                <w:szCs w:val="24"/>
                <w:lang w:val="en-US" w:eastAsia="zh-CN"/>
              </w:rPr>
              <w:t>4.</w:t>
            </w:r>
            <w:r>
              <w:rPr>
                <w:rFonts w:hint="eastAsia" w:cs="Times New Roman"/>
                <w:b/>
                <w:bCs/>
                <w:sz w:val="24"/>
                <w:szCs w:val="24"/>
                <w:lang w:val="en-US" w:eastAsia="zh-CN"/>
              </w:rPr>
              <w:t>8运营期声环境影响分析</w:t>
            </w:r>
          </w:p>
          <w:p w14:paraId="08378D5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（一）汽车通行噪声</w:t>
            </w:r>
          </w:p>
          <w:p w14:paraId="08E172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货物</w:t>
            </w:r>
            <w:r>
              <w:rPr>
                <w:rFonts w:hint="eastAsia" w:ascii="Times New Roman" w:hAnsi="Times New Roman" w:eastAsia="宋体" w:cs="Times New Roman"/>
                <w:color w:val="000000"/>
                <w:kern w:val="0"/>
                <w:sz w:val="24"/>
                <w:szCs w:val="24"/>
                <w:lang w:val="en-US" w:eastAsia="zh-CN" w:bidi="ar"/>
              </w:rPr>
              <w:t>装卸及交通工具产生噪声的源强约为</w:t>
            </w:r>
            <w:r>
              <w:rPr>
                <w:rFonts w:hint="default" w:ascii="Times New Roman" w:hAnsi="Times New Roman" w:eastAsia="宋体" w:cs="Times New Roman"/>
                <w:color w:val="000000"/>
                <w:kern w:val="0"/>
                <w:sz w:val="24"/>
                <w:szCs w:val="24"/>
                <w:lang w:val="en-US" w:eastAsia="zh-CN" w:bidi="ar"/>
              </w:rPr>
              <w:t>60</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85dB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项目在运营时，应加强对出入汽车的运行管理，加强车辆维护，车辆进入项目区严禁鸣笛，优化运输路线，减少车辆在项目区行车距离。通一些管理措施可以使车辆噪声进行有效削减，同时进入项目区路面较好有一定的吸声作用可使项目车辆噪声源强削减约</w:t>
            </w:r>
            <w:r>
              <w:rPr>
                <w:rFonts w:hint="default" w:ascii="Times New Roman" w:hAnsi="Times New Roman" w:eastAsia="宋体" w:cs="Times New Roman"/>
                <w:color w:val="000000"/>
                <w:kern w:val="0"/>
                <w:sz w:val="24"/>
                <w:szCs w:val="24"/>
                <w:lang w:val="en-US" w:eastAsia="zh-CN" w:bidi="ar"/>
              </w:rPr>
              <w:t>15dB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）。现场踏勘项目区主要进出道路周边</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Times New Roman"/>
                <w:color w:val="000000"/>
                <w:kern w:val="0"/>
                <w:sz w:val="24"/>
                <w:szCs w:val="24"/>
                <w:lang w:val="en-US" w:eastAsia="zh-CN" w:bidi="ar"/>
              </w:rPr>
              <w:t>范围内无噪声声敏感点，根据线声源距离衰减模式：</w:t>
            </w:r>
            <w:r>
              <w:rPr>
                <w:rFonts w:hint="default" w:ascii="Times New Roman" w:hAnsi="Times New Roman" w:eastAsia="宋体" w:cs="Times New Roman"/>
                <w:color w:val="000000"/>
                <w:kern w:val="0"/>
                <w:sz w:val="24"/>
                <w:szCs w:val="24"/>
                <w:lang w:val="en-US" w:eastAsia="zh-CN" w:bidi="ar"/>
              </w:rPr>
              <w:t>△L=10</w:t>
            </w:r>
            <w:r>
              <w:rPr>
                <w:rFonts w:hint="eastAsia" w:cs="Times New Roman"/>
                <w:color w:val="000000"/>
                <w:kern w:val="0"/>
                <w:sz w:val="24"/>
                <w:szCs w:val="24"/>
                <w:lang w:val="en-US" w:eastAsia="zh-CN" w:bidi="ar"/>
              </w:rPr>
              <w:t>log</w:t>
            </w:r>
            <w:r>
              <w:rPr>
                <w:rFonts w:hint="default" w:ascii="Times New Roman" w:hAnsi="Times New Roman" w:eastAsia="宋体" w:cs="Times New Roman"/>
                <w:color w:val="000000"/>
                <w:kern w:val="0"/>
                <w:sz w:val="24"/>
                <w:szCs w:val="24"/>
                <w:lang w:val="en-US" w:eastAsia="zh-CN" w:bidi="ar"/>
              </w:rPr>
              <w:t>（r1/r2）</w:t>
            </w:r>
            <w:r>
              <w:rPr>
                <w:rFonts w:hint="eastAsia" w:ascii="Times New Roman" w:hAnsi="Times New Roman" w:eastAsia="宋体" w:cs="Times New Roman"/>
                <w:color w:val="000000"/>
                <w:kern w:val="0"/>
                <w:sz w:val="24"/>
                <w:szCs w:val="24"/>
                <w:lang w:val="en-US" w:eastAsia="zh-CN" w:bidi="ar"/>
              </w:rPr>
              <w:t>，可知经衰减车辆噪声源强可削减约</w:t>
            </w:r>
            <w:r>
              <w:rPr>
                <w:rFonts w:hint="default" w:ascii="Times New Roman" w:hAnsi="Times New Roman" w:eastAsia="宋体" w:cs="Times New Roman"/>
                <w:color w:val="000000"/>
                <w:kern w:val="0"/>
                <w:sz w:val="24"/>
                <w:szCs w:val="24"/>
                <w:lang w:val="en-US" w:eastAsia="zh-CN" w:bidi="ar"/>
              </w:rPr>
              <w:t>20dB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p>
          <w:p w14:paraId="4BDD72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综合分析可知运输车辆噪声对周边村庄影响较小</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但从噪声源强</w:t>
            </w:r>
            <w:r>
              <w:rPr>
                <w:rFonts w:hint="eastAsia" w:ascii="Times New Roman" w:hAnsi="Times New Roman" w:cs="Times New Roman"/>
                <w:color w:val="000000"/>
                <w:kern w:val="0"/>
                <w:sz w:val="24"/>
                <w:szCs w:val="24"/>
                <w:lang w:val="en-US" w:eastAsia="zh-CN" w:bidi="ar"/>
              </w:rPr>
              <w:t>叠加</w:t>
            </w:r>
            <w:r>
              <w:rPr>
                <w:rFonts w:hint="eastAsia" w:ascii="Times New Roman" w:hAnsi="Times New Roman" w:eastAsia="宋体" w:cs="Times New Roman"/>
                <w:color w:val="000000"/>
                <w:kern w:val="0"/>
                <w:sz w:val="24"/>
                <w:szCs w:val="24"/>
                <w:lang w:val="en-US" w:eastAsia="zh-CN" w:bidi="ar"/>
              </w:rPr>
              <w:t>考虑，车辆运输过程中应避免成群结队，距离上分散一些尽量降低噪声对对周边村庄的声环境影响。</w:t>
            </w:r>
          </w:p>
          <w:p w14:paraId="139650B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（二）列车运行噪声</w:t>
            </w:r>
          </w:p>
          <w:p w14:paraId="386673C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CN" w:bidi="ar"/>
              </w:rPr>
              <w:t>、噪声源强</w:t>
            </w:r>
          </w:p>
          <w:p w14:paraId="797B66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铁路货车运行噪声主要由列车运行产生，根据原铁道部《铁路建设项目环境影响评价噪声振动源强取值和治理原则指导意见（</w:t>
            </w:r>
            <w:r>
              <w:rPr>
                <w:rFonts w:hint="default" w:ascii="Times New Roman" w:hAnsi="Times New Roman" w:eastAsia="宋体" w:cs="Times New Roman"/>
                <w:color w:val="000000"/>
                <w:kern w:val="0"/>
                <w:sz w:val="24"/>
                <w:szCs w:val="24"/>
                <w:lang w:val="en-US" w:eastAsia="zh-CN" w:bidi="ar"/>
              </w:rPr>
              <w:t>2010</w:t>
            </w:r>
            <w:r>
              <w:rPr>
                <w:rFonts w:hint="eastAsia" w:ascii="Times New Roman" w:hAnsi="Times New Roman" w:eastAsia="宋体" w:cs="Times New Roman"/>
                <w:color w:val="000000"/>
                <w:kern w:val="0"/>
                <w:sz w:val="24"/>
                <w:szCs w:val="24"/>
                <w:lang w:val="en-US" w:eastAsia="zh-CN" w:bidi="ar"/>
              </w:rPr>
              <w:t>年修订稿）》（铁计</w:t>
            </w:r>
            <w:r>
              <w:rPr>
                <w:rFonts w:hint="default" w:ascii="Times New Roman" w:hAnsi="Times New Roman" w:eastAsia="宋体" w:cs="Times New Roman"/>
                <w:color w:val="000000"/>
                <w:kern w:val="0"/>
                <w:sz w:val="24"/>
                <w:szCs w:val="24"/>
                <w:lang w:val="en-US" w:eastAsia="zh-CN" w:bidi="ar"/>
              </w:rPr>
              <w:t>[2010]44</w:t>
            </w:r>
            <w:r>
              <w:rPr>
                <w:rFonts w:hint="eastAsia" w:ascii="Times New Roman" w:hAnsi="Times New Roman" w:eastAsia="宋体" w:cs="Times New Roman"/>
                <w:color w:val="000000"/>
                <w:kern w:val="0"/>
                <w:sz w:val="24"/>
                <w:szCs w:val="24"/>
                <w:lang w:val="en-US" w:eastAsia="zh-CN" w:bidi="ar"/>
              </w:rPr>
              <w:t>号）中推荐的列车噪声源强，该项目火车运行的噪声源强见</w:t>
            </w:r>
            <w:r>
              <w:rPr>
                <w:rFonts w:hint="eastAsia" w:ascii="Times New Roman" w:hAnsi="Times New Roman" w:cs="Times New Roman"/>
                <w:color w:val="000000"/>
                <w:kern w:val="0"/>
                <w:sz w:val="24"/>
                <w:szCs w:val="24"/>
                <w:lang w:val="en-US" w:eastAsia="zh-CN" w:bidi="ar"/>
              </w:rPr>
              <w:t>下</w:t>
            </w:r>
            <w:r>
              <w:rPr>
                <w:rFonts w:hint="eastAsia" w:ascii="Times New Roman" w:hAnsi="Times New Roman" w:eastAsia="宋体" w:cs="Times New Roman"/>
                <w:color w:val="000000"/>
                <w:kern w:val="0"/>
                <w:sz w:val="24"/>
                <w:szCs w:val="24"/>
                <w:lang w:val="en-US" w:eastAsia="zh-CN" w:bidi="ar"/>
              </w:rPr>
              <w:t>表。</w:t>
            </w:r>
          </w:p>
          <w:p w14:paraId="228B11A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表4-10普通货车噪声源强  单位dB（A）</w:t>
            </w:r>
          </w:p>
          <w:tbl>
            <w:tblPr>
              <w:tblStyle w:val="23"/>
              <w:tblW w:w="78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2"/>
              <w:gridCol w:w="3943"/>
            </w:tblGrid>
            <w:tr w14:paraId="79DC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Merge w:val="restart"/>
                  <w:tcBorders>
                    <w:left w:val="nil"/>
                  </w:tcBorders>
                  <w:vAlign w:val="center"/>
                </w:tcPr>
                <w:p w14:paraId="7E7ACD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速度（km/h）</w:t>
                  </w:r>
                </w:p>
              </w:tc>
              <w:tc>
                <w:tcPr>
                  <w:tcW w:w="3943" w:type="dxa"/>
                  <w:tcBorders>
                    <w:right w:val="nil"/>
                  </w:tcBorders>
                  <w:vAlign w:val="center"/>
                </w:tcPr>
                <w:p w14:paraId="199CED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普通货车噪声源强dB（A）</w:t>
                  </w:r>
                </w:p>
              </w:tc>
            </w:tr>
            <w:tr w14:paraId="34A6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Merge w:val="continue"/>
                  <w:tcBorders>
                    <w:left w:val="nil"/>
                  </w:tcBorders>
                  <w:vAlign w:val="center"/>
                </w:tcPr>
                <w:p w14:paraId="0F29BA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p>
              </w:tc>
              <w:tc>
                <w:tcPr>
                  <w:tcW w:w="3943" w:type="dxa"/>
                  <w:tcBorders>
                    <w:right w:val="nil"/>
                  </w:tcBorders>
                  <w:vAlign w:val="center"/>
                </w:tcPr>
                <w:p w14:paraId="3F6999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线路源强（铁计</w:t>
                  </w:r>
                  <w:r>
                    <w:rPr>
                      <w:rFonts w:hint="default" w:ascii="Times New Roman" w:hAnsi="Times New Roman" w:cs="Times New Roman"/>
                      <w:color w:val="auto"/>
                      <w:spacing w:val="-2"/>
                      <w:kern w:val="2"/>
                      <w:sz w:val="18"/>
                      <w:szCs w:val="18"/>
                      <w:lang w:val="en-US" w:eastAsia="zh-CN" w:bidi="ar-SA"/>
                    </w:rPr>
                    <w:t>[2010]44</w:t>
                  </w:r>
                  <w:r>
                    <w:rPr>
                      <w:rFonts w:hint="eastAsia" w:ascii="Times New Roman" w:hAnsi="Times New Roman" w:cs="Times New Roman"/>
                      <w:color w:val="auto"/>
                      <w:spacing w:val="-2"/>
                      <w:kern w:val="2"/>
                      <w:sz w:val="18"/>
                      <w:szCs w:val="18"/>
                      <w:lang w:val="en-US" w:eastAsia="zh-CN" w:bidi="ar-SA"/>
                    </w:rPr>
                    <w:t>号）</w:t>
                  </w:r>
                </w:p>
              </w:tc>
            </w:tr>
            <w:tr w14:paraId="7463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left w:val="nil"/>
                  </w:tcBorders>
                  <w:vAlign w:val="center"/>
                </w:tcPr>
                <w:p w14:paraId="09AB3B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30</w:t>
                  </w:r>
                </w:p>
              </w:tc>
              <w:tc>
                <w:tcPr>
                  <w:tcW w:w="3943" w:type="dxa"/>
                  <w:tcBorders>
                    <w:right w:val="nil"/>
                  </w:tcBorders>
                  <w:vAlign w:val="center"/>
                </w:tcPr>
                <w:p w14:paraId="253D9E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75.0</w:t>
                  </w:r>
                </w:p>
              </w:tc>
            </w:tr>
            <w:tr w14:paraId="402F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left w:val="nil"/>
                  </w:tcBorders>
                  <w:vAlign w:val="center"/>
                </w:tcPr>
                <w:p w14:paraId="34D5FC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40</w:t>
                  </w:r>
                </w:p>
              </w:tc>
              <w:tc>
                <w:tcPr>
                  <w:tcW w:w="3943" w:type="dxa"/>
                  <w:tcBorders>
                    <w:right w:val="nil"/>
                  </w:tcBorders>
                  <w:vAlign w:val="center"/>
                </w:tcPr>
                <w:p w14:paraId="4D4FC5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76.7</w:t>
                  </w:r>
                </w:p>
              </w:tc>
            </w:tr>
            <w:tr w14:paraId="582E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left w:val="nil"/>
                  </w:tcBorders>
                  <w:vAlign w:val="center"/>
                </w:tcPr>
                <w:p w14:paraId="45BB02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50</w:t>
                  </w:r>
                </w:p>
              </w:tc>
              <w:tc>
                <w:tcPr>
                  <w:tcW w:w="3943" w:type="dxa"/>
                  <w:tcBorders>
                    <w:right w:val="nil"/>
                  </w:tcBorders>
                  <w:vAlign w:val="center"/>
                </w:tcPr>
                <w:p w14:paraId="6E29B2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78.2</w:t>
                  </w:r>
                </w:p>
              </w:tc>
            </w:tr>
            <w:tr w14:paraId="6A79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left w:val="nil"/>
                  </w:tcBorders>
                  <w:vAlign w:val="center"/>
                </w:tcPr>
                <w:p w14:paraId="64E46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60</w:t>
                  </w:r>
                </w:p>
              </w:tc>
              <w:tc>
                <w:tcPr>
                  <w:tcW w:w="3943" w:type="dxa"/>
                  <w:tcBorders>
                    <w:right w:val="nil"/>
                  </w:tcBorders>
                  <w:vAlign w:val="center"/>
                </w:tcPr>
                <w:p w14:paraId="48C1A8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79.5</w:t>
                  </w:r>
                </w:p>
              </w:tc>
            </w:tr>
            <w:tr w14:paraId="5CC0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left w:val="nil"/>
                  </w:tcBorders>
                  <w:vAlign w:val="center"/>
                </w:tcPr>
                <w:p w14:paraId="72940C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70</w:t>
                  </w:r>
                </w:p>
              </w:tc>
              <w:tc>
                <w:tcPr>
                  <w:tcW w:w="3943" w:type="dxa"/>
                  <w:tcBorders>
                    <w:right w:val="nil"/>
                  </w:tcBorders>
                  <w:vAlign w:val="center"/>
                </w:tcPr>
                <w:p w14:paraId="005CA5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80.8</w:t>
                  </w:r>
                </w:p>
              </w:tc>
            </w:tr>
            <w:tr w14:paraId="3152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2" w:type="dxa"/>
                  <w:tcBorders>
                    <w:left w:val="nil"/>
                  </w:tcBorders>
                  <w:vAlign w:val="center"/>
                </w:tcPr>
                <w:p w14:paraId="14F6B3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80</w:t>
                  </w:r>
                </w:p>
              </w:tc>
              <w:tc>
                <w:tcPr>
                  <w:tcW w:w="3943" w:type="dxa"/>
                  <w:tcBorders>
                    <w:right w:val="nil"/>
                  </w:tcBorders>
                  <w:vAlign w:val="center"/>
                </w:tcPr>
                <w:p w14:paraId="4BC8FF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81.9</w:t>
                  </w:r>
                </w:p>
              </w:tc>
            </w:tr>
            <w:tr w14:paraId="2965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left w:val="nil"/>
                  </w:tcBorders>
                  <w:vAlign w:val="center"/>
                </w:tcPr>
                <w:p w14:paraId="5B04BF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源强边界条件</w:t>
                  </w:r>
                </w:p>
              </w:tc>
              <w:tc>
                <w:tcPr>
                  <w:tcW w:w="3943" w:type="dxa"/>
                  <w:tcBorders>
                    <w:right w:val="nil"/>
                  </w:tcBorders>
                  <w:vAlign w:val="center"/>
                </w:tcPr>
                <w:p w14:paraId="52B5B0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2"/>
                      <w:kern w:val="2"/>
                      <w:sz w:val="18"/>
                      <w:szCs w:val="18"/>
                      <w:lang w:val="en-US" w:eastAsia="zh-CN" w:bidi="ar-SA"/>
                    </w:rPr>
                  </w:pPr>
                  <w:r>
                    <w:rPr>
                      <w:rFonts w:hint="eastAsia" w:ascii="Times New Roman" w:hAnsi="Times New Roman" w:cs="Times New Roman"/>
                      <w:color w:val="auto"/>
                      <w:spacing w:val="-2"/>
                      <w:kern w:val="2"/>
                      <w:sz w:val="18"/>
                      <w:szCs w:val="18"/>
                      <w:lang w:val="en-US" w:eastAsia="zh-CN" w:bidi="ar-SA"/>
                    </w:rPr>
                    <w:t>Ⅰ级铁路，无缝，</w:t>
                  </w:r>
                  <w:r>
                    <w:rPr>
                      <w:rFonts w:hint="default" w:ascii="Times New Roman" w:hAnsi="Times New Roman" w:cs="Times New Roman"/>
                      <w:color w:val="auto"/>
                      <w:spacing w:val="-2"/>
                      <w:kern w:val="2"/>
                      <w:sz w:val="18"/>
                      <w:szCs w:val="18"/>
                      <w:lang w:val="en-US" w:eastAsia="zh-CN" w:bidi="ar-SA"/>
                    </w:rPr>
                    <w:t>60kg/m</w:t>
                  </w:r>
                  <w:r>
                    <w:rPr>
                      <w:rFonts w:hint="eastAsia" w:ascii="Times New Roman" w:hAnsi="Times New Roman" w:cs="Times New Roman"/>
                      <w:color w:val="auto"/>
                      <w:spacing w:val="-2"/>
                      <w:kern w:val="2"/>
                      <w:sz w:val="18"/>
                      <w:szCs w:val="18"/>
                      <w:lang w:val="en-US" w:eastAsia="zh-CN" w:bidi="ar-SA"/>
                    </w:rPr>
                    <w:t>钢轨，轨面状况良好，混凝土轨枕，有砟道床，平直、</w:t>
                  </w:r>
                  <w:r>
                    <w:rPr>
                      <w:rFonts w:hint="default" w:ascii="Times New Roman" w:hAnsi="Times New Roman" w:cs="Times New Roman"/>
                      <w:color w:val="auto"/>
                      <w:spacing w:val="-2"/>
                      <w:kern w:val="2"/>
                      <w:sz w:val="18"/>
                      <w:szCs w:val="18"/>
                      <w:lang w:val="en-US" w:eastAsia="zh-CN" w:bidi="ar-SA"/>
                    </w:rPr>
                    <w:t>4m</w:t>
                  </w:r>
                  <w:r>
                    <w:rPr>
                      <w:rFonts w:hint="eastAsia" w:ascii="Times New Roman" w:hAnsi="Times New Roman" w:cs="Times New Roman"/>
                      <w:color w:val="auto"/>
                      <w:spacing w:val="-2"/>
                      <w:kern w:val="2"/>
                      <w:sz w:val="18"/>
                      <w:szCs w:val="18"/>
                      <w:lang w:val="en-US" w:eastAsia="zh-CN" w:bidi="ar-SA"/>
                    </w:rPr>
                    <w:t>高路堤线路。参考位置距列车运行线路中线</w:t>
                  </w:r>
                  <w:r>
                    <w:rPr>
                      <w:rFonts w:hint="default" w:ascii="Times New Roman" w:hAnsi="Times New Roman" w:cs="Times New Roman"/>
                      <w:color w:val="auto"/>
                      <w:spacing w:val="-2"/>
                      <w:kern w:val="2"/>
                      <w:sz w:val="18"/>
                      <w:szCs w:val="18"/>
                      <w:lang w:val="en-US" w:eastAsia="zh-CN" w:bidi="ar-SA"/>
                    </w:rPr>
                    <w:t>25m</w:t>
                  </w:r>
                  <w:r>
                    <w:rPr>
                      <w:rFonts w:hint="eastAsia" w:ascii="Times New Roman" w:hAnsi="Times New Roman" w:cs="Times New Roman"/>
                      <w:color w:val="auto"/>
                      <w:spacing w:val="-2"/>
                      <w:kern w:val="2"/>
                      <w:sz w:val="18"/>
                      <w:szCs w:val="18"/>
                      <w:lang w:val="en-US" w:eastAsia="zh-CN" w:bidi="ar-SA"/>
                    </w:rPr>
                    <w:t>，轨面以上</w:t>
                  </w:r>
                  <w:r>
                    <w:rPr>
                      <w:rFonts w:hint="default" w:ascii="Times New Roman" w:hAnsi="Times New Roman" w:cs="Times New Roman"/>
                      <w:color w:val="auto"/>
                      <w:spacing w:val="-2"/>
                      <w:kern w:val="2"/>
                      <w:sz w:val="18"/>
                      <w:szCs w:val="18"/>
                      <w:lang w:val="en-US" w:eastAsia="zh-CN" w:bidi="ar-SA"/>
                    </w:rPr>
                    <w:t>3.5m</w:t>
                  </w:r>
                  <w:r>
                    <w:rPr>
                      <w:rFonts w:hint="eastAsia" w:ascii="Times New Roman" w:hAnsi="Times New Roman" w:cs="Times New Roman"/>
                      <w:color w:val="auto"/>
                      <w:spacing w:val="-2"/>
                      <w:kern w:val="2"/>
                      <w:sz w:val="18"/>
                      <w:szCs w:val="18"/>
                      <w:lang w:val="en-US" w:eastAsia="zh-CN" w:bidi="ar-SA"/>
                    </w:rPr>
                    <w:t>处。</w:t>
                  </w:r>
                </w:p>
              </w:tc>
            </w:tr>
          </w:tbl>
          <w:p w14:paraId="7B41EC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根据该项目铁路道路设计标准，有缝，</w:t>
            </w:r>
            <w:r>
              <w:rPr>
                <w:rFonts w:hint="default" w:ascii="Times New Roman" w:hAnsi="Times New Roman" w:eastAsia="宋体" w:cs="Times New Roman"/>
                <w:color w:val="000000"/>
                <w:kern w:val="0"/>
                <w:sz w:val="24"/>
                <w:szCs w:val="24"/>
                <w:lang w:val="en-US" w:eastAsia="zh-CN" w:bidi="ar"/>
              </w:rPr>
              <w:t>50kg/m</w:t>
            </w:r>
            <w:r>
              <w:rPr>
                <w:rFonts w:hint="eastAsia" w:ascii="Times New Roman" w:hAnsi="Times New Roman" w:eastAsia="宋体" w:cs="Times New Roman"/>
                <w:color w:val="000000"/>
                <w:kern w:val="0"/>
                <w:sz w:val="24"/>
                <w:szCs w:val="24"/>
                <w:lang w:val="en-US" w:eastAsia="zh-CN" w:bidi="ar"/>
              </w:rPr>
              <w:t>钢轨，轨面状况良好，混凝土轨枕，有砟道床。该项目设计时速为</w:t>
            </w:r>
            <w:r>
              <w:rPr>
                <w:rFonts w:hint="default" w:ascii="Times New Roman" w:hAnsi="Times New Roman" w:eastAsia="宋体" w:cs="Times New Roman"/>
                <w:color w:val="000000"/>
                <w:kern w:val="0"/>
                <w:sz w:val="24"/>
                <w:szCs w:val="24"/>
                <w:lang w:val="en-US" w:eastAsia="zh-CN" w:bidi="ar"/>
              </w:rPr>
              <w:t>40km/h</w:t>
            </w:r>
            <w:r>
              <w:rPr>
                <w:rFonts w:hint="eastAsia" w:ascii="Times New Roman" w:hAnsi="Times New Roman" w:eastAsia="宋体" w:cs="Times New Roman"/>
                <w:color w:val="000000"/>
                <w:kern w:val="0"/>
                <w:sz w:val="24"/>
                <w:szCs w:val="24"/>
                <w:lang w:val="en-US" w:eastAsia="zh-CN" w:bidi="ar"/>
              </w:rPr>
              <w:t>，采用有缝线路，故该项目列车噪声源强为</w:t>
            </w:r>
            <w:r>
              <w:rPr>
                <w:rFonts w:hint="default" w:ascii="Times New Roman" w:hAnsi="Times New Roman" w:eastAsia="宋体" w:cs="Times New Roman"/>
                <w:color w:val="000000"/>
                <w:kern w:val="0"/>
                <w:sz w:val="24"/>
                <w:szCs w:val="24"/>
                <w:lang w:val="en-US" w:eastAsia="zh-CN" w:bidi="ar"/>
              </w:rPr>
              <w:t>76.7dB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p>
          <w:p w14:paraId="0F90D63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、预测方法</w:t>
            </w:r>
          </w:p>
          <w:p w14:paraId="59E39D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）预测量</w:t>
            </w:r>
          </w:p>
          <w:p w14:paraId="1E712C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预测量为昼间（</w:t>
            </w:r>
            <w:r>
              <w:rPr>
                <w:rFonts w:hint="default" w:ascii="Times New Roman" w:hAnsi="Times New Roman" w:eastAsia="宋体" w:cs="Times New Roman"/>
                <w:color w:val="000000"/>
                <w:kern w:val="0"/>
                <w:sz w:val="24"/>
                <w:szCs w:val="24"/>
                <w:lang w:val="en-US" w:eastAsia="zh-CN" w:bidi="ar"/>
              </w:rPr>
              <w:t>6:00-22:00</w:t>
            </w:r>
            <w:r>
              <w:rPr>
                <w:rFonts w:hint="eastAsia" w:ascii="Times New Roman" w:hAnsi="Times New Roman" w:eastAsia="宋体" w:cs="Times New Roman"/>
                <w:color w:val="000000"/>
                <w:kern w:val="0"/>
                <w:sz w:val="24"/>
                <w:szCs w:val="24"/>
                <w:lang w:val="en-US" w:eastAsia="zh-CN" w:bidi="ar"/>
              </w:rPr>
              <w:t>）、夜</w:t>
            </w:r>
            <w:r>
              <w:rPr>
                <w:rFonts w:hint="eastAsia" w:cs="Times New Roman"/>
                <w:color w:val="000000"/>
                <w:kern w:val="0"/>
                <w:sz w:val="24"/>
                <w:szCs w:val="24"/>
                <w:lang w:val="en-US" w:eastAsia="zh-CN" w:bidi="ar"/>
              </w:rPr>
              <w:t>间</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22:00-6:00</w:t>
            </w:r>
            <w:r>
              <w:rPr>
                <w:rFonts w:hint="eastAsia" w:ascii="Times New Roman" w:hAnsi="Times New Roman" w:eastAsia="宋体" w:cs="Times New Roman"/>
                <w:color w:val="000000"/>
                <w:kern w:val="0"/>
                <w:sz w:val="24"/>
                <w:szCs w:val="24"/>
                <w:lang w:val="en-US" w:eastAsia="zh-CN" w:bidi="ar"/>
              </w:rPr>
              <w:t>）等效连续</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声级。</w:t>
            </w:r>
          </w:p>
          <w:p w14:paraId="3001A6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）预测方法</w:t>
            </w:r>
          </w:p>
          <w:p w14:paraId="3ACCA6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采用《铁路建设项目环境影响评价噪声振动源强取值和治理原则指导意见（</w:t>
            </w:r>
            <w:r>
              <w:rPr>
                <w:rFonts w:hint="default" w:ascii="Times New Roman" w:hAnsi="Times New Roman" w:eastAsia="宋体" w:cs="Times New Roman"/>
                <w:color w:val="000000"/>
                <w:kern w:val="0"/>
                <w:sz w:val="24"/>
                <w:szCs w:val="24"/>
                <w:lang w:val="en-US" w:eastAsia="zh-CN" w:bidi="ar"/>
              </w:rPr>
              <w:t>2010</w:t>
            </w:r>
            <w:r>
              <w:rPr>
                <w:rFonts w:hint="eastAsia" w:ascii="Times New Roman" w:hAnsi="Times New Roman" w:eastAsia="宋体" w:cs="Times New Roman"/>
                <w:color w:val="000000"/>
                <w:kern w:val="0"/>
                <w:sz w:val="24"/>
                <w:szCs w:val="24"/>
                <w:lang w:val="en-US" w:eastAsia="zh-CN" w:bidi="ar"/>
              </w:rPr>
              <w:t>年修订稿）》（铁计</w:t>
            </w:r>
            <w:r>
              <w:rPr>
                <w:rFonts w:hint="default" w:ascii="Times New Roman" w:hAnsi="Times New Roman" w:eastAsia="宋体" w:cs="Times New Roman"/>
                <w:color w:val="000000"/>
                <w:kern w:val="0"/>
                <w:sz w:val="24"/>
                <w:szCs w:val="24"/>
                <w:lang w:val="en-US" w:eastAsia="zh-CN" w:bidi="ar"/>
              </w:rPr>
              <w:t>[2010]44</w:t>
            </w:r>
            <w:r>
              <w:rPr>
                <w:rFonts w:hint="eastAsia" w:ascii="Times New Roman" w:hAnsi="Times New Roman" w:eastAsia="宋体" w:cs="Times New Roman"/>
                <w:color w:val="000000"/>
                <w:kern w:val="0"/>
                <w:sz w:val="24"/>
                <w:szCs w:val="24"/>
                <w:lang w:val="en-US" w:eastAsia="zh-CN" w:bidi="ar"/>
              </w:rPr>
              <w:t>号）文推荐的模式法预测。</w:t>
            </w:r>
          </w:p>
          <w:p w14:paraId="0B0F9C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）模式预测法的基本计算</w:t>
            </w:r>
            <w:r>
              <w:rPr>
                <w:rFonts w:hint="eastAsia" w:cs="Times New Roman"/>
                <w:color w:val="000000"/>
                <w:kern w:val="0"/>
                <w:sz w:val="24"/>
                <w:szCs w:val="24"/>
                <w:lang w:val="en-US" w:eastAsia="zh-CN" w:bidi="ar"/>
              </w:rPr>
              <w:t>公</w:t>
            </w:r>
            <w:r>
              <w:rPr>
                <w:rFonts w:hint="eastAsia" w:ascii="Times New Roman" w:hAnsi="Times New Roman" w:eastAsia="宋体" w:cs="Times New Roman"/>
                <w:color w:val="000000"/>
                <w:kern w:val="0"/>
                <w:sz w:val="24"/>
                <w:szCs w:val="24"/>
                <w:lang w:val="en-US" w:eastAsia="zh-CN" w:bidi="ar"/>
              </w:rPr>
              <w:t>式</w:t>
            </w:r>
          </w:p>
          <w:p w14:paraId="7E0D66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铁路噪声预测模式等效声级</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Aeq</w:t>
            </w:r>
            <w:r>
              <w:rPr>
                <w:rFonts w:hint="eastAsia" w:ascii="Times New Roman" w:hAnsi="Times New Roman" w:eastAsia="宋体" w:cs="Times New Roman"/>
                <w:color w:val="000000"/>
                <w:kern w:val="0"/>
                <w:sz w:val="24"/>
                <w:szCs w:val="24"/>
                <w:vertAlign w:val="subscript"/>
                <w:lang w:val="en-US" w:eastAsia="zh-CN" w:bidi="ar"/>
              </w:rPr>
              <w:t>铁路</w:t>
            </w:r>
            <w:r>
              <w:rPr>
                <w:rFonts w:hint="eastAsia" w:ascii="Times New Roman" w:hAnsi="Times New Roman" w:eastAsia="宋体" w:cs="Times New Roman"/>
                <w:color w:val="000000"/>
                <w:kern w:val="0"/>
                <w:sz w:val="24"/>
                <w:szCs w:val="24"/>
                <w:lang w:val="en-US" w:eastAsia="zh-CN" w:bidi="ar"/>
              </w:rPr>
              <w:t>的基本预测计算式如下：</w:t>
            </w:r>
          </w:p>
          <w:p w14:paraId="3C939A6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kern w:val="0"/>
                <w:sz w:val="24"/>
                <w:szCs w:val="24"/>
                <w:lang w:val="en-US" w:eastAsia="zh-CN" w:bidi="ar"/>
              </w:rPr>
            </w:pPr>
            <w:r>
              <w:drawing>
                <wp:inline distT="0" distB="0" distL="114300" distR="114300">
                  <wp:extent cx="3926840" cy="591820"/>
                  <wp:effectExtent l="0" t="0" r="1651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3926840" cy="591820"/>
                          </a:xfrm>
                          <a:prstGeom prst="rect">
                            <a:avLst/>
                          </a:prstGeom>
                          <a:noFill/>
                          <a:ln>
                            <a:noFill/>
                          </a:ln>
                        </pic:spPr>
                      </pic:pic>
                    </a:graphicData>
                  </a:graphic>
                </wp:inline>
              </w:drawing>
            </w:r>
          </w:p>
          <w:p w14:paraId="6BB4E0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T</w:t>
            </w:r>
            <w:r>
              <w:rPr>
                <w:rFonts w:hint="eastAsia" w:ascii="Times New Roman" w:hAnsi="Times New Roman" w:eastAsia="宋体" w:cs="Times New Roman"/>
                <w:color w:val="000000"/>
                <w:kern w:val="0"/>
                <w:sz w:val="24"/>
                <w:szCs w:val="24"/>
                <w:lang w:val="en-US" w:eastAsia="zh-CN" w:bidi="ar"/>
              </w:rPr>
              <w:t>—规定的评价时间，</w:t>
            </w:r>
            <w:r>
              <w:rPr>
                <w:rFonts w:hint="default" w:ascii="Times New Roman" w:hAnsi="Times New Roman" w:eastAsia="宋体" w:cs="Times New Roman"/>
                <w:color w:val="000000"/>
                <w:kern w:val="0"/>
                <w:sz w:val="24"/>
                <w:szCs w:val="24"/>
                <w:lang w:val="en-US" w:eastAsia="zh-CN" w:bidi="ar"/>
              </w:rPr>
              <w:t>s</w:t>
            </w:r>
            <w:r>
              <w:rPr>
                <w:rFonts w:hint="eastAsia" w:ascii="Times New Roman" w:hAnsi="Times New Roman" w:eastAsia="宋体" w:cs="Times New Roman"/>
                <w:color w:val="000000"/>
                <w:kern w:val="0"/>
                <w:sz w:val="24"/>
                <w:szCs w:val="24"/>
                <w:lang w:val="en-US" w:eastAsia="zh-CN" w:bidi="ar"/>
              </w:rPr>
              <w:t>；</w:t>
            </w:r>
          </w:p>
          <w:p w14:paraId="46E5FC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n</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T</w:t>
            </w:r>
            <w:r>
              <w:rPr>
                <w:rFonts w:hint="eastAsia" w:ascii="Times New Roman" w:hAnsi="Times New Roman" w:eastAsia="宋体" w:cs="Times New Roman"/>
                <w:color w:val="000000"/>
                <w:kern w:val="0"/>
                <w:sz w:val="24"/>
                <w:szCs w:val="24"/>
                <w:lang w:val="en-US" w:eastAsia="zh-CN" w:bidi="ar"/>
              </w:rPr>
              <w:t>时间内通过的第</w:t>
            </w:r>
            <w:r>
              <w:rPr>
                <w:rFonts w:hint="default" w:ascii="Times New Roman" w:hAnsi="Times New Roman" w:eastAsia="宋体" w:cs="Times New Roman"/>
                <w:color w:val="000000"/>
                <w:kern w:val="0"/>
                <w:sz w:val="24"/>
                <w:szCs w:val="24"/>
                <w:lang w:val="en-US" w:eastAsia="zh-CN" w:bidi="ar"/>
              </w:rPr>
              <w:t>i</w:t>
            </w:r>
            <w:r>
              <w:rPr>
                <w:rFonts w:hint="eastAsia" w:ascii="Times New Roman" w:hAnsi="Times New Roman" w:eastAsia="宋体" w:cs="Times New Roman"/>
                <w:color w:val="000000"/>
                <w:kern w:val="0"/>
                <w:sz w:val="24"/>
                <w:szCs w:val="24"/>
                <w:lang w:val="en-US" w:eastAsia="zh-CN" w:bidi="ar"/>
              </w:rPr>
              <w:t>类列车列数；</w:t>
            </w:r>
          </w:p>
          <w:p w14:paraId="1F3D4D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T</w:t>
            </w:r>
            <w:r>
              <w:rPr>
                <w:rFonts w:hint="default" w:ascii="Times New Roman" w:hAnsi="Times New Roman" w:eastAsia="宋体" w:cs="Times New Roman"/>
                <w:color w:val="000000"/>
                <w:kern w:val="0"/>
                <w:sz w:val="24"/>
                <w:szCs w:val="24"/>
                <w:vertAlign w:val="subscript"/>
                <w:lang w:val="en-US" w:eastAsia="zh-CN" w:bidi="ar"/>
              </w:rPr>
              <w:t>eq</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w:t>
            </w:r>
            <w:r>
              <w:rPr>
                <w:rFonts w:hint="eastAsia" w:ascii="Times New Roman" w:hAnsi="Times New Roman" w:eastAsia="宋体" w:cs="Times New Roman"/>
                <w:color w:val="000000"/>
                <w:kern w:val="0"/>
                <w:sz w:val="24"/>
                <w:szCs w:val="24"/>
                <w:lang w:val="en-US" w:eastAsia="zh-CN" w:bidi="ar"/>
              </w:rPr>
              <w:t>类列车通过的等效时间，</w:t>
            </w:r>
            <w:r>
              <w:rPr>
                <w:rFonts w:hint="default" w:ascii="Times New Roman" w:hAnsi="Times New Roman" w:eastAsia="宋体" w:cs="Times New Roman"/>
                <w:color w:val="000000"/>
                <w:kern w:val="0"/>
                <w:sz w:val="24"/>
                <w:szCs w:val="24"/>
                <w:lang w:val="en-US" w:eastAsia="zh-CN" w:bidi="ar"/>
              </w:rPr>
              <w:t>s</w:t>
            </w:r>
            <w:r>
              <w:rPr>
                <w:rFonts w:hint="eastAsia" w:ascii="Times New Roman" w:hAnsi="Times New Roman" w:eastAsia="宋体" w:cs="Times New Roman"/>
                <w:color w:val="000000"/>
                <w:kern w:val="0"/>
                <w:sz w:val="24"/>
                <w:szCs w:val="24"/>
                <w:lang w:val="en-US" w:eastAsia="zh-CN" w:bidi="ar"/>
              </w:rPr>
              <w:t>；</w:t>
            </w:r>
          </w:p>
          <w:p w14:paraId="70792D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p0</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t</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w:t>
            </w:r>
            <w:r>
              <w:rPr>
                <w:rFonts w:hint="eastAsia" w:ascii="Times New Roman" w:hAnsi="Times New Roman" w:eastAsia="宋体" w:cs="Times New Roman"/>
                <w:color w:val="000000"/>
                <w:kern w:val="0"/>
                <w:sz w:val="24"/>
                <w:szCs w:val="24"/>
                <w:lang w:val="en-US" w:eastAsia="zh-CN" w:bidi="ar"/>
              </w:rPr>
              <w:t>类列车最大垂直指向性方向上的噪声辐射源强，</w:t>
            </w:r>
            <w:r>
              <w:rPr>
                <w:rFonts w:hint="default" w:ascii="Times New Roman" w:hAnsi="Times New Roman" w:eastAsia="宋体" w:cs="Times New Roman"/>
                <w:color w:val="000000"/>
                <w:kern w:val="0"/>
                <w:sz w:val="24"/>
                <w:szCs w:val="24"/>
                <w:lang w:val="en-US" w:eastAsia="zh-CN" w:bidi="ar"/>
              </w:rPr>
              <w:t>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p>
          <w:p w14:paraId="2B5791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t</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w:t>
            </w:r>
            <w:r>
              <w:rPr>
                <w:rFonts w:hint="eastAsia" w:ascii="Times New Roman" w:hAnsi="Times New Roman" w:eastAsia="宋体" w:cs="Times New Roman"/>
                <w:color w:val="000000"/>
                <w:kern w:val="0"/>
                <w:sz w:val="24"/>
                <w:szCs w:val="24"/>
                <w:lang w:val="en-US" w:eastAsia="zh-CN" w:bidi="ar"/>
              </w:rPr>
              <w:t>类列车的噪声修正项，</w:t>
            </w:r>
            <w:r>
              <w:rPr>
                <w:rFonts w:hint="default" w:ascii="Times New Roman" w:hAnsi="Times New Roman" w:eastAsia="宋体" w:cs="Times New Roman"/>
                <w:color w:val="000000"/>
                <w:kern w:val="0"/>
                <w:sz w:val="24"/>
                <w:szCs w:val="24"/>
                <w:lang w:val="en-US" w:eastAsia="zh-CN" w:bidi="ar"/>
              </w:rPr>
              <w:t>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p>
          <w:p w14:paraId="6ABFD3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T</w:t>
            </w:r>
            <w:r>
              <w:rPr>
                <w:rFonts w:hint="default" w:ascii="Times New Roman" w:hAnsi="Times New Roman" w:eastAsia="宋体" w:cs="Times New Roman"/>
                <w:color w:val="000000"/>
                <w:kern w:val="0"/>
                <w:sz w:val="24"/>
                <w:szCs w:val="24"/>
                <w:vertAlign w:val="subscript"/>
                <w:lang w:val="en-US" w:eastAsia="zh-CN" w:bidi="ar"/>
              </w:rPr>
              <w:t>f</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—固定声源的作用时间，</w:t>
            </w:r>
            <w:r>
              <w:rPr>
                <w:rFonts w:hint="default" w:ascii="Times New Roman" w:hAnsi="Times New Roman" w:eastAsia="宋体" w:cs="Times New Roman"/>
                <w:color w:val="000000"/>
                <w:kern w:val="0"/>
                <w:sz w:val="24"/>
                <w:szCs w:val="24"/>
                <w:lang w:val="en-US" w:eastAsia="zh-CN" w:bidi="ar"/>
              </w:rPr>
              <w:t>s</w:t>
            </w:r>
            <w:r>
              <w:rPr>
                <w:rFonts w:hint="eastAsia" w:ascii="Times New Roman" w:hAnsi="Times New Roman" w:eastAsia="宋体" w:cs="Times New Roman"/>
                <w:color w:val="000000"/>
                <w:kern w:val="0"/>
                <w:sz w:val="24"/>
                <w:szCs w:val="24"/>
                <w:lang w:val="en-US" w:eastAsia="zh-CN" w:bidi="ar"/>
              </w:rPr>
              <w:t>；</w:t>
            </w:r>
          </w:p>
          <w:p w14:paraId="248C82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p0</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f</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—固定声源的噪声辐射源强，</w:t>
            </w:r>
            <w:r>
              <w:rPr>
                <w:rFonts w:hint="default" w:ascii="Times New Roman" w:hAnsi="Times New Roman" w:eastAsia="宋体" w:cs="Times New Roman"/>
                <w:color w:val="000000"/>
                <w:kern w:val="0"/>
                <w:sz w:val="24"/>
                <w:szCs w:val="24"/>
                <w:lang w:val="en-US" w:eastAsia="zh-CN" w:bidi="ar"/>
              </w:rPr>
              <w:t>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p>
          <w:p w14:paraId="0A04B1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i</w:t>
            </w:r>
            <w:r>
              <w:rPr>
                <w:rFonts w:hint="eastAsia" w:ascii="Times New Roman" w:hAnsi="Times New Roman" w:eastAsia="宋体" w:cs="Times New Roman"/>
                <w:color w:val="000000"/>
                <w:kern w:val="0"/>
                <w:sz w:val="24"/>
                <w:szCs w:val="24"/>
                <w:lang w:val="en-US" w:eastAsia="zh-CN" w:bidi="ar"/>
              </w:rPr>
              <w:t>—固定声源的噪声修正项，</w:t>
            </w:r>
            <w:r>
              <w:rPr>
                <w:rFonts w:hint="default" w:ascii="Times New Roman" w:hAnsi="Times New Roman" w:eastAsia="宋体" w:cs="Times New Roman"/>
                <w:color w:val="000000"/>
                <w:kern w:val="0"/>
                <w:sz w:val="24"/>
                <w:szCs w:val="24"/>
                <w:lang w:val="en-US" w:eastAsia="zh-CN" w:bidi="ar"/>
              </w:rPr>
              <w:t>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w:t>
            </w:r>
          </w:p>
          <w:p w14:paraId="5CA8C3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预测点</w:t>
            </w:r>
            <w:r>
              <w:rPr>
                <w:rFonts w:hint="eastAsia" w:cs="Times New Roman"/>
                <w:color w:val="000000"/>
                <w:kern w:val="0"/>
                <w:sz w:val="24"/>
                <w:szCs w:val="24"/>
                <w:lang w:val="en-US" w:eastAsia="zh-CN" w:bidi="ar"/>
              </w:rPr>
              <w:t>附近</w:t>
            </w:r>
            <w:r>
              <w:rPr>
                <w:rFonts w:hint="eastAsia" w:ascii="Times New Roman" w:hAnsi="Times New Roman" w:eastAsia="宋体" w:cs="Times New Roman"/>
                <w:color w:val="000000"/>
                <w:kern w:val="0"/>
                <w:sz w:val="24"/>
                <w:szCs w:val="24"/>
                <w:lang w:val="en-US" w:eastAsia="zh-CN" w:bidi="ar"/>
              </w:rPr>
              <w:t>分布有既有铁路的，环境噪声预测模式如下：</w:t>
            </w:r>
          </w:p>
          <w:p w14:paraId="24F946D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color w:val="000000"/>
                <w:kern w:val="0"/>
                <w:sz w:val="24"/>
                <w:szCs w:val="24"/>
                <w:lang w:val="en-US" w:eastAsia="zh-CN" w:bidi="ar"/>
              </w:rPr>
            </w:pPr>
            <w:r>
              <w:rPr>
                <w:rFonts w:hint="default" w:ascii="黑体" w:hAnsi="黑体" w:eastAsia="黑体" w:cs="黑体"/>
                <w:b w:val="0"/>
                <w:bCs w:val="0"/>
                <w:i/>
                <w:iCs/>
                <w:position w:val="-10"/>
                <w:sz w:val="21"/>
                <w:szCs w:val="21"/>
                <w:lang w:val="en-US" w:eastAsia="zh-CN"/>
              </w:rPr>
              <w:pict>
                <v:shape id="_x0000_s1027" o:spid="_x0000_s1027" o:spt="75" type="#_x0000_t75" style="position:absolute;left:0pt;margin-left:0pt;margin-top:7.1pt;height:17pt;width:9pt;mso-wrap-distance-bottom:0pt;mso-wrap-distance-left:9pt;mso-wrap-distance-right:9pt;mso-wrap-distance-top:0pt;z-index:251661312;mso-width-relative:page;mso-height-relative:page;" o:ole="t" filled="f" o:preferrelative="t" stroked="f" coordsize="21600,21600">
                  <v:path/>
                  <v:fill on="f" focussize="0,0"/>
                  <v:stroke on="f"/>
                  <v:imagedata r:id="rId31" o:title=""/>
                  <o:lock v:ext="edit" aspectratio="t"/>
                  <w10:wrap type="square"/>
                </v:shape>
                <o:OLEObject Type="Embed" ProgID="Equation.KSEE3" ShapeID="_x0000_s1027" DrawAspect="Content" ObjectID="_1468075730" r:id="rId30">
                  <o:LockedField>false</o:LockedField>
                </o:OLEObject>
              </w:pict>
            </w:r>
            <w:r>
              <w:rPr>
                <w:rFonts w:hint="eastAsia" w:cs="Times New Roman"/>
                <w:i/>
                <w:iCs/>
                <w:color w:val="000000"/>
                <w:kern w:val="0"/>
                <w:sz w:val="24"/>
                <w:szCs w:val="24"/>
                <w:lang w:val="en-US" w:eastAsia="zh-CN" w:bidi="ar"/>
              </w:rPr>
              <w:t>L</w:t>
            </w:r>
            <w:r>
              <w:rPr>
                <w:rFonts w:hint="eastAsia" w:cs="Times New Roman"/>
                <w:i/>
                <w:iCs/>
                <w:color w:val="000000"/>
                <w:kern w:val="0"/>
                <w:sz w:val="24"/>
                <w:szCs w:val="24"/>
                <w:vertAlign w:val="subscript"/>
                <w:lang w:val="en-US" w:eastAsia="zh-CN" w:bidi="ar"/>
              </w:rPr>
              <w:t>Aeq</w:t>
            </w:r>
            <w:r>
              <w:rPr>
                <w:rFonts w:hint="eastAsia" w:cs="Times New Roman"/>
                <w:i w:val="0"/>
                <w:iCs w:val="0"/>
                <w:color w:val="000000"/>
                <w:kern w:val="0"/>
                <w:sz w:val="24"/>
                <w:szCs w:val="24"/>
                <w:vertAlign w:val="baseline"/>
                <w:lang w:val="en-US" w:eastAsia="zh-CN" w:bidi="ar"/>
              </w:rPr>
              <w:t>=10log</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10</w:t>
            </w:r>
            <w:r>
              <w:rPr>
                <w:rFonts w:hint="eastAsia" w:cs="Times New Roman"/>
                <w:color w:val="000000"/>
                <w:kern w:val="0"/>
                <w:sz w:val="24"/>
                <w:szCs w:val="24"/>
                <w:vertAlign w:val="superscript"/>
                <w:lang w:val="en-US" w:eastAsia="zh-CN" w:bidi="ar"/>
              </w:rPr>
              <w:t>0.1</w:t>
            </w:r>
            <w:r>
              <w:rPr>
                <w:rFonts w:hint="eastAsia" w:cs="Times New Roman"/>
                <w:i/>
                <w:iCs/>
                <w:color w:val="000000"/>
                <w:kern w:val="0"/>
                <w:sz w:val="24"/>
                <w:szCs w:val="24"/>
                <w:vertAlign w:val="superscript"/>
                <w:lang w:val="en-US" w:eastAsia="zh-CN" w:bidi="ar"/>
              </w:rPr>
              <w:t>L</w:t>
            </w:r>
            <w:r>
              <w:rPr>
                <w:rFonts w:hint="eastAsia" w:cs="Times New Roman"/>
                <w:color w:val="000000"/>
                <w:kern w:val="0"/>
                <w:sz w:val="24"/>
                <w:szCs w:val="24"/>
                <w:vertAlign w:val="superscript"/>
                <w:lang w:val="en-US" w:eastAsia="zh-CN" w:bidi="ar"/>
              </w:rPr>
              <w:t>Aeq铁路</w:t>
            </w:r>
            <w:r>
              <w:rPr>
                <w:rFonts w:hint="eastAsia" w:cs="Times New Roman"/>
                <w:color w:val="000000"/>
                <w:kern w:val="0"/>
                <w:sz w:val="24"/>
                <w:szCs w:val="24"/>
                <w:vertAlign w:val="baseline"/>
                <w:lang w:val="en-US" w:eastAsia="zh-CN" w:bidi="ar"/>
              </w:rPr>
              <w:t>+</w:t>
            </w:r>
            <w:r>
              <w:rPr>
                <w:rFonts w:hint="eastAsia" w:cs="Times New Roman"/>
                <w:color w:val="000000"/>
                <w:kern w:val="0"/>
                <w:sz w:val="24"/>
                <w:szCs w:val="24"/>
                <w:lang w:val="en-US" w:eastAsia="zh-CN" w:bidi="ar"/>
              </w:rPr>
              <w:t>10</w:t>
            </w:r>
            <w:r>
              <w:rPr>
                <w:rFonts w:hint="eastAsia" w:cs="Times New Roman"/>
                <w:color w:val="000000"/>
                <w:kern w:val="0"/>
                <w:sz w:val="24"/>
                <w:szCs w:val="24"/>
                <w:vertAlign w:val="superscript"/>
                <w:lang w:val="en-US" w:eastAsia="zh-CN" w:bidi="ar"/>
              </w:rPr>
              <w:t>0.1</w:t>
            </w:r>
            <w:r>
              <w:rPr>
                <w:rFonts w:hint="eastAsia" w:cs="Times New Roman"/>
                <w:i/>
                <w:iCs/>
                <w:color w:val="000000"/>
                <w:kern w:val="0"/>
                <w:sz w:val="24"/>
                <w:szCs w:val="24"/>
                <w:vertAlign w:val="superscript"/>
                <w:lang w:val="en-US" w:eastAsia="zh-CN" w:bidi="ar"/>
              </w:rPr>
              <w:t>L</w:t>
            </w:r>
            <w:r>
              <w:rPr>
                <w:rFonts w:hint="eastAsia" w:cs="Times New Roman"/>
                <w:color w:val="000000"/>
                <w:kern w:val="0"/>
                <w:sz w:val="24"/>
                <w:szCs w:val="24"/>
                <w:vertAlign w:val="superscript"/>
                <w:lang w:val="en-US" w:eastAsia="zh-CN" w:bidi="ar"/>
              </w:rPr>
              <w:t>Aeq背景</w:t>
            </w:r>
            <w:r>
              <w:rPr>
                <w:rFonts w:hint="eastAsia" w:ascii="Times New Roman" w:hAnsi="Times New Roman" w:eastAsia="宋体" w:cs="Times New Roman"/>
                <w:color w:val="000000"/>
                <w:kern w:val="0"/>
                <w:sz w:val="24"/>
                <w:szCs w:val="24"/>
                <w:lang w:val="en-US" w:eastAsia="zh-CN" w:bidi="ar"/>
              </w:rPr>
              <w:t>〕</w:t>
            </w:r>
          </w:p>
          <w:p w14:paraId="51084F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Aeq铁路</w:t>
            </w:r>
            <w:r>
              <w:rPr>
                <w:rFonts w:hint="default" w:ascii="Times New Roman" w:hAnsi="Times New Roman" w:eastAsia="宋体" w:cs="Times New Roman"/>
                <w:color w:val="000000"/>
                <w:kern w:val="0"/>
                <w:sz w:val="24"/>
                <w:szCs w:val="24"/>
                <w:lang w:val="en-US" w:eastAsia="zh-CN" w:bidi="ar"/>
              </w:rPr>
              <w:t>—预测点昼间或夜间的铁路噪声贡献值，dB（A）；</w:t>
            </w:r>
          </w:p>
          <w:p w14:paraId="7F3483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24"/>
                <w:szCs w:val="24"/>
                <w:vertAlign w:val="subscript"/>
                <w:lang w:val="en-US" w:eastAsia="zh-CN" w:bidi="ar"/>
              </w:rPr>
              <w:t>Aeq背景</w:t>
            </w:r>
            <w:r>
              <w:rPr>
                <w:rFonts w:hint="default" w:ascii="Times New Roman" w:hAnsi="Times New Roman" w:eastAsia="宋体" w:cs="Times New Roman"/>
                <w:color w:val="000000"/>
                <w:kern w:val="0"/>
                <w:sz w:val="24"/>
                <w:szCs w:val="24"/>
                <w:lang w:val="en-US" w:eastAsia="zh-CN" w:bidi="ar"/>
              </w:rPr>
              <w:t>—预测点的环境噪声背景值，dB（A）；</w:t>
            </w:r>
          </w:p>
          <w:p w14:paraId="1960D3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）模式参数的确定</w:t>
            </w:r>
          </w:p>
          <w:p w14:paraId="1C08A7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）列车噪声源强</w:t>
            </w:r>
          </w:p>
          <w:p w14:paraId="4B3C10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根据铁计函</w:t>
            </w:r>
            <w:r>
              <w:rPr>
                <w:rFonts w:hint="default" w:ascii="Times New Roman" w:hAnsi="Times New Roman" w:eastAsia="宋体" w:cs="Times New Roman"/>
                <w:color w:val="000000"/>
                <w:kern w:val="0"/>
                <w:sz w:val="24"/>
                <w:szCs w:val="24"/>
                <w:lang w:val="en-US" w:eastAsia="zh-CN" w:bidi="ar"/>
              </w:rPr>
              <w:t>[2010]44</w:t>
            </w:r>
            <w:r>
              <w:rPr>
                <w:rFonts w:hint="eastAsia" w:ascii="Times New Roman" w:hAnsi="Times New Roman" w:eastAsia="宋体" w:cs="Times New Roman"/>
                <w:color w:val="000000"/>
                <w:kern w:val="0"/>
                <w:sz w:val="24"/>
                <w:szCs w:val="24"/>
                <w:lang w:val="en-US" w:eastAsia="zh-CN" w:bidi="ar"/>
              </w:rPr>
              <w:t>号文件确定。</w:t>
            </w:r>
          </w:p>
          <w:p w14:paraId="57C788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）等效时间</w:t>
            </w:r>
            <w:r>
              <w:rPr>
                <w:rFonts w:hint="default" w:ascii="Times New Roman" w:hAnsi="Times New Roman" w:eastAsia="宋体" w:cs="Times New Roman"/>
                <w:color w:val="000000"/>
                <w:kern w:val="0"/>
                <w:sz w:val="24"/>
                <w:szCs w:val="24"/>
                <w:lang w:val="en-US" w:eastAsia="zh-CN" w:bidi="ar"/>
              </w:rPr>
              <w:t>teq,i</w:t>
            </w:r>
          </w:p>
          <w:p w14:paraId="03CA62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列车运行噪声的作用时间采用列车通过的等效时间</w:t>
            </w:r>
            <w:r>
              <w:rPr>
                <w:rFonts w:hint="default" w:ascii="Times New Roman" w:hAnsi="Times New Roman" w:eastAsia="宋体" w:cs="Times New Roman"/>
                <w:color w:val="000000"/>
                <w:kern w:val="0"/>
                <w:sz w:val="24"/>
                <w:szCs w:val="24"/>
                <w:lang w:val="en-US" w:eastAsia="zh-CN" w:bidi="ar"/>
              </w:rPr>
              <w:t>teq,i</w:t>
            </w:r>
            <w:r>
              <w:rPr>
                <w:rFonts w:hint="eastAsia" w:ascii="Times New Roman" w:hAnsi="Times New Roman" w:eastAsia="宋体" w:cs="Times New Roman"/>
                <w:color w:val="000000"/>
                <w:kern w:val="0"/>
                <w:sz w:val="24"/>
                <w:szCs w:val="24"/>
                <w:lang w:val="en-US" w:eastAsia="zh-CN" w:bidi="ar"/>
              </w:rPr>
              <w:t>，公式如下：</w:t>
            </w:r>
          </w:p>
          <w:p w14:paraId="0707BF1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249170" cy="596265"/>
                  <wp:effectExtent l="0" t="0" r="17780" b="133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2"/>
                          <a:srcRect b="24634"/>
                          <a:stretch>
                            <a:fillRect/>
                          </a:stretch>
                        </pic:blipFill>
                        <pic:spPr>
                          <a:xfrm>
                            <a:off x="0" y="0"/>
                            <a:ext cx="2249170" cy="596265"/>
                          </a:xfrm>
                          <a:prstGeom prst="rect">
                            <a:avLst/>
                          </a:prstGeom>
                          <a:noFill/>
                          <a:ln>
                            <a:noFill/>
                          </a:ln>
                        </pic:spPr>
                      </pic:pic>
                    </a:graphicData>
                  </a:graphic>
                </wp:inline>
              </w:drawing>
            </w:r>
          </w:p>
          <w:p w14:paraId="3664A6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i</w:t>
            </w:r>
            <w:r>
              <w:rPr>
                <w:rFonts w:hint="eastAsia" w:ascii="宋体" w:hAnsi="宋体"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类列车的列车长度，</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6DDB49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00"/>
                <w:kern w:val="0"/>
                <w:sz w:val="24"/>
                <w:szCs w:val="24"/>
                <w:lang w:val="en-US" w:eastAsia="zh-CN" w:bidi="ar"/>
              </w:rPr>
              <w:t>V</w:t>
            </w:r>
            <w:r>
              <w:rPr>
                <w:rFonts w:hint="default" w:ascii="Times New Roman" w:hAnsi="Times New Roman" w:eastAsia="宋体" w:cs="Times New Roman"/>
                <w:color w:val="000000"/>
                <w:kern w:val="0"/>
                <w:sz w:val="15"/>
                <w:szCs w:val="15"/>
                <w:lang w:val="en-US" w:eastAsia="zh-CN" w:bidi="ar"/>
              </w:rPr>
              <w:t>i</w:t>
            </w:r>
            <w:r>
              <w:rPr>
                <w:rFonts w:hint="eastAsia" w:ascii="宋体" w:hAnsi="宋体"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类列车的列车运行速度，</w:t>
            </w:r>
            <w:r>
              <w:rPr>
                <w:rFonts w:hint="default" w:ascii="Times New Roman" w:hAnsi="Times New Roman" w:eastAsia="宋体" w:cs="Times New Roman"/>
                <w:color w:val="000000"/>
                <w:kern w:val="0"/>
                <w:sz w:val="24"/>
                <w:szCs w:val="24"/>
                <w:lang w:val="en-US" w:eastAsia="zh-CN" w:bidi="ar"/>
              </w:rPr>
              <w:t>m/s</w:t>
            </w:r>
            <w:r>
              <w:rPr>
                <w:rFonts w:hint="eastAsia" w:ascii="宋体" w:hAnsi="宋体" w:eastAsia="宋体" w:cs="宋体"/>
                <w:color w:val="000000"/>
                <w:kern w:val="0"/>
                <w:sz w:val="24"/>
                <w:szCs w:val="24"/>
                <w:lang w:val="en-US" w:eastAsia="zh-CN" w:bidi="ar"/>
              </w:rPr>
              <w:t>；</w:t>
            </w:r>
          </w:p>
          <w:p w14:paraId="2C61C9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—预测点到铁路的距离，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657CFF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）列车运行噪声修正项</w:t>
            </w:r>
            <w:r>
              <w:rPr>
                <w:rFonts w:hint="default" w:ascii="Times New Roman" w:hAnsi="Times New Roman" w:eastAsia="宋体" w:cs="Times New Roman"/>
                <w:color w:val="000000"/>
                <w:kern w:val="0"/>
                <w:sz w:val="24"/>
                <w:szCs w:val="24"/>
                <w:lang w:val="en-US" w:eastAsia="zh-CN" w:bidi="ar"/>
              </w:rPr>
              <w:t>Ct,i</w:t>
            </w:r>
          </w:p>
          <w:p w14:paraId="37A2F3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列车运行噪声修正项</w:t>
            </w:r>
            <w:r>
              <w:rPr>
                <w:rFonts w:hint="default" w:ascii="Times New Roman" w:hAnsi="Times New Roman" w:eastAsia="宋体" w:cs="Times New Roman"/>
                <w:color w:val="000000"/>
                <w:kern w:val="0"/>
                <w:sz w:val="24"/>
                <w:szCs w:val="24"/>
                <w:lang w:val="en-US" w:eastAsia="zh-CN" w:bidi="ar"/>
              </w:rPr>
              <w:t>Ct,i</w:t>
            </w:r>
            <w:r>
              <w:rPr>
                <w:rFonts w:hint="eastAsia" w:ascii="宋体" w:hAnsi="宋体" w:eastAsia="宋体" w:cs="宋体"/>
                <w:color w:val="000000"/>
                <w:kern w:val="0"/>
                <w:sz w:val="24"/>
                <w:szCs w:val="24"/>
                <w:lang w:val="en-US" w:eastAsia="zh-CN" w:bidi="ar"/>
              </w:rPr>
              <w:t>，计算式如下：</w:t>
            </w:r>
          </w:p>
          <w:p w14:paraId="1B92F0D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3188970" cy="379095"/>
                  <wp:effectExtent l="0" t="0" r="11430" b="190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3"/>
                          <a:stretch>
                            <a:fillRect/>
                          </a:stretch>
                        </pic:blipFill>
                        <pic:spPr>
                          <a:xfrm>
                            <a:off x="0" y="0"/>
                            <a:ext cx="3188970" cy="379095"/>
                          </a:xfrm>
                          <a:prstGeom prst="rect">
                            <a:avLst/>
                          </a:prstGeom>
                          <a:noFill/>
                          <a:ln>
                            <a:noFill/>
                          </a:ln>
                        </pic:spPr>
                      </pic:pic>
                    </a:graphicData>
                  </a:graphic>
                </wp:inline>
              </w:drawing>
            </w:r>
          </w:p>
          <w:p w14:paraId="16457D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C</w:t>
            </w:r>
            <w:r>
              <w:rPr>
                <w:rFonts w:hint="eastAsia" w:ascii="Times New Roman" w:hAnsi="Times New Roman" w:eastAsia="宋体" w:cs="Times New Roman"/>
                <w:i/>
                <w:iCs/>
                <w:color w:val="000000"/>
                <w:kern w:val="0"/>
                <w:sz w:val="24"/>
                <w:szCs w:val="24"/>
                <w:vertAlign w:val="subscript"/>
                <w:lang w:val="en-US" w:eastAsia="zh-CN" w:bidi="ar"/>
              </w:rPr>
              <w:t>t,v,i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列车运行噪声速度修正，</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3C1B7A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列车运行噪声垂直指向性修正，</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7CB828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线路和轨道结构对噪声的修正，</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5794B5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t,d,i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列车运行噪声几何发散损失，</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30DEE2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t,a,i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列车运行噪声的大气吸收，</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469C2E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t,g,i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列车运行噪声地面效应引起的声衰减，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77223A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t,b,i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列车运行噪声屏障声绕射衰减，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1594FB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t,h,i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列车运行噪声建筑群引起的声衰减，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6A4AB5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）固定声源修正项，</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f,i</w:t>
            </w:r>
          </w:p>
          <w:p w14:paraId="028A2C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列车运行噪声修正项</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f,i</w:t>
            </w:r>
            <w:r>
              <w:rPr>
                <w:rFonts w:hint="eastAsia" w:ascii="宋体" w:hAnsi="宋体" w:eastAsia="宋体" w:cs="宋体"/>
                <w:color w:val="000000"/>
                <w:kern w:val="0"/>
                <w:sz w:val="24"/>
                <w:szCs w:val="24"/>
                <w:lang w:val="en-US" w:eastAsia="zh-CN" w:bidi="ar"/>
              </w:rPr>
              <w:t>，计算式如下：</w:t>
            </w:r>
          </w:p>
          <w:p w14:paraId="7B6FAEF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3656330" cy="539750"/>
                  <wp:effectExtent l="0" t="0" r="1270" b="1270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4"/>
                          <a:stretch>
                            <a:fillRect/>
                          </a:stretch>
                        </pic:blipFill>
                        <pic:spPr>
                          <a:xfrm>
                            <a:off x="0" y="0"/>
                            <a:ext cx="3656330" cy="539750"/>
                          </a:xfrm>
                          <a:prstGeom prst="rect">
                            <a:avLst/>
                          </a:prstGeom>
                          <a:noFill/>
                          <a:ln>
                            <a:noFill/>
                          </a:ln>
                        </pic:spPr>
                      </pic:pic>
                    </a:graphicData>
                  </a:graphic>
                </wp:inline>
              </w:drawing>
            </w:r>
          </w:p>
          <w:p w14:paraId="0E1686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f,θ,i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固定声源指向性修正，</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58762B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f,d,i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固定声源几何发散损失，</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59D0E9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f,a,i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固定声源大气吸收，</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7340BE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f,g,i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固定声源地幔声效应引起的声衰减，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748B7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f,b,i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固定声源屏障声绕射衰减，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3BCDBE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f,h,i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固定声源建筑群引起的声衰减，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24F673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）列车运行噪声速度修正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t,v,i</w:t>
            </w:r>
          </w:p>
          <w:p w14:paraId="6D439C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预测时的列车运行计算速度，应尽量接近预测点对应区段正式运营时的列车通过速度，不应按最高设计列车运行速度计算。列车速度的确定应考虑不同列车类型、启动加速、制动减速、区间通过、限速运行等因素的影响。预测计算速度可按设计最高速度的</w:t>
            </w:r>
            <w:r>
              <w:rPr>
                <w:rFonts w:hint="default" w:ascii="Times New Roman" w:hAnsi="Times New Roman" w:eastAsia="宋体" w:cs="Times New Roman"/>
                <w:color w:val="000000"/>
                <w:kern w:val="0"/>
                <w:sz w:val="24"/>
                <w:szCs w:val="24"/>
                <w:lang w:val="en-US" w:eastAsia="zh-CN" w:bidi="ar"/>
              </w:rPr>
              <w:t>90%</w:t>
            </w:r>
            <w:r>
              <w:rPr>
                <w:rFonts w:hint="eastAsia" w:ascii="宋体" w:hAnsi="宋体" w:eastAsia="宋体" w:cs="宋体"/>
                <w:color w:val="000000"/>
                <w:kern w:val="0"/>
                <w:sz w:val="24"/>
                <w:szCs w:val="24"/>
                <w:lang w:val="en-US" w:eastAsia="zh-CN" w:bidi="ar"/>
              </w:rPr>
              <w:t>确定。</w:t>
            </w:r>
          </w:p>
          <w:p w14:paraId="224917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i/>
                <w:iCs/>
                <w:sz w:val="24"/>
                <w:szCs w:val="24"/>
              </w:rPr>
            </w:pP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）列车运行噪声垂直指向性修正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p>
          <w:p w14:paraId="3CEB5E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列车运行噪声辐射垂直指向性修正量</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r>
              <w:rPr>
                <w:rFonts w:hint="eastAsia" w:ascii="宋体" w:hAnsi="宋体" w:eastAsia="宋体" w:cs="宋体"/>
                <w:color w:val="000000"/>
                <w:kern w:val="0"/>
                <w:sz w:val="24"/>
                <w:szCs w:val="24"/>
                <w:lang w:val="en-US" w:eastAsia="zh-CN" w:bidi="ar"/>
              </w:rPr>
              <w:t>可按下列公式计算。</w:t>
            </w:r>
          </w:p>
          <w:p w14:paraId="66884D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≤θ</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°时，</w:t>
            </w:r>
          </w:p>
          <w:p w14:paraId="60CAD2F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r>
              <w:rPr>
                <w:rFonts w:hint="default" w:ascii="Times New Roman" w:hAnsi="Times New Roman" w:eastAsia="宋体" w:cs="Times New Roman"/>
                <w:color w:val="000000"/>
                <w:kern w:val="0"/>
                <w:sz w:val="24"/>
                <w:szCs w:val="24"/>
                <w:lang w:val="en-US" w:eastAsia="zh-CN" w:bidi="ar"/>
              </w:rPr>
              <w:t>=-0.012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24-θ</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w:t>
            </w:r>
          </w:p>
          <w:p w14:paraId="58769E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≤θ</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°时，</w:t>
            </w:r>
          </w:p>
          <w:p w14:paraId="2F3DD77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r>
              <w:rPr>
                <w:rFonts w:hint="default" w:ascii="Times New Roman" w:hAnsi="Times New Roman" w:eastAsia="宋体" w:cs="Times New Roman"/>
                <w:color w:val="000000"/>
                <w:kern w:val="0"/>
                <w:sz w:val="24"/>
                <w:szCs w:val="24"/>
                <w:lang w:val="en-US" w:eastAsia="zh-CN" w:bidi="ar"/>
              </w:rPr>
              <w:t>=-0.075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θ-24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w:t>
            </w:r>
          </w:p>
          <w:p w14:paraId="56EFFF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i/>
                <w:iCs/>
                <w:color w:val="000000"/>
                <w:kern w:val="0"/>
                <w:sz w:val="24"/>
                <w:szCs w:val="24"/>
                <w:lang w:val="en-US" w:eastAsia="zh-CN" w:bidi="ar"/>
              </w:rPr>
              <w:t>θ</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°时，</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t,-10</w:t>
            </w:r>
            <w:r>
              <w:rPr>
                <w:rFonts w:hint="eastAsia" w:ascii="宋体" w:hAnsi="宋体" w:eastAsia="宋体" w:cs="宋体"/>
                <w:color w:val="000000"/>
                <w:kern w:val="0"/>
                <w:sz w:val="24"/>
                <w:szCs w:val="24"/>
                <w:vertAlign w:val="subscript"/>
                <w:lang w:val="en-US" w:eastAsia="zh-CN" w:bidi="ar"/>
              </w:rPr>
              <w:t>°</w:t>
            </w:r>
          </w:p>
          <w:p w14:paraId="70A9AF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i/>
                <w:iCs/>
                <w:color w:val="000000"/>
                <w:kern w:val="0"/>
                <w:sz w:val="24"/>
                <w:szCs w:val="24"/>
                <w:lang w:val="en-US" w:eastAsia="zh-CN" w:bidi="ar"/>
              </w:rPr>
              <w:t>θ</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°时：</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t,θ</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t,50</w:t>
            </w:r>
            <w:r>
              <w:rPr>
                <w:rFonts w:hint="eastAsia" w:ascii="宋体" w:hAnsi="宋体" w:eastAsia="宋体" w:cs="宋体"/>
                <w:color w:val="000000"/>
                <w:kern w:val="0"/>
                <w:sz w:val="24"/>
                <w:szCs w:val="24"/>
                <w:vertAlign w:val="subscript"/>
                <w:lang w:val="en-US" w:eastAsia="zh-CN" w:bidi="ar"/>
              </w:rPr>
              <w:t>°</w:t>
            </w:r>
          </w:p>
          <w:p w14:paraId="0ABCC3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θ</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声源到预测点方向与水平面的夹角，单位为度。</w:t>
            </w:r>
          </w:p>
          <w:p w14:paraId="2DAA9D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）固定声源指向性修正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f,θ,i</w:t>
            </w:r>
          </w:p>
          <w:p w14:paraId="2626CB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机车风笛的鸣笛由于每次时间较短，可按固定声源简化处理。机车风笛按高、低音混装配置，其指向性函数如下所示。式中，</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θ≤180</w:t>
            </w: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color w:val="000000"/>
                <w:kern w:val="0"/>
                <w:sz w:val="24"/>
                <w:szCs w:val="24"/>
                <w:lang w:val="en-US" w:eastAsia="zh-CN" w:bidi="ar"/>
              </w:rPr>
              <w:t>θ</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180</w:t>
            </w:r>
            <w:r>
              <w:rPr>
                <w:rFonts w:hint="eastAsia" w:ascii="宋体" w:hAnsi="宋体" w:eastAsia="宋体" w:cs="宋体"/>
                <w:color w:val="000000"/>
                <w:kern w:val="0"/>
                <w:sz w:val="24"/>
                <w:szCs w:val="24"/>
                <w:lang w:val="en-US" w:eastAsia="zh-CN" w:bidi="ar"/>
              </w:rPr>
              <w:t>°时，式中</w:t>
            </w:r>
            <w:r>
              <w:rPr>
                <w:rFonts w:hint="default" w:ascii="Times New Roman" w:hAnsi="Times New Roman" w:eastAsia="宋体" w:cs="Times New Roman"/>
                <w:color w:val="000000"/>
                <w:kern w:val="0"/>
                <w:sz w:val="24"/>
                <w:szCs w:val="24"/>
                <w:lang w:val="en-US" w:eastAsia="zh-CN" w:bidi="ar"/>
              </w:rPr>
              <w:t>θ</w:t>
            </w:r>
            <w:r>
              <w:rPr>
                <w:rFonts w:hint="eastAsia" w:ascii="宋体" w:hAnsi="宋体" w:eastAsia="宋体" w:cs="宋体"/>
                <w:color w:val="000000"/>
                <w:kern w:val="0"/>
                <w:sz w:val="24"/>
                <w:szCs w:val="24"/>
                <w:lang w:val="en-US" w:eastAsia="zh-CN" w:bidi="ar"/>
              </w:rPr>
              <w:t>应为</w:t>
            </w:r>
            <w:r>
              <w:rPr>
                <w:rFonts w:hint="default" w:ascii="Times New Roman" w:hAnsi="Times New Roman" w:eastAsia="宋体" w:cs="Times New Roman"/>
                <w:color w:val="000000"/>
                <w:kern w:val="0"/>
                <w:sz w:val="24"/>
                <w:szCs w:val="24"/>
                <w:lang w:val="en-US" w:eastAsia="zh-CN" w:bidi="ar"/>
              </w:rPr>
              <w:t>360-θ</w:t>
            </w:r>
            <w:r>
              <w:rPr>
                <w:rFonts w:hint="eastAsia" w:ascii="宋体" w:hAnsi="宋体" w:eastAsia="宋体" w:cs="宋体"/>
                <w:color w:val="000000"/>
                <w:kern w:val="0"/>
                <w:sz w:val="24"/>
                <w:szCs w:val="24"/>
                <w:lang w:val="en-US" w:eastAsia="zh-CN" w:bidi="ar"/>
              </w:rPr>
              <w:t>）。</w:t>
            </w:r>
          </w:p>
          <w:p w14:paraId="2A0B7F9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i/>
                <w:iCs/>
                <w:color w:val="000000"/>
                <w:kern w:val="0"/>
                <w:sz w:val="24"/>
                <w:szCs w:val="24"/>
                <w:lang w:val="en-US" w:eastAsia="zh-CN" w:bidi="ar"/>
              </w:rPr>
              <w:t>f=250</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f,θ</w:t>
            </w:r>
            <w:r>
              <w:rPr>
                <w:rFonts w:hint="default" w:ascii="Times New Roman" w:hAnsi="Times New Roman" w:eastAsia="宋体" w:cs="Times New Roman"/>
                <w:color w:val="000000"/>
                <w:kern w:val="0"/>
                <w:sz w:val="24"/>
                <w:szCs w:val="24"/>
                <w:lang w:val="en-US" w:eastAsia="zh-CN" w:bidi="ar"/>
              </w:rPr>
              <w:t>=3.5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vertAlign w:val="superscript"/>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-3.5</w:t>
            </w:r>
          </w:p>
          <w:p w14:paraId="6CE24F7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i/>
                <w:iCs/>
                <w:color w:val="000000"/>
                <w:kern w:val="0"/>
                <w:sz w:val="24"/>
                <w:szCs w:val="24"/>
                <w:lang w:val="en-US" w:eastAsia="zh-CN" w:bidi="ar"/>
              </w:rPr>
              <w:t>f=500</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f,θ</w:t>
            </w:r>
            <w:r>
              <w:rPr>
                <w:rFonts w:hint="default" w:ascii="Times New Roman" w:hAnsi="Times New Roman" w:eastAsia="宋体" w:cs="Times New Roman"/>
                <w:color w:val="000000"/>
                <w:kern w:val="0"/>
                <w:sz w:val="24"/>
                <w:szCs w:val="24"/>
                <w:lang w:val="en-US" w:eastAsia="zh-CN" w:bidi="ar"/>
              </w:rPr>
              <w:t>=1.7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vertAlign w:val="superscript"/>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-2</w:t>
            </w:r>
          </w:p>
          <w:p w14:paraId="64E7F51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sz w:val="24"/>
                <w:szCs w:val="24"/>
              </w:rPr>
            </w:pPr>
            <w:r>
              <w:rPr>
                <w:rFonts w:hint="default" w:ascii="Times New Roman" w:hAnsi="Times New Roman" w:eastAsia="宋体" w:cs="Times New Roman"/>
                <w:i/>
                <w:iCs/>
                <w:color w:val="000000"/>
                <w:kern w:val="0"/>
                <w:sz w:val="24"/>
                <w:szCs w:val="24"/>
                <w:lang w:val="en-US" w:eastAsia="zh-CN" w:bidi="ar"/>
              </w:rPr>
              <w:t>f=1000</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f,θ</w:t>
            </w:r>
            <w:r>
              <w:rPr>
                <w:rFonts w:hint="default" w:ascii="Times New Roman" w:hAnsi="Times New Roman" w:eastAsia="宋体" w:cs="Times New Roman"/>
                <w:color w:val="000000"/>
                <w:kern w:val="0"/>
                <w:sz w:val="24"/>
                <w:szCs w:val="24"/>
                <w:lang w:val="en-US" w:eastAsia="zh-CN" w:bidi="ar"/>
              </w:rPr>
              <w:t>=5.2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vertAlign w:val="superscript"/>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θ-120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-7.5</w:t>
            </w:r>
          </w:p>
          <w:p w14:paraId="4FA93B3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sz w:val="24"/>
                <w:szCs w:val="24"/>
              </w:rPr>
            </w:pPr>
            <w:r>
              <w:rPr>
                <w:rFonts w:hint="default" w:ascii="Times New Roman" w:hAnsi="Times New Roman" w:eastAsia="宋体" w:cs="Times New Roman"/>
                <w:i/>
                <w:iCs/>
                <w:color w:val="000000"/>
                <w:kern w:val="0"/>
                <w:sz w:val="24"/>
                <w:szCs w:val="24"/>
                <w:lang w:val="en-US" w:eastAsia="zh-CN" w:bidi="ar"/>
              </w:rPr>
              <w:t>f=2000</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f,θ</w:t>
            </w:r>
            <w:r>
              <w:rPr>
                <w:rFonts w:hint="default" w:ascii="Times New Roman" w:hAnsi="Times New Roman" w:eastAsia="宋体" w:cs="Times New Roman"/>
                <w:color w:val="000000"/>
                <w:kern w:val="0"/>
                <w:sz w:val="24"/>
                <w:szCs w:val="24"/>
                <w:lang w:val="en-US" w:eastAsia="zh-CN" w:bidi="ar"/>
              </w:rPr>
              <w:t>=6.8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vertAlign w:val="superscript"/>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θ-130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-11.5</w:t>
            </w:r>
          </w:p>
          <w:p w14:paraId="1C5BDB4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sz w:val="24"/>
                <w:szCs w:val="24"/>
              </w:rPr>
            </w:pPr>
            <w:r>
              <w:rPr>
                <w:rFonts w:hint="default" w:ascii="Times New Roman" w:hAnsi="Times New Roman" w:eastAsia="宋体" w:cs="Times New Roman"/>
                <w:i/>
                <w:iCs/>
                <w:color w:val="000000"/>
                <w:kern w:val="0"/>
                <w:sz w:val="24"/>
                <w:szCs w:val="24"/>
                <w:lang w:val="en-US" w:eastAsia="zh-CN" w:bidi="ar"/>
              </w:rPr>
              <w:t>f=4000</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f,θ</w:t>
            </w:r>
            <w:r>
              <w:rPr>
                <w:rFonts w:hint="default" w:ascii="Times New Roman" w:hAnsi="Times New Roman" w:eastAsia="宋体" w:cs="Times New Roman"/>
                <w:color w:val="000000"/>
                <w:kern w:val="0"/>
                <w:sz w:val="24"/>
                <w:szCs w:val="24"/>
                <w:lang w:val="en-US" w:eastAsia="zh-CN" w:bidi="ar"/>
              </w:rPr>
              <w:t>=9.3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vertAlign w:val="superscript"/>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θ-140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-18.3</w:t>
            </w:r>
          </w:p>
          <w:p w14:paraId="1C3F61E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sz w:val="24"/>
                <w:szCs w:val="24"/>
              </w:rPr>
            </w:pPr>
            <w:r>
              <w:rPr>
                <w:rFonts w:hint="default" w:ascii="Times New Roman" w:hAnsi="Times New Roman" w:eastAsia="宋体" w:cs="Times New Roman"/>
                <w:i/>
                <w:iCs/>
                <w:color w:val="000000"/>
                <w:kern w:val="0"/>
                <w:sz w:val="24"/>
                <w:szCs w:val="24"/>
                <w:lang w:val="en-US" w:eastAsia="zh-CN" w:bidi="ar"/>
              </w:rPr>
              <w:t>f=8000</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w:t>
            </w:r>
            <w:r>
              <w:rPr>
                <w:rFonts w:hint="default" w:ascii="Times New Roman" w:hAnsi="Times New Roman" w:eastAsia="宋体" w:cs="Times New Roman"/>
                <w:color w:val="000000"/>
                <w:kern w:val="0"/>
                <w:sz w:val="24"/>
                <w:szCs w:val="24"/>
                <w:vertAlign w:val="subscript"/>
                <w:lang w:val="en-US" w:eastAsia="zh-CN" w:bidi="ar"/>
              </w:rPr>
              <w:t>f,θ</w:t>
            </w:r>
            <w:r>
              <w:rPr>
                <w:rFonts w:hint="default" w:ascii="Times New Roman" w:hAnsi="Times New Roman" w:eastAsia="宋体" w:cs="Times New Roman"/>
                <w:color w:val="000000"/>
                <w:kern w:val="0"/>
                <w:sz w:val="24"/>
                <w:szCs w:val="24"/>
                <w:lang w:val="en-US" w:eastAsia="zh-CN" w:bidi="ar"/>
              </w:rPr>
              <w:t>=9.5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vertAlign w:val="superscript"/>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θ-150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-21.5</w:t>
            </w:r>
          </w:p>
          <w:p w14:paraId="351499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p>
          <w:p w14:paraId="5DBB33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θ</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风笛到预测点方向与风笛正轴向的夹角，单位为度。</w:t>
            </w:r>
          </w:p>
          <w:p w14:paraId="3B7C65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）线路条件修正</w:t>
            </w:r>
            <w:r>
              <w:rPr>
                <w:rFonts w:hint="default" w:ascii="Times New Roman" w:hAnsi="Times New Roman" w:eastAsia="宋体" w:cs="Times New Roman"/>
                <w:color w:val="000000"/>
                <w:kern w:val="0"/>
                <w:sz w:val="24"/>
                <w:szCs w:val="24"/>
                <w:lang w:val="en-US" w:eastAsia="zh-CN" w:bidi="ar"/>
              </w:rPr>
              <w:t>Ct,t</w:t>
            </w:r>
          </w:p>
          <w:p w14:paraId="75E7F1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有缝线路与无缝线路条件下的轮轨噪声修正如下：</w:t>
            </w:r>
          </w:p>
          <w:p w14:paraId="48B541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货物列车在</w:t>
            </w:r>
            <w:r>
              <w:rPr>
                <w:rFonts w:hint="default" w:ascii="Times New Roman" w:hAnsi="Times New Roman" w:eastAsia="宋体" w:cs="Times New Roman"/>
                <w:color w:val="000000"/>
                <w:kern w:val="0"/>
                <w:sz w:val="24"/>
                <w:szCs w:val="24"/>
                <w:lang w:val="en-US" w:eastAsia="zh-CN" w:bidi="ar"/>
              </w:rPr>
              <w:t>40-80km/h</w:t>
            </w:r>
            <w:r>
              <w:rPr>
                <w:rFonts w:hint="eastAsia" w:ascii="宋体" w:hAnsi="宋体" w:eastAsia="宋体" w:cs="宋体"/>
                <w:color w:val="000000"/>
                <w:kern w:val="0"/>
                <w:sz w:val="24"/>
                <w:szCs w:val="24"/>
                <w:lang w:val="en-US" w:eastAsia="zh-CN" w:bidi="ar"/>
              </w:rPr>
              <w:t>速度范围内，有缝线路的轮轨噪声比无缝线路平均高</w:t>
            </w:r>
            <w:r>
              <w:rPr>
                <w:rFonts w:hint="default" w:ascii="Times New Roman" w:hAnsi="Times New Roman" w:eastAsia="宋体" w:cs="Times New Roman"/>
                <w:color w:val="000000"/>
                <w:kern w:val="0"/>
                <w:sz w:val="24"/>
                <w:szCs w:val="24"/>
                <w:lang w:val="en-US" w:eastAsia="zh-CN" w:bidi="ar"/>
              </w:rPr>
              <w:t>3.8dB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52E56F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）列车运行噪声几何发散损失</w:t>
            </w:r>
            <w:r>
              <w:rPr>
                <w:rFonts w:hint="default" w:ascii="Times New Roman" w:hAnsi="Times New Roman" w:eastAsia="宋体" w:cs="Times New Roman"/>
                <w:color w:val="000000"/>
                <w:kern w:val="0"/>
                <w:sz w:val="24"/>
                <w:szCs w:val="24"/>
                <w:lang w:val="en-US" w:eastAsia="zh-CN" w:bidi="ar"/>
              </w:rPr>
              <w:t>Ct,d,i</w:t>
            </w:r>
          </w:p>
          <w:p w14:paraId="31C2AC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列车噪声辐射的几何发散损失</w:t>
            </w:r>
            <w:r>
              <w:rPr>
                <w:rFonts w:hint="default" w:ascii="Times New Roman" w:hAnsi="Times New Roman" w:eastAsia="宋体" w:cs="Times New Roman"/>
                <w:color w:val="000000"/>
                <w:kern w:val="0"/>
                <w:sz w:val="24"/>
                <w:szCs w:val="24"/>
                <w:lang w:val="en-US" w:eastAsia="zh-CN" w:bidi="ar"/>
              </w:rPr>
              <w:t>Ct,d,i</w:t>
            </w:r>
            <w:r>
              <w:rPr>
                <w:rFonts w:hint="eastAsia" w:ascii="宋体" w:hAnsi="宋体" w:eastAsia="宋体" w:cs="宋体"/>
                <w:color w:val="000000"/>
                <w:kern w:val="0"/>
                <w:sz w:val="24"/>
                <w:szCs w:val="24"/>
                <w:lang w:val="en-US" w:eastAsia="zh-CN" w:bidi="ar"/>
              </w:rPr>
              <w:t>按下式计算。</w:t>
            </w:r>
          </w:p>
          <w:p w14:paraId="6DB7CE2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383155" cy="909320"/>
                  <wp:effectExtent l="0" t="0" r="17145" b="508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35"/>
                          <a:stretch>
                            <a:fillRect/>
                          </a:stretch>
                        </pic:blipFill>
                        <pic:spPr>
                          <a:xfrm>
                            <a:off x="0" y="0"/>
                            <a:ext cx="2383155" cy="909320"/>
                          </a:xfrm>
                          <a:prstGeom prst="rect">
                            <a:avLst/>
                          </a:prstGeom>
                          <a:noFill/>
                          <a:ln>
                            <a:noFill/>
                          </a:ln>
                        </pic:spPr>
                      </pic:pic>
                    </a:graphicData>
                  </a:graphic>
                </wp:inline>
              </w:drawing>
            </w:r>
          </w:p>
          <w:p w14:paraId="68DF6B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式中：</w:t>
            </w:r>
          </w:p>
          <w:p w14:paraId="6D5DB0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源强的参考距离，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34C927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预测点到线路的距离，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27C948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列车长度，</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4D6FF8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）固定声源噪声几何发散损失</w:t>
            </w:r>
            <w:r>
              <w:rPr>
                <w:rFonts w:hint="default" w:ascii="Times New Roman" w:hAnsi="Times New Roman" w:eastAsia="宋体" w:cs="Times New Roman"/>
                <w:color w:val="000000"/>
                <w:kern w:val="0"/>
                <w:sz w:val="24"/>
                <w:szCs w:val="24"/>
                <w:lang w:val="en-US" w:eastAsia="zh-CN" w:bidi="ar"/>
              </w:rPr>
              <w:t>Cf,d,i</w:t>
            </w:r>
          </w:p>
          <w:p w14:paraId="1213F4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固定声源几何发散损失</w:t>
            </w:r>
            <w:r>
              <w:rPr>
                <w:rFonts w:hint="default" w:ascii="Times New Roman" w:hAnsi="Times New Roman" w:eastAsia="宋体" w:cs="Times New Roman"/>
                <w:color w:val="000000"/>
                <w:kern w:val="0"/>
                <w:sz w:val="24"/>
                <w:szCs w:val="24"/>
                <w:lang w:val="en-US" w:eastAsia="zh-CN" w:bidi="ar"/>
              </w:rPr>
              <w:t>Cf,d,i</w:t>
            </w:r>
            <w:r>
              <w:rPr>
                <w:rFonts w:hint="eastAsia" w:ascii="宋体" w:hAnsi="宋体" w:eastAsia="宋体" w:cs="宋体"/>
                <w:color w:val="000000"/>
                <w:kern w:val="0"/>
                <w:sz w:val="24"/>
                <w:szCs w:val="24"/>
                <w:lang w:val="en-US" w:eastAsia="zh-CN" w:bidi="ar"/>
              </w:rPr>
              <w:t>按下式计算。</w:t>
            </w:r>
          </w:p>
          <w:p w14:paraId="3D7D7DE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1989455" cy="688975"/>
                  <wp:effectExtent l="0" t="0" r="10795" b="1587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6"/>
                          <a:stretch>
                            <a:fillRect/>
                          </a:stretch>
                        </pic:blipFill>
                        <pic:spPr>
                          <a:xfrm>
                            <a:off x="0" y="0"/>
                            <a:ext cx="1989455" cy="688975"/>
                          </a:xfrm>
                          <a:prstGeom prst="rect">
                            <a:avLst/>
                          </a:prstGeom>
                          <a:noFill/>
                          <a:ln>
                            <a:noFill/>
                          </a:ln>
                        </pic:spPr>
                      </pic:pic>
                    </a:graphicData>
                  </a:graphic>
                </wp:inline>
              </w:drawing>
            </w:r>
          </w:p>
          <w:p w14:paraId="373FF9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p>
          <w:p w14:paraId="79492A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源强的参考距离，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45AE1B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预测点到线路的距离，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6C8246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）大气吸收</w:t>
            </w:r>
            <w:r>
              <w:rPr>
                <w:rFonts w:hint="default" w:ascii="Times New Roman" w:hAnsi="Times New Roman" w:eastAsia="宋体" w:cs="Times New Roman"/>
                <w:color w:val="000000"/>
                <w:kern w:val="0"/>
                <w:sz w:val="24"/>
                <w:szCs w:val="24"/>
                <w:lang w:val="en-US" w:eastAsia="zh-CN" w:bidi="ar"/>
              </w:rPr>
              <w:t>Ct,a,i</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Cf,a,i</w:t>
            </w:r>
          </w:p>
          <w:p w14:paraId="4057FA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大气声吸收的衰减量按下式计算。</w:t>
            </w:r>
          </w:p>
          <w:p w14:paraId="6A042B0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171700" cy="802640"/>
                  <wp:effectExtent l="0" t="0" r="0" b="1651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7"/>
                          <a:stretch>
                            <a:fillRect/>
                          </a:stretch>
                        </pic:blipFill>
                        <pic:spPr>
                          <a:xfrm>
                            <a:off x="0" y="0"/>
                            <a:ext cx="2171700" cy="802640"/>
                          </a:xfrm>
                          <a:prstGeom prst="rect">
                            <a:avLst/>
                          </a:prstGeom>
                          <a:noFill/>
                          <a:ln>
                            <a:noFill/>
                          </a:ln>
                        </pic:spPr>
                      </pic:pic>
                    </a:graphicData>
                  </a:graphic>
                </wp:inline>
              </w:drawing>
            </w:r>
          </w:p>
          <w:p w14:paraId="5302D9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p>
          <w:p w14:paraId="073E2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a</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为每</w:t>
            </w:r>
            <w:r>
              <w:rPr>
                <w:rFonts w:hint="default" w:ascii="Times New Roman" w:hAnsi="Times New Roman" w:eastAsia="宋体" w:cs="Times New Roman"/>
                <w:color w:val="000000"/>
                <w:kern w:val="0"/>
                <w:sz w:val="24"/>
                <w:szCs w:val="24"/>
                <w:lang w:val="en-US" w:eastAsia="zh-CN" w:bidi="ar"/>
              </w:rPr>
              <w:t>100m</w:t>
            </w:r>
            <w:r>
              <w:rPr>
                <w:rFonts w:hint="eastAsia" w:ascii="宋体" w:hAnsi="宋体" w:eastAsia="宋体" w:cs="宋体"/>
                <w:color w:val="000000"/>
                <w:kern w:val="0"/>
                <w:sz w:val="24"/>
                <w:szCs w:val="24"/>
                <w:lang w:val="en-US" w:eastAsia="zh-CN" w:bidi="ar"/>
              </w:rPr>
              <w:t>空气吸收系数，</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0CE72F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源强的参考距离，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3FF382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预测点到线路的距离，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1A76C9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）地面效应声衰减</w:t>
            </w:r>
            <w:r>
              <w:rPr>
                <w:rFonts w:hint="default" w:ascii="Times New Roman" w:hAnsi="Times New Roman" w:eastAsia="宋体" w:cs="Times New Roman"/>
                <w:color w:val="000000"/>
                <w:kern w:val="0"/>
                <w:sz w:val="24"/>
                <w:szCs w:val="24"/>
                <w:lang w:val="en-US" w:eastAsia="zh-CN" w:bidi="ar"/>
              </w:rPr>
              <w:t>Ct,g,i</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Cf,g,i</w:t>
            </w:r>
          </w:p>
          <w:p w14:paraId="6EC248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当声波越过疏松的地面或大部分为疏松地面的混合地面时，地面效应的声衰减可按下式及计算。</w:t>
            </w:r>
          </w:p>
          <w:p w14:paraId="269D23E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023110" cy="590550"/>
                  <wp:effectExtent l="0" t="0" r="1524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8"/>
                          <a:stretch>
                            <a:fillRect/>
                          </a:stretch>
                        </pic:blipFill>
                        <pic:spPr>
                          <a:xfrm>
                            <a:off x="0" y="0"/>
                            <a:ext cx="2023110" cy="590550"/>
                          </a:xfrm>
                          <a:prstGeom prst="rect">
                            <a:avLst/>
                          </a:prstGeom>
                          <a:noFill/>
                          <a:ln>
                            <a:noFill/>
                          </a:ln>
                        </pic:spPr>
                      </pic:pic>
                    </a:graphicData>
                  </a:graphic>
                </wp:inline>
              </w:drawing>
            </w:r>
          </w:p>
          <w:p w14:paraId="5FD963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式中：</w:t>
            </w:r>
          </w:p>
          <w:p w14:paraId="538E91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i/>
                <w:iCs/>
                <w:color w:val="000000"/>
                <w:kern w:val="0"/>
                <w:sz w:val="24"/>
                <w:szCs w:val="24"/>
                <w:lang w:val="en-US" w:eastAsia="zh-CN" w:bidi="ar"/>
              </w:rPr>
              <w:t>hm</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传播路程的平均离地高度，</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18D01A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声源至接收点的距离，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008BCA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平均离地高度</w:t>
            </w:r>
            <w:r>
              <w:rPr>
                <w:rFonts w:hint="default" w:ascii="Times New Roman" w:hAnsi="Times New Roman" w:eastAsia="宋体" w:cs="Times New Roman"/>
                <w:color w:val="000000"/>
                <w:kern w:val="0"/>
                <w:sz w:val="24"/>
                <w:szCs w:val="24"/>
                <w:lang w:val="en-US" w:eastAsia="zh-CN" w:bidi="ar"/>
              </w:rPr>
              <w:t>hm</w:t>
            </w:r>
            <w:r>
              <w:rPr>
                <w:rFonts w:hint="eastAsia" w:ascii="宋体" w:hAnsi="宋体" w:eastAsia="宋体" w:cs="宋体"/>
                <w:color w:val="000000"/>
                <w:kern w:val="0"/>
                <w:sz w:val="24"/>
                <w:szCs w:val="24"/>
                <w:lang w:val="en-US" w:eastAsia="zh-CN" w:bidi="ar"/>
              </w:rPr>
              <w:t>按下图所示方法计算。所从上式中得出的</w:t>
            </w:r>
            <w:r>
              <w:rPr>
                <w:rFonts w:hint="default" w:ascii="Times New Roman" w:hAnsi="Times New Roman" w:eastAsia="宋体" w:cs="Times New Roman"/>
                <w:color w:val="000000"/>
                <w:kern w:val="0"/>
                <w:sz w:val="24"/>
                <w:szCs w:val="24"/>
                <w:lang w:val="en-US" w:eastAsia="zh-CN" w:bidi="ar"/>
              </w:rPr>
              <w:t>Cg,i</w:t>
            </w:r>
            <w:r>
              <w:rPr>
                <w:rFonts w:hint="eastAsia" w:ascii="宋体" w:hAnsi="宋体" w:eastAsia="宋体" w:cs="宋体"/>
                <w:color w:val="000000"/>
                <w:kern w:val="0"/>
                <w:sz w:val="24"/>
                <w:szCs w:val="24"/>
                <w:lang w:val="en-US" w:eastAsia="zh-CN" w:bidi="ar"/>
              </w:rPr>
              <w:t>为正值，则用零代替。</w:t>
            </w:r>
          </w:p>
          <w:p w14:paraId="582E638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4634865" cy="1814830"/>
                  <wp:effectExtent l="0" t="0" r="13335" b="1397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9"/>
                          <a:stretch>
                            <a:fillRect/>
                          </a:stretch>
                        </pic:blipFill>
                        <pic:spPr>
                          <a:xfrm>
                            <a:off x="0" y="0"/>
                            <a:ext cx="4634865" cy="1814830"/>
                          </a:xfrm>
                          <a:prstGeom prst="rect">
                            <a:avLst/>
                          </a:prstGeom>
                          <a:noFill/>
                          <a:ln>
                            <a:noFill/>
                          </a:ln>
                        </pic:spPr>
                      </pic:pic>
                    </a:graphicData>
                  </a:graphic>
                </wp:inline>
              </w:drawing>
            </w:r>
          </w:p>
          <w:p w14:paraId="4F00A0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13）列车运行噪声声屏障声绕射衰减Ct,b,i</w:t>
            </w:r>
          </w:p>
          <w:p w14:paraId="537CE5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声屏障声绕射衰减Ct,b,i按</w:t>
            </w:r>
            <w:r>
              <w:rPr>
                <w:rFonts w:hint="eastAsia" w:ascii="宋体" w:hAnsi="宋体" w:eastAsia="宋体" w:cs="宋体"/>
                <w:color w:val="000000"/>
                <w:kern w:val="0"/>
                <w:sz w:val="24"/>
                <w:szCs w:val="24"/>
                <w:lang w:val="en-US" w:eastAsia="zh-CN" w:bidi="ar"/>
              </w:rPr>
              <w:t>下式计算。</w:t>
            </w:r>
          </w:p>
          <w:p w14:paraId="1BDEE48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728595" cy="995045"/>
                  <wp:effectExtent l="0" t="0" r="14605" b="1460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40"/>
                          <a:stretch>
                            <a:fillRect/>
                          </a:stretch>
                        </pic:blipFill>
                        <pic:spPr>
                          <a:xfrm>
                            <a:off x="0" y="0"/>
                            <a:ext cx="2728595" cy="995045"/>
                          </a:xfrm>
                          <a:prstGeom prst="rect">
                            <a:avLst/>
                          </a:prstGeom>
                          <a:noFill/>
                          <a:ln>
                            <a:noFill/>
                          </a:ln>
                        </pic:spPr>
                      </pic:pic>
                    </a:graphicData>
                  </a:graphic>
                </wp:inline>
              </w:drawing>
            </w:r>
          </w:p>
          <w:p w14:paraId="5FA62C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式中：</w:t>
            </w:r>
          </w:p>
          <w:p w14:paraId="5A14F1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i/>
                <w:iCs/>
                <w:color w:val="000000"/>
                <w:kern w:val="0"/>
                <w:sz w:val="24"/>
                <w:szCs w:val="24"/>
                <w:lang w:val="en-US" w:eastAsia="zh-CN" w:bidi="ar"/>
              </w:rPr>
              <w:t>f</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声波频率，</w:t>
            </w:r>
            <w:r>
              <w:rPr>
                <w:rFonts w:hint="default" w:ascii="Times New Roman" w:hAnsi="Times New Roman" w:eastAsia="宋体"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w:t>
            </w:r>
          </w:p>
          <w:p w14:paraId="2A2F2C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i/>
                <w:iCs/>
                <w:color w:val="000000"/>
                <w:kern w:val="0"/>
                <w:sz w:val="24"/>
                <w:szCs w:val="24"/>
                <w:lang w:val="en-US" w:eastAsia="zh-CN" w:bidi="ar"/>
              </w:rPr>
              <w:t>δ</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声程差，</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w:t>
            </w:r>
          </w:p>
          <w:p w14:paraId="6C3D19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声速，</w:t>
            </w:r>
            <w:r>
              <w:rPr>
                <w:rFonts w:hint="default" w:ascii="Times New Roman" w:hAnsi="Times New Roman" w:eastAsia="宋体" w:cs="Times New Roman"/>
                <w:color w:val="000000"/>
                <w:kern w:val="0"/>
                <w:sz w:val="24"/>
                <w:szCs w:val="24"/>
                <w:lang w:val="en-US" w:eastAsia="zh-CN" w:bidi="ar"/>
              </w:rPr>
              <w:t>c=340m/s</w:t>
            </w:r>
            <w:r>
              <w:rPr>
                <w:rFonts w:hint="eastAsia" w:ascii="宋体" w:hAnsi="宋体" w:eastAsia="宋体" w:cs="宋体"/>
                <w:color w:val="000000"/>
                <w:kern w:val="0"/>
                <w:sz w:val="24"/>
                <w:szCs w:val="24"/>
                <w:lang w:val="en-US" w:eastAsia="zh-CN" w:bidi="ar"/>
              </w:rPr>
              <w:t>。</w:t>
            </w:r>
          </w:p>
          <w:p w14:paraId="4C7A07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根据《环境影响评价技术导则 声环境》（</w:t>
            </w:r>
            <w:r>
              <w:rPr>
                <w:rFonts w:hint="default" w:ascii="Times New Roman" w:hAnsi="Times New Roman" w:eastAsia="宋体" w:cs="Times New Roman"/>
                <w:color w:val="000000"/>
                <w:kern w:val="0"/>
                <w:sz w:val="24"/>
                <w:szCs w:val="24"/>
                <w:lang w:val="en-US" w:eastAsia="zh-CN" w:bidi="ar"/>
              </w:rPr>
              <w:t>HJ2.4-2009</w:t>
            </w:r>
            <w:r>
              <w:rPr>
                <w:rFonts w:hint="eastAsia" w:ascii="宋体" w:hAnsi="宋体" w:eastAsia="宋体" w:cs="宋体"/>
                <w:color w:val="000000"/>
                <w:kern w:val="0"/>
                <w:sz w:val="24"/>
                <w:szCs w:val="24"/>
                <w:lang w:val="en-US" w:eastAsia="zh-CN" w:bidi="ar"/>
              </w:rPr>
              <w:t>），在理论计算声屏障衰减时，在任何频带上，声屏障衰减在单绕射情况下衰减最大取值</w:t>
            </w:r>
            <w:r>
              <w:rPr>
                <w:rFonts w:hint="default" w:ascii="Times New Roman" w:hAnsi="Times New Roman" w:eastAsia="宋体" w:cs="Times New Roman"/>
                <w:color w:val="000000"/>
                <w:kern w:val="0"/>
                <w:sz w:val="24"/>
                <w:szCs w:val="24"/>
                <w:lang w:val="en-US" w:eastAsia="zh-CN" w:bidi="ar"/>
              </w:rPr>
              <w:t>20dB</w:t>
            </w:r>
            <w:r>
              <w:rPr>
                <w:rFonts w:hint="eastAsia" w:ascii="宋体" w:hAnsi="宋体" w:eastAsia="宋体" w:cs="宋体"/>
                <w:color w:val="000000"/>
                <w:kern w:val="0"/>
                <w:sz w:val="24"/>
                <w:szCs w:val="24"/>
                <w:lang w:val="en-US" w:eastAsia="zh-CN" w:bidi="ar"/>
              </w:rPr>
              <w:t>，在双绕射情况下衰减最大取值</w:t>
            </w:r>
            <w:r>
              <w:rPr>
                <w:rFonts w:hint="default" w:ascii="Times New Roman" w:hAnsi="Times New Roman" w:eastAsia="宋体" w:cs="Times New Roman"/>
                <w:color w:val="000000"/>
                <w:kern w:val="0"/>
                <w:sz w:val="24"/>
                <w:szCs w:val="24"/>
                <w:lang w:val="en-US" w:eastAsia="zh-CN" w:bidi="ar"/>
              </w:rPr>
              <w:t>25dB</w:t>
            </w:r>
            <w:r>
              <w:rPr>
                <w:rFonts w:hint="eastAsia" w:ascii="宋体" w:hAnsi="宋体" w:eastAsia="宋体" w:cs="宋体"/>
                <w:color w:val="000000"/>
                <w:kern w:val="0"/>
                <w:sz w:val="24"/>
                <w:szCs w:val="24"/>
                <w:lang w:val="en-US" w:eastAsia="zh-CN" w:bidi="ar"/>
              </w:rPr>
              <w:t>。</w:t>
            </w:r>
          </w:p>
          <w:p w14:paraId="400432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00"/>
                <w:kern w:val="0"/>
                <w:sz w:val="24"/>
                <w:szCs w:val="24"/>
                <w:lang w:val="en-US" w:eastAsia="zh-CN" w:bidi="ar"/>
              </w:rPr>
              <w:t>14</w:t>
            </w:r>
            <w:r>
              <w:rPr>
                <w:rFonts w:hint="eastAsia" w:ascii="宋体" w:hAnsi="宋体" w:eastAsia="宋体" w:cs="宋体"/>
                <w:color w:val="000000"/>
                <w:kern w:val="0"/>
                <w:sz w:val="24"/>
                <w:szCs w:val="24"/>
                <w:lang w:val="en-US" w:eastAsia="zh-CN" w:bidi="ar"/>
              </w:rPr>
              <w:t>）固定点声源屏障声绕射衰减</w:t>
            </w:r>
            <w:r>
              <w:rPr>
                <w:rFonts w:hint="default" w:ascii="Times New Roman" w:hAnsi="Times New Roman" w:eastAsia="宋体" w:cs="Times New Roman"/>
                <w:color w:val="000000"/>
                <w:kern w:val="0"/>
                <w:sz w:val="24"/>
                <w:szCs w:val="24"/>
                <w:lang w:val="en-US" w:eastAsia="zh-CN" w:bidi="ar"/>
              </w:rPr>
              <w:t>Cf,b,i</w:t>
            </w:r>
          </w:p>
          <w:p w14:paraId="737029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当屏障很长时，固定点声源屏障绕射衰减</w:t>
            </w:r>
            <w:r>
              <w:rPr>
                <w:rFonts w:hint="default" w:ascii="Times New Roman" w:hAnsi="Times New Roman" w:eastAsia="宋体" w:cs="Times New Roman"/>
                <w:color w:val="000000"/>
                <w:kern w:val="0"/>
                <w:sz w:val="24"/>
                <w:szCs w:val="24"/>
                <w:lang w:val="en-US" w:eastAsia="zh-CN" w:bidi="ar"/>
              </w:rPr>
              <w:t>Cf,b,i</w:t>
            </w:r>
            <w:r>
              <w:rPr>
                <w:rFonts w:hint="eastAsia" w:ascii="宋体" w:hAnsi="宋体" w:eastAsia="宋体" w:cs="宋体"/>
                <w:color w:val="000000"/>
                <w:kern w:val="0"/>
                <w:sz w:val="24"/>
                <w:szCs w:val="24"/>
                <w:lang w:val="en-US" w:eastAsia="zh-CN" w:bidi="ar"/>
              </w:rPr>
              <w:t>按下式计算。</w:t>
            </w:r>
          </w:p>
          <w:p w14:paraId="7D82C48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000000"/>
                <w:kern w:val="0"/>
                <w:sz w:val="24"/>
                <w:szCs w:val="24"/>
                <w:lang w:val="en-US" w:eastAsia="zh-CN" w:bidi="ar"/>
              </w:rPr>
            </w:pPr>
            <w:r>
              <w:drawing>
                <wp:inline distT="0" distB="0" distL="114300" distR="114300">
                  <wp:extent cx="2034540" cy="582930"/>
                  <wp:effectExtent l="0" t="0" r="3810" b="762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41"/>
                          <a:stretch>
                            <a:fillRect/>
                          </a:stretch>
                        </pic:blipFill>
                        <pic:spPr>
                          <a:xfrm>
                            <a:off x="0" y="0"/>
                            <a:ext cx="2034540" cy="582930"/>
                          </a:xfrm>
                          <a:prstGeom prst="rect">
                            <a:avLst/>
                          </a:prstGeom>
                          <a:noFill/>
                          <a:ln>
                            <a:noFill/>
                          </a:ln>
                        </pic:spPr>
                      </pic:pic>
                    </a:graphicData>
                  </a:graphic>
                </wp:inline>
              </w:drawing>
            </w:r>
          </w:p>
          <w:p w14:paraId="749AD3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式中，N=2δ/λ，其中λ为声波波长，δ为声程差。</w:t>
            </w:r>
          </w:p>
          <w:p w14:paraId="453331E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、预测参数</w:t>
            </w:r>
          </w:p>
          <w:p w14:paraId="16EDF4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）预测年度</w:t>
            </w:r>
          </w:p>
          <w:p w14:paraId="27A2E1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rPr>
            </w:pPr>
            <w:r>
              <w:rPr>
                <w:rFonts w:hint="eastAsia" w:ascii="宋体" w:hAnsi="宋体" w:eastAsia="宋体" w:cs="宋体"/>
                <w:color w:val="000000"/>
                <w:kern w:val="0"/>
                <w:sz w:val="24"/>
                <w:szCs w:val="24"/>
                <w:lang w:val="en-US" w:eastAsia="zh-CN" w:bidi="ar"/>
              </w:rPr>
              <w:t>近期：</w:t>
            </w:r>
            <w:r>
              <w:rPr>
                <w:rFonts w:hint="default" w:ascii="Times New Roman" w:hAnsi="Times New Roman" w:eastAsia="宋体" w:cs="Times New Roman"/>
                <w:color w:val="000000"/>
                <w:kern w:val="0"/>
                <w:sz w:val="24"/>
                <w:szCs w:val="24"/>
                <w:lang w:val="en-US" w:eastAsia="zh-CN" w:bidi="ar"/>
              </w:rPr>
              <w:t>2035</w:t>
            </w:r>
            <w:r>
              <w:rPr>
                <w:rFonts w:hint="eastAsia" w:ascii="宋体" w:hAnsi="宋体" w:eastAsia="宋体" w:cs="宋体"/>
                <w:color w:val="000000"/>
                <w:kern w:val="0"/>
                <w:sz w:val="24"/>
                <w:szCs w:val="24"/>
                <w:lang w:val="en-US" w:eastAsia="zh-CN" w:bidi="ar"/>
              </w:rPr>
              <w:t>年；远期：</w:t>
            </w:r>
            <w:r>
              <w:rPr>
                <w:rFonts w:hint="default" w:ascii="Times New Roman" w:hAnsi="Times New Roman" w:eastAsia="宋体" w:cs="Times New Roman"/>
                <w:color w:val="000000"/>
                <w:kern w:val="0"/>
                <w:sz w:val="24"/>
                <w:szCs w:val="24"/>
                <w:lang w:val="en-US" w:eastAsia="zh-CN" w:bidi="ar"/>
              </w:rPr>
              <w:t>20</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年</w:t>
            </w:r>
            <w:r>
              <w:rPr>
                <w:rFonts w:hint="eastAsia" w:ascii="宋体" w:hAnsi="宋体" w:cs="宋体"/>
                <w:color w:val="000000"/>
                <w:kern w:val="0"/>
                <w:sz w:val="24"/>
                <w:szCs w:val="24"/>
                <w:lang w:val="en-US" w:eastAsia="zh-CN" w:bidi="ar"/>
              </w:rPr>
              <w:t>，近期和远期运输铁路运输量一样，因此，预测时不分开预测。</w:t>
            </w:r>
          </w:p>
          <w:p w14:paraId="0E1ED6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）牵引种类</w:t>
            </w:r>
          </w:p>
          <w:p w14:paraId="4A3DCE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燃油牵引机车，机车类型为内燃。</w:t>
            </w:r>
          </w:p>
          <w:p w14:paraId="6FCBC1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）列车长度及轴重</w:t>
            </w:r>
          </w:p>
          <w:p w14:paraId="6F63BD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货车：</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辆编组，车长约</w:t>
            </w:r>
            <w:r>
              <w:rPr>
                <w:rFonts w:hint="default" w:ascii="Times New Roman" w:hAnsi="Times New Roman" w:eastAsia="宋体" w:cs="Times New Roman"/>
                <w:color w:val="000000"/>
                <w:kern w:val="0"/>
                <w:sz w:val="24"/>
                <w:szCs w:val="24"/>
                <w:lang w:val="en-US" w:eastAsia="zh-CN" w:bidi="ar"/>
              </w:rPr>
              <w:t>750m</w:t>
            </w:r>
            <w:r>
              <w:rPr>
                <w:rFonts w:hint="eastAsia" w:ascii="宋体" w:hAnsi="宋体" w:eastAsia="宋体" w:cs="宋体"/>
                <w:color w:val="000000"/>
                <w:kern w:val="0"/>
                <w:sz w:val="24"/>
                <w:szCs w:val="24"/>
                <w:lang w:val="en-US" w:eastAsia="zh-CN" w:bidi="ar"/>
              </w:rPr>
              <w:t>，轴重</w:t>
            </w:r>
            <w:r>
              <w:rPr>
                <w:rFonts w:hint="default" w:ascii="Times New Roman" w:hAnsi="Times New Roman" w:eastAsia="宋体" w:cs="Times New Roman"/>
                <w:color w:val="000000"/>
                <w:kern w:val="0"/>
                <w:sz w:val="24"/>
                <w:szCs w:val="24"/>
                <w:lang w:val="en-US" w:eastAsia="zh-CN" w:bidi="ar"/>
              </w:rPr>
              <w:t>25t</w:t>
            </w:r>
            <w:r>
              <w:rPr>
                <w:rFonts w:hint="eastAsia" w:ascii="宋体" w:hAnsi="宋体" w:eastAsia="宋体" w:cs="宋体"/>
                <w:color w:val="000000"/>
                <w:kern w:val="0"/>
                <w:sz w:val="24"/>
                <w:szCs w:val="24"/>
                <w:lang w:val="en-US" w:eastAsia="zh-CN" w:bidi="ar"/>
              </w:rPr>
              <w:t>。</w:t>
            </w:r>
          </w:p>
          <w:p w14:paraId="626A53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（4）轨道、道床条件</w:t>
            </w:r>
          </w:p>
          <w:p w14:paraId="531128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轨道采用中型轨道，按有砟轨道设计，采用50kg/m、25m长标准钢轨，有缝线路，扣件采用弹条I型扣件，轨枕采用新Ⅱ型有挡肩混凝土枕。</w:t>
            </w:r>
          </w:p>
          <w:p w14:paraId="7F60CC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（5）列车运行速度</w:t>
            </w:r>
          </w:p>
          <w:p w14:paraId="21E170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货车设计速度40km/h。</w:t>
            </w:r>
          </w:p>
          <w:p w14:paraId="4C27C8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（6）列车对数及昼夜分布</w:t>
            </w:r>
          </w:p>
          <w:p w14:paraId="46705D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该项目预测年度货车对数见</w:t>
            </w:r>
            <w:r>
              <w:rPr>
                <w:rFonts w:hint="eastAsia" w:ascii="Times New Roman" w:hAnsi="Times New Roman"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r>
              <w:rPr>
                <w:rFonts w:hint="eastAsia" w:ascii="Times New Roman" w:hAnsi="Times New Roman" w:cs="Times New Roman"/>
                <w:color w:val="000000"/>
                <w:kern w:val="0"/>
                <w:sz w:val="24"/>
                <w:szCs w:val="24"/>
                <w:lang w:val="en-US" w:eastAsia="zh-CN" w:bidi="ar"/>
              </w:rPr>
              <w:t>：</w:t>
            </w:r>
          </w:p>
          <w:p w14:paraId="73367B7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lang w:val="en-US" w:eastAsia="zh-CN"/>
              </w:rPr>
            </w:pPr>
            <w:r>
              <w:rPr>
                <w:rFonts w:hint="eastAsia" w:ascii="黑体" w:hAnsi="黑体" w:eastAsia="黑体" w:cs="黑体"/>
                <w:b w:val="0"/>
                <w:bCs w:val="0"/>
                <w:lang w:val="en-US" w:eastAsia="zh-CN"/>
              </w:rPr>
              <w:t>表4-11项目预测年度货车对数表     单位：对/日</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5253"/>
            </w:tblGrid>
            <w:tr w14:paraId="78C44F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tcBorders>
                    <w:tl2br w:val="nil"/>
                    <w:tr2bl w:val="nil"/>
                  </w:tcBorders>
                  <w:vAlign w:val="center"/>
                </w:tcPr>
                <w:p w14:paraId="0B9DC6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名称</w:t>
                  </w:r>
                </w:p>
              </w:tc>
              <w:tc>
                <w:tcPr>
                  <w:tcW w:w="5253" w:type="dxa"/>
                  <w:tcBorders>
                    <w:tl2br w:val="nil"/>
                    <w:tr2bl w:val="nil"/>
                  </w:tcBorders>
                  <w:vAlign w:val="center"/>
                </w:tcPr>
                <w:p w14:paraId="329C50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近期</w:t>
                  </w:r>
                  <w:r>
                    <w:rPr>
                      <w:rFonts w:hint="eastAsia" w:cs="Times New Roman"/>
                      <w:b w:val="0"/>
                      <w:bCs w:val="0"/>
                      <w:sz w:val="18"/>
                      <w:szCs w:val="18"/>
                      <w:vertAlign w:val="baseline"/>
                      <w:lang w:val="en-US" w:eastAsia="zh-CN"/>
                    </w:rPr>
                    <w:t>/</w:t>
                  </w:r>
                  <w:r>
                    <w:rPr>
                      <w:rFonts w:hint="eastAsia" w:ascii="Times New Roman" w:hAnsi="Times New Roman" w:eastAsia="宋体" w:cs="Times New Roman"/>
                      <w:b w:val="0"/>
                      <w:bCs w:val="0"/>
                      <w:sz w:val="18"/>
                      <w:szCs w:val="18"/>
                      <w:vertAlign w:val="baseline"/>
                      <w:lang w:val="en-US" w:eastAsia="zh-CN"/>
                    </w:rPr>
                    <w:t>远期</w:t>
                  </w:r>
                </w:p>
              </w:tc>
            </w:tr>
            <w:tr w14:paraId="63131C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tcBorders>
                    <w:tl2br w:val="nil"/>
                    <w:tr2bl w:val="nil"/>
                  </w:tcBorders>
                  <w:vAlign w:val="center"/>
                </w:tcPr>
                <w:p w14:paraId="321A79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铁路专用线</w:t>
                  </w:r>
                </w:p>
              </w:tc>
              <w:tc>
                <w:tcPr>
                  <w:tcW w:w="5253" w:type="dxa"/>
                  <w:tcBorders>
                    <w:tl2br w:val="nil"/>
                    <w:tr2bl w:val="nil"/>
                  </w:tcBorders>
                  <w:vAlign w:val="center"/>
                </w:tcPr>
                <w:p w14:paraId="26E89D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2</w:t>
                  </w:r>
                  <w:r>
                    <w:rPr>
                      <w:rFonts w:hint="eastAsia" w:ascii="Times New Roman" w:hAnsi="Times New Roman" w:eastAsia="宋体" w:cs="Times New Roman"/>
                      <w:b w:val="0"/>
                      <w:bCs w:val="0"/>
                      <w:sz w:val="18"/>
                      <w:szCs w:val="18"/>
                      <w:vertAlign w:val="baseline"/>
                      <w:lang w:val="en-US" w:eastAsia="zh-CN"/>
                    </w:rPr>
                    <w:t>4</w:t>
                  </w:r>
                </w:p>
              </w:tc>
            </w:tr>
          </w:tbl>
          <w:p w14:paraId="1FA97A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00"/>
                <w:kern w:val="0"/>
                <w:sz w:val="24"/>
                <w:szCs w:val="24"/>
                <w:lang w:val="en-US" w:eastAsia="zh-CN" w:bidi="ar"/>
              </w:rPr>
              <w:t>该项目昼夜间车流分别占全日的80%和20%。</w:t>
            </w:r>
          </w:p>
          <w:p w14:paraId="6B38C8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、噪声预测结果</w:t>
            </w:r>
          </w:p>
          <w:p w14:paraId="1B1259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本项目专用线货车对数相对不大，基本同一时间内到发线</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货物线为单独运行，因此本环评仅预测最不利情况，即近期预测</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条到发线</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条货物线同时运行的情况，远期预测</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条到发线</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条货物线同时运行的情况，预测情境见下表。</w:t>
            </w:r>
          </w:p>
          <w:p w14:paraId="724218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）厂界及铁路边界噪声预测评价</w:t>
            </w:r>
          </w:p>
          <w:p w14:paraId="5311F3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本项目厂界和铁路边界的近、远期环境噪声预测结果见</w:t>
            </w:r>
            <w:r>
              <w:rPr>
                <w:rFonts w:hint="eastAsia" w:cs="Times New Roman"/>
                <w:color w:val="000000"/>
                <w:kern w:val="0"/>
                <w:sz w:val="24"/>
                <w:szCs w:val="24"/>
                <w:lang w:val="en-US" w:eastAsia="zh-CN" w:bidi="ar"/>
              </w:rPr>
              <w:t>下</w:t>
            </w:r>
            <w:r>
              <w:rPr>
                <w:rFonts w:hint="eastAsia" w:ascii="Times New Roman" w:hAnsi="Times New Roman" w:eastAsia="宋体" w:cs="Times New Roman"/>
                <w:color w:val="000000"/>
                <w:kern w:val="0"/>
                <w:sz w:val="24"/>
                <w:szCs w:val="24"/>
                <w:lang w:val="en-US" w:eastAsia="zh-CN" w:bidi="ar"/>
              </w:rPr>
              <w:t>表</w:t>
            </w:r>
            <w:r>
              <w:rPr>
                <w:rFonts w:hint="eastAsia" w:cs="Times New Roman"/>
                <w:color w:val="000000"/>
                <w:kern w:val="0"/>
                <w:sz w:val="24"/>
                <w:szCs w:val="24"/>
                <w:lang w:val="en-US" w:eastAsia="zh-CN" w:bidi="ar"/>
              </w:rPr>
              <w:t>：</w:t>
            </w:r>
          </w:p>
          <w:p w14:paraId="0D3C599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表4-12  项目厂界声环境预测结果表</w:t>
            </w:r>
          </w:p>
          <w:tbl>
            <w:tblPr>
              <w:tblStyle w:val="23"/>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694"/>
              <w:gridCol w:w="1479"/>
              <w:gridCol w:w="1482"/>
              <w:gridCol w:w="1567"/>
              <w:gridCol w:w="1473"/>
            </w:tblGrid>
            <w:tr w14:paraId="31EC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pct"/>
                  <w:gridSpan w:val="2"/>
                  <w:tcBorders>
                    <w:left w:val="nil"/>
                  </w:tcBorders>
                  <w:vAlign w:val="center"/>
                </w:tcPr>
                <w:p w14:paraId="312C29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序号</w:t>
                  </w:r>
                </w:p>
              </w:tc>
              <w:tc>
                <w:tcPr>
                  <w:tcW w:w="953" w:type="pct"/>
                  <w:vAlign w:val="center"/>
                </w:tcPr>
                <w:p w14:paraId="664A91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1</w:t>
                  </w:r>
                </w:p>
              </w:tc>
              <w:tc>
                <w:tcPr>
                  <w:tcW w:w="955" w:type="pct"/>
                  <w:vAlign w:val="center"/>
                </w:tcPr>
                <w:p w14:paraId="65B5FA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2</w:t>
                  </w:r>
                </w:p>
              </w:tc>
              <w:tc>
                <w:tcPr>
                  <w:tcW w:w="1010" w:type="pct"/>
                  <w:tcBorders>
                    <w:right w:val="nil"/>
                  </w:tcBorders>
                  <w:vAlign w:val="center"/>
                </w:tcPr>
                <w:p w14:paraId="1E1850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3</w:t>
                  </w:r>
                </w:p>
              </w:tc>
              <w:tc>
                <w:tcPr>
                  <w:tcW w:w="949" w:type="pct"/>
                  <w:tcBorders>
                    <w:right w:val="nil"/>
                  </w:tcBorders>
                  <w:vAlign w:val="center"/>
                </w:tcPr>
                <w:p w14:paraId="1BDA53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w:t>
                  </w:r>
                </w:p>
              </w:tc>
            </w:tr>
            <w:tr w14:paraId="2653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pct"/>
                  <w:gridSpan w:val="2"/>
                  <w:tcBorders>
                    <w:left w:val="nil"/>
                  </w:tcBorders>
                  <w:vAlign w:val="center"/>
                </w:tcPr>
                <w:p w14:paraId="37FF46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预测点位置</w:t>
                  </w:r>
                </w:p>
              </w:tc>
              <w:tc>
                <w:tcPr>
                  <w:tcW w:w="953" w:type="pct"/>
                  <w:vAlign w:val="center"/>
                </w:tcPr>
                <w:p w14:paraId="3768E934">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铁路专用线西侧外轨中心线外30m</w:t>
                  </w:r>
                </w:p>
              </w:tc>
              <w:tc>
                <w:tcPr>
                  <w:tcW w:w="955" w:type="pct"/>
                  <w:vAlign w:val="center"/>
                </w:tcPr>
                <w:p w14:paraId="25DA5A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铁路专用线东侧外轨中心线外30m</w:t>
                  </w:r>
                </w:p>
              </w:tc>
              <w:tc>
                <w:tcPr>
                  <w:tcW w:w="1010" w:type="pct"/>
                  <w:tcBorders>
                    <w:right w:val="nil"/>
                  </w:tcBorders>
                  <w:vAlign w:val="center"/>
                </w:tcPr>
                <w:p w14:paraId="30B01A2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铁路专用线北侧</w:t>
                  </w:r>
                  <w:r>
                    <w:rPr>
                      <w:rFonts w:hint="eastAsia" w:cs="Times New Roman"/>
                      <w:b w:val="0"/>
                      <w:bCs w:val="0"/>
                      <w:sz w:val="18"/>
                      <w:szCs w:val="18"/>
                      <w:vertAlign w:val="baseline"/>
                      <w:lang w:val="en-US" w:eastAsia="zh-CN"/>
                    </w:rPr>
                    <w:t>外轨中心线外30m</w:t>
                  </w:r>
                </w:p>
              </w:tc>
              <w:tc>
                <w:tcPr>
                  <w:tcW w:w="949" w:type="pct"/>
                  <w:tcBorders>
                    <w:right w:val="nil"/>
                  </w:tcBorders>
                  <w:vAlign w:val="center"/>
                </w:tcPr>
                <w:p w14:paraId="61DBF37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铁路专用线南侧</w:t>
                  </w:r>
                  <w:r>
                    <w:rPr>
                      <w:rFonts w:hint="eastAsia" w:cs="Times New Roman"/>
                      <w:b w:val="0"/>
                      <w:bCs w:val="0"/>
                      <w:sz w:val="18"/>
                      <w:szCs w:val="18"/>
                      <w:vertAlign w:val="baseline"/>
                      <w:lang w:val="en-US" w:eastAsia="zh-CN"/>
                    </w:rPr>
                    <w:t>外轨中心线外30m</w:t>
                  </w:r>
                </w:p>
              </w:tc>
            </w:tr>
            <w:tr w14:paraId="71D7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pct"/>
                  <w:gridSpan w:val="2"/>
                  <w:tcBorders>
                    <w:left w:val="nil"/>
                  </w:tcBorders>
                  <w:vAlign w:val="center"/>
                </w:tcPr>
                <w:p w14:paraId="19045D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预测年度</w:t>
                  </w:r>
                </w:p>
              </w:tc>
              <w:tc>
                <w:tcPr>
                  <w:tcW w:w="953" w:type="pct"/>
                  <w:vAlign w:val="center"/>
                </w:tcPr>
                <w:p w14:paraId="02777F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近期/远期</w:t>
                  </w:r>
                </w:p>
              </w:tc>
              <w:tc>
                <w:tcPr>
                  <w:tcW w:w="955" w:type="pct"/>
                  <w:vAlign w:val="center"/>
                </w:tcPr>
                <w:p w14:paraId="6C1E4B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近期/远期</w:t>
                  </w:r>
                </w:p>
              </w:tc>
              <w:tc>
                <w:tcPr>
                  <w:tcW w:w="1010" w:type="pct"/>
                  <w:tcBorders>
                    <w:right w:val="nil"/>
                  </w:tcBorders>
                  <w:vAlign w:val="center"/>
                </w:tcPr>
                <w:p w14:paraId="2D5EFF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近期/远期</w:t>
                  </w:r>
                </w:p>
              </w:tc>
              <w:tc>
                <w:tcPr>
                  <w:tcW w:w="949" w:type="pct"/>
                  <w:tcBorders>
                    <w:right w:val="nil"/>
                  </w:tcBorders>
                  <w:vAlign w:val="center"/>
                </w:tcPr>
                <w:p w14:paraId="48F919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近期/远期</w:t>
                  </w:r>
                </w:p>
              </w:tc>
            </w:tr>
            <w:tr w14:paraId="03E3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83" w:type="pct"/>
                  <w:vMerge w:val="restart"/>
                  <w:tcBorders>
                    <w:left w:val="nil"/>
                  </w:tcBorders>
                  <w:vAlign w:val="center"/>
                </w:tcPr>
                <w:p w14:paraId="4772AD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本项目铁路噪声贡献值</w:t>
                  </w:r>
                </w:p>
              </w:tc>
              <w:tc>
                <w:tcPr>
                  <w:tcW w:w="446" w:type="pct"/>
                  <w:vAlign w:val="center"/>
                </w:tcPr>
                <w:p w14:paraId="350282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953" w:type="pct"/>
                  <w:vAlign w:val="center"/>
                </w:tcPr>
                <w:p w14:paraId="207865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44.58</w:t>
                  </w:r>
                </w:p>
              </w:tc>
              <w:tc>
                <w:tcPr>
                  <w:tcW w:w="955" w:type="pct"/>
                  <w:vAlign w:val="center"/>
                </w:tcPr>
                <w:p w14:paraId="2FF6FC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45.72</w:t>
                  </w:r>
                </w:p>
              </w:tc>
              <w:tc>
                <w:tcPr>
                  <w:tcW w:w="1010" w:type="pct"/>
                  <w:tcBorders>
                    <w:right w:val="nil"/>
                  </w:tcBorders>
                  <w:vAlign w:val="center"/>
                </w:tcPr>
                <w:p w14:paraId="237B6D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44.96</w:t>
                  </w:r>
                </w:p>
              </w:tc>
              <w:tc>
                <w:tcPr>
                  <w:tcW w:w="949" w:type="pct"/>
                  <w:tcBorders>
                    <w:right w:val="nil"/>
                  </w:tcBorders>
                  <w:vAlign w:val="center"/>
                </w:tcPr>
                <w:p w14:paraId="1EF8C4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43.75</w:t>
                  </w:r>
                </w:p>
              </w:tc>
            </w:tr>
            <w:tr w14:paraId="6AAD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vAlign w:val="center"/>
                </w:tcPr>
                <w:p w14:paraId="1F4C8C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446" w:type="pct"/>
                  <w:vAlign w:val="center"/>
                </w:tcPr>
                <w:p w14:paraId="3DA0BC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953" w:type="pct"/>
                  <w:vAlign w:val="center"/>
                </w:tcPr>
                <w:p w14:paraId="7B210E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44.58</w:t>
                  </w:r>
                </w:p>
              </w:tc>
              <w:tc>
                <w:tcPr>
                  <w:tcW w:w="955" w:type="pct"/>
                  <w:vAlign w:val="center"/>
                </w:tcPr>
                <w:p w14:paraId="161171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45.72</w:t>
                  </w:r>
                </w:p>
              </w:tc>
              <w:tc>
                <w:tcPr>
                  <w:tcW w:w="1010" w:type="pct"/>
                  <w:tcBorders>
                    <w:right w:val="nil"/>
                  </w:tcBorders>
                  <w:vAlign w:val="center"/>
                </w:tcPr>
                <w:p w14:paraId="5C3628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44.96</w:t>
                  </w:r>
                </w:p>
              </w:tc>
              <w:tc>
                <w:tcPr>
                  <w:tcW w:w="949" w:type="pct"/>
                  <w:tcBorders>
                    <w:right w:val="nil"/>
                  </w:tcBorders>
                  <w:vAlign w:val="center"/>
                </w:tcPr>
                <w:p w14:paraId="2884C2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43.75</w:t>
                  </w:r>
                </w:p>
              </w:tc>
            </w:tr>
            <w:tr w14:paraId="383B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restart"/>
                  <w:tcBorders>
                    <w:left w:val="nil"/>
                  </w:tcBorders>
                  <w:vAlign w:val="center"/>
                </w:tcPr>
                <w:p w14:paraId="1362E8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环境噪声预测值</w:t>
                  </w:r>
                </w:p>
              </w:tc>
              <w:tc>
                <w:tcPr>
                  <w:tcW w:w="446" w:type="pct"/>
                  <w:vAlign w:val="center"/>
                </w:tcPr>
                <w:p w14:paraId="2C3496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953" w:type="pct"/>
                  <w:vAlign w:val="center"/>
                </w:tcPr>
                <w:p w14:paraId="5C0486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57.45</w:t>
                  </w:r>
                </w:p>
              </w:tc>
              <w:tc>
                <w:tcPr>
                  <w:tcW w:w="955" w:type="pct"/>
                  <w:vAlign w:val="center"/>
                </w:tcPr>
                <w:p w14:paraId="13E8CB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58.32</w:t>
                  </w:r>
                </w:p>
              </w:tc>
              <w:tc>
                <w:tcPr>
                  <w:tcW w:w="1010" w:type="pct"/>
                  <w:tcBorders>
                    <w:right w:val="nil"/>
                  </w:tcBorders>
                  <w:vAlign w:val="center"/>
                </w:tcPr>
                <w:p w14:paraId="578AEF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60.79</w:t>
                  </w:r>
                </w:p>
              </w:tc>
              <w:tc>
                <w:tcPr>
                  <w:tcW w:w="949" w:type="pct"/>
                  <w:tcBorders>
                    <w:right w:val="nil"/>
                  </w:tcBorders>
                  <w:vAlign w:val="center"/>
                </w:tcPr>
                <w:p w14:paraId="38CA56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58.65</w:t>
                  </w:r>
                </w:p>
              </w:tc>
            </w:tr>
            <w:tr w14:paraId="588F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vAlign w:val="center"/>
                </w:tcPr>
                <w:p w14:paraId="64BCE1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446" w:type="pct"/>
                  <w:vAlign w:val="center"/>
                </w:tcPr>
                <w:p w14:paraId="47F264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953" w:type="pct"/>
                  <w:vAlign w:val="center"/>
                </w:tcPr>
                <w:p w14:paraId="63AFF5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50.68</w:t>
                  </w:r>
                </w:p>
              </w:tc>
              <w:tc>
                <w:tcPr>
                  <w:tcW w:w="955" w:type="pct"/>
                  <w:vAlign w:val="center"/>
                </w:tcPr>
                <w:p w14:paraId="7D1778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53.48</w:t>
                  </w:r>
                </w:p>
              </w:tc>
              <w:tc>
                <w:tcPr>
                  <w:tcW w:w="1010" w:type="pct"/>
                  <w:tcBorders>
                    <w:right w:val="nil"/>
                  </w:tcBorders>
                  <w:vAlign w:val="center"/>
                </w:tcPr>
                <w:p w14:paraId="1528E9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51.57</w:t>
                  </w:r>
                </w:p>
              </w:tc>
              <w:tc>
                <w:tcPr>
                  <w:tcW w:w="949" w:type="pct"/>
                  <w:tcBorders>
                    <w:right w:val="nil"/>
                  </w:tcBorders>
                  <w:vAlign w:val="center"/>
                </w:tcPr>
                <w:p w14:paraId="217259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49.43</w:t>
                  </w:r>
                </w:p>
              </w:tc>
            </w:tr>
            <w:tr w14:paraId="7FD6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restart"/>
                  <w:tcBorders>
                    <w:left w:val="nil"/>
                  </w:tcBorders>
                  <w:vAlign w:val="center"/>
                </w:tcPr>
                <w:p w14:paraId="4EF9E6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标准值</w:t>
                  </w:r>
                </w:p>
              </w:tc>
              <w:tc>
                <w:tcPr>
                  <w:tcW w:w="446" w:type="pct"/>
                  <w:vAlign w:val="center"/>
                </w:tcPr>
                <w:p w14:paraId="7E5DB1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953" w:type="pct"/>
                  <w:vAlign w:val="center"/>
                </w:tcPr>
                <w:p w14:paraId="282DC3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70</w:t>
                  </w:r>
                </w:p>
              </w:tc>
              <w:tc>
                <w:tcPr>
                  <w:tcW w:w="1482" w:type="dxa"/>
                  <w:vAlign w:val="center"/>
                </w:tcPr>
                <w:p w14:paraId="051502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70</w:t>
                  </w:r>
                </w:p>
              </w:tc>
              <w:tc>
                <w:tcPr>
                  <w:tcW w:w="1567" w:type="dxa"/>
                  <w:tcBorders>
                    <w:right w:val="nil"/>
                  </w:tcBorders>
                  <w:vAlign w:val="center"/>
                </w:tcPr>
                <w:p w14:paraId="56D450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70</w:t>
                  </w:r>
                </w:p>
              </w:tc>
              <w:tc>
                <w:tcPr>
                  <w:tcW w:w="1473" w:type="dxa"/>
                  <w:tcBorders>
                    <w:right w:val="nil"/>
                  </w:tcBorders>
                  <w:vAlign w:val="center"/>
                </w:tcPr>
                <w:p w14:paraId="11A2B7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70</w:t>
                  </w:r>
                </w:p>
              </w:tc>
            </w:tr>
            <w:tr w14:paraId="1573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vAlign w:val="center"/>
                </w:tcPr>
                <w:p w14:paraId="57BED9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446" w:type="pct"/>
                  <w:vAlign w:val="center"/>
                </w:tcPr>
                <w:p w14:paraId="6CDC27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953" w:type="pct"/>
                  <w:vAlign w:val="center"/>
                </w:tcPr>
                <w:p w14:paraId="2B38CC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c>
                <w:tcPr>
                  <w:tcW w:w="1482" w:type="dxa"/>
                  <w:vAlign w:val="center"/>
                </w:tcPr>
                <w:p w14:paraId="0FEF13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c>
                <w:tcPr>
                  <w:tcW w:w="1567" w:type="dxa"/>
                  <w:tcBorders>
                    <w:right w:val="nil"/>
                  </w:tcBorders>
                  <w:vAlign w:val="center"/>
                </w:tcPr>
                <w:p w14:paraId="4B3BA5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c>
                <w:tcPr>
                  <w:tcW w:w="1473" w:type="dxa"/>
                  <w:tcBorders>
                    <w:right w:val="nil"/>
                  </w:tcBorders>
                  <w:vAlign w:val="center"/>
                </w:tcPr>
                <w:p w14:paraId="31F70C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r>
            <w:tr w14:paraId="10B2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3" w:type="pct"/>
                  <w:vMerge w:val="restart"/>
                  <w:tcBorders>
                    <w:left w:val="nil"/>
                  </w:tcBorders>
                  <w:vAlign w:val="center"/>
                </w:tcPr>
                <w:p w14:paraId="2156C0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达标情况</w:t>
                  </w:r>
                </w:p>
              </w:tc>
              <w:tc>
                <w:tcPr>
                  <w:tcW w:w="446" w:type="pct"/>
                  <w:vAlign w:val="center"/>
                </w:tcPr>
                <w:p w14:paraId="4AED8C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953" w:type="pct"/>
                  <w:vAlign w:val="center"/>
                </w:tcPr>
                <w:p w14:paraId="6BFA76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c>
                <w:tcPr>
                  <w:tcW w:w="955" w:type="pct"/>
                  <w:vAlign w:val="center"/>
                </w:tcPr>
                <w:p w14:paraId="2ADE84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c>
                <w:tcPr>
                  <w:tcW w:w="1010" w:type="pct"/>
                  <w:tcBorders>
                    <w:right w:val="nil"/>
                  </w:tcBorders>
                  <w:vAlign w:val="center"/>
                </w:tcPr>
                <w:p w14:paraId="3A384C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c>
                <w:tcPr>
                  <w:tcW w:w="949" w:type="pct"/>
                  <w:tcBorders>
                    <w:right w:val="nil"/>
                  </w:tcBorders>
                  <w:vAlign w:val="center"/>
                </w:tcPr>
                <w:p w14:paraId="7FE210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r>
            <w:tr w14:paraId="2CCB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vAlign w:val="center"/>
                </w:tcPr>
                <w:p w14:paraId="7D37BC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446" w:type="pct"/>
                  <w:vAlign w:val="center"/>
                </w:tcPr>
                <w:p w14:paraId="45F988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953" w:type="pct"/>
                  <w:vAlign w:val="center"/>
                </w:tcPr>
                <w:p w14:paraId="0A44EF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c>
                <w:tcPr>
                  <w:tcW w:w="955" w:type="pct"/>
                  <w:vAlign w:val="center"/>
                </w:tcPr>
                <w:p w14:paraId="116025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c>
                <w:tcPr>
                  <w:tcW w:w="1010" w:type="pct"/>
                  <w:tcBorders>
                    <w:right w:val="nil"/>
                  </w:tcBorders>
                  <w:vAlign w:val="center"/>
                </w:tcPr>
                <w:p w14:paraId="3B871C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c>
                <w:tcPr>
                  <w:tcW w:w="949" w:type="pct"/>
                  <w:tcBorders>
                    <w:right w:val="nil"/>
                  </w:tcBorders>
                  <w:vAlign w:val="center"/>
                </w:tcPr>
                <w:p w14:paraId="35910B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w:t>
                  </w:r>
                </w:p>
              </w:tc>
            </w:tr>
          </w:tbl>
          <w:p w14:paraId="704DE7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w:t>
            </w:r>
            <w:r>
              <w:rPr>
                <w:rFonts w:hint="eastAsia" w:ascii="Times New Roman" w:hAnsi="Times New Roman" w:eastAsia="宋体" w:cs="Times New Roman"/>
                <w:color w:val="000000"/>
                <w:kern w:val="0"/>
                <w:sz w:val="24"/>
                <w:szCs w:val="24"/>
                <w:lang w:val="en-US" w:eastAsia="zh-CN" w:bidi="ar"/>
              </w:rPr>
              <w:t>上</w:t>
            </w:r>
            <w:r>
              <w:rPr>
                <w:rFonts w:hint="default" w:ascii="Times New Roman" w:hAnsi="Times New Roman" w:eastAsia="宋体" w:cs="Times New Roman"/>
                <w:color w:val="000000"/>
                <w:kern w:val="0"/>
                <w:sz w:val="24"/>
                <w:szCs w:val="24"/>
                <w:lang w:val="en-US" w:eastAsia="zh-CN" w:bidi="ar"/>
              </w:rPr>
              <w:t>表，该项目建成运营后，厂界</w:t>
            </w:r>
            <w:r>
              <w:rPr>
                <w:rFonts w:hint="eastAsia" w:cs="Times New Roman"/>
                <w:color w:val="000000"/>
                <w:kern w:val="0"/>
                <w:sz w:val="24"/>
                <w:szCs w:val="24"/>
                <w:lang w:val="en-US" w:eastAsia="zh-CN" w:bidi="ar"/>
              </w:rPr>
              <w:t>环境噪声预测值</w:t>
            </w:r>
            <w:r>
              <w:rPr>
                <w:rFonts w:hint="default" w:ascii="Times New Roman" w:hAnsi="Times New Roman" w:eastAsia="宋体" w:cs="Times New Roman"/>
                <w:color w:val="000000"/>
                <w:kern w:val="0"/>
                <w:sz w:val="24"/>
                <w:szCs w:val="24"/>
                <w:lang w:val="en-US" w:eastAsia="zh-CN" w:bidi="ar"/>
              </w:rPr>
              <w:t>均可达</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铁路边界噪声限值及其测量方法》</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GB12525-90</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标准</w:t>
            </w:r>
            <w:r>
              <w:rPr>
                <w:rFonts w:hint="eastAsia" w:cs="Times New Roman"/>
                <w:color w:val="000000"/>
                <w:kern w:val="0"/>
                <w:sz w:val="24"/>
                <w:szCs w:val="24"/>
                <w:lang w:val="en-US" w:eastAsia="zh-CN" w:bidi="ar"/>
              </w:rPr>
              <w:t>限值</w:t>
            </w:r>
            <w:r>
              <w:rPr>
                <w:rFonts w:hint="default" w:ascii="Times New Roman" w:hAnsi="Times New Roman" w:eastAsia="宋体" w:cs="Times New Roman"/>
                <w:color w:val="000000"/>
                <w:kern w:val="0"/>
                <w:sz w:val="24"/>
                <w:szCs w:val="24"/>
                <w:lang w:val="en-US" w:eastAsia="zh-CN" w:bidi="ar"/>
              </w:rPr>
              <w:t>要求。</w:t>
            </w:r>
          </w:p>
          <w:p w14:paraId="0E291B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（2）衰减预测</w:t>
            </w:r>
          </w:p>
          <w:p w14:paraId="63D543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本项目衰减断面的预测选择所有到发线和货物线上均有火车运行，即本项目满负荷运转时不同距离处的等效声级，预测结果详见</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p>
          <w:p w14:paraId="4D0DBAF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表4-13衰减断面预测结果  单位dB（A）</w:t>
            </w:r>
          </w:p>
          <w:tbl>
            <w:tblPr>
              <w:tblStyle w:val="23"/>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874"/>
              <w:gridCol w:w="874"/>
              <w:gridCol w:w="874"/>
              <w:gridCol w:w="874"/>
              <w:gridCol w:w="876"/>
              <w:gridCol w:w="876"/>
              <w:gridCol w:w="876"/>
              <w:gridCol w:w="876"/>
            </w:tblGrid>
            <w:tr w14:paraId="2387E1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restart"/>
                  <w:tcBorders>
                    <w:tl2br w:val="nil"/>
                    <w:tr2bl w:val="nil"/>
                  </w:tcBorders>
                  <w:vAlign w:val="center"/>
                </w:tcPr>
                <w:p w14:paraId="7F5453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年度</w:t>
                  </w:r>
                </w:p>
              </w:tc>
              <w:tc>
                <w:tcPr>
                  <w:tcW w:w="874" w:type="dxa"/>
                  <w:vMerge w:val="restart"/>
                  <w:tcBorders>
                    <w:tl2br w:val="nil"/>
                    <w:tr2bl w:val="nil"/>
                  </w:tcBorders>
                  <w:vAlign w:val="center"/>
                </w:tcPr>
                <w:p w14:paraId="28A24F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时段</w:t>
                  </w:r>
                </w:p>
              </w:tc>
              <w:tc>
                <w:tcPr>
                  <w:tcW w:w="6126" w:type="dxa"/>
                  <w:gridSpan w:val="7"/>
                  <w:tcBorders>
                    <w:tl2br w:val="nil"/>
                    <w:tr2bl w:val="nil"/>
                  </w:tcBorders>
                  <w:vAlign w:val="center"/>
                </w:tcPr>
                <w:p w14:paraId="2E44B5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噪声级</w:t>
                  </w:r>
                </w:p>
              </w:tc>
            </w:tr>
            <w:tr w14:paraId="711285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continue"/>
                  <w:tcBorders>
                    <w:tl2br w:val="nil"/>
                    <w:tr2bl w:val="nil"/>
                  </w:tcBorders>
                  <w:vAlign w:val="center"/>
                </w:tcPr>
                <w:p w14:paraId="763B5B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874" w:type="dxa"/>
                  <w:vMerge w:val="continue"/>
                  <w:tcBorders>
                    <w:tl2br w:val="nil"/>
                    <w:tr2bl w:val="nil"/>
                  </w:tcBorders>
                  <w:vAlign w:val="center"/>
                </w:tcPr>
                <w:p w14:paraId="05F698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874" w:type="dxa"/>
                  <w:tcBorders>
                    <w:tl2br w:val="nil"/>
                    <w:tr2bl w:val="nil"/>
                  </w:tcBorders>
                  <w:vAlign w:val="center"/>
                </w:tcPr>
                <w:p w14:paraId="4E81A7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30</w:t>
                  </w:r>
                </w:p>
              </w:tc>
              <w:tc>
                <w:tcPr>
                  <w:tcW w:w="874" w:type="dxa"/>
                  <w:tcBorders>
                    <w:tl2br w:val="nil"/>
                    <w:tr2bl w:val="nil"/>
                  </w:tcBorders>
                  <w:vAlign w:val="center"/>
                </w:tcPr>
                <w:p w14:paraId="011AB3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c>
                <w:tcPr>
                  <w:tcW w:w="874" w:type="dxa"/>
                  <w:tcBorders>
                    <w:tl2br w:val="nil"/>
                    <w:tr2bl w:val="nil"/>
                  </w:tcBorders>
                  <w:vAlign w:val="center"/>
                </w:tcPr>
                <w:p w14:paraId="29C705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90</w:t>
                  </w:r>
                </w:p>
              </w:tc>
              <w:tc>
                <w:tcPr>
                  <w:tcW w:w="876" w:type="dxa"/>
                  <w:tcBorders>
                    <w:tl2br w:val="nil"/>
                    <w:tr2bl w:val="nil"/>
                  </w:tcBorders>
                  <w:vAlign w:val="center"/>
                </w:tcPr>
                <w:p w14:paraId="7A6FF5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120</w:t>
                  </w:r>
                </w:p>
              </w:tc>
              <w:tc>
                <w:tcPr>
                  <w:tcW w:w="876" w:type="dxa"/>
                  <w:tcBorders>
                    <w:tl2br w:val="nil"/>
                    <w:tr2bl w:val="nil"/>
                  </w:tcBorders>
                  <w:vAlign w:val="center"/>
                </w:tcPr>
                <w:p w14:paraId="085398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150</w:t>
                  </w:r>
                </w:p>
              </w:tc>
              <w:tc>
                <w:tcPr>
                  <w:tcW w:w="876" w:type="dxa"/>
                  <w:tcBorders>
                    <w:tl2br w:val="nil"/>
                    <w:tr2bl w:val="nil"/>
                  </w:tcBorders>
                  <w:vAlign w:val="center"/>
                </w:tcPr>
                <w:p w14:paraId="6DD549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180</w:t>
                  </w:r>
                </w:p>
              </w:tc>
              <w:tc>
                <w:tcPr>
                  <w:tcW w:w="876" w:type="dxa"/>
                  <w:tcBorders>
                    <w:tl2br w:val="nil"/>
                    <w:tr2bl w:val="nil"/>
                  </w:tcBorders>
                  <w:vAlign w:val="center"/>
                </w:tcPr>
                <w:p w14:paraId="2F2934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200</w:t>
                  </w:r>
                </w:p>
              </w:tc>
            </w:tr>
            <w:tr w14:paraId="6133E8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restart"/>
                  <w:tcBorders>
                    <w:tl2br w:val="nil"/>
                    <w:tr2bl w:val="nil"/>
                  </w:tcBorders>
                  <w:vAlign w:val="center"/>
                </w:tcPr>
                <w:p w14:paraId="27009F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近期</w:t>
                  </w:r>
                </w:p>
              </w:tc>
              <w:tc>
                <w:tcPr>
                  <w:tcW w:w="874" w:type="dxa"/>
                  <w:tcBorders>
                    <w:tl2br w:val="nil"/>
                    <w:tr2bl w:val="nil"/>
                  </w:tcBorders>
                  <w:vAlign w:val="center"/>
                </w:tcPr>
                <w:p w14:paraId="651E18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874" w:type="dxa"/>
                  <w:tcBorders>
                    <w:tl2br w:val="nil"/>
                    <w:tr2bl w:val="nil"/>
                  </w:tcBorders>
                  <w:vAlign w:val="center"/>
                </w:tcPr>
                <w:p w14:paraId="20AE73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53.46</w:t>
                  </w:r>
                </w:p>
              </w:tc>
              <w:tc>
                <w:tcPr>
                  <w:tcW w:w="874" w:type="dxa"/>
                  <w:tcBorders>
                    <w:tl2br w:val="nil"/>
                    <w:tr2bl w:val="nil"/>
                  </w:tcBorders>
                  <w:vAlign w:val="center"/>
                </w:tcPr>
                <w:p w14:paraId="4545AF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49.58</w:t>
                  </w:r>
                </w:p>
              </w:tc>
              <w:tc>
                <w:tcPr>
                  <w:tcW w:w="874" w:type="dxa"/>
                  <w:tcBorders>
                    <w:tl2br w:val="nil"/>
                    <w:tr2bl w:val="nil"/>
                  </w:tcBorders>
                  <w:vAlign w:val="center"/>
                </w:tcPr>
                <w:p w14:paraId="4D530D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47.25</w:t>
                  </w:r>
                </w:p>
              </w:tc>
              <w:tc>
                <w:tcPr>
                  <w:tcW w:w="876" w:type="dxa"/>
                  <w:tcBorders>
                    <w:tl2br w:val="nil"/>
                    <w:tr2bl w:val="nil"/>
                  </w:tcBorders>
                  <w:vAlign w:val="center"/>
                </w:tcPr>
                <w:p w14:paraId="6C96D4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46.73</w:t>
                  </w:r>
                </w:p>
              </w:tc>
              <w:tc>
                <w:tcPr>
                  <w:tcW w:w="876" w:type="dxa"/>
                  <w:tcBorders>
                    <w:tl2br w:val="nil"/>
                    <w:tr2bl w:val="nil"/>
                  </w:tcBorders>
                  <w:vAlign w:val="center"/>
                </w:tcPr>
                <w:p w14:paraId="6F0497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44.56</w:t>
                  </w:r>
                </w:p>
              </w:tc>
              <w:tc>
                <w:tcPr>
                  <w:tcW w:w="876" w:type="dxa"/>
                  <w:tcBorders>
                    <w:tl2br w:val="nil"/>
                    <w:tr2bl w:val="nil"/>
                  </w:tcBorders>
                  <w:vAlign w:val="center"/>
                </w:tcPr>
                <w:p w14:paraId="53AC60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43.83</w:t>
                  </w:r>
                </w:p>
              </w:tc>
              <w:tc>
                <w:tcPr>
                  <w:tcW w:w="876" w:type="dxa"/>
                  <w:tcBorders>
                    <w:tl2br w:val="nil"/>
                    <w:tr2bl w:val="nil"/>
                  </w:tcBorders>
                  <w:vAlign w:val="center"/>
                </w:tcPr>
                <w:p w14:paraId="175955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42.49</w:t>
                  </w:r>
                </w:p>
              </w:tc>
            </w:tr>
            <w:tr w14:paraId="1A34B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continue"/>
                  <w:tcBorders>
                    <w:tl2br w:val="nil"/>
                    <w:tr2bl w:val="nil"/>
                  </w:tcBorders>
                  <w:vAlign w:val="center"/>
                </w:tcPr>
                <w:p w14:paraId="3496EE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874" w:type="dxa"/>
                  <w:tcBorders>
                    <w:tl2br w:val="nil"/>
                    <w:tr2bl w:val="nil"/>
                  </w:tcBorders>
                  <w:vAlign w:val="center"/>
                </w:tcPr>
                <w:p w14:paraId="44B3B8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874" w:type="dxa"/>
                  <w:tcBorders>
                    <w:tl2br w:val="nil"/>
                    <w:tr2bl w:val="nil"/>
                  </w:tcBorders>
                  <w:vAlign w:val="center"/>
                </w:tcPr>
                <w:p w14:paraId="304CF5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53.46</w:t>
                  </w:r>
                </w:p>
              </w:tc>
              <w:tc>
                <w:tcPr>
                  <w:tcW w:w="874" w:type="dxa"/>
                  <w:tcBorders>
                    <w:tl2br w:val="nil"/>
                    <w:tr2bl w:val="nil"/>
                  </w:tcBorders>
                  <w:vAlign w:val="center"/>
                </w:tcPr>
                <w:p w14:paraId="035E01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49.58</w:t>
                  </w:r>
                </w:p>
              </w:tc>
              <w:tc>
                <w:tcPr>
                  <w:tcW w:w="874" w:type="dxa"/>
                  <w:tcBorders>
                    <w:tl2br w:val="nil"/>
                    <w:tr2bl w:val="nil"/>
                  </w:tcBorders>
                  <w:vAlign w:val="center"/>
                </w:tcPr>
                <w:p w14:paraId="4F2E1D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47.25</w:t>
                  </w:r>
                </w:p>
              </w:tc>
              <w:tc>
                <w:tcPr>
                  <w:tcW w:w="876" w:type="dxa"/>
                  <w:tcBorders>
                    <w:tl2br w:val="nil"/>
                    <w:tr2bl w:val="nil"/>
                  </w:tcBorders>
                  <w:vAlign w:val="center"/>
                </w:tcPr>
                <w:p w14:paraId="02A671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46.73</w:t>
                  </w:r>
                </w:p>
              </w:tc>
              <w:tc>
                <w:tcPr>
                  <w:tcW w:w="876" w:type="dxa"/>
                  <w:tcBorders>
                    <w:tl2br w:val="nil"/>
                    <w:tr2bl w:val="nil"/>
                  </w:tcBorders>
                  <w:vAlign w:val="center"/>
                </w:tcPr>
                <w:p w14:paraId="0F6327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44.56</w:t>
                  </w:r>
                </w:p>
              </w:tc>
              <w:tc>
                <w:tcPr>
                  <w:tcW w:w="876" w:type="dxa"/>
                  <w:tcBorders>
                    <w:tl2br w:val="nil"/>
                    <w:tr2bl w:val="nil"/>
                  </w:tcBorders>
                  <w:vAlign w:val="center"/>
                </w:tcPr>
                <w:p w14:paraId="03CBA7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43.83</w:t>
                  </w:r>
                </w:p>
              </w:tc>
              <w:tc>
                <w:tcPr>
                  <w:tcW w:w="876" w:type="dxa"/>
                  <w:tcBorders>
                    <w:tl2br w:val="nil"/>
                    <w:tr2bl w:val="nil"/>
                  </w:tcBorders>
                  <w:vAlign w:val="center"/>
                </w:tcPr>
                <w:p w14:paraId="4DDA5F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42.49</w:t>
                  </w:r>
                </w:p>
              </w:tc>
            </w:tr>
            <w:tr w14:paraId="4B44E6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74" w:type="dxa"/>
                  <w:vMerge w:val="restart"/>
                  <w:tcBorders>
                    <w:tl2br w:val="nil"/>
                    <w:tr2bl w:val="nil"/>
                  </w:tcBorders>
                  <w:vAlign w:val="center"/>
                </w:tcPr>
                <w:p w14:paraId="42E586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远期</w:t>
                  </w:r>
                </w:p>
              </w:tc>
              <w:tc>
                <w:tcPr>
                  <w:tcW w:w="874" w:type="dxa"/>
                  <w:tcBorders>
                    <w:tl2br w:val="nil"/>
                    <w:tr2bl w:val="nil"/>
                  </w:tcBorders>
                  <w:vAlign w:val="center"/>
                </w:tcPr>
                <w:p w14:paraId="1D4140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874" w:type="dxa"/>
                  <w:tcBorders>
                    <w:tl2br w:val="nil"/>
                    <w:tr2bl w:val="nil"/>
                  </w:tcBorders>
                  <w:vAlign w:val="center"/>
                </w:tcPr>
                <w:p w14:paraId="1B3061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58.45</w:t>
                  </w:r>
                </w:p>
              </w:tc>
              <w:tc>
                <w:tcPr>
                  <w:tcW w:w="874" w:type="dxa"/>
                  <w:tcBorders>
                    <w:tl2br w:val="nil"/>
                    <w:tr2bl w:val="nil"/>
                  </w:tcBorders>
                  <w:vAlign w:val="center"/>
                </w:tcPr>
                <w:p w14:paraId="1DABD8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55.36</w:t>
                  </w:r>
                </w:p>
              </w:tc>
              <w:tc>
                <w:tcPr>
                  <w:tcW w:w="874" w:type="dxa"/>
                  <w:tcBorders>
                    <w:tl2br w:val="nil"/>
                    <w:tr2bl w:val="nil"/>
                  </w:tcBorders>
                  <w:vAlign w:val="center"/>
                </w:tcPr>
                <w:p w14:paraId="30CFB1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53.48</w:t>
                  </w:r>
                </w:p>
              </w:tc>
              <w:tc>
                <w:tcPr>
                  <w:tcW w:w="876" w:type="dxa"/>
                  <w:tcBorders>
                    <w:tl2br w:val="nil"/>
                    <w:tr2bl w:val="nil"/>
                  </w:tcBorders>
                  <w:vAlign w:val="center"/>
                </w:tcPr>
                <w:p w14:paraId="4C48AC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51.87</w:t>
                  </w:r>
                </w:p>
              </w:tc>
              <w:tc>
                <w:tcPr>
                  <w:tcW w:w="876" w:type="dxa"/>
                  <w:tcBorders>
                    <w:tl2br w:val="nil"/>
                    <w:tr2bl w:val="nil"/>
                  </w:tcBorders>
                  <w:vAlign w:val="center"/>
                </w:tcPr>
                <w:p w14:paraId="3C2983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50.93</w:t>
                  </w:r>
                </w:p>
              </w:tc>
              <w:tc>
                <w:tcPr>
                  <w:tcW w:w="876" w:type="dxa"/>
                  <w:tcBorders>
                    <w:tl2br w:val="nil"/>
                    <w:tr2bl w:val="nil"/>
                  </w:tcBorders>
                  <w:vAlign w:val="center"/>
                </w:tcPr>
                <w:p w14:paraId="31931C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49.76</w:t>
                  </w:r>
                </w:p>
              </w:tc>
              <w:tc>
                <w:tcPr>
                  <w:tcW w:w="876" w:type="dxa"/>
                  <w:tcBorders>
                    <w:tl2br w:val="nil"/>
                    <w:tr2bl w:val="nil"/>
                  </w:tcBorders>
                  <w:vAlign w:val="center"/>
                </w:tcPr>
                <w:p w14:paraId="5EA55F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48.51</w:t>
                  </w:r>
                </w:p>
              </w:tc>
            </w:tr>
            <w:tr w14:paraId="71F2DD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continue"/>
                  <w:tcBorders>
                    <w:tl2br w:val="nil"/>
                    <w:tr2bl w:val="nil"/>
                  </w:tcBorders>
                  <w:vAlign w:val="center"/>
                </w:tcPr>
                <w:p w14:paraId="29354E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874" w:type="dxa"/>
                  <w:tcBorders>
                    <w:tl2br w:val="nil"/>
                    <w:tr2bl w:val="nil"/>
                  </w:tcBorders>
                  <w:vAlign w:val="center"/>
                </w:tcPr>
                <w:p w14:paraId="287338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874" w:type="dxa"/>
                  <w:tcBorders>
                    <w:tl2br w:val="nil"/>
                    <w:tr2bl w:val="nil"/>
                  </w:tcBorders>
                  <w:vAlign w:val="center"/>
                </w:tcPr>
                <w:p w14:paraId="3458B2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53.46</w:t>
                  </w:r>
                </w:p>
              </w:tc>
              <w:tc>
                <w:tcPr>
                  <w:tcW w:w="874" w:type="dxa"/>
                  <w:tcBorders>
                    <w:tl2br w:val="nil"/>
                    <w:tr2bl w:val="nil"/>
                  </w:tcBorders>
                  <w:vAlign w:val="center"/>
                </w:tcPr>
                <w:p w14:paraId="557B19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52.02</w:t>
                  </w:r>
                </w:p>
              </w:tc>
              <w:tc>
                <w:tcPr>
                  <w:tcW w:w="874" w:type="dxa"/>
                  <w:tcBorders>
                    <w:tl2br w:val="nil"/>
                    <w:tr2bl w:val="nil"/>
                  </w:tcBorders>
                  <w:vAlign w:val="center"/>
                </w:tcPr>
                <w:p w14:paraId="64022A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50.72</w:t>
                  </w:r>
                </w:p>
              </w:tc>
              <w:tc>
                <w:tcPr>
                  <w:tcW w:w="876" w:type="dxa"/>
                  <w:tcBorders>
                    <w:tl2br w:val="nil"/>
                    <w:tr2bl w:val="nil"/>
                  </w:tcBorders>
                  <w:vAlign w:val="center"/>
                </w:tcPr>
                <w:p w14:paraId="73B803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50.78</w:t>
                  </w:r>
                </w:p>
              </w:tc>
              <w:tc>
                <w:tcPr>
                  <w:tcW w:w="876" w:type="dxa"/>
                  <w:tcBorders>
                    <w:tl2br w:val="nil"/>
                    <w:tr2bl w:val="nil"/>
                  </w:tcBorders>
                  <w:vAlign w:val="center"/>
                </w:tcPr>
                <w:p w14:paraId="6AE358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47.95</w:t>
                  </w:r>
                </w:p>
              </w:tc>
              <w:tc>
                <w:tcPr>
                  <w:tcW w:w="876" w:type="dxa"/>
                  <w:tcBorders>
                    <w:tl2br w:val="nil"/>
                    <w:tr2bl w:val="nil"/>
                  </w:tcBorders>
                  <w:vAlign w:val="center"/>
                </w:tcPr>
                <w:p w14:paraId="612DE0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46.88</w:t>
                  </w:r>
                </w:p>
              </w:tc>
              <w:tc>
                <w:tcPr>
                  <w:tcW w:w="876" w:type="dxa"/>
                  <w:tcBorders>
                    <w:tl2br w:val="nil"/>
                    <w:tr2bl w:val="nil"/>
                  </w:tcBorders>
                  <w:vAlign w:val="center"/>
                </w:tcPr>
                <w:p w14:paraId="74AFD6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45.5</w:t>
                  </w:r>
                </w:p>
              </w:tc>
            </w:tr>
          </w:tbl>
          <w:p w14:paraId="06BF7C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注：</w:t>
            </w:r>
            <w:r>
              <w:rPr>
                <w:rFonts w:hint="default" w:cs="Times New Roman"/>
                <w:b w:val="0"/>
                <w:bCs w:val="0"/>
                <w:sz w:val="18"/>
                <w:szCs w:val="18"/>
                <w:vertAlign w:val="baseline"/>
                <w:lang w:val="en-US" w:eastAsia="zh-CN"/>
              </w:rPr>
              <w:t>1</w:t>
            </w:r>
            <w:r>
              <w:rPr>
                <w:rFonts w:hint="eastAsia" w:cs="Times New Roman"/>
                <w:b w:val="0"/>
                <w:bCs w:val="0"/>
                <w:sz w:val="18"/>
                <w:szCs w:val="18"/>
                <w:vertAlign w:val="baseline"/>
                <w:lang w:val="en-US" w:eastAsia="zh-CN"/>
              </w:rPr>
              <w:t>、预测环境条件为空旷地、无建筑物遮挡，列车运行速度根据该段设计速度考虑；</w:t>
            </w:r>
          </w:p>
          <w:p w14:paraId="45F579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b w:val="0"/>
                <w:bCs w:val="0"/>
                <w:sz w:val="18"/>
                <w:szCs w:val="18"/>
                <w:vertAlign w:val="baseline"/>
                <w:lang w:val="en-US" w:eastAsia="zh-CN"/>
              </w:rPr>
            </w:pPr>
            <w:r>
              <w:rPr>
                <w:rFonts w:hint="default" w:cs="Times New Roman"/>
                <w:b w:val="0"/>
                <w:bCs w:val="0"/>
                <w:sz w:val="18"/>
                <w:szCs w:val="18"/>
                <w:vertAlign w:val="baseline"/>
                <w:lang w:val="en-US" w:eastAsia="zh-CN"/>
              </w:rPr>
              <w:t>2</w:t>
            </w:r>
            <w:r>
              <w:rPr>
                <w:rFonts w:hint="eastAsia" w:cs="Times New Roman"/>
                <w:b w:val="0"/>
                <w:bCs w:val="0"/>
                <w:sz w:val="18"/>
                <w:szCs w:val="18"/>
                <w:vertAlign w:val="baseline"/>
                <w:lang w:val="en-US" w:eastAsia="zh-CN"/>
              </w:rPr>
              <w:t>、表中噪声等效声级仅考虑该项目铁路噪声。</w:t>
            </w:r>
          </w:p>
          <w:p w14:paraId="6E2FA4C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表4-14  该项目噪声贡献值达标距离一览表（与铁路外轨中心线距离）单位：m</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3"/>
              <w:gridCol w:w="1123"/>
              <w:gridCol w:w="1124"/>
              <w:gridCol w:w="1124"/>
              <w:gridCol w:w="1124"/>
              <w:gridCol w:w="1124"/>
            </w:tblGrid>
            <w:tr w14:paraId="70A9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2" w:type="dxa"/>
                  <w:vMerge w:val="restart"/>
                  <w:tcBorders>
                    <w:left w:val="nil"/>
                  </w:tcBorders>
                  <w:vAlign w:val="center"/>
                </w:tcPr>
                <w:p w14:paraId="2151B6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序号</w:t>
                  </w:r>
                </w:p>
              </w:tc>
              <w:tc>
                <w:tcPr>
                  <w:tcW w:w="1123" w:type="dxa"/>
                  <w:vMerge w:val="restart"/>
                  <w:vAlign w:val="center"/>
                </w:tcPr>
                <w:p w14:paraId="2E36FB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声环境区域类别</w:t>
                  </w:r>
                </w:p>
              </w:tc>
              <w:tc>
                <w:tcPr>
                  <w:tcW w:w="1123" w:type="dxa"/>
                  <w:vMerge w:val="restart"/>
                  <w:vAlign w:val="center"/>
                </w:tcPr>
                <w:p w14:paraId="63806D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预测年度</w:t>
                  </w:r>
                </w:p>
              </w:tc>
              <w:tc>
                <w:tcPr>
                  <w:tcW w:w="2248" w:type="dxa"/>
                  <w:gridSpan w:val="2"/>
                  <w:vAlign w:val="center"/>
                </w:tcPr>
                <w:p w14:paraId="625B6F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标准值dB（A）</w:t>
                  </w:r>
                </w:p>
              </w:tc>
              <w:tc>
                <w:tcPr>
                  <w:tcW w:w="2248" w:type="dxa"/>
                  <w:gridSpan w:val="2"/>
                  <w:tcBorders>
                    <w:right w:val="nil"/>
                  </w:tcBorders>
                  <w:vAlign w:val="center"/>
                </w:tcPr>
                <w:p w14:paraId="168648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达标距离m</w:t>
                  </w:r>
                </w:p>
              </w:tc>
            </w:tr>
            <w:tr w14:paraId="002C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vMerge w:val="continue"/>
                  <w:tcBorders>
                    <w:left w:val="nil"/>
                  </w:tcBorders>
                  <w:vAlign w:val="center"/>
                </w:tcPr>
                <w:p w14:paraId="7CF734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123" w:type="dxa"/>
                  <w:vMerge w:val="continue"/>
                  <w:vAlign w:val="center"/>
                </w:tcPr>
                <w:p w14:paraId="68BBF9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123" w:type="dxa"/>
                  <w:vMerge w:val="continue"/>
                  <w:vAlign w:val="center"/>
                </w:tcPr>
                <w:p w14:paraId="676445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124" w:type="dxa"/>
                  <w:vAlign w:val="center"/>
                </w:tcPr>
                <w:p w14:paraId="448E3C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1124" w:type="dxa"/>
                  <w:vAlign w:val="center"/>
                </w:tcPr>
                <w:p w14:paraId="689D20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c>
                <w:tcPr>
                  <w:tcW w:w="1124" w:type="dxa"/>
                  <w:vAlign w:val="center"/>
                </w:tcPr>
                <w:p w14:paraId="3C60C4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1124" w:type="dxa"/>
                  <w:tcBorders>
                    <w:right w:val="nil"/>
                  </w:tcBorders>
                  <w:vAlign w:val="center"/>
                </w:tcPr>
                <w:p w14:paraId="73B7E4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r>
            <w:tr w14:paraId="028C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Borders>
                    <w:left w:val="nil"/>
                  </w:tcBorders>
                  <w:vAlign w:val="center"/>
                </w:tcPr>
                <w:p w14:paraId="0B664F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1</w:t>
                  </w:r>
                </w:p>
              </w:tc>
              <w:tc>
                <w:tcPr>
                  <w:tcW w:w="1123" w:type="dxa"/>
                  <w:vMerge w:val="restart"/>
                  <w:vAlign w:val="center"/>
                </w:tcPr>
                <w:p w14:paraId="65C7E2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2类区</w:t>
                  </w:r>
                </w:p>
              </w:tc>
              <w:tc>
                <w:tcPr>
                  <w:tcW w:w="1123" w:type="dxa"/>
                  <w:vAlign w:val="center"/>
                </w:tcPr>
                <w:p w14:paraId="1EC10E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近期</w:t>
                  </w:r>
                </w:p>
              </w:tc>
              <w:tc>
                <w:tcPr>
                  <w:tcW w:w="1124" w:type="dxa"/>
                  <w:vMerge w:val="restart"/>
                  <w:vAlign w:val="center"/>
                </w:tcPr>
                <w:p w14:paraId="1C567C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c>
                <w:tcPr>
                  <w:tcW w:w="1124" w:type="dxa"/>
                  <w:vMerge w:val="restart"/>
                  <w:vAlign w:val="center"/>
                </w:tcPr>
                <w:p w14:paraId="2FDF3C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50</w:t>
                  </w:r>
                </w:p>
              </w:tc>
              <w:tc>
                <w:tcPr>
                  <w:tcW w:w="1124" w:type="dxa"/>
                  <w:vAlign w:val="center"/>
                </w:tcPr>
                <w:p w14:paraId="1B4240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&lt;15</w:t>
                  </w:r>
                </w:p>
              </w:tc>
              <w:tc>
                <w:tcPr>
                  <w:tcW w:w="1124" w:type="dxa"/>
                  <w:tcBorders>
                    <w:right w:val="nil"/>
                  </w:tcBorders>
                  <w:vAlign w:val="center"/>
                </w:tcPr>
                <w:p w14:paraId="27CB23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&lt;48</w:t>
                  </w:r>
                </w:p>
              </w:tc>
            </w:tr>
            <w:tr w14:paraId="4EBE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Borders>
                    <w:left w:val="nil"/>
                  </w:tcBorders>
                  <w:vAlign w:val="center"/>
                </w:tcPr>
                <w:p w14:paraId="165A98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2</w:t>
                  </w:r>
                </w:p>
              </w:tc>
              <w:tc>
                <w:tcPr>
                  <w:tcW w:w="1123" w:type="dxa"/>
                  <w:vMerge w:val="continue"/>
                  <w:vAlign w:val="center"/>
                </w:tcPr>
                <w:p w14:paraId="236558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123" w:type="dxa"/>
                  <w:vAlign w:val="center"/>
                </w:tcPr>
                <w:p w14:paraId="2246D2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远期</w:t>
                  </w:r>
                </w:p>
              </w:tc>
              <w:tc>
                <w:tcPr>
                  <w:tcW w:w="1124" w:type="dxa"/>
                  <w:vMerge w:val="continue"/>
                  <w:vAlign w:val="center"/>
                </w:tcPr>
                <w:p w14:paraId="297637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124" w:type="dxa"/>
                  <w:vMerge w:val="continue"/>
                  <w:vAlign w:val="center"/>
                </w:tcPr>
                <w:p w14:paraId="4241D5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124" w:type="dxa"/>
                  <w:vAlign w:val="center"/>
                </w:tcPr>
                <w:p w14:paraId="7B0A0D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&lt;19</w:t>
                  </w:r>
                </w:p>
              </w:tc>
              <w:tc>
                <w:tcPr>
                  <w:tcW w:w="1124" w:type="dxa"/>
                  <w:tcBorders>
                    <w:right w:val="nil"/>
                  </w:tcBorders>
                  <w:vAlign w:val="center"/>
                </w:tcPr>
                <w:p w14:paraId="60E213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&lt;52</w:t>
                  </w:r>
                </w:p>
              </w:tc>
            </w:tr>
          </w:tbl>
          <w:p w14:paraId="4F1E89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注：</w:t>
            </w:r>
            <w:r>
              <w:rPr>
                <w:rFonts w:hint="default" w:cs="Times New Roman"/>
                <w:b w:val="0"/>
                <w:bCs w:val="0"/>
                <w:sz w:val="18"/>
                <w:szCs w:val="18"/>
                <w:vertAlign w:val="baseline"/>
                <w:lang w:val="en-US" w:eastAsia="zh-CN"/>
              </w:rPr>
              <w:t>1</w:t>
            </w:r>
            <w:r>
              <w:rPr>
                <w:rFonts w:hint="eastAsia" w:cs="Times New Roman"/>
                <w:b w:val="0"/>
                <w:bCs w:val="0"/>
                <w:sz w:val="18"/>
                <w:szCs w:val="18"/>
                <w:vertAlign w:val="baseline"/>
                <w:lang w:val="en-US" w:eastAsia="zh-CN"/>
              </w:rPr>
              <w:t>、预测环境条件为空旷地、无建筑物遮挡，列车运行速度根据该段设计速度考虑；</w:t>
            </w:r>
          </w:p>
          <w:p w14:paraId="7D3334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b w:val="0"/>
                <w:bCs w:val="0"/>
                <w:sz w:val="18"/>
                <w:szCs w:val="18"/>
                <w:vertAlign w:val="baseline"/>
                <w:lang w:val="en-US" w:eastAsia="zh-CN"/>
              </w:rPr>
            </w:pPr>
            <w:r>
              <w:rPr>
                <w:rFonts w:hint="default" w:cs="Times New Roman"/>
                <w:b w:val="0"/>
                <w:bCs w:val="0"/>
                <w:sz w:val="18"/>
                <w:szCs w:val="18"/>
                <w:vertAlign w:val="baseline"/>
                <w:lang w:val="en-US" w:eastAsia="zh-CN"/>
              </w:rPr>
              <w:t>2</w:t>
            </w:r>
            <w:r>
              <w:rPr>
                <w:rFonts w:hint="eastAsia" w:cs="Times New Roman"/>
                <w:b w:val="0"/>
                <w:bCs w:val="0"/>
                <w:sz w:val="18"/>
                <w:szCs w:val="18"/>
                <w:vertAlign w:val="baseline"/>
                <w:lang w:val="en-US" w:eastAsia="zh-CN"/>
              </w:rPr>
              <w:t>、表中噪声等效声级仅考虑该项目铁路噪声。</w:t>
            </w:r>
          </w:p>
          <w:p w14:paraId="1BD6E5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根据上表可知，该项目《声环境质量标准》（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Times New Roman" w:hAnsi="Times New Roman" w:eastAsia="宋体" w:cs="Times New Roman"/>
                <w:color w:val="000000"/>
                <w:kern w:val="0"/>
                <w:sz w:val="24"/>
                <w:szCs w:val="24"/>
                <w:highlight w:val="none"/>
                <w:lang w:val="en-US" w:eastAsia="zh-CN" w:bidi="ar"/>
              </w:rPr>
              <w:t>类区</w:t>
            </w:r>
            <w:r>
              <w:rPr>
                <w:rFonts w:hint="eastAsia" w:ascii="Times New Roman" w:hAnsi="Times New Roman" w:eastAsia="宋体" w:cs="Times New Roman"/>
                <w:color w:val="000000"/>
                <w:kern w:val="0"/>
                <w:sz w:val="24"/>
                <w:szCs w:val="24"/>
                <w:lang w:val="en-US" w:eastAsia="zh-CN" w:bidi="ar"/>
              </w:rPr>
              <w:t>噪声达标距离为昼间</w:t>
            </w:r>
            <w:r>
              <w:rPr>
                <w:rFonts w:hint="eastAsia" w:cs="Times New Roman"/>
                <w:color w:val="000000"/>
                <w:kern w:val="0"/>
                <w:sz w:val="24"/>
                <w:szCs w:val="24"/>
                <w:lang w:val="en-US" w:eastAsia="zh-CN" w:bidi="ar"/>
              </w:rPr>
              <w:t>15</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lang w:val="en-US" w:eastAsia="zh-CN" w:bidi="ar"/>
              </w:rPr>
              <w:t>（近期），夜间为</w:t>
            </w:r>
            <w:r>
              <w:rPr>
                <w:rFonts w:hint="eastAsia" w:cs="Times New Roman"/>
                <w:color w:val="000000"/>
                <w:kern w:val="0"/>
                <w:sz w:val="24"/>
                <w:szCs w:val="24"/>
                <w:lang w:val="en-US" w:eastAsia="zh-CN" w:bidi="ar"/>
              </w:rPr>
              <w:t>48</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lang w:val="en-US" w:eastAsia="zh-CN" w:bidi="ar"/>
              </w:rPr>
              <w:t>（近期）；离该项目最近村庄（</w:t>
            </w:r>
            <w:r>
              <w:rPr>
                <w:rFonts w:hint="eastAsia" w:cs="Times New Roman"/>
                <w:color w:val="000000"/>
                <w:kern w:val="0"/>
                <w:sz w:val="24"/>
                <w:szCs w:val="24"/>
                <w:lang w:val="en-US" w:eastAsia="zh-CN" w:bidi="ar"/>
              </w:rPr>
              <w:t>大开门社区</w:t>
            </w:r>
            <w:r>
              <w:rPr>
                <w:rFonts w:hint="eastAsia" w:ascii="Times New Roman" w:hAnsi="Times New Roman" w:eastAsia="宋体" w:cs="Times New Roman"/>
                <w:color w:val="000000"/>
                <w:kern w:val="0"/>
                <w:sz w:val="24"/>
                <w:szCs w:val="24"/>
                <w:lang w:val="en-US" w:eastAsia="zh-CN" w:bidi="ar"/>
              </w:rPr>
              <w:t>）为</w:t>
            </w:r>
            <w:r>
              <w:rPr>
                <w:rFonts w:hint="eastAsia" w:cs="Times New Roman"/>
                <w:color w:val="000000"/>
                <w:kern w:val="0"/>
                <w:sz w:val="24"/>
                <w:szCs w:val="24"/>
                <w:lang w:val="en-US" w:eastAsia="zh-CN" w:bidi="ar"/>
              </w:rPr>
              <w:t>360</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lang w:val="en-US" w:eastAsia="zh-CN" w:bidi="ar"/>
              </w:rPr>
              <w:t>，在噪声达标距离以外，因此该项目噪声对周围声环境的影响较小。与铁路中心线距离</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Times New Roman"/>
                <w:color w:val="000000"/>
                <w:kern w:val="0"/>
                <w:sz w:val="24"/>
                <w:szCs w:val="24"/>
                <w:lang w:val="en-US" w:eastAsia="zh-CN" w:bidi="ar"/>
              </w:rPr>
              <w:t>范围内日后不宜规划建设医院、学校、居民区等对噪声敏感的建筑物。为进一步降低列车噪声影响，对周边的住户进行噪声跟踪监测，根据实际监测结果对因该项目导致噪声超标的敏感点采取隔声降噪措施，该项目采取的隔声降噪措施应与敏感点进行协商并达成一致后实施。</w:t>
            </w:r>
          </w:p>
          <w:p w14:paraId="494EB4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综上，通过采取定期检查与养护轨道、控制列车速度及禁止鸣笛等措施，该项目运营期噪声对周围声环境的影响较小。</w:t>
            </w:r>
          </w:p>
          <w:p w14:paraId="4AAD9D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4、噪声监测计划</w:t>
            </w:r>
          </w:p>
          <w:p w14:paraId="0C555C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eastAsia" w:cs="Times New Roman"/>
                <w:sz w:val="24"/>
                <w:szCs w:val="24"/>
                <w:lang w:val="en-US" w:eastAsia="zh-CN"/>
              </w:rPr>
              <w:t>本项目噪声监测计划见下表：</w:t>
            </w:r>
          </w:p>
          <w:p w14:paraId="32FB4715">
            <w:pPr>
              <w:keepNext w:val="0"/>
              <w:keepLines w:val="0"/>
              <w:widowControl/>
              <w:suppressLineNumbers w:val="0"/>
              <w:ind w:left="0" w:leftChars="0" w:right="0" w:rightChars="0" w:firstLine="0" w:firstLineChars="0"/>
              <w:jc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表4-15 项目噪声监测计划一览表</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471"/>
              <w:gridCol w:w="4034"/>
              <w:gridCol w:w="1378"/>
            </w:tblGrid>
            <w:tr w14:paraId="7DB03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tcBorders>
                    <w:tl2br w:val="nil"/>
                    <w:tr2bl w:val="nil"/>
                  </w:tcBorders>
                  <w:vAlign w:val="center"/>
                </w:tcPr>
                <w:p w14:paraId="4F6D46F1">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监测项目</w:t>
                  </w:r>
                </w:p>
              </w:tc>
              <w:tc>
                <w:tcPr>
                  <w:tcW w:w="933" w:type="pct"/>
                  <w:tcBorders>
                    <w:tl2br w:val="nil"/>
                    <w:tr2bl w:val="nil"/>
                  </w:tcBorders>
                  <w:vAlign w:val="center"/>
                </w:tcPr>
                <w:p w14:paraId="6D43C5DC">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监测点位</w:t>
                  </w:r>
                </w:p>
              </w:tc>
              <w:tc>
                <w:tcPr>
                  <w:tcW w:w="2559" w:type="pct"/>
                  <w:tcBorders>
                    <w:tl2br w:val="nil"/>
                    <w:tr2bl w:val="nil"/>
                  </w:tcBorders>
                  <w:vAlign w:val="center"/>
                </w:tcPr>
                <w:p w14:paraId="24C43D72">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监测频次</w:t>
                  </w:r>
                </w:p>
              </w:tc>
              <w:tc>
                <w:tcPr>
                  <w:tcW w:w="874" w:type="pct"/>
                  <w:tcBorders>
                    <w:tl2br w:val="nil"/>
                    <w:tr2bl w:val="nil"/>
                  </w:tcBorders>
                  <w:vAlign w:val="center"/>
                </w:tcPr>
                <w:p w14:paraId="1CEEF103">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监测方法</w:t>
                  </w:r>
                </w:p>
              </w:tc>
            </w:tr>
            <w:tr w14:paraId="681E9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tcBorders>
                    <w:tl2br w:val="nil"/>
                    <w:tr2bl w:val="nil"/>
                  </w:tcBorders>
                  <w:vAlign w:val="center"/>
                </w:tcPr>
                <w:p w14:paraId="744763C7">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噪声</w:t>
                  </w:r>
                </w:p>
              </w:tc>
              <w:tc>
                <w:tcPr>
                  <w:tcW w:w="933" w:type="pct"/>
                  <w:tcBorders>
                    <w:tl2br w:val="nil"/>
                    <w:tr2bl w:val="nil"/>
                  </w:tcBorders>
                  <w:vAlign w:val="center"/>
                </w:tcPr>
                <w:p w14:paraId="62B7A5F6">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铁路专用线四周</w:t>
                  </w:r>
                </w:p>
              </w:tc>
              <w:tc>
                <w:tcPr>
                  <w:tcW w:w="2559" w:type="pct"/>
                  <w:tcBorders>
                    <w:tl2br w:val="nil"/>
                    <w:tr2bl w:val="nil"/>
                  </w:tcBorders>
                  <w:vAlign w:val="center"/>
                </w:tcPr>
                <w:p w14:paraId="52A1826C">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竣工环境保护验收时连续监测</w:t>
                  </w:r>
                  <w:r>
                    <w:rPr>
                      <w:rFonts w:hint="default" w:ascii="Times New Roman" w:hAnsi="Times New Roman" w:eastAsia="宋体" w:cs="Times New Roman"/>
                      <w:b w:val="0"/>
                      <w:bCs w:val="0"/>
                      <w:color w:val="000000"/>
                      <w:kern w:val="0"/>
                      <w:sz w:val="18"/>
                      <w:szCs w:val="18"/>
                      <w:vertAlign w:val="baseline"/>
                      <w:lang w:val="en-US" w:eastAsia="zh-CN" w:bidi="ar"/>
                    </w:rPr>
                    <w:t>2</w:t>
                  </w:r>
                  <w:r>
                    <w:rPr>
                      <w:rFonts w:hint="eastAsia" w:ascii="Times New Roman" w:hAnsi="Times New Roman" w:eastAsia="宋体" w:cs="Times New Roman"/>
                      <w:b w:val="0"/>
                      <w:bCs w:val="0"/>
                      <w:color w:val="000000"/>
                      <w:kern w:val="0"/>
                      <w:sz w:val="18"/>
                      <w:szCs w:val="18"/>
                      <w:vertAlign w:val="baseline"/>
                      <w:lang w:val="en-US" w:eastAsia="zh-CN" w:bidi="ar"/>
                    </w:rPr>
                    <w:t>天，每天</w:t>
                  </w:r>
                  <w:r>
                    <w:rPr>
                      <w:rFonts w:hint="default" w:ascii="Times New Roman" w:hAnsi="Times New Roman" w:eastAsia="宋体" w:cs="Times New Roman"/>
                      <w:b w:val="0"/>
                      <w:bCs w:val="0"/>
                      <w:color w:val="000000"/>
                      <w:kern w:val="0"/>
                      <w:sz w:val="18"/>
                      <w:szCs w:val="18"/>
                      <w:vertAlign w:val="baseline"/>
                      <w:lang w:val="en-US" w:eastAsia="zh-CN" w:bidi="ar"/>
                    </w:rPr>
                    <w:t>1</w:t>
                  </w:r>
                  <w:r>
                    <w:rPr>
                      <w:rFonts w:hint="eastAsia" w:ascii="Times New Roman" w:hAnsi="Times New Roman" w:eastAsia="宋体" w:cs="Times New Roman"/>
                      <w:b w:val="0"/>
                      <w:bCs w:val="0"/>
                      <w:color w:val="000000"/>
                      <w:kern w:val="0"/>
                      <w:sz w:val="18"/>
                      <w:szCs w:val="18"/>
                      <w:vertAlign w:val="baseline"/>
                      <w:lang w:val="en-US" w:eastAsia="zh-CN" w:bidi="ar"/>
                    </w:rPr>
                    <w:t>次。验收后纳入当地生态环境局的正常监测管理，每季度至少开展一次监测，夜间生产的要监测夜间噪声。</w:t>
                  </w:r>
                </w:p>
              </w:tc>
              <w:tc>
                <w:tcPr>
                  <w:tcW w:w="874" w:type="pct"/>
                  <w:tcBorders>
                    <w:tl2br w:val="nil"/>
                    <w:tr2bl w:val="nil"/>
                  </w:tcBorders>
                  <w:vAlign w:val="center"/>
                </w:tcPr>
                <w:p w14:paraId="293D6721">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参照国家相关标准及技术规范要求执行</w:t>
                  </w:r>
                </w:p>
              </w:tc>
            </w:tr>
          </w:tbl>
          <w:p w14:paraId="05D35E4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cs="Times New Roman"/>
                <w:b w:val="0"/>
                <w:bCs w:val="0"/>
                <w:sz w:val="18"/>
                <w:szCs w:val="18"/>
                <w:vertAlign w:val="baseline"/>
                <w:lang w:val="en-US" w:eastAsia="zh-CN"/>
              </w:rPr>
            </w:pPr>
            <w:r>
              <w:rPr>
                <w:rFonts w:hint="default" w:ascii="Times New Roman" w:hAnsi="Times New Roman" w:eastAsia="宋体" w:cs="Times New Roman"/>
                <w:b/>
                <w:bCs/>
                <w:sz w:val="24"/>
                <w:szCs w:val="24"/>
                <w:lang w:val="en-US" w:eastAsia="zh-CN"/>
              </w:rPr>
              <w:t>4.</w:t>
            </w:r>
            <w:r>
              <w:rPr>
                <w:rFonts w:hint="eastAsia" w:cs="Times New Roman"/>
                <w:b/>
                <w:bCs/>
                <w:sz w:val="24"/>
                <w:szCs w:val="24"/>
                <w:lang w:val="en-US" w:eastAsia="zh-CN"/>
              </w:rPr>
              <w:t>9运营期振动环境影响预测与评价</w:t>
            </w:r>
          </w:p>
          <w:p w14:paraId="29B94F4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1、振动源强</w:t>
            </w:r>
          </w:p>
          <w:p w14:paraId="7109D4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路振动主要是在列车运行过程中轮轨相互作用、激励产生的机械振动，经过空气及大地介质传播，通过空气传播的振动即成为列车噪声中的轮轨部分；通过道床、路基传播到大地中的部分以振动的形式表现出来。振动源强主要与轨道结构、列车运行速度、轴重、地质条件等因素有关；而列车振动扩散衰减规律</w:t>
            </w:r>
            <w:r>
              <w:rPr>
                <w:rFonts w:hint="eastAsia" w:cs="Times New Roman"/>
                <w:color w:val="000000"/>
                <w:kern w:val="0"/>
                <w:sz w:val="24"/>
                <w:szCs w:val="24"/>
                <w:lang w:val="en-US" w:eastAsia="zh-CN" w:bidi="ar"/>
              </w:rPr>
              <w:t>受</w:t>
            </w:r>
            <w:r>
              <w:rPr>
                <w:rFonts w:hint="eastAsia" w:ascii="Times New Roman" w:hAnsi="Times New Roman" w:eastAsia="宋体" w:cs="Times New Roman"/>
                <w:color w:val="000000"/>
                <w:kern w:val="0"/>
                <w:sz w:val="24"/>
                <w:szCs w:val="24"/>
                <w:lang w:val="en-US" w:eastAsia="zh-CN" w:bidi="ar"/>
              </w:rPr>
              <w:t>地质、地形、地貌等条件的影响，并随着距离的增加振动逐渐降低。列车振动源强采用原铁道部《铁路建设项目环境影响评价噪声振动源强取值和治理原则指导意见（</w:t>
            </w:r>
            <w:r>
              <w:rPr>
                <w:rFonts w:hint="default" w:ascii="Times New Roman" w:hAnsi="Times New Roman" w:eastAsia="宋体" w:cs="Times New Roman"/>
                <w:color w:val="000000"/>
                <w:kern w:val="0"/>
                <w:sz w:val="24"/>
                <w:szCs w:val="24"/>
                <w:lang w:val="en-US" w:eastAsia="zh-CN" w:bidi="ar"/>
              </w:rPr>
              <w:t>2010</w:t>
            </w:r>
            <w:r>
              <w:rPr>
                <w:rFonts w:hint="eastAsia" w:ascii="Times New Roman" w:hAnsi="Times New Roman" w:eastAsia="宋体" w:cs="Times New Roman"/>
                <w:color w:val="000000"/>
                <w:kern w:val="0"/>
                <w:sz w:val="24"/>
                <w:szCs w:val="24"/>
                <w:lang w:val="en-US" w:eastAsia="zh-CN" w:bidi="ar"/>
              </w:rPr>
              <w:t>年修订稿）》（铁计</w:t>
            </w:r>
            <w:r>
              <w:rPr>
                <w:rFonts w:hint="default" w:ascii="Times New Roman" w:hAnsi="Times New Roman" w:eastAsia="宋体" w:cs="Times New Roman"/>
                <w:color w:val="000000"/>
                <w:kern w:val="0"/>
                <w:sz w:val="24"/>
                <w:szCs w:val="24"/>
                <w:lang w:val="en-US" w:eastAsia="zh-CN" w:bidi="ar"/>
              </w:rPr>
              <w:t>[2010]44</w:t>
            </w:r>
            <w:r>
              <w:rPr>
                <w:rFonts w:hint="eastAsia" w:ascii="Times New Roman" w:hAnsi="Times New Roman" w:eastAsia="宋体" w:cs="Times New Roman"/>
                <w:color w:val="000000"/>
                <w:kern w:val="0"/>
                <w:sz w:val="24"/>
                <w:szCs w:val="24"/>
                <w:lang w:val="en-US" w:eastAsia="zh-CN" w:bidi="ar"/>
              </w:rPr>
              <w:t>号）确定的振动源强</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货物列车振动源强见表</w:t>
            </w:r>
            <w:r>
              <w:rPr>
                <w:rFonts w:hint="eastAsia" w:cs="Times New Roman"/>
                <w:color w:val="000000"/>
                <w:kern w:val="0"/>
                <w:sz w:val="24"/>
                <w:szCs w:val="24"/>
                <w:lang w:val="en-US" w:eastAsia="zh-CN" w:bidi="ar"/>
              </w:rPr>
              <w:t>。</w:t>
            </w:r>
          </w:p>
          <w:p w14:paraId="3135E83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黑体" w:hAnsi="黑体" w:eastAsia="黑体" w:cs="黑体"/>
                <w:b w:val="0"/>
                <w:bCs w:val="0"/>
                <w:lang w:val="en-US" w:eastAsia="zh-CN"/>
              </w:rPr>
            </w:pPr>
            <w:r>
              <w:rPr>
                <w:rFonts w:hint="eastAsia" w:ascii="黑体" w:hAnsi="黑体" w:eastAsia="黑体" w:cs="黑体"/>
                <w:b w:val="0"/>
                <w:bCs w:val="0"/>
                <w:lang w:val="en-US" w:eastAsia="zh-CN"/>
              </w:rPr>
              <w:t>表4-16  普通货车振动源强  单位dB</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5502"/>
            </w:tblGrid>
            <w:tr w14:paraId="5A91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Merge w:val="restart"/>
                  <w:tcBorders>
                    <w:left w:val="nil"/>
                  </w:tcBorders>
                  <w:vAlign w:val="center"/>
                </w:tcPr>
                <w:p w14:paraId="118337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速度（km/h）</w:t>
                  </w:r>
                </w:p>
              </w:tc>
              <w:tc>
                <w:tcPr>
                  <w:tcW w:w="5502" w:type="dxa"/>
                  <w:tcBorders>
                    <w:right w:val="nil"/>
                  </w:tcBorders>
                  <w:vAlign w:val="center"/>
                </w:tcPr>
                <w:p w14:paraId="5DA704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普通货车振动源强dB</w:t>
                  </w:r>
                </w:p>
              </w:tc>
            </w:tr>
            <w:tr w14:paraId="7882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Merge w:val="continue"/>
                  <w:tcBorders>
                    <w:left w:val="nil"/>
                  </w:tcBorders>
                  <w:vAlign w:val="center"/>
                </w:tcPr>
                <w:p w14:paraId="61BA2B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5502" w:type="dxa"/>
                  <w:tcBorders>
                    <w:right w:val="nil"/>
                  </w:tcBorders>
                  <w:vAlign w:val="center"/>
                </w:tcPr>
                <w:p w14:paraId="004976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线路源强（铁计</w:t>
                  </w:r>
                  <w:r>
                    <w:rPr>
                      <w:rFonts w:hint="default" w:cs="Times New Roman"/>
                      <w:b w:val="0"/>
                      <w:bCs w:val="0"/>
                      <w:sz w:val="18"/>
                      <w:szCs w:val="18"/>
                      <w:vertAlign w:val="baseline"/>
                      <w:lang w:val="en-US" w:eastAsia="zh-CN"/>
                    </w:rPr>
                    <w:t>[2010]44</w:t>
                  </w:r>
                  <w:r>
                    <w:rPr>
                      <w:rFonts w:hint="eastAsia" w:cs="Times New Roman"/>
                      <w:b w:val="0"/>
                      <w:bCs w:val="0"/>
                      <w:sz w:val="18"/>
                      <w:szCs w:val="18"/>
                      <w:vertAlign w:val="baseline"/>
                      <w:lang w:val="en-US" w:eastAsia="zh-CN"/>
                    </w:rPr>
                    <w:t>号）</w:t>
                  </w:r>
                </w:p>
              </w:tc>
            </w:tr>
            <w:tr w14:paraId="10B9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Borders>
                    <w:left w:val="nil"/>
                  </w:tcBorders>
                  <w:vAlign w:val="center"/>
                </w:tcPr>
                <w:p w14:paraId="56CF10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50</w:t>
                  </w:r>
                </w:p>
              </w:tc>
              <w:tc>
                <w:tcPr>
                  <w:tcW w:w="5502" w:type="dxa"/>
                  <w:tcBorders>
                    <w:right w:val="nil"/>
                  </w:tcBorders>
                  <w:vAlign w:val="center"/>
                </w:tcPr>
                <w:p w14:paraId="419F5C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78.5</w:t>
                  </w:r>
                </w:p>
              </w:tc>
            </w:tr>
            <w:tr w14:paraId="3324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Borders>
                    <w:left w:val="nil"/>
                  </w:tcBorders>
                  <w:vAlign w:val="center"/>
                </w:tcPr>
                <w:p w14:paraId="7C587F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60</w:t>
                  </w:r>
                </w:p>
              </w:tc>
              <w:tc>
                <w:tcPr>
                  <w:tcW w:w="5502" w:type="dxa"/>
                  <w:tcBorders>
                    <w:right w:val="nil"/>
                  </w:tcBorders>
                  <w:vAlign w:val="center"/>
                </w:tcPr>
                <w:p w14:paraId="00FCA1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79.0</w:t>
                  </w:r>
                </w:p>
              </w:tc>
            </w:tr>
            <w:tr w14:paraId="1FC0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Borders>
                    <w:left w:val="nil"/>
                  </w:tcBorders>
                  <w:vAlign w:val="center"/>
                </w:tcPr>
                <w:p w14:paraId="25092C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70</w:t>
                  </w:r>
                </w:p>
              </w:tc>
              <w:tc>
                <w:tcPr>
                  <w:tcW w:w="5502" w:type="dxa"/>
                  <w:tcBorders>
                    <w:right w:val="nil"/>
                  </w:tcBorders>
                  <w:vAlign w:val="center"/>
                </w:tcPr>
                <w:p w14:paraId="2CD70D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79.5</w:t>
                  </w:r>
                </w:p>
              </w:tc>
            </w:tr>
            <w:tr w14:paraId="0BFB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Borders>
                    <w:left w:val="nil"/>
                  </w:tcBorders>
                  <w:vAlign w:val="center"/>
                </w:tcPr>
                <w:p w14:paraId="0D1085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80</w:t>
                  </w:r>
                </w:p>
              </w:tc>
              <w:tc>
                <w:tcPr>
                  <w:tcW w:w="5502" w:type="dxa"/>
                  <w:tcBorders>
                    <w:right w:val="nil"/>
                  </w:tcBorders>
                  <w:vAlign w:val="center"/>
                </w:tcPr>
                <w:p w14:paraId="44EE90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80.0</w:t>
                  </w:r>
                </w:p>
              </w:tc>
            </w:tr>
            <w:tr w14:paraId="7138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Borders>
                    <w:left w:val="nil"/>
                  </w:tcBorders>
                  <w:vAlign w:val="center"/>
                </w:tcPr>
                <w:p w14:paraId="2BFAD2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源强边界条件</w:t>
                  </w:r>
                </w:p>
              </w:tc>
              <w:tc>
                <w:tcPr>
                  <w:tcW w:w="5502" w:type="dxa"/>
                  <w:tcBorders>
                    <w:right w:val="nil"/>
                  </w:tcBorders>
                  <w:vAlign w:val="center"/>
                </w:tcPr>
                <w:p w14:paraId="62DA8B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Ⅰ级铁路或高速铁路，无缝，</w:t>
                  </w:r>
                  <w:r>
                    <w:rPr>
                      <w:rFonts w:hint="default" w:cs="Times New Roman"/>
                      <w:b w:val="0"/>
                      <w:bCs w:val="0"/>
                      <w:sz w:val="18"/>
                      <w:szCs w:val="18"/>
                      <w:vertAlign w:val="baseline"/>
                      <w:lang w:val="en-US" w:eastAsia="zh-CN"/>
                    </w:rPr>
                    <w:t>60kg/m</w:t>
                  </w:r>
                  <w:r>
                    <w:rPr>
                      <w:rFonts w:hint="eastAsia" w:cs="Times New Roman"/>
                      <w:b w:val="0"/>
                      <w:bCs w:val="0"/>
                      <w:sz w:val="18"/>
                      <w:szCs w:val="18"/>
                      <w:vertAlign w:val="baseline"/>
                      <w:lang w:val="en-US" w:eastAsia="zh-CN"/>
                    </w:rPr>
                    <w:t>钢轨，轨面状况良好，混凝土轨枕，有砟道床，平直、路堤线路。地质条件：冲积层。轴重：</w:t>
                  </w:r>
                  <w:r>
                    <w:rPr>
                      <w:rFonts w:hint="default" w:cs="Times New Roman"/>
                      <w:b w:val="0"/>
                      <w:bCs w:val="0"/>
                      <w:sz w:val="18"/>
                      <w:szCs w:val="18"/>
                      <w:vertAlign w:val="baseline"/>
                      <w:lang w:val="en-US" w:eastAsia="zh-CN"/>
                    </w:rPr>
                    <w:t>21t</w:t>
                  </w:r>
                  <w:r>
                    <w:rPr>
                      <w:rFonts w:hint="eastAsia" w:cs="Times New Roman"/>
                      <w:b w:val="0"/>
                      <w:bCs w:val="0"/>
                      <w:sz w:val="18"/>
                      <w:szCs w:val="18"/>
                      <w:vertAlign w:val="baseline"/>
                      <w:lang w:val="en-US" w:eastAsia="zh-CN"/>
                    </w:rPr>
                    <w:t>。参考点位置：距列车运行线路中心</w:t>
                  </w:r>
                  <w:r>
                    <w:rPr>
                      <w:rFonts w:hint="default" w:cs="Times New Roman"/>
                      <w:b w:val="0"/>
                      <w:bCs w:val="0"/>
                      <w:sz w:val="18"/>
                      <w:szCs w:val="18"/>
                      <w:vertAlign w:val="baseline"/>
                      <w:lang w:val="en-US" w:eastAsia="zh-CN"/>
                    </w:rPr>
                    <w:t>30m</w:t>
                  </w:r>
                  <w:r>
                    <w:rPr>
                      <w:rFonts w:hint="eastAsia" w:cs="Times New Roman"/>
                      <w:b w:val="0"/>
                      <w:bCs w:val="0"/>
                      <w:sz w:val="18"/>
                      <w:szCs w:val="18"/>
                      <w:vertAlign w:val="baseline"/>
                      <w:lang w:val="en-US" w:eastAsia="zh-CN"/>
                    </w:rPr>
                    <w:t>的地面处。</w:t>
                  </w:r>
                </w:p>
              </w:tc>
            </w:tr>
          </w:tbl>
          <w:p w14:paraId="69C29A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根据该项目铁路道路设计标准，</w:t>
            </w:r>
            <w:r>
              <w:rPr>
                <w:rFonts w:hint="eastAsia" w:cs="Times New Roman"/>
                <w:color w:val="000000"/>
                <w:kern w:val="0"/>
                <w:sz w:val="24"/>
                <w:szCs w:val="24"/>
                <w:lang w:val="en-US" w:eastAsia="zh-CN" w:bidi="ar"/>
              </w:rPr>
              <w:t>有</w:t>
            </w:r>
            <w:r>
              <w:rPr>
                <w:rFonts w:hint="eastAsia" w:ascii="Times New Roman" w:hAnsi="Times New Roman" w:eastAsia="宋体" w:cs="Times New Roman"/>
                <w:color w:val="000000"/>
                <w:kern w:val="0"/>
                <w:sz w:val="24"/>
                <w:szCs w:val="24"/>
                <w:lang w:val="en-US" w:eastAsia="zh-CN" w:bidi="ar"/>
              </w:rPr>
              <w:t>缝，</w:t>
            </w:r>
            <w:r>
              <w:rPr>
                <w:rFonts w:hint="default" w:ascii="Times New Roman" w:hAnsi="Times New Roman" w:eastAsia="宋体" w:cs="Times New Roman"/>
                <w:color w:val="000000"/>
                <w:kern w:val="0"/>
                <w:sz w:val="24"/>
                <w:szCs w:val="24"/>
                <w:lang w:val="en-US" w:eastAsia="zh-CN" w:bidi="ar"/>
              </w:rPr>
              <w:t>50kg/m</w:t>
            </w:r>
            <w:r>
              <w:rPr>
                <w:rFonts w:hint="eastAsia" w:ascii="Times New Roman" w:hAnsi="Times New Roman" w:eastAsia="宋体" w:cs="Times New Roman"/>
                <w:color w:val="000000"/>
                <w:kern w:val="0"/>
                <w:sz w:val="24"/>
                <w:szCs w:val="24"/>
                <w:lang w:val="en-US" w:eastAsia="zh-CN" w:bidi="ar"/>
              </w:rPr>
              <w:t>钢轨，轨面状况良好，混凝土轨枕，有砟道床。该项目设计时速为</w:t>
            </w:r>
            <w:r>
              <w:rPr>
                <w:rFonts w:hint="default" w:ascii="Times New Roman" w:hAnsi="Times New Roman" w:eastAsia="宋体" w:cs="Times New Roman"/>
                <w:color w:val="000000"/>
                <w:kern w:val="0"/>
                <w:sz w:val="24"/>
                <w:szCs w:val="24"/>
                <w:lang w:val="en-US" w:eastAsia="zh-CN" w:bidi="ar"/>
              </w:rPr>
              <w:t>40km/h</w:t>
            </w:r>
            <w:r>
              <w:rPr>
                <w:rFonts w:hint="eastAsia" w:ascii="Times New Roman" w:hAnsi="Times New Roman" w:eastAsia="宋体" w:cs="Times New Roman"/>
                <w:color w:val="000000"/>
                <w:kern w:val="0"/>
                <w:sz w:val="24"/>
                <w:szCs w:val="24"/>
                <w:lang w:val="en-US" w:eastAsia="zh-CN" w:bidi="ar"/>
              </w:rPr>
              <w:t>，采用</w:t>
            </w:r>
            <w:r>
              <w:rPr>
                <w:rFonts w:hint="eastAsia" w:cs="Times New Roman"/>
                <w:color w:val="000000"/>
                <w:kern w:val="0"/>
                <w:sz w:val="24"/>
                <w:szCs w:val="24"/>
                <w:lang w:val="en-US" w:eastAsia="zh-CN" w:bidi="ar"/>
              </w:rPr>
              <w:t>有</w:t>
            </w:r>
            <w:r>
              <w:rPr>
                <w:rFonts w:hint="eastAsia" w:ascii="Times New Roman" w:hAnsi="Times New Roman" w:eastAsia="宋体" w:cs="Times New Roman"/>
                <w:color w:val="000000"/>
                <w:kern w:val="0"/>
                <w:sz w:val="24"/>
                <w:szCs w:val="24"/>
                <w:lang w:val="en-US" w:eastAsia="zh-CN" w:bidi="ar"/>
              </w:rPr>
              <w:t>缝线路，参考时速为</w:t>
            </w:r>
            <w:r>
              <w:rPr>
                <w:rFonts w:hint="default" w:ascii="Times New Roman" w:hAnsi="Times New Roman" w:eastAsia="宋体" w:cs="Times New Roman"/>
                <w:color w:val="000000"/>
                <w:kern w:val="0"/>
                <w:sz w:val="24"/>
                <w:szCs w:val="24"/>
                <w:lang w:val="en-US" w:eastAsia="zh-CN" w:bidi="ar"/>
              </w:rPr>
              <w:t>50km/h</w:t>
            </w:r>
            <w:r>
              <w:rPr>
                <w:rFonts w:hint="eastAsia" w:ascii="Times New Roman" w:hAnsi="Times New Roman" w:eastAsia="宋体" w:cs="Times New Roman"/>
                <w:color w:val="000000"/>
                <w:kern w:val="0"/>
                <w:sz w:val="24"/>
                <w:szCs w:val="24"/>
                <w:lang w:val="en-US" w:eastAsia="zh-CN" w:bidi="ar"/>
              </w:rPr>
              <w:t>的振动源强，本项目货车振动源强采用</w:t>
            </w:r>
            <w:r>
              <w:rPr>
                <w:rFonts w:hint="default" w:ascii="Times New Roman" w:hAnsi="Times New Roman" w:eastAsia="宋体" w:cs="Times New Roman"/>
                <w:color w:val="000000"/>
                <w:kern w:val="0"/>
                <w:sz w:val="24"/>
                <w:szCs w:val="24"/>
                <w:lang w:val="en-US" w:eastAsia="zh-CN" w:bidi="ar"/>
              </w:rPr>
              <w:t>78.5dB</w:t>
            </w:r>
            <w:r>
              <w:rPr>
                <w:rFonts w:hint="eastAsia" w:ascii="Times New Roman" w:hAnsi="Times New Roman" w:eastAsia="宋体" w:cs="Times New Roman"/>
                <w:color w:val="000000"/>
                <w:kern w:val="0"/>
                <w:sz w:val="24"/>
                <w:szCs w:val="24"/>
                <w:lang w:val="en-US" w:eastAsia="zh-CN" w:bidi="ar"/>
              </w:rPr>
              <w:t>。</w:t>
            </w:r>
          </w:p>
          <w:p w14:paraId="63385FD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、预测方法</w:t>
            </w:r>
          </w:p>
          <w:p w14:paraId="2F711B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振动源强、传播规律受到较多因素的影响，一般地形、地貌、地质条件以及某些人工构筑物均会对振动的传播产生影响，因此振动的产生、传播随着各处具体情况的差异表现出各自的特点。</w:t>
            </w:r>
          </w:p>
          <w:p w14:paraId="7D73B0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本次振动影响评价根据《铁路建设项目环境影响评价噪声振动源强取值和治理原则指导意见》（</w:t>
            </w:r>
            <w:r>
              <w:rPr>
                <w:rFonts w:hint="default" w:ascii="Times New Roman" w:hAnsi="Times New Roman" w:eastAsia="宋体" w:cs="Times New Roman"/>
                <w:color w:val="000000"/>
                <w:kern w:val="0"/>
                <w:sz w:val="24"/>
                <w:szCs w:val="24"/>
                <w:lang w:val="en-US" w:eastAsia="zh-CN" w:bidi="ar"/>
              </w:rPr>
              <w:t>2010</w:t>
            </w:r>
            <w:r>
              <w:rPr>
                <w:rFonts w:hint="eastAsia" w:ascii="Times New Roman" w:hAnsi="Times New Roman" w:eastAsia="宋体" w:cs="Times New Roman"/>
                <w:color w:val="000000"/>
                <w:kern w:val="0"/>
                <w:sz w:val="24"/>
                <w:szCs w:val="24"/>
                <w:lang w:val="en-US" w:eastAsia="zh-CN" w:bidi="ar"/>
              </w:rPr>
              <w:t>年修订）中的列车振动源强及预测模式进行。</w:t>
            </w:r>
          </w:p>
          <w:p w14:paraId="1A2489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）振动预测公式的选用</w:t>
            </w:r>
          </w:p>
          <w:p w14:paraId="3A824C6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铁路行驶列车所产生的列车振动</w:t>
            </w:r>
            <w:r>
              <w:rPr>
                <w:rFonts w:hint="default" w:ascii="Times New Roman" w:hAnsi="Times New Roman" w:eastAsia="宋体" w:cs="Times New Roman"/>
                <w:color w:val="000000"/>
                <w:kern w:val="0"/>
                <w:sz w:val="24"/>
                <w:szCs w:val="24"/>
                <w:lang w:val="en-US" w:eastAsia="zh-CN" w:bidi="ar"/>
              </w:rPr>
              <w:t>Z</w:t>
            </w:r>
            <w:r>
              <w:rPr>
                <w:rFonts w:hint="eastAsia" w:ascii="Times New Roman" w:hAnsi="Times New Roman" w:eastAsia="宋体" w:cs="Times New Roman"/>
                <w:color w:val="000000"/>
                <w:kern w:val="0"/>
                <w:sz w:val="24"/>
                <w:szCs w:val="24"/>
                <w:lang w:val="en-US" w:eastAsia="zh-CN" w:bidi="ar"/>
              </w:rPr>
              <w:t>振级，在评价范围内可用下式表示：</w:t>
            </w:r>
          </w:p>
          <w:p w14:paraId="1F99B2A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val="0"/>
                <w:bCs w:val="0"/>
                <w:sz w:val="24"/>
                <w:szCs w:val="24"/>
                <w:lang w:val="en-US" w:eastAsia="zh-CN"/>
              </w:rPr>
            </w:pPr>
            <w:r>
              <w:drawing>
                <wp:inline distT="0" distB="0" distL="114300" distR="114300">
                  <wp:extent cx="1772920" cy="530860"/>
                  <wp:effectExtent l="0" t="0" r="17780" b="254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42"/>
                          <a:stretch>
                            <a:fillRect/>
                          </a:stretch>
                        </pic:blipFill>
                        <pic:spPr>
                          <a:xfrm>
                            <a:off x="0" y="0"/>
                            <a:ext cx="1772920" cy="530860"/>
                          </a:xfrm>
                          <a:prstGeom prst="rect">
                            <a:avLst/>
                          </a:prstGeom>
                          <a:noFill/>
                          <a:ln>
                            <a:noFill/>
                          </a:ln>
                        </pic:spPr>
                      </pic:pic>
                    </a:graphicData>
                  </a:graphic>
                </wp:inline>
              </w:drawing>
            </w:r>
          </w:p>
          <w:p w14:paraId="38DC12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VLZ0,i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振动源强，列车通过时段的最大</w:t>
            </w:r>
            <w:r>
              <w:rPr>
                <w:rFonts w:hint="default" w:ascii="Times New Roman" w:hAnsi="Times New Roman" w:eastAsia="宋体" w:cs="Times New Roman"/>
                <w:color w:val="000000"/>
                <w:kern w:val="0"/>
                <w:sz w:val="24"/>
                <w:szCs w:val="24"/>
                <w:lang w:val="en-US" w:eastAsia="zh-CN" w:bidi="ar"/>
              </w:rPr>
              <w:t>Z</w:t>
            </w:r>
            <w:r>
              <w:rPr>
                <w:rFonts w:hint="eastAsia" w:ascii="宋体" w:hAnsi="宋体" w:eastAsia="宋体" w:cs="宋体"/>
                <w:color w:val="000000"/>
                <w:kern w:val="0"/>
                <w:sz w:val="24"/>
                <w:szCs w:val="24"/>
                <w:lang w:val="en-US" w:eastAsia="zh-CN" w:bidi="ar"/>
              </w:rPr>
              <w:t>计权振动级，单位为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6FB6D3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第</w:t>
            </w:r>
            <w:r>
              <w:rPr>
                <w:rFonts w:hint="default" w:ascii="Times New Roman" w:hAnsi="Times New Roman" w:eastAsia="宋体" w:cs="Times New Roman"/>
                <w:i/>
                <w:iCs/>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列列车的振动修正项，单位为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258269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n</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列车通过的列数。</w:t>
            </w:r>
          </w:p>
          <w:p w14:paraId="1038B2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振动修正项</w:t>
            </w:r>
            <w:r>
              <w:rPr>
                <w:rFonts w:hint="default" w:ascii="Times New Roman" w:hAnsi="Times New Roman" w:eastAsia="宋体" w:cs="Times New Roman"/>
                <w:i/>
                <w:iCs/>
                <w:color w:val="000000"/>
                <w:kern w:val="0"/>
                <w:sz w:val="24"/>
                <w:szCs w:val="24"/>
                <w:lang w:val="en-US" w:eastAsia="zh-CN" w:bidi="ar"/>
              </w:rPr>
              <w:t>Ci</w:t>
            </w:r>
          </w:p>
          <w:p w14:paraId="6AEDF1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按下式计算：</w:t>
            </w:r>
          </w:p>
          <w:p w14:paraId="375DC2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i/>
                <w:iCs/>
                <w:color w:val="000000"/>
                <w:kern w:val="0"/>
                <w:sz w:val="24"/>
                <w:szCs w:val="24"/>
                <w:lang w:val="en-US" w:eastAsia="zh-CN" w:bidi="ar"/>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i</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V</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W</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L</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R</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G</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B</w:t>
            </w:r>
          </w:p>
          <w:p w14:paraId="47D374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V</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速度修正，单位为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5B3B19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W</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轴重修正，单位为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1A4125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L</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线路类型修正，单位为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154B76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R</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轨道类型修正，单位为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630B6F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G</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地质修正，单位为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00DA33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D</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距离修正，单位为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63C5AE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B</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建筑物类型修正，单位为</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5271EB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）公式参数的确定</w:t>
            </w:r>
          </w:p>
          <w:p w14:paraId="44D5BB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）振动源强</w:t>
            </w:r>
            <w:r>
              <w:rPr>
                <w:rFonts w:hint="default" w:ascii="Times New Roman" w:hAnsi="Times New Roman" w:eastAsia="宋体" w:cs="Times New Roman"/>
                <w:i/>
                <w:iCs/>
                <w:color w:val="000000"/>
                <w:kern w:val="0"/>
                <w:sz w:val="24"/>
                <w:szCs w:val="24"/>
                <w:lang w:val="en-US" w:eastAsia="zh-CN" w:bidi="ar"/>
              </w:rPr>
              <w:t>VLz0,i</w:t>
            </w:r>
          </w:p>
          <w:p w14:paraId="2D1CFA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根据设计中推荐的速度目标值和《铁路建设项目环境影响评价噪声振动源强取值与治理原则指导意见》（铁计</w:t>
            </w:r>
            <w:r>
              <w:rPr>
                <w:rFonts w:hint="default" w:ascii="Times New Roman" w:hAnsi="Times New Roman" w:eastAsia="宋体" w:cs="Times New Roman"/>
                <w:color w:val="000000"/>
                <w:kern w:val="0"/>
                <w:sz w:val="24"/>
                <w:szCs w:val="24"/>
                <w:lang w:val="en-US" w:eastAsia="zh-CN" w:bidi="ar"/>
              </w:rPr>
              <w:t>44</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2010</w:t>
            </w:r>
            <w:r>
              <w:rPr>
                <w:rFonts w:hint="eastAsia" w:ascii="宋体" w:hAnsi="宋体" w:eastAsia="宋体" w:cs="宋体"/>
                <w:color w:val="000000"/>
                <w:kern w:val="0"/>
                <w:sz w:val="24"/>
                <w:szCs w:val="24"/>
                <w:lang w:val="en-US" w:eastAsia="zh-CN" w:bidi="ar"/>
              </w:rPr>
              <w:t>年修订版），本次评价采用的振动源强为</w:t>
            </w:r>
            <w:r>
              <w:rPr>
                <w:rFonts w:hint="eastAsia" w:cs="Times New Roman"/>
                <w:color w:val="000000"/>
                <w:kern w:val="0"/>
                <w:sz w:val="24"/>
                <w:szCs w:val="24"/>
                <w:lang w:val="en-US" w:eastAsia="zh-CN" w:bidi="ar"/>
              </w:rPr>
              <w:t>78.5</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14:paraId="6CDA53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）速度修正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V</w:t>
            </w:r>
            <w:r>
              <w:rPr>
                <w:rFonts w:hint="eastAsia" w:ascii="宋体" w:hAnsi="宋体" w:eastAsia="宋体" w:cs="宋体"/>
                <w:color w:val="000000"/>
                <w:kern w:val="0"/>
                <w:sz w:val="24"/>
                <w:szCs w:val="24"/>
                <w:lang w:val="en-US" w:eastAsia="zh-CN" w:bidi="ar"/>
              </w:rPr>
              <w:t>预测时的列车运行计算速度，应尽量接近预测点对应区段正式运营时的列车通过速度，不应按最高设计列车运行速度计算。列车速度的确定应考虑不同列车类型、起动加速、制动加速、区间通过、限速运行等因素的影响。预测计算速度可按设计最高速度的</w:t>
            </w:r>
            <w:r>
              <w:rPr>
                <w:rFonts w:hint="default" w:ascii="Times New Roman" w:hAnsi="Times New Roman" w:eastAsia="宋体" w:cs="Times New Roman"/>
                <w:color w:val="000000"/>
                <w:kern w:val="0"/>
                <w:sz w:val="24"/>
                <w:szCs w:val="24"/>
                <w:lang w:val="en-US" w:eastAsia="zh-CN" w:bidi="ar"/>
              </w:rPr>
              <w:t>90%</w:t>
            </w:r>
            <w:r>
              <w:rPr>
                <w:rFonts w:hint="eastAsia" w:ascii="宋体" w:hAnsi="宋体" w:eastAsia="宋体" w:cs="宋体"/>
                <w:color w:val="000000"/>
                <w:kern w:val="0"/>
                <w:sz w:val="24"/>
                <w:szCs w:val="24"/>
                <w:lang w:val="en-US" w:eastAsia="zh-CN" w:bidi="ar"/>
              </w:rPr>
              <w:t>确定。</w:t>
            </w:r>
          </w:p>
          <w:p w14:paraId="5E386D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iCs/>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）距离衰减修正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D</w:t>
            </w:r>
          </w:p>
          <w:p w14:paraId="4DC23B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距离修正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D</w:t>
            </w:r>
            <w:r>
              <w:rPr>
                <w:rFonts w:hint="eastAsia" w:ascii="宋体" w:hAnsi="宋体" w:eastAsia="宋体" w:cs="宋体"/>
                <w:color w:val="000000"/>
                <w:kern w:val="0"/>
                <w:sz w:val="24"/>
                <w:szCs w:val="24"/>
                <w:lang w:val="en-US" w:eastAsia="zh-CN" w:bidi="ar"/>
              </w:rPr>
              <w:t>关系式见下式：</w:t>
            </w:r>
          </w:p>
          <w:p w14:paraId="33C3B40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1764665" cy="517525"/>
                  <wp:effectExtent l="0" t="0" r="6985" b="1587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43"/>
                          <a:srcRect t="19099" b="4505"/>
                          <a:stretch>
                            <a:fillRect/>
                          </a:stretch>
                        </pic:blipFill>
                        <pic:spPr>
                          <a:xfrm>
                            <a:off x="0" y="0"/>
                            <a:ext cx="1764665" cy="517525"/>
                          </a:xfrm>
                          <a:prstGeom prst="rect">
                            <a:avLst/>
                          </a:prstGeom>
                          <a:noFill/>
                          <a:ln>
                            <a:noFill/>
                          </a:ln>
                        </pic:spPr>
                      </pic:pic>
                    </a:graphicData>
                  </a:graphic>
                </wp:inline>
              </w:drawing>
            </w:r>
          </w:p>
          <w:p w14:paraId="4E8C19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k</w:t>
            </w:r>
            <w:r>
              <w:rPr>
                <w:rFonts w:hint="default" w:ascii="Times New Roman" w:hAnsi="Times New Roman" w:eastAsia="宋体" w:cs="Times New Roman"/>
                <w:i/>
                <w:iCs/>
                <w:color w:val="000000"/>
                <w:kern w:val="0"/>
                <w:sz w:val="24"/>
                <w:szCs w:val="24"/>
                <w:vertAlign w:val="subscript"/>
                <w:lang w:val="en-US" w:eastAsia="zh-CN" w:bidi="ar"/>
              </w:rPr>
              <w:t>R</w:t>
            </w:r>
            <w:r>
              <w:rPr>
                <w:rFonts w:hint="eastAsia" w:ascii="宋体" w:hAnsi="宋体" w:eastAsia="宋体" w:cs="宋体"/>
                <w:color w:val="000000"/>
                <w:kern w:val="0"/>
                <w:sz w:val="24"/>
                <w:szCs w:val="24"/>
                <w:lang w:val="en-US" w:eastAsia="zh-CN" w:bidi="ar"/>
              </w:rPr>
              <w:t>—距离修正系数，与线路结构有关；对于路基线路，当</w:t>
            </w:r>
            <w:r>
              <w:rPr>
                <w:rFonts w:hint="default" w:ascii="Times New Roman" w:hAnsi="Times New Roman" w:eastAsia="宋体" w:cs="Times New Roman"/>
                <w:i/>
                <w:iCs/>
                <w:color w:val="000000"/>
                <w:kern w:val="0"/>
                <w:sz w:val="24"/>
                <w:szCs w:val="24"/>
                <w:lang w:val="en-US" w:eastAsia="zh-CN" w:bidi="ar"/>
              </w:rPr>
              <w:t>d</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30m</w:t>
            </w:r>
          </w:p>
          <w:p w14:paraId="7BB33A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时，</w:t>
            </w:r>
            <w:r>
              <w:rPr>
                <w:rFonts w:hint="default" w:ascii="Times New Roman" w:hAnsi="Times New Roman" w:eastAsia="宋体" w:cs="Times New Roman"/>
                <w:i/>
                <w:iCs/>
                <w:color w:val="000000"/>
                <w:kern w:val="0"/>
                <w:sz w:val="24"/>
                <w:szCs w:val="24"/>
                <w:lang w:val="en-US" w:eastAsia="zh-CN" w:bidi="ar"/>
              </w:rPr>
              <w:t>k</w:t>
            </w:r>
            <w:r>
              <w:rPr>
                <w:rFonts w:hint="default" w:ascii="Times New Roman" w:hAnsi="Times New Roman" w:eastAsia="宋体" w:cs="Times New Roman"/>
                <w:i/>
                <w:iCs/>
                <w:color w:val="000000"/>
                <w:kern w:val="0"/>
                <w:sz w:val="24"/>
                <w:szCs w:val="24"/>
                <w:vertAlign w:val="subscript"/>
                <w:lang w:val="en-US" w:eastAsia="zh-CN" w:bidi="ar"/>
              </w:rPr>
              <w:t>R</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color w:val="000000"/>
                <w:kern w:val="0"/>
                <w:sz w:val="24"/>
                <w:szCs w:val="24"/>
                <w:lang w:val="en-US" w:eastAsia="zh-CN" w:bidi="ar"/>
              </w:rPr>
              <w:t>30m</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d</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60m</w:t>
            </w:r>
            <w:r>
              <w:rPr>
                <w:rFonts w:hint="eastAsia" w:ascii="宋体" w:hAnsi="宋体" w:eastAsia="宋体" w:cs="宋体"/>
                <w:color w:val="000000"/>
                <w:kern w:val="0"/>
                <w:sz w:val="24"/>
                <w:szCs w:val="24"/>
                <w:lang w:val="en-US" w:eastAsia="zh-CN" w:bidi="ar"/>
              </w:rPr>
              <w:t>时</w:t>
            </w:r>
            <w:r>
              <w:rPr>
                <w:rFonts w:hint="default" w:ascii="Times New Roman" w:hAnsi="Times New Roman" w:eastAsia="宋体" w:cs="Times New Roman"/>
                <w:i/>
                <w:iCs/>
                <w:color w:val="000000"/>
                <w:kern w:val="0"/>
                <w:sz w:val="24"/>
                <w:szCs w:val="24"/>
                <w:lang w:val="en-US" w:eastAsia="zh-CN" w:bidi="ar"/>
              </w:rPr>
              <w:t>k</w:t>
            </w:r>
            <w:r>
              <w:rPr>
                <w:rFonts w:hint="default" w:ascii="Times New Roman" w:hAnsi="Times New Roman" w:eastAsia="宋体" w:cs="Times New Roman"/>
                <w:i/>
                <w:iCs/>
                <w:color w:val="000000"/>
                <w:kern w:val="0"/>
                <w:sz w:val="24"/>
                <w:szCs w:val="24"/>
                <w:vertAlign w:val="subscript"/>
                <w:lang w:val="en-US" w:eastAsia="zh-CN" w:bidi="ar"/>
              </w:rPr>
              <w:t>R</w:t>
            </w:r>
            <w:r>
              <w:rPr>
                <w:rFonts w:hint="eastAsia" w:ascii="宋体" w:hAnsi="宋体" w:eastAsia="宋体" w:cs="宋体"/>
                <w:i/>
                <w:i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p>
          <w:p w14:paraId="17C625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default" w:ascii="Times New Roman" w:hAnsi="Times New Roman" w:eastAsia="宋体" w:cs="Times New Roman"/>
                <w:i/>
                <w:iCs/>
                <w:color w:val="000000"/>
                <w:kern w:val="0"/>
                <w:sz w:val="24"/>
                <w:szCs w:val="24"/>
                <w:vertAlign w:val="subscript"/>
                <w:lang w:val="en-US" w:eastAsia="zh-CN" w:bidi="ar"/>
              </w:rPr>
              <w:t>0</w:t>
            </w:r>
            <w:r>
              <w:rPr>
                <w:rFonts w:hint="eastAsia" w:ascii="宋体" w:hAnsi="宋体" w:eastAsia="宋体" w:cs="宋体"/>
                <w:color w:val="000000"/>
                <w:kern w:val="0"/>
                <w:sz w:val="24"/>
                <w:szCs w:val="24"/>
                <w:lang w:val="en-US" w:eastAsia="zh-CN" w:bidi="ar"/>
              </w:rPr>
              <w:t>—参考距离；</w:t>
            </w:r>
          </w:p>
          <w:p w14:paraId="40947A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default" w:ascii="Times New Roman" w:hAnsi="Times New Roman" w:eastAsia="宋体" w:cs="Times New Roman"/>
                <w:i/>
                <w:iCs/>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—预测点到线路中心线的距离。</w:t>
            </w:r>
          </w:p>
          <w:p w14:paraId="1C1440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iCs/>
                <w:color w:val="000000"/>
                <w:kern w:val="0"/>
                <w:sz w:val="24"/>
                <w:szCs w:val="24"/>
                <w:vertAlign w:val="subscript"/>
                <w:lang w:val="en-US" w:eastAsia="zh-CN" w:bidi="ar"/>
              </w:rPr>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）轴重修正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W</w:t>
            </w:r>
          </w:p>
          <w:p w14:paraId="75F7D4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车辆轴重是引起环境振动的主要因素，轴重越大环境振动影响也越大，轴重与振动的关系式为：</w:t>
            </w:r>
          </w:p>
          <w:p w14:paraId="07D5B96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1019810" cy="474345"/>
                  <wp:effectExtent l="0" t="0" r="8890" b="19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4"/>
                          <a:stretch>
                            <a:fillRect/>
                          </a:stretch>
                        </pic:blipFill>
                        <pic:spPr>
                          <a:xfrm>
                            <a:off x="0" y="0"/>
                            <a:ext cx="1019810" cy="474345"/>
                          </a:xfrm>
                          <a:prstGeom prst="rect">
                            <a:avLst/>
                          </a:prstGeom>
                          <a:noFill/>
                          <a:ln>
                            <a:noFill/>
                          </a:ln>
                        </pic:spPr>
                      </pic:pic>
                    </a:graphicData>
                  </a:graphic>
                </wp:inline>
              </w:drawing>
            </w:r>
          </w:p>
          <w:p w14:paraId="6C15E0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W</w:t>
            </w:r>
            <w:r>
              <w:rPr>
                <w:rFonts w:hint="eastAsia"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—参考轴重，21t；</w:t>
            </w:r>
          </w:p>
          <w:p w14:paraId="753AA0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iCs/>
                <w:color w:val="000000"/>
                <w:kern w:val="0"/>
                <w:sz w:val="24"/>
                <w:szCs w:val="24"/>
                <w:lang w:val="en-US" w:eastAsia="zh-CN" w:bidi="ar"/>
              </w:rPr>
              <w:t>W</w:t>
            </w:r>
            <w:r>
              <w:rPr>
                <w:rFonts w:hint="default" w:ascii="Times New Roman" w:hAnsi="Times New Roman" w:eastAsia="宋体" w:cs="Times New Roman"/>
                <w:color w:val="000000"/>
                <w:kern w:val="0"/>
                <w:sz w:val="24"/>
                <w:szCs w:val="24"/>
                <w:lang w:val="en-US" w:eastAsia="zh-CN" w:bidi="ar"/>
              </w:rPr>
              <w:t>—预测车辆的轴重，23t。</w:t>
            </w:r>
          </w:p>
          <w:p w14:paraId="534FAE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5）地质修正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G</w:t>
            </w:r>
          </w:p>
          <w:p w14:paraId="70A463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不同地质条件对振动的影响不同。相对于冲积层地质，洪积层地质修正：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G</w:t>
            </w:r>
            <w:r>
              <w:rPr>
                <w:rFonts w:hint="default" w:ascii="Times New Roman" w:hAnsi="Times New Roman" w:eastAsia="宋体" w:cs="Times New Roman"/>
                <w:color w:val="000000"/>
                <w:kern w:val="0"/>
                <w:sz w:val="24"/>
                <w:szCs w:val="24"/>
                <w:lang w:val="en-US" w:eastAsia="zh-CN" w:bidi="ar"/>
              </w:rPr>
              <w:t>=﹣4dB；相对于冲积层地质，软土地质修正：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G</w:t>
            </w:r>
            <w:r>
              <w:rPr>
                <w:rFonts w:hint="default" w:ascii="Times New Roman" w:hAnsi="Times New Roman" w:eastAsia="宋体" w:cs="Times New Roman"/>
                <w:color w:val="000000"/>
                <w:kern w:val="0"/>
                <w:sz w:val="24"/>
                <w:szCs w:val="24"/>
                <w:lang w:val="en-US" w:eastAsia="zh-CN" w:bidi="ar"/>
              </w:rPr>
              <w:t>=4dB。本线区域为冲积层地质，不进行地质修正。</w:t>
            </w:r>
          </w:p>
          <w:p w14:paraId="782E80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6）线路类型修正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L</w:t>
            </w:r>
            <w:r>
              <w:rPr>
                <w:rFonts w:hint="default" w:ascii="Times New Roman" w:hAnsi="Times New Roman" w:eastAsia="宋体" w:cs="Times New Roman"/>
                <w:color w:val="000000"/>
                <w:kern w:val="0"/>
                <w:sz w:val="24"/>
                <w:szCs w:val="24"/>
                <w:lang w:val="en-US" w:eastAsia="zh-CN" w:bidi="ar"/>
              </w:rPr>
              <w:t>距线路中心线30～60m范围内，冲积层地质，货车路堑振动相对于路堤线路</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L</w:t>
            </w:r>
            <w:r>
              <w:rPr>
                <w:rFonts w:hint="default" w:ascii="Times New Roman" w:hAnsi="Times New Roman" w:eastAsia="宋体" w:cs="Times New Roman"/>
                <w:color w:val="000000"/>
                <w:kern w:val="0"/>
                <w:sz w:val="24"/>
                <w:szCs w:val="24"/>
                <w:lang w:val="en-US" w:eastAsia="zh-CN" w:bidi="ar"/>
              </w:rPr>
              <w:t>取2.5dB。</w:t>
            </w:r>
          </w:p>
          <w:p w14:paraId="1E45EC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7）轨道类型修正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R</w:t>
            </w:r>
          </w:p>
          <w:p w14:paraId="50131E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高速铁路无砟轨道相对于有砟轨道：</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R</w:t>
            </w:r>
            <w:r>
              <w:rPr>
                <w:rFonts w:hint="default" w:ascii="Times New Roman" w:hAnsi="Times New Roman" w:eastAsia="宋体" w:cs="Times New Roman"/>
                <w:color w:val="000000"/>
                <w:kern w:val="0"/>
                <w:sz w:val="24"/>
                <w:szCs w:val="24"/>
                <w:lang w:val="en-US" w:eastAsia="zh-CN" w:bidi="ar"/>
              </w:rPr>
              <w:t>=-3dB，本线路为有轨，不修正；</w:t>
            </w:r>
          </w:p>
          <w:p w14:paraId="19E96C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8）建筑修正</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B</w:t>
            </w:r>
          </w:p>
          <w:p w14:paraId="2C0659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不同建筑物对振动响应不同。目前一般将各类建筑物划分为三种类型：</w:t>
            </w:r>
          </w:p>
          <w:p w14:paraId="4083E8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Ⅰ类建筑为良好基础、框架结构的高层建筑：CB=-10dB；</w:t>
            </w:r>
          </w:p>
          <w:p w14:paraId="4E50B0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Ⅱ类建筑为较好基础、砖墙结构的中层建筑：</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B</w:t>
            </w:r>
            <w:r>
              <w:rPr>
                <w:rFonts w:hint="default" w:ascii="Times New Roman" w:hAnsi="Times New Roman" w:eastAsia="宋体" w:cs="Times New Roman"/>
                <w:color w:val="000000"/>
                <w:kern w:val="0"/>
                <w:sz w:val="24"/>
                <w:szCs w:val="24"/>
                <w:lang w:val="en-US" w:eastAsia="zh-CN" w:bidi="ar"/>
              </w:rPr>
              <w:t>=-5dB；</w:t>
            </w:r>
          </w:p>
          <w:p w14:paraId="563DCB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Ⅲ类建筑为一般基础的平房建筑：</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B</w:t>
            </w:r>
            <w:r>
              <w:rPr>
                <w:rFonts w:hint="default" w:ascii="Times New Roman" w:hAnsi="Times New Roman" w:eastAsia="宋体" w:cs="Times New Roman"/>
                <w:color w:val="000000"/>
                <w:kern w:val="0"/>
                <w:sz w:val="24"/>
                <w:szCs w:val="24"/>
                <w:lang w:val="en-US" w:eastAsia="zh-CN" w:bidi="ar"/>
              </w:rPr>
              <w:t>=0dB；</w:t>
            </w:r>
          </w:p>
          <w:p w14:paraId="02D992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工程沿线建筑以Ⅱ类为主，结合本工程现场踏勘结果，拟建铁路沿线建筑</w:t>
            </w:r>
            <w:r>
              <w:rPr>
                <w:rFonts w:hint="default" w:ascii="Times New Roman" w:hAnsi="Times New Roman" w:eastAsia="宋体" w:cs="Times New Roman"/>
                <w:i/>
                <w:iCs/>
                <w:color w:val="000000"/>
                <w:kern w:val="0"/>
                <w:sz w:val="24"/>
                <w:szCs w:val="24"/>
                <w:lang w:val="en-US" w:eastAsia="zh-CN" w:bidi="ar"/>
              </w:rPr>
              <w:t>C</w:t>
            </w:r>
            <w:r>
              <w:rPr>
                <w:rFonts w:hint="default" w:ascii="Times New Roman" w:hAnsi="Times New Roman" w:eastAsia="宋体" w:cs="Times New Roman"/>
                <w:i/>
                <w:iCs/>
                <w:color w:val="000000"/>
                <w:kern w:val="0"/>
                <w:sz w:val="24"/>
                <w:szCs w:val="24"/>
                <w:vertAlign w:val="subscript"/>
                <w:lang w:val="en-US" w:eastAsia="zh-CN" w:bidi="ar"/>
              </w:rPr>
              <w:t>B</w:t>
            </w:r>
            <w:r>
              <w:rPr>
                <w:rFonts w:hint="default" w:ascii="Times New Roman" w:hAnsi="Times New Roman" w:eastAsia="宋体" w:cs="Times New Roman"/>
                <w:color w:val="000000"/>
                <w:kern w:val="0"/>
                <w:sz w:val="24"/>
                <w:szCs w:val="24"/>
                <w:lang w:val="en-US" w:eastAsia="zh-CN" w:bidi="ar"/>
              </w:rPr>
              <w:t>取值：Ⅱ类建筑：-5dB。</w:t>
            </w:r>
          </w:p>
          <w:p w14:paraId="3D47EA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（3）预测技术条件</w:t>
            </w:r>
          </w:p>
          <w:p w14:paraId="72E146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1）列车对数</w:t>
            </w:r>
          </w:p>
          <w:p w14:paraId="715856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该项目预测年度货车对数见</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r>
              <w:rPr>
                <w:rFonts w:hint="eastAsia" w:ascii="Times New Roman" w:hAnsi="Times New Roman" w:eastAsia="宋体" w:cs="Times New Roman"/>
                <w:color w:val="000000"/>
                <w:kern w:val="0"/>
                <w:sz w:val="24"/>
                <w:szCs w:val="24"/>
                <w:lang w:val="en-US" w:eastAsia="zh-CN" w:bidi="ar"/>
              </w:rPr>
              <w:t>。</w:t>
            </w:r>
          </w:p>
          <w:p w14:paraId="279CD2D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表4-17 项目预测年度货车对数表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5253"/>
            </w:tblGrid>
            <w:tr w14:paraId="38F12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tcBorders>
                    <w:tl2br w:val="nil"/>
                    <w:tr2bl w:val="nil"/>
                  </w:tcBorders>
                  <w:vAlign w:val="center"/>
                </w:tcPr>
                <w:p w14:paraId="32C7FC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名称</w:t>
                  </w:r>
                </w:p>
              </w:tc>
              <w:tc>
                <w:tcPr>
                  <w:tcW w:w="5253" w:type="dxa"/>
                  <w:tcBorders>
                    <w:tl2br w:val="nil"/>
                    <w:tr2bl w:val="nil"/>
                  </w:tcBorders>
                  <w:vAlign w:val="center"/>
                </w:tcPr>
                <w:p w14:paraId="432785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近期</w:t>
                  </w:r>
                  <w:r>
                    <w:rPr>
                      <w:rFonts w:hint="eastAsia" w:cs="Times New Roman"/>
                      <w:b w:val="0"/>
                      <w:bCs w:val="0"/>
                      <w:sz w:val="18"/>
                      <w:szCs w:val="18"/>
                      <w:vertAlign w:val="baseline"/>
                      <w:lang w:val="en-US" w:eastAsia="zh-CN"/>
                    </w:rPr>
                    <w:t>/</w:t>
                  </w:r>
                  <w:r>
                    <w:rPr>
                      <w:rFonts w:hint="eastAsia" w:ascii="Times New Roman" w:hAnsi="Times New Roman" w:eastAsia="宋体" w:cs="Times New Roman"/>
                      <w:b w:val="0"/>
                      <w:bCs w:val="0"/>
                      <w:sz w:val="18"/>
                      <w:szCs w:val="18"/>
                      <w:vertAlign w:val="baseline"/>
                      <w:lang w:val="en-US" w:eastAsia="zh-CN"/>
                    </w:rPr>
                    <w:t>远期</w:t>
                  </w:r>
                </w:p>
              </w:tc>
            </w:tr>
            <w:tr w14:paraId="5B671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tcBorders>
                    <w:tl2br w:val="nil"/>
                    <w:tr2bl w:val="nil"/>
                  </w:tcBorders>
                  <w:vAlign w:val="center"/>
                </w:tcPr>
                <w:p w14:paraId="50037E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ascii="Times New Roman" w:hAnsi="Times New Roman" w:eastAsia="宋体" w:cs="Times New Roman"/>
                      <w:b w:val="0"/>
                      <w:bCs w:val="0"/>
                      <w:sz w:val="18"/>
                      <w:szCs w:val="18"/>
                      <w:vertAlign w:val="baseline"/>
                      <w:lang w:val="en-US" w:eastAsia="zh-CN"/>
                    </w:rPr>
                    <w:t>铁路专用线</w:t>
                  </w:r>
                </w:p>
              </w:tc>
              <w:tc>
                <w:tcPr>
                  <w:tcW w:w="5253" w:type="dxa"/>
                  <w:tcBorders>
                    <w:tl2br w:val="nil"/>
                    <w:tr2bl w:val="nil"/>
                  </w:tcBorders>
                  <w:vAlign w:val="center"/>
                </w:tcPr>
                <w:p w14:paraId="673017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2</w:t>
                  </w:r>
                  <w:r>
                    <w:rPr>
                      <w:rFonts w:hint="eastAsia" w:ascii="Times New Roman" w:hAnsi="Times New Roman" w:eastAsia="宋体" w:cs="Times New Roman"/>
                      <w:b w:val="0"/>
                      <w:bCs w:val="0"/>
                      <w:sz w:val="18"/>
                      <w:szCs w:val="18"/>
                      <w:vertAlign w:val="baseline"/>
                      <w:lang w:val="en-US" w:eastAsia="zh-CN"/>
                    </w:rPr>
                    <w:t>4</w:t>
                  </w:r>
                </w:p>
              </w:tc>
            </w:tr>
          </w:tbl>
          <w:p w14:paraId="3B00DC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2）列车速度：预测计算速度可按设计最高速度的90%确定。</w:t>
            </w:r>
          </w:p>
          <w:p w14:paraId="617660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3）线路、轨道：有缝线路钢轨采用50kg/m，线路为有砟轨道。</w:t>
            </w:r>
          </w:p>
          <w:p w14:paraId="71F8D5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4）轨枕：采用新Ⅱ型混凝土轨枕，轨枕铺设密度1520根/km。采用弹条Ⅰ型扣件。</w:t>
            </w:r>
          </w:p>
          <w:p w14:paraId="3396C18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3、振动达标距离预测</w:t>
            </w:r>
          </w:p>
          <w:p w14:paraId="10CC72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本项目根据不同距离处的振动预测，给出相应路段的振动达标距离。选取最不利的情况，即所有到发线和货物线上均有火车运行，即本项目满负荷运转时的振动预测结果，具体详见</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r>
              <w:rPr>
                <w:rFonts w:hint="eastAsia" w:ascii="Times New Roman" w:hAnsi="Times New Roman" w:eastAsia="宋体" w:cs="Times New Roman"/>
                <w:color w:val="000000"/>
                <w:kern w:val="0"/>
                <w:sz w:val="24"/>
                <w:szCs w:val="24"/>
                <w:lang w:val="en-US" w:eastAsia="zh-CN" w:bidi="ar"/>
              </w:rPr>
              <w:t>。</w:t>
            </w:r>
          </w:p>
          <w:p w14:paraId="08F46AB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表4-18 铁路振动达标距离预测表</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1966"/>
              <w:gridCol w:w="1966"/>
              <w:gridCol w:w="1967"/>
            </w:tblGrid>
            <w:tr w14:paraId="7494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restart"/>
                  <w:tcBorders>
                    <w:left w:val="nil"/>
                  </w:tcBorders>
                  <w:vAlign w:val="center"/>
                </w:tcPr>
                <w:p w14:paraId="0C39E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断面</w:t>
                  </w:r>
                </w:p>
              </w:tc>
              <w:tc>
                <w:tcPr>
                  <w:tcW w:w="1966" w:type="dxa"/>
                  <w:vMerge w:val="restart"/>
                  <w:vAlign w:val="center"/>
                </w:tcPr>
                <w:p w14:paraId="7969DA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路基形式</w:t>
                  </w:r>
                </w:p>
              </w:tc>
              <w:tc>
                <w:tcPr>
                  <w:tcW w:w="3933" w:type="dxa"/>
                  <w:gridSpan w:val="2"/>
                  <w:tcBorders>
                    <w:right w:val="nil"/>
                  </w:tcBorders>
                  <w:vAlign w:val="center"/>
                </w:tcPr>
                <w:p w14:paraId="4A6BB9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距外轨中心线距离（m）</w:t>
                  </w:r>
                </w:p>
              </w:tc>
            </w:tr>
            <w:tr w14:paraId="57B5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Borders>
                    <w:left w:val="nil"/>
                  </w:tcBorders>
                  <w:vAlign w:val="center"/>
                </w:tcPr>
                <w:p w14:paraId="701A32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966" w:type="dxa"/>
                  <w:vMerge w:val="continue"/>
                  <w:vAlign w:val="center"/>
                </w:tcPr>
                <w:p w14:paraId="702BAA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966" w:type="dxa"/>
                  <w:vAlign w:val="center"/>
                </w:tcPr>
                <w:p w14:paraId="40BCF4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昼间</w:t>
                  </w:r>
                </w:p>
              </w:tc>
              <w:tc>
                <w:tcPr>
                  <w:tcW w:w="1967" w:type="dxa"/>
                  <w:tcBorders>
                    <w:right w:val="nil"/>
                  </w:tcBorders>
                  <w:vAlign w:val="center"/>
                </w:tcPr>
                <w:p w14:paraId="4F0E04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夜间</w:t>
                  </w:r>
                </w:p>
              </w:tc>
            </w:tr>
            <w:tr w14:paraId="5F3A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Borders>
                    <w:left w:val="nil"/>
                  </w:tcBorders>
                  <w:vAlign w:val="center"/>
                </w:tcPr>
                <w:p w14:paraId="31D5F9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966" w:type="dxa"/>
                  <w:vMerge w:val="continue"/>
                  <w:vAlign w:val="center"/>
                </w:tcPr>
                <w:p w14:paraId="4C970E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p>
              </w:tc>
              <w:tc>
                <w:tcPr>
                  <w:tcW w:w="1966" w:type="dxa"/>
                  <w:vAlign w:val="center"/>
                </w:tcPr>
                <w:p w14:paraId="270F77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75dB</w:t>
                  </w:r>
                </w:p>
              </w:tc>
              <w:tc>
                <w:tcPr>
                  <w:tcW w:w="1967" w:type="dxa"/>
                  <w:tcBorders>
                    <w:right w:val="nil"/>
                  </w:tcBorders>
                  <w:vAlign w:val="center"/>
                </w:tcPr>
                <w:p w14:paraId="4B0219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72dB</w:t>
                  </w:r>
                </w:p>
              </w:tc>
            </w:tr>
            <w:tr w14:paraId="640C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tcBorders>
                    <w:left w:val="nil"/>
                  </w:tcBorders>
                  <w:vAlign w:val="center"/>
                </w:tcPr>
                <w:p w14:paraId="207B65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专用线</w:t>
                  </w:r>
                </w:p>
              </w:tc>
              <w:tc>
                <w:tcPr>
                  <w:tcW w:w="1966" w:type="dxa"/>
                  <w:vAlign w:val="center"/>
                </w:tcPr>
                <w:p w14:paraId="20FE4D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路基</w:t>
                  </w:r>
                </w:p>
              </w:tc>
              <w:tc>
                <w:tcPr>
                  <w:tcW w:w="1966" w:type="dxa"/>
                  <w:vAlign w:val="center"/>
                </w:tcPr>
                <w:p w14:paraId="1CD8FA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15</w:t>
                  </w:r>
                </w:p>
              </w:tc>
              <w:tc>
                <w:tcPr>
                  <w:tcW w:w="1967" w:type="dxa"/>
                  <w:tcBorders>
                    <w:right w:val="nil"/>
                  </w:tcBorders>
                  <w:vAlign w:val="center"/>
                </w:tcPr>
                <w:p w14:paraId="708C8D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30.8</w:t>
                  </w:r>
                </w:p>
              </w:tc>
            </w:tr>
          </w:tbl>
          <w:p w14:paraId="64ACB7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由预测表可知，同一轨道条件下，有砟轨道，对照《城市区域环境振动标准》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GB10070-88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中</w:t>
            </w:r>
            <w:r>
              <w:rPr>
                <w:rFonts w:hint="eastAsia" w:ascii="Times New Roman" w:hAnsi="Times New Roman" w:eastAsia="宋体" w:cs="Times New Roman"/>
                <w:color w:val="000000"/>
                <w:kern w:val="0"/>
                <w:sz w:val="24"/>
                <w:szCs w:val="24"/>
                <w:lang w:val="en-US" w:eastAsia="zh-CN" w:bidi="ar"/>
              </w:rPr>
              <w:t>“混合区”</w:t>
            </w:r>
            <w:r>
              <w:rPr>
                <w:rFonts w:hint="default" w:ascii="Times New Roman" w:hAnsi="Times New Roman" w:eastAsia="宋体" w:cs="Times New Roman"/>
                <w:color w:val="000000"/>
                <w:kern w:val="0"/>
                <w:sz w:val="24"/>
                <w:szCs w:val="24"/>
                <w:lang w:val="en-US" w:eastAsia="zh-CN" w:bidi="ar"/>
              </w:rPr>
              <w:t>标准，专用线段路堤段的达标距离分别为</w:t>
            </w:r>
            <w:r>
              <w:rPr>
                <w:rFonts w:hint="eastAsia" w:cs="Times New Roman"/>
                <w:color w:val="000000"/>
                <w:kern w:val="0"/>
                <w:sz w:val="24"/>
                <w:szCs w:val="24"/>
                <w:lang w:val="en-US" w:eastAsia="zh-CN" w:bidi="ar"/>
              </w:rPr>
              <w:t>15</w:t>
            </w:r>
            <w:r>
              <w:rPr>
                <w:rFonts w:hint="default" w:ascii="Times New Roman" w:hAnsi="Times New Roman" w:eastAsia="宋体" w:cs="Times New Roman"/>
                <w:color w:val="000000"/>
                <w:kern w:val="0"/>
                <w:sz w:val="24"/>
                <w:szCs w:val="24"/>
                <w:lang w:val="en-US" w:eastAsia="zh-CN" w:bidi="ar"/>
              </w:rPr>
              <w:t>m和</w:t>
            </w:r>
            <w:r>
              <w:rPr>
                <w:rFonts w:hint="eastAsia" w:cs="Times New Roman"/>
                <w:color w:val="000000"/>
                <w:kern w:val="0"/>
                <w:sz w:val="24"/>
                <w:szCs w:val="24"/>
                <w:lang w:val="en-US" w:eastAsia="zh-CN" w:bidi="ar"/>
              </w:rPr>
              <w:t>30.8</w:t>
            </w:r>
            <w:r>
              <w:rPr>
                <w:rFonts w:hint="default" w:ascii="Times New Roman" w:hAnsi="Times New Roman" w:eastAsia="宋体" w:cs="Times New Roman"/>
                <w:color w:val="000000"/>
                <w:kern w:val="0"/>
                <w:sz w:val="24"/>
                <w:szCs w:val="24"/>
                <w:lang w:val="en-US" w:eastAsia="zh-CN" w:bidi="ar"/>
              </w:rPr>
              <w:t>m，本项目与居民点距离很远，因此该项目振动对环境的影响较小。</w:t>
            </w:r>
          </w:p>
          <w:p w14:paraId="1B833C7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监测计划</w:t>
            </w:r>
          </w:p>
          <w:p w14:paraId="3180794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4"/>
                <w:szCs w:val="24"/>
                <w:lang w:val="en-US" w:eastAsia="zh-CN" w:bidi="ar"/>
              </w:rPr>
            </w:pPr>
            <w:r>
              <w:rPr>
                <w:rFonts w:hint="eastAsia" w:ascii="黑体" w:hAnsi="黑体" w:eastAsia="黑体" w:cs="黑体"/>
                <w:b w:val="0"/>
                <w:bCs w:val="0"/>
                <w:lang w:val="en-US" w:eastAsia="zh-CN"/>
              </w:rPr>
              <w:t>表4-19 项目振动监测计划一览表</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471"/>
              <w:gridCol w:w="4034"/>
              <w:gridCol w:w="1378"/>
            </w:tblGrid>
            <w:tr w14:paraId="76827D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tcBorders>
                    <w:tl2br w:val="nil"/>
                    <w:tr2bl w:val="nil"/>
                  </w:tcBorders>
                  <w:vAlign w:val="center"/>
                </w:tcPr>
                <w:p w14:paraId="3B65F9F5">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监测项目</w:t>
                  </w:r>
                </w:p>
              </w:tc>
              <w:tc>
                <w:tcPr>
                  <w:tcW w:w="933" w:type="pct"/>
                  <w:tcBorders>
                    <w:tl2br w:val="nil"/>
                    <w:tr2bl w:val="nil"/>
                  </w:tcBorders>
                  <w:vAlign w:val="center"/>
                </w:tcPr>
                <w:p w14:paraId="2A6554F4">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监测点位</w:t>
                  </w:r>
                </w:p>
              </w:tc>
              <w:tc>
                <w:tcPr>
                  <w:tcW w:w="2559" w:type="pct"/>
                  <w:tcBorders>
                    <w:tl2br w:val="nil"/>
                    <w:tr2bl w:val="nil"/>
                  </w:tcBorders>
                  <w:vAlign w:val="center"/>
                </w:tcPr>
                <w:p w14:paraId="689D5578">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监测频次</w:t>
                  </w:r>
                </w:p>
              </w:tc>
              <w:tc>
                <w:tcPr>
                  <w:tcW w:w="874" w:type="pct"/>
                  <w:tcBorders>
                    <w:tl2br w:val="nil"/>
                    <w:tr2bl w:val="nil"/>
                  </w:tcBorders>
                  <w:vAlign w:val="center"/>
                </w:tcPr>
                <w:p w14:paraId="1490E0CC">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监测方法</w:t>
                  </w:r>
                </w:p>
              </w:tc>
            </w:tr>
            <w:tr w14:paraId="696C95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tcBorders>
                    <w:tl2br w:val="nil"/>
                    <w:tr2bl w:val="nil"/>
                  </w:tcBorders>
                  <w:vAlign w:val="center"/>
                </w:tcPr>
                <w:p w14:paraId="6ACE2041">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振动</w:t>
                  </w:r>
                </w:p>
              </w:tc>
              <w:tc>
                <w:tcPr>
                  <w:tcW w:w="933" w:type="pct"/>
                  <w:tcBorders>
                    <w:tl2br w:val="nil"/>
                    <w:tr2bl w:val="nil"/>
                  </w:tcBorders>
                  <w:vAlign w:val="center"/>
                </w:tcPr>
                <w:p w14:paraId="5F31DFC3">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铁路专用线</w:t>
                  </w:r>
                  <w:r>
                    <w:rPr>
                      <w:rFonts w:hint="eastAsia" w:ascii="Times New Roman" w:hAnsi="Times New Roman" w:eastAsia="宋体" w:cs="Times New Roman"/>
                      <w:b w:val="0"/>
                      <w:bCs w:val="0"/>
                      <w:color w:val="000000"/>
                      <w:kern w:val="0"/>
                      <w:sz w:val="18"/>
                      <w:szCs w:val="18"/>
                      <w:vertAlign w:val="baseline"/>
                      <w:lang w:val="en-US" w:eastAsia="zh-CN" w:bidi="ar"/>
                    </w:rPr>
                    <w:t>四周</w:t>
                  </w:r>
                </w:p>
              </w:tc>
              <w:tc>
                <w:tcPr>
                  <w:tcW w:w="2559" w:type="pct"/>
                  <w:tcBorders>
                    <w:tl2br w:val="nil"/>
                    <w:tr2bl w:val="nil"/>
                  </w:tcBorders>
                  <w:vAlign w:val="center"/>
                </w:tcPr>
                <w:p w14:paraId="623BB037">
                  <w:pPr>
                    <w:pStyle w:val="2"/>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竣工环境保护验收时连续监测</w:t>
                  </w:r>
                  <w:r>
                    <w:rPr>
                      <w:rFonts w:hint="default" w:ascii="Times New Roman" w:hAnsi="Times New Roman" w:eastAsia="宋体" w:cs="Times New Roman"/>
                      <w:b w:val="0"/>
                      <w:bCs w:val="0"/>
                      <w:color w:val="000000"/>
                      <w:kern w:val="0"/>
                      <w:sz w:val="18"/>
                      <w:szCs w:val="18"/>
                      <w:vertAlign w:val="baseline"/>
                      <w:lang w:val="en-US" w:eastAsia="zh-CN" w:bidi="ar"/>
                    </w:rPr>
                    <w:t>2</w:t>
                  </w:r>
                  <w:r>
                    <w:rPr>
                      <w:rFonts w:hint="eastAsia" w:ascii="Times New Roman" w:hAnsi="Times New Roman" w:eastAsia="宋体" w:cs="Times New Roman"/>
                      <w:b w:val="0"/>
                      <w:bCs w:val="0"/>
                      <w:color w:val="000000"/>
                      <w:kern w:val="0"/>
                      <w:sz w:val="18"/>
                      <w:szCs w:val="18"/>
                      <w:vertAlign w:val="baseline"/>
                      <w:lang w:val="en-US" w:eastAsia="zh-CN" w:bidi="ar"/>
                    </w:rPr>
                    <w:t>天，每天</w:t>
                  </w:r>
                  <w:r>
                    <w:rPr>
                      <w:rFonts w:hint="default" w:ascii="Times New Roman" w:hAnsi="Times New Roman" w:eastAsia="宋体" w:cs="Times New Roman"/>
                      <w:b w:val="0"/>
                      <w:bCs w:val="0"/>
                      <w:color w:val="000000"/>
                      <w:kern w:val="0"/>
                      <w:sz w:val="18"/>
                      <w:szCs w:val="18"/>
                      <w:vertAlign w:val="baseline"/>
                      <w:lang w:val="en-US" w:eastAsia="zh-CN" w:bidi="ar"/>
                    </w:rPr>
                    <w:t>1</w:t>
                  </w:r>
                  <w:r>
                    <w:rPr>
                      <w:rFonts w:hint="eastAsia" w:ascii="Times New Roman" w:hAnsi="Times New Roman" w:eastAsia="宋体" w:cs="Times New Roman"/>
                      <w:b w:val="0"/>
                      <w:bCs w:val="0"/>
                      <w:color w:val="000000"/>
                      <w:kern w:val="0"/>
                      <w:sz w:val="18"/>
                      <w:szCs w:val="18"/>
                      <w:vertAlign w:val="baseline"/>
                      <w:lang w:val="en-US" w:eastAsia="zh-CN" w:bidi="ar"/>
                    </w:rPr>
                    <w:t>次。验收后纳入当地生态环境局的正常监测管理，每季度至少开展一次监测。</w:t>
                  </w:r>
                </w:p>
              </w:tc>
              <w:tc>
                <w:tcPr>
                  <w:tcW w:w="874" w:type="pct"/>
                  <w:tcBorders>
                    <w:tl2br w:val="nil"/>
                    <w:tr2bl w:val="nil"/>
                  </w:tcBorders>
                  <w:vAlign w:val="center"/>
                </w:tcPr>
                <w:p w14:paraId="0BE71385">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eastAsia" w:ascii="Times New Roman" w:hAnsi="Times New Roman" w:eastAsia="宋体" w:cs="Times New Roman"/>
                      <w:b w:val="0"/>
                      <w:bCs w:val="0"/>
                      <w:color w:val="000000"/>
                      <w:kern w:val="0"/>
                      <w:sz w:val="18"/>
                      <w:szCs w:val="18"/>
                      <w:vertAlign w:val="baseline"/>
                      <w:lang w:val="en-US" w:eastAsia="zh-CN" w:bidi="ar"/>
                    </w:rPr>
                    <w:t>参照国家相关标准及技术规范要求执行</w:t>
                  </w:r>
                </w:p>
              </w:tc>
            </w:tr>
          </w:tbl>
          <w:p w14:paraId="3340F0F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sz w:val="24"/>
                <w:szCs w:val="24"/>
                <w:lang w:val="en-US" w:eastAsia="zh-CN"/>
              </w:rPr>
              <w:t>4.</w:t>
            </w:r>
            <w:r>
              <w:rPr>
                <w:rFonts w:hint="eastAsia" w:cs="Times New Roman"/>
                <w:b/>
                <w:bCs/>
                <w:sz w:val="24"/>
                <w:szCs w:val="24"/>
                <w:lang w:val="en-US" w:eastAsia="zh-CN"/>
              </w:rPr>
              <w:t>10运营期地表水环境影响分析</w:t>
            </w:r>
          </w:p>
          <w:p w14:paraId="11851D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本项目运营期主要用水为生活污水</w:t>
            </w:r>
            <w:r>
              <w:rPr>
                <w:rFonts w:hint="eastAsia" w:cs="Times New Roman"/>
                <w:color w:val="000000"/>
                <w:kern w:val="0"/>
                <w:sz w:val="24"/>
                <w:szCs w:val="24"/>
                <w:lang w:val="en-US" w:eastAsia="zh-CN" w:bidi="ar"/>
              </w:rPr>
              <w:t>和初期雨水。</w:t>
            </w:r>
          </w:p>
          <w:p w14:paraId="1FD009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（1）生活污水</w:t>
            </w:r>
          </w:p>
          <w:p w14:paraId="3EA5AA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vertAlign w:val="baseline"/>
                <w:lang w:val="en-US" w:eastAsia="zh-CN"/>
              </w:rPr>
            </w:pPr>
            <w:r>
              <w:rPr>
                <w:rFonts w:hint="default" w:ascii="Times New Roman" w:hAnsi="Times New Roman" w:eastAsia="宋体" w:cs="Times New Roman"/>
                <w:color w:val="000000"/>
                <w:kern w:val="0"/>
                <w:sz w:val="24"/>
                <w:szCs w:val="24"/>
                <w:lang w:val="en-US" w:eastAsia="zh-CN" w:bidi="ar"/>
              </w:rPr>
              <w:t>本项目新增办公、操作及货运人员约为75人，</w:t>
            </w:r>
            <w:r>
              <w:rPr>
                <w:rFonts w:hint="default" w:ascii="Times New Roman" w:hAnsi="Times New Roman" w:eastAsia="宋体" w:cs="Times New Roman"/>
                <w:color w:val="000000"/>
                <w:kern w:val="0"/>
                <w:sz w:val="24"/>
                <w:szCs w:val="24"/>
                <w:lang w:val="zh-CN" w:eastAsia="zh-CN" w:bidi="ar"/>
              </w:rPr>
              <w:t>根据</w:t>
            </w:r>
            <w:r>
              <w:rPr>
                <w:rFonts w:hint="default" w:ascii="Times New Roman" w:hAnsi="Times New Roman" w:eastAsia="宋体" w:cs="Times New Roman"/>
                <w:color w:val="000000"/>
                <w:kern w:val="0"/>
                <w:sz w:val="24"/>
                <w:szCs w:val="24"/>
                <w:lang w:val="en-US" w:eastAsia="zh-CN" w:bidi="ar"/>
              </w:rPr>
              <w:t>《云南省地方标准用水定额》（DB53/T168-2019），食宿人员以1</w:t>
            </w: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0L/人·d计算，通过计算，生活日用水量为</w:t>
            </w:r>
            <w:r>
              <w:rPr>
                <w:rFonts w:hint="eastAsia" w:cs="Times New Roman"/>
                <w:color w:val="000000"/>
                <w:kern w:val="0"/>
                <w:sz w:val="24"/>
                <w:szCs w:val="24"/>
                <w:lang w:val="en-US" w:eastAsia="zh-CN" w:bidi="ar"/>
              </w:rPr>
              <w:t>9.0</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/d，全年工作时间约为330天，年用水量约为</w:t>
            </w:r>
            <w:r>
              <w:rPr>
                <w:rFonts w:hint="eastAsia" w:cs="Times New Roman"/>
                <w:color w:val="000000"/>
                <w:kern w:val="0"/>
                <w:sz w:val="24"/>
                <w:szCs w:val="24"/>
                <w:lang w:val="en-US" w:eastAsia="zh-CN" w:bidi="ar"/>
              </w:rPr>
              <w:t>2970</w:t>
            </w:r>
            <w:r>
              <w:rPr>
                <w:rFonts w:hint="default" w:ascii="Times New Roman" w:hAnsi="Times New Roman" w:eastAsia="宋体" w:cs="Times New Roman"/>
                <w:color w:val="000000"/>
                <w:kern w:val="0"/>
                <w:sz w:val="24"/>
                <w:szCs w:val="24"/>
                <w:lang w:val="en-US" w:eastAsia="zh-CN" w:bidi="ar"/>
              </w:rPr>
              <w:t>t/a，废水产生量按经验系数80%计算，则为</w:t>
            </w:r>
            <w:r>
              <w:rPr>
                <w:rFonts w:hint="eastAsia" w:cs="Times New Roman"/>
                <w:color w:val="000000"/>
                <w:kern w:val="0"/>
                <w:sz w:val="24"/>
                <w:szCs w:val="24"/>
                <w:lang w:val="en-US" w:eastAsia="zh-CN" w:bidi="ar"/>
              </w:rPr>
              <w:t>7.2</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cs="Times New Roman"/>
                <w:color w:val="000000"/>
                <w:kern w:val="0"/>
                <w:sz w:val="24"/>
                <w:szCs w:val="24"/>
                <w:lang w:val="en-US" w:eastAsia="zh-CN" w:bidi="ar"/>
              </w:rPr>
              <w:t>2376</w:t>
            </w:r>
            <w:r>
              <w:rPr>
                <w:rFonts w:hint="default" w:ascii="Times New Roman" w:hAnsi="Times New Roman" w:eastAsia="宋体" w:cs="Times New Roman"/>
                <w:color w:val="000000"/>
                <w:kern w:val="0"/>
                <w:sz w:val="24"/>
                <w:szCs w:val="24"/>
                <w:lang w:val="en-US" w:eastAsia="zh-CN" w:bidi="ar"/>
              </w:rPr>
              <w:t>t/a，</w:t>
            </w:r>
            <w:r>
              <w:rPr>
                <w:rFonts w:hint="eastAsia"/>
                <w:sz w:val="24"/>
                <w:szCs w:val="24"/>
                <w:vertAlign w:val="baseline"/>
                <w:lang w:val="en-US" w:eastAsia="zh-CN"/>
              </w:rPr>
              <w:t>生活污水通过化粪池预处理后，排入新建的一体化污水处理设施，处理能力为10m</w:t>
            </w:r>
            <w:r>
              <w:rPr>
                <w:rFonts w:hint="eastAsia"/>
                <w:sz w:val="24"/>
                <w:szCs w:val="24"/>
                <w:vertAlign w:val="superscript"/>
                <w:lang w:val="en-US" w:eastAsia="zh-CN"/>
              </w:rPr>
              <w:t>3</w:t>
            </w:r>
            <w:r>
              <w:rPr>
                <w:rFonts w:hint="eastAsia"/>
                <w:sz w:val="24"/>
                <w:szCs w:val="24"/>
                <w:vertAlign w:val="baseline"/>
                <w:lang w:val="en-US" w:eastAsia="zh-CN"/>
              </w:rPr>
              <w:t>/d，处理达标后回用于厂区绿化，不外排。</w:t>
            </w:r>
          </w:p>
          <w:p w14:paraId="125D2C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本项目生活污水产生量为</w:t>
            </w:r>
            <w:r>
              <w:rPr>
                <w:rFonts w:hint="eastAsia" w:ascii="Times New Roman" w:hAnsi="Times New Roman" w:eastAsia="宋体" w:cs="Times New Roman"/>
                <w:color w:val="000000"/>
                <w:kern w:val="0"/>
                <w:sz w:val="24"/>
                <w:szCs w:val="24"/>
                <w:lang w:val="en-US" w:eastAsia="zh-CN" w:bidi="ar"/>
              </w:rPr>
              <w:t>7.2</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本年项目新建一个容积为10m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vertAlign w:val="baseline"/>
                <w:lang w:val="en-US" w:eastAsia="zh-CN" w:bidi="ar"/>
              </w:rPr>
              <w:t>的化粪池，</w:t>
            </w:r>
            <w:r>
              <w:rPr>
                <w:rFonts w:hint="default" w:ascii="Times New Roman" w:hAnsi="Times New Roman" w:eastAsia="宋体" w:cs="Times New Roman"/>
                <w:color w:val="000000"/>
                <w:kern w:val="0"/>
                <w:sz w:val="24"/>
                <w:szCs w:val="24"/>
                <w:lang w:val="en-US" w:eastAsia="zh-CN" w:bidi="ar"/>
              </w:rPr>
              <w:t>根据建筑给水排水设计规范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GB50015-2003</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（2009版）4.8.6中，化粪池停留时间为12~24小时，本项目取化粪池停留时间为24小时，系数取1.2，项目化粪池设计容积可满足本项目需求，废水不外排具有可行性。</w:t>
            </w:r>
          </w:p>
          <w:p w14:paraId="29B0E4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（2）初期雨水</w:t>
            </w:r>
          </w:p>
          <w:p w14:paraId="54CE56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货场属于露天货场，运营期主要为集装箱货场初期雨水，初期雨水经初期雨水收集池收集</w:t>
            </w:r>
            <w:r>
              <w:rPr>
                <w:rFonts w:hint="eastAsia" w:cs="Times New Roman"/>
                <w:sz w:val="24"/>
                <w:szCs w:val="24"/>
                <w:lang w:val="en-US" w:eastAsia="zh-CN"/>
              </w:rPr>
              <w:t>沉淀后用于洒水降尘，不外排</w:t>
            </w:r>
            <w:r>
              <w:rPr>
                <w:rFonts w:hint="eastAsia" w:ascii="Times New Roman" w:hAnsi="Times New Roman" w:eastAsia="宋体" w:cs="Times New Roman"/>
                <w:sz w:val="24"/>
                <w:szCs w:val="24"/>
                <w:lang w:val="en-US" w:eastAsia="zh-CN"/>
              </w:rPr>
              <w:t>。项目露天货场四周拟建雨水沟，初期雨水经收集后进入雨水收集池，收集</w:t>
            </w:r>
            <w:r>
              <w:rPr>
                <w:rFonts w:hint="default" w:ascii="Times New Roman" w:hAnsi="Times New Roman" w:eastAsia="宋体" w:cs="Times New Roman"/>
                <w:sz w:val="24"/>
                <w:szCs w:val="24"/>
                <w:lang w:val="en-US" w:eastAsia="zh-CN"/>
              </w:rPr>
              <w:t>15min</w:t>
            </w:r>
            <w:r>
              <w:rPr>
                <w:rFonts w:hint="eastAsia" w:ascii="Times New Roman" w:hAnsi="Times New Roman" w:eastAsia="宋体" w:cs="Times New Roman"/>
                <w:sz w:val="24"/>
                <w:szCs w:val="24"/>
                <w:lang w:val="en-US" w:eastAsia="zh-CN"/>
              </w:rPr>
              <w:t>的雨水视为初期雨水，露天货场总汇水面积为</w:t>
            </w:r>
            <w:r>
              <w:rPr>
                <w:rFonts w:hint="eastAsia" w:cs="Times New Roman"/>
                <w:sz w:val="24"/>
                <w:szCs w:val="24"/>
                <w:lang w:val="en-US" w:eastAsia="zh-CN"/>
              </w:rPr>
              <w:t>20500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。初期雨水收集沉淀池容积按照该地区暴雨公式计算。雨水汇水量计算公式：</w:t>
            </w:r>
          </w:p>
          <w:p w14:paraId="34698F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Q=Ψ·q·F</w:t>
            </w:r>
          </w:p>
          <w:p w14:paraId="463C2A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式中：Q—雨水流量，L/s；</w:t>
            </w:r>
          </w:p>
          <w:p w14:paraId="1B8348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Ψ—径流系数</w:t>
            </w:r>
            <w:r>
              <w:rPr>
                <w:rFonts w:hint="eastAsia" w:ascii="Times New Roman" w:hAnsi="Times New Roman" w:eastAsia="宋体" w:cs="Times New Roman"/>
                <w:sz w:val="24"/>
                <w:szCs w:val="24"/>
                <w:lang w:val="en-US" w:eastAsia="zh-CN"/>
              </w:rPr>
              <w:t>0.15</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0.9</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经验数值0.4</w:t>
            </w:r>
            <w:r>
              <w:rPr>
                <w:rFonts w:hint="default" w:ascii="Times New Roman" w:hAnsi="Times New Roman" w:eastAsia="宋体" w:cs="Times New Roman"/>
                <w:sz w:val="24"/>
                <w:szCs w:val="24"/>
                <w:lang w:val="en-US" w:eastAsia="zh-CN"/>
              </w:rPr>
              <w:t>；</w:t>
            </w:r>
          </w:p>
          <w:p w14:paraId="5C0B93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q—设计暴雨强度，L/s.hm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7D7141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F—汇水面积，</w:t>
            </w:r>
            <w:r>
              <w:rPr>
                <w:rFonts w:hint="eastAsia" w:ascii="Times New Roman" w:hAnsi="Times New Roman" w:cs="Times New Roman"/>
                <w:sz w:val="24"/>
                <w:szCs w:val="24"/>
                <w:lang w:val="en-US" w:eastAsia="zh-CN"/>
              </w:rPr>
              <w:t>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2F1DEC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玉溪市暴雨强度计算公式：</w:t>
            </w:r>
          </w:p>
          <w:p w14:paraId="4814F7C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pPr>
            <w:r>
              <w:drawing>
                <wp:inline distT="0" distB="0" distL="114300" distR="114300">
                  <wp:extent cx="2157095" cy="589280"/>
                  <wp:effectExtent l="0" t="0" r="14605" b="127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9"/>
                          <a:stretch>
                            <a:fillRect/>
                          </a:stretch>
                        </pic:blipFill>
                        <pic:spPr>
                          <a:xfrm>
                            <a:off x="0" y="0"/>
                            <a:ext cx="2157095" cy="589280"/>
                          </a:xfrm>
                          <a:prstGeom prst="rect">
                            <a:avLst/>
                          </a:prstGeom>
                          <a:noFill/>
                          <a:ln>
                            <a:noFill/>
                          </a:ln>
                        </pic:spPr>
                      </pic:pic>
                    </a:graphicData>
                  </a:graphic>
                </wp:inline>
              </w:drawing>
            </w:r>
          </w:p>
          <w:p w14:paraId="1AD4DB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式中：</w:t>
            </w:r>
            <w:r>
              <w:rPr>
                <w:rFonts w:hint="default" w:ascii="Times New Roman" w:hAnsi="Times New Roman" w:eastAsia="宋体" w:cs="Times New Roman"/>
                <w:sz w:val="24"/>
                <w:szCs w:val="24"/>
                <w:lang w:val="en-US" w:eastAsia="zh-CN"/>
              </w:rPr>
              <w:t>P—</w:t>
            </w:r>
            <w:r>
              <w:rPr>
                <w:rFonts w:hint="eastAsia" w:ascii="Times New Roman" w:hAnsi="Times New Roman" w:eastAsia="宋体" w:cs="Times New Roman"/>
                <w:sz w:val="24"/>
                <w:szCs w:val="24"/>
                <w:lang w:val="en-US" w:eastAsia="zh-CN"/>
              </w:rPr>
              <w:t>设计降雨重现期，</w:t>
            </w:r>
            <w:r>
              <w:rPr>
                <w:rFonts w:hint="default" w:ascii="Times New Roman" w:hAnsi="Times New Roman" w:eastAsia="宋体" w:cs="Times New Roman"/>
                <w:sz w:val="24"/>
                <w:szCs w:val="24"/>
                <w:lang w:val="en-US" w:eastAsia="zh-CN"/>
              </w:rPr>
              <w:t>1a</w:t>
            </w:r>
          </w:p>
          <w:p w14:paraId="1DB663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w:t>
            </w:r>
            <w:r>
              <w:rPr>
                <w:rFonts w:hint="eastAsia" w:ascii="Times New Roman" w:hAnsi="Times New Roman" w:eastAsia="宋体" w:cs="Times New Roman"/>
                <w:sz w:val="24"/>
                <w:szCs w:val="24"/>
                <w:lang w:val="en-US" w:eastAsia="zh-CN"/>
              </w:rPr>
              <w:t>降雨历时（取</w:t>
            </w:r>
            <w:r>
              <w:rPr>
                <w:rFonts w:hint="default" w:ascii="Times New Roman" w:hAnsi="Times New Roman" w:eastAsia="宋体" w:cs="Times New Roman"/>
                <w:sz w:val="24"/>
                <w:szCs w:val="24"/>
                <w:lang w:val="en-US" w:eastAsia="zh-CN"/>
              </w:rPr>
              <w:t>30min</w:t>
            </w:r>
            <w:r>
              <w:rPr>
                <w:rFonts w:hint="eastAsia" w:ascii="Times New Roman" w:hAnsi="Times New Roman" w:eastAsia="宋体" w:cs="Times New Roman"/>
                <w:sz w:val="24"/>
                <w:szCs w:val="24"/>
                <w:lang w:val="en-US" w:eastAsia="zh-CN"/>
              </w:rPr>
              <w:t>）。</w:t>
            </w:r>
          </w:p>
          <w:p w14:paraId="5BCA9A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按照上述公式计算，拟建项目区的暴雨强度为</w:t>
            </w:r>
            <w:r>
              <w:rPr>
                <w:rFonts w:hint="default" w:ascii="Times New Roman" w:hAnsi="Times New Roman" w:eastAsia="宋体" w:cs="Times New Roman"/>
                <w:sz w:val="24"/>
                <w:szCs w:val="24"/>
                <w:lang w:val="en-US" w:eastAsia="zh-CN"/>
              </w:rPr>
              <w:t>128.15L/s·hm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14:paraId="08BF1C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sz w:val="24"/>
                <w:szCs w:val="24"/>
                <w:lang w:val="en-US" w:eastAsia="zh-CN"/>
              </w:rPr>
              <w:t>在设计重现期</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年的条件下，雨水流量为</w:t>
            </w:r>
            <w:r>
              <w:rPr>
                <w:rFonts w:hint="default" w:ascii="Times New Roman" w:hAnsi="Times New Roman" w:eastAsia="宋体" w:cs="Times New Roman"/>
                <w:sz w:val="24"/>
                <w:szCs w:val="24"/>
                <w:lang w:val="en-US" w:eastAsia="zh-CN"/>
              </w:rPr>
              <w:t>182L/s</w:t>
            </w:r>
            <w:r>
              <w:rPr>
                <w:rFonts w:hint="eastAsia" w:ascii="Times New Roman" w:hAnsi="Times New Roman" w:eastAsia="宋体" w:cs="Times New Roman"/>
                <w:sz w:val="24"/>
                <w:szCs w:val="24"/>
                <w:lang w:val="en-US" w:eastAsia="zh-CN"/>
              </w:rPr>
              <w:t>。本次评价考虑对暴雨条件下前</w:t>
            </w:r>
            <w:r>
              <w:rPr>
                <w:rFonts w:hint="default" w:ascii="Times New Roman" w:hAnsi="Times New Roman" w:eastAsia="宋体" w:cs="Times New Roman"/>
                <w:sz w:val="24"/>
                <w:szCs w:val="24"/>
                <w:lang w:val="en-US" w:eastAsia="zh-CN"/>
              </w:rPr>
              <w:t>15min</w:t>
            </w:r>
            <w:r>
              <w:rPr>
                <w:rFonts w:hint="eastAsia" w:ascii="Times New Roman" w:hAnsi="Times New Roman" w:eastAsia="宋体" w:cs="Times New Roman"/>
                <w:sz w:val="24"/>
                <w:szCs w:val="24"/>
                <w:lang w:val="en-US" w:eastAsia="zh-CN"/>
              </w:rPr>
              <w:t>的雨水进行收集，则暴雨情况下需收集的雨水量为</w:t>
            </w:r>
            <w:r>
              <w:rPr>
                <w:rFonts w:hint="eastAsia" w:cs="Times New Roman"/>
                <w:sz w:val="24"/>
                <w:szCs w:val="24"/>
                <w:lang w:val="en-US" w:eastAsia="zh-CN"/>
              </w:rPr>
              <w:t>94.57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，环评要求在项目地势最低位置新建一个容积为</w:t>
            </w: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00m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的初期雨水收集池。本项目不涉及危险品储运，为集装箱的装卸，初期雨水主要污染物为</w:t>
            </w:r>
            <w:r>
              <w:rPr>
                <w:rFonts w:hint="default" w:ascii="Times New Roman" w:hAnsi="Times New Roman" w:eastAsia="宋体" w:cs="Times New Roman"/>
                <w:sz w:val="24"/>
                <w:szCs w:val="24"/>
                <w:lang w:val="en-US" w:eastAsia="zh-CN"/>
              </w:rPr>
              <w:t>SS</w:t>
            </w:r>
            <w:r>
              <w:rPr>
                <w:rFonts w:hint="eastAsia" w:ascii="Times New Roman" w:hAnsi="Times New Roman" w:eastAsia="宋体" w:cs="Times New Roman"/>
                <w:sz w:val="24"/>
                <w:szCs w:val="24"/>
                <w:lang w:val="en-US" w:eastAsia="zh-CN"/>
              </w:rPr>
              <w:t>，</w:t>
            </w:r>
            <w:r>
              <w:rPr>
                <w:rFonts w:hint="default" w:ascii="Times New Roman" w:hAnsi="Times New Roman" w:cs="Times New Roman"/>
                <w:color w:val="auto"/>
                <w:sz w:val="24"/>
                <w:highlight w:val="none"/>
                <w:lang w:val="en-US" w:eastAsia="zh-CN"/>
              </w:rPr>
              <w:t>初期雨水经过收集</w:t>
            </w:r>
            <w:r>
              <w:rPr>
                <w:rFonts w:hint="eastAsia" w:cs="Times New Roman"/>
                <w:color w:val="auto"/>
                <w:sz w:val="24"/>
                <w:highlight w:val="none"/>
                <w:lang w:val="en-US" w:eastAsia="zh-CN"/>
              </w:rPr>
              <w:t>沉淀后回用于洒水降尘</w:t>
            </w:r>
            <w:r>
              <w:rPr>
                <w:rFonts w:hint="default" w:ascii="Times New Roman" w:hAnsi="Times New Roman" w:cs="Times New Roman"/>
                <w:color w:val="auto"/>
                <w:sz w:val="24"/>
                <w:highlight w:val="none"/>
                <w:lang w:val="en-US" w:eastAsia="zh-CN"/>
              </w:rPr>
              <w:t>，不外排。</w:t>
            </w:r>
          </w:p>
          <w:p w14:paraId="5CF2D97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color w:val="000000"/>
                <w:kern w:val="0"/>
                <w:sz w:val="24"/>
                <w:szCs w:val="24"/>
                <w:lang w:val="en-US" w:eastAsia="zh-CN" w:bidi="ar"/>
              </w:rPr>
              <w:t>4.11</w:t>
            </w:r>
            <w:r>
              <w:rPr>
                <w:rFonts w:hint="default" w:ascii="Times New Roman" w:hAnsi="Times New Roman" w:eastAsia="宋体" w:cs="Times New Roman"/>
                <w:b/>
                <w:bCs/>
                <w:color w:val="000000"/>
                <w:kern w:val="0"/>
                <w:sz w:val="24"/>
                <w:szCs w:val="24"/>
                <w:lang w:val="en-US" w:eastAsia="zh-CN" w:bidi="ar"/>
              </w:rPr>
              <w:t>运营期固废环境影响分析</w:t>
            </w:r>
          </w:p>
          <w:p w14:paraId="6603ED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项目不设机修间，营运期间产生的固体废物主要为包装废物，办</w:t>
            </w:r>
            <w:r>
              <w:rPr>
                <w:rFonts w:hint="eastAsia" w:ascii="Times New Roman" w:hAnsi="Times New Roman" w:eastAsia="宋体" w:cs="Times New Roman"/>
                <w:color w:val="000000"/>
                <w:kern w:val="0"/>
                <w:sz w:val="24"/>
                <w:szCs w:val="24"/>
                <w:lang w:val="en-US" w:eastAsia="zh-CN" w:bidi="ar"/>
              </w:rPr>
              <w:t>公生活产生的生活垃圾。</w:t>
            </w:r>
          </w:p>
          <w:p w14:paraId="7F7D35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本项目变压器全部采用干式变压器，无变压器油，变压器故障修理由专业人员运走处理；</w:t>
            </w:r>
            <w:r>
              <w:rPr>
                <w:rFonts w:hint="eastAsia" w:cs="Times New Roman"/>
                <w:color w:val="000000"/>
                <w:kern w:val="0"/>
                <w:sz w:val="24"/>
                <w:szCs w:val="24"/>
                <w:lang w:val="en-US" w:eastAsia="zh-CN" w:bidi="ar"/>
              </w:rPr>
              <w:t>废机油</w:t>
            </w:r>
            <w:r>
              <w:rPr>
                <w:rFonts w:hint="default" w:ascii="Times New Roman" w:hAnsi="Times New Roman" w:cs="Times New Roman"/>
                <w:color w:val="auto"/>
                <w:sz w:val="24"/>
                <w:szCs w:val="24"/>
                <w:highlight w:val="none"/>
                <w:lang w:val="en-US" w:eastAsia="zh-CN"/>
              </w:rPr>
              <w:t>经专用容器收集后暂存于</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云南玉溪仙福钢铁（集团）有限公司年</w:t>
            </w:r>
            <w:r>
              <w:rPr>
                <w:rFonts w:hint="default" w:ascii="Times New Roman" w:hAnsi="Times New Roman" w:eastAsia="宋体" w:cs="Times New Roman"/>
                <w:color w:val="000000"/>
                <w:kern w:val="0"/>
                <w:sz w:val="24"/>
                <w:szCs w:val="24"/>
                <w:lang w:val="en-US" w:eastAsia="zh-CN" w:bidi="ar"/>
              </w:rPr>
              <w:t>产260万吨/年铁钢材项目</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配套</w:t>
            </w:r>
            <w:r>
              <w:rPr>
                <w:rFonts w:hint="eastAsia" w:ascii="Times New Roman" w:hAnsi="Times New Roman" w:cs="Times New Roman"/>
                <w:color w:val="auto"/>
                <w:sz w:val="24"/>
                <w:szCs w:val="24"/>
                <w:highlight w:val="none"/>
                <w:lang w:val="en-US" w:eastAsia="zh-CN"/>
              </w:rPr>
              <w:t>危险废物</w:t>
            </w:r>
            <w:r>
              <w:rPr>
                <w:rFonts w:hint="eastAsia" w:cs="Times New Roman"/>
                <w:color w:val="auto"/>
                <w:sz w:val="24"/>
                <w:szCs w:val="24"/>
                <w:highlight w:val="none"/>
                <w:lang w:val="en-US" w:eastAsia="zh-CN"/>
              </w:rPr>
              <w:t>贮</w:t>
            </w:r>
            <w:r>
              <w:rPr>
                <w:rFonts w:hint="eastAsia" w:ascii="Times New Roman" w:hAnsi="Times New Roman" w:cs="Times New Roman"/>
                <w:color w:val="auto"/>
                <w:sz w:val="24"/>
                <w:szCs w:val="24"/>
                <w:highlight w:val="none"/>
                <w:lang w:val="en-US" w:eastAsia="zh-CN"/>
              </w:rPr>
              <w:t>存库</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云南绿力环保科技有限公司</w:t>
            </w:r>
            <w:r>
              <w:rPr>
                <w:rFonts w:hint="default" w:ascii="Times New Roman" w:hAnsi="Times New Roman" w:cs="Times New Roman"/>
                <w:color w:val="auto"/>
                <w:sz w:val="24"/>
                <w:szCs w:val="24"/>
                <w:highlight w:val="none"/>
                <w:lang w:val="en-US" w:eastAsia="zh-CN"/>
              </w:rPr>
              <w:t>定期</w:t>
            </w:r>
            <w:r>
              <w:rPr>
                <w:rFonts w:hint="eastAsia" w:cs="Times New Roman"/>
                <w:color w:val="auto"/>
                <w:sz w:val="24"/>
                <w:szCs w:val="24"/>
                <w:highlight w:val="none"/>
                <w:lang w:val="en-US" w:eastAsia="zh-CN"/>
              </w:rPr>
              <w:t>清运</w:t>
            </w:r>
            <w:r>
              <w:rPr>
                <w:rFonts w:hint="default" w:ascii="Times New Roman" w:hAnsi="Times New Roman" w:cs="Times New Roman"/>
                <w:color w:val="auto"/>
                <w:sz w:val="24"/>
                <w:szCs w:val="24"/>
                <w:highlight w:val="none"/>
                <w:lang w:val="en-US" w:eastAsia="zh-CN"/>
              </w:rPr>
              <w:t>处置</w:t>
            </w:r>
            <w:r>
              <w:rPr>
                <w:rFonts w:hint="eastAsia" w:ascii="Times New Roman" w:hAnsi="Times New Roman" w:eastAsia="宋体" w:cs="Times New Roman"/>
                <w:color w:val="000000"/>
                <w:kern w:val="0"/>
                <w:sz w:val="24"/>
                <w:szCs w:val="24"/>
                <w:lang w:val="en-US" w:eastAsia="zh-CN" w:bidi="ar"/>
              </w:rPr>
              <w:t>。</w:t>
            </w:r>
          </w:p>
          <w:p w14:paraId="1FE51B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）生活垃圾</w:t>
            </w:r>
          </w:p>
          <w:p w14:paraId="0C44E1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项目工作人员为</w:t>
            </w:r>
            <w:r>
              <w:rPr>
                <w:rFonts w:hint="eastAsia" w:cs="Times New Roman"/>
                <w:color w:val="000000"/>
                <w:kern w:val="0"/>
                <w:sz w:val="24"/>
                <w:szCs w:val="24"/>
                <w:lang w:val="en-US" w:eastAsia="zh-CN" w:bidi="ar"/>
              </w:rPr>
              <w:t>75</w:t>
            </w:r>
            <w:r>
              <w:rPr>
                <w:rFonts w:hint="eastAsia" w:ascii="Times New Roman" w:hAnsi="Times New Roman" w:eastAsia="宋体" w:cs="Times New Roman"/>
                <w:color w:val="000000"/>
                <w:kern w:val="0"/>
                <w:sz w:val="24"/>
                <w:szCs w:val="24"/>
                <w:lang w:val="en-US" w:eastAsia="zh-CN" w:bidi="ar"/>
              </w:rPr>
              <w:t>人，一般生活垃圾产生量约为</w:t>
            </w:r>
            <w:r>
              <w:rPr>
                <w:rFonts w:hint="default" w:ascii="Times New Roman" w:hAnsi="Times New Roman" w:eastAsia="宋体" w:cs="Times New Roman"/>
                <w:color w:val="000000"/>
                <w:kern w:val="0"/>
                <w:sz w:val="24"/>
                <w:szCs w:val="24"/>
                <w:lang w:val="en-US" w:eastAsia="zh-CN" w:bidi="ar"/>
              </w:rPr>
              <w:t>1kg/</w:t>
            </w:r>
            <w:r>
              <w:rPr>
                <w:rFonts w:hint="eastAsia" w:ascii="Times New Roman" w:hAnsi="Times New Roman" w:eastAsia="宋体" w:cs="Times New Roman"/>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，计算得本项目产生生活垃圾量为</w:t>
            </w:r>
            <w:r>
              <w:rPr>
                <w:rFonts w:hint="eastAsia" w:cs="Times New Roman"/>
                <w:color w:val="000000"/>
                <w:kern w:val="0"/>
                <w:sz w:val="24"/>
                <w:szCs w:val="24"/>
                <w:lang w:val="en-US" w:eastAsia="zh-CN" w:bidi="ar"/>
              </w:rPr>
              <w:t>75</w:t>
            </w:r>
            <w:r>
              <w:rPr>
                <w:rFonts w:hint="default" w:ascii="Times New Roman" w:hAnsi="Times New Roman" w:eastAsia="宋体" w:cs="Times New Roman"/>
                <w:color w:val="000000"/>
                <w:kern w:val="0"/>
                <w:sz w:val="24"/>
                <w:szCs w:val="24"/>
                <w:lang w:val="en-US" w:eastAsia="zh-CN" w:bidi="ar"/>
              </w:rPr>
              <w:t>kg/d</w:t>
            </w:r>
            <w:r>
              <w:rPr>
                <w:rFonts w:hint="eastAsia" w:ascii="Times New Roman" w:hAnsi="Times New Roman" w:eastAsia="宋体" w:cs="Times New Roman"/>
                <w:color w:val="000000"/>
                <w:kern w:val="0"/>
                <w:sz w:val="24"/>
                <w:szCs w:val="24"/>
                <w:lang w:val="en-US" w:eastAsia="zh-CN" w:bidi="ar"/>
              </w:rPr>
              <w:t>，年产生量为</w:t>
            </w:r>
            <w:r>
              <w:rPr>
                <w:rFonts w:hint="eastAsia" w:cs="Times New Roman"/>
                <w:color w:val="000000"/>
                <w:kern w:val="0"/>
                <w:sz w:val="24"/>
                <w:szCs w:val="24"/>
                <w:lang w:val="en-US" w:eastAsia="zh-CN" w:bidi="ar"/>
              </w:rPr>
              <w:t>24.75</w:t>
            </w:r>
            <w:r>
              <w:rPr>
                <w:rFonts w:hint="default" w:ascii="Times New Roman" w:hAnsi="Times New Roman" w:eastAsia="宋体" w:cs="Times New Roman"/>
                <w:color w:val="000000"/>
                <w:kern w:val="0"/>
                <w:sz w:val="24"/>
                <w:szCs w:val="24"/>
                <w:lang w:val="en-US" w:eastAsia="zh-CN" w:bidi="ar"/>
              </w:rPr>
              <w:t>t/a</w:t>
            </w:r>
            <w:r>
              <w:rPr>
                <w:rFonts w:hint="eastAsia" w:ascii="Times New Roman" w:hAnsi="Times New Roman" w:eastAsia="宋体" w:cs="Times New Roman"/>
                <w:color w:val="000000"/>
                <w:kern w:val="0"/>
                <w:sz w:val="24"/>
                <w:szCs w:val="24"/>
                <w:lang w:val="en-US" w:eastAsia="zh-CN" w:bidi="ar"/>
              </w:rPr>
              <w:t>。生活垃圾由环卫部门定期清运。</w:t>
            </w:r>
          </w:p>
          <w:p w14:paraId="5D6C94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（2）包装废物</w:t>
            </w:r>
          </w:p>
          <w:p w14:paraId="65F4C4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根据建设单位提供的数据，本项目包装废物产生量约为200kg/d，66t/a，包装废物</w:t>
            </w:r>
            <w:r>
              <w:rPr>
                <w:rFonts w:hint="eastAsia" w:cs="Times New Roman"/>
                <w:color w:val="000000"/>
                <w:kern w:val="0"/>
                <w:sz w:val="24"/>
                <w:szCs w:val="24"/>
                <w:lang w:val="en-US" w:eastAsia="zh-CN" w:bidi="ar"/>
              </w:rPr>
              <w:t>能回收的回收利用，不能回收的统一收集后清运至指定地点</w:t>
            </w:r>
            <w:r>
              <w:rPr>
                <w:rFonts w:hint="default" w:ascii="Times New Roman" w:hAnsi="Times New Roman" w:eastAsia="宋体" w:cs="Times New Roman"/>
                <w:color w:val="000000"/>
                <w:kern w:val="0"/>
                <w:sz w:val="24"/>
                <w:szCs w:val="24"/>
                <w:lang w:val="en-US" w:eastAsia="zh-CN" w:bidi="ar"/>
              </w:rPr>
              <w:t>。</w:t>
            </w:r>
          </w:p>
          <w:p w14:paraId="5EA415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（3）化粪池污泥</w:t>
            </w:r>
          </w:p>
          <w:p w14:paraId="514E62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通过地表水小节的分析，化粪池中废水量约为</w:t>
            </w:r>
            <w:r>
              <w:rPr>
                <w:rFonts w:hint="eastAsia" w:ascii="Times New Roman" w:hAnsi="Times New Roman" w:eastAsia="宋体" w:cs="Times New Roman"/>
                <w:color w:val="000000"/>
                <w:kern w:val="0"/>
                <w:sz w:val="24"/>
                <w:szCs w:val="24"/>
                <w:lang w:val="en-US" w:eastAsia="zh-CN" w:bidi="ar"/>
              </w:rPr>
              <w:t>2.235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/d，化粪池内固体物质产生量约为</w:t>
            </w:r>
            <w:r>
              <w:rPr>
                <w:rFonts w:hint="eastAsia" w:ascii="Times New Roman" w:hAnsi="Times New Roman" w:eastAsia="宋体" w:cs="Times New Roman"/>
                <w:color w:val="000000"/>
                <w:kern w:val="0"/>
                <w:sz w:val="24"/>
                <w:szCs w:val="24"/>
                <w:lang w:val="en-US" w:eastAsia="zh-CN" w:bidi="ar"/>
              </w:rPr>
              <w:t>35.6</w:t>
            </w:r>
            <w:r>
              <w:rPr>
                <w:rFonts w:hint="default" w:ascii="Times New Roman" w:hAnsi="Times New Roman" w:eastAsia="宋体" w:cs="Times New Roman"/>
                <w:color w:val="000000"/>
                <w:kern w:val="0"/>
                <w:sz w:val="24"/>
                <w:szCs w:val="24"/>
                <w:lang w:val="en-US" w:eastAsia="zh-CN" w:bidi="ar"/>
              </w:rPr>
              <w:t>kg/d，</w:t>
            </w:r>
            <w:r>
              <w:rPr>
                <w:rFonts w:hint="eastAsia" w:ascii="Times New Roman" w:hAnsi="Times New Roman" w:eastAsia="宋体" w:cs="Times New Roman"/>
                <w:color w:val="000000"/>
                <w:kern w:val="0"/>
                <w:sz w:val="24"/>
                <w:szCs w:val="24"/>
                <w:lang w:val="en-US" w:eastAsia="zh-CN" w:bidi="ar"/>
              </w:rPr>
              <w:t>12.45</w:t>
            </w:r>
            <w:r>
              <w:rPr>
                <w:rFonts w:hint="default" w:ascii="Times New Roman" w:hAnsi="Times New Roman" w:eastAsia="宋体" w:cs="Times New Roman"/>
                <w:color w:val="000000"/>
                <w:kern w:val="0"/>
                <w:sz w:val="24"/>
                <w:szCs w:val="24"/>
                <w:lang w:val="en-US" w:eastAsia="zh-CN" w:bidi="ar"/>
              </w:rPr>
              <w:t>t/a。化粪池内的固体物质委托环卫部门定期清掏。</w:t>
            </w:r>
          </w:p>
          <w:p w14:paraId="27A029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（4）废机油和含油抹布、手套</w:t>
            </w:r>
          </w:p>
          <w:p w14:paraId="0A48CB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产生量</w:t>
            </w:r>
          </w:p>
          <w:p w14:paraId="671FCF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设备检修可能会产生废机油，产生量约为</w:t>
            </w:r>
            <w:r>
              <w:rPr>
                <w:rFonts w:hint="eastAsia" w:ascii="Times New Roman" w:hAnsi="Times New Roman" w:cs="Times New Roman"/>
                <w:color w:val="auto"/>
                <w:sz w:val="24"/>
                <w:szCs w:val="24"/>
                <w:highlight w:val="none"/>
                <w:lang w:val="en-US" w:eastAsia="zh-CN"/>
              </w:rPr>
              <w:t>0.3</w:t>
            </w:r>
            <w:r>
              <w:rPr>
                <w:rFonts w:hint="default" w:ascii="Times New Roman" w:hAnsi="Times New Roman" w:cs="Times New Roman"/>
                <w:color w:val="auto"/>
                <w:sz w:val="24"/>
                <w:szCs w:val="24"/>
                <w:highlight w:val="none"/>
                <w:lang w:val="en-US" w:eastAsia="zh-CN"/>
              </w:rPr>
              <w:t>t/a，废机油（废润滑油、废液压油等）为危险废物，类别为HW</w:t>
            </w:r>
            <w:r>
              <w:rPr>
                <w:rFonts w:hint="eastAsia" w:cs="Times New Roman"/>
                <w:color w:val="auto"/>
                <w:sz w:val="24"/>
                <w:szCs w:val="24"/>
                <w:highlight w:val="none"/>
                <w:lang w:val="en-US" w:eastAsia="zh-CN"/>
              </w:rPr>
              <w:t>08</w:t>
            </w:r>
            <w:r>
              <w:rPr>
                <w:rFonts w:hint="default" w:ascii="Times New Roman" w:hAnsi="Times New Roman" w:cs="Times New Roman"/>
                <w:color w:val="auto"/>
                <w:sz w:val="24"/>
                <w:szCs w:val="24"/>
                <w:highlight w:val="none"/>
                <w:lang w:val="en-US" w:eastAsia="zh-CN"/>
              </w:rPr>
              <w:t>（废物代码为900-2</w:t>
            </w:r>
            <w:r>
              <w:rPr>
                <w:rFonts w:hint="eastAsia" w:cs="Times New Roman"/>
                <w:color w:val="auto"/>
                <w:sz w:val="24"/>
                <w:szCs w:val="24"/>
                <w:highlight w:val="none"/>
                <w:lang w:val="en-US" w:eastAsia="zh-CN"/>
              </w:rPr>
              <w:t>49</w:t>
            </w:r>
            <w:r>
              <w:rPr>
                <w:rFonts w:hint="default" w:ascii="Times New Roman" w:hAnsi="Times New Roman" w:cs="Times New Roman"/>
                <w:color w:val="auto"/>
                <w:sz w:val="24"/>
                <w:szCs w:val="24"/>
                <w:highlight w:val="none"/>
                <w:lang w:val="en-US" w:eastAsia="zh-CN"/>
              </w:rPr>
              <w:t>-08），经专用容器收集后暂存于</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云南玉溪仙福钢铁（集团）有限公司年</w:t>
            </w:r>
            <w:r>
              <w:rPr>
                <w:rFonts w:hint="default" w:ascii="Times New Roman" w:hAnsi="Times New Roman" w:eastAsia="宋体" w:cs="Times New Roman"/>
                <w:color w:val="000000"/>
                <w:kern w:val="0"/>
                <w:sz w:val="24"/>
                <w:szCs w:val="24"/>
                <w:lang w:val="en-US" w:eastAsia="zh-CN" w:bidi="ar"/>
              </w:rPr>
              <w:t>产260万吨/年铁钢材项目</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配套</w:t>
            </w:r>
            <w:r>
              <w:rPr>
                <w:rFonts w:hint="eastAsia" w:ascii="Times New Roman" w:hAnsi="Times New Roman" w:cs="Times New Roman"/>
                <w:color w:val="auto"/>
                <w:sz w:val="24"/>
                <w:szCs w:val="24"/>
                <w:highlight w:val="none"/>
                <w:lang w:val="en-US" w:eastAsia="zh-CN"/>
              </w:rPr>
              <w:t>危险废物</w:t>
            </w:r>
            <w:r>
              <w:rPr>
                <w:rFonts w:hint="eastAsia" w:cs="Times New Roman"/>
                <w:color w:val="auto"/>
                <w:sz w:val="24"/>
                <w:szCs w:val="24"/>
                <w:highlight w:val="none"/>
                <w:lang w:val="en-US" w:eastAsia="zh-CN"/>
              </w:rPr>
              <w:t>贮</w:t>
            </w:r>
            <w:r>
              <w:rPr>
                <w:rFonts w:hint="eastAsia" w:ascii="Times New Roman" w:hAnsi="Times New Roman" w:cs="Times New Roman"/>
                <w:color w:val="auto"/>
                <w:sz w:val="24"/>
                <w:szCs w:val="24"/>
                <w:highlight w:val="none"/>
                <w:lang w:val="en-US" w:eastAsia="zh-CN"/>
              </w:rPr>
              <w:t>存库</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云南绿力环保科技有限公司</w:t>
            </w:r>
            <w:r>
              <w:rPr>
                <w:rFonts w:hint="default" w:ascii="Times New Roman" w:hAnsi="Times New Roman" w:cs="Times New Roman"/>
                <w:color w:val="auto"/>
                <w:sz w:val="24"/>
                <w:szCs w:val="24"/>
                <w:highlight w:val="none"/>
                <w:lang w:val="en-US" w:eastAsia="zh-CN"/>
              </w:rPr>
              <w:t>定期</w:t>
            </w:r>
            <w:r>
              <w:rPr>
                <w:rFonts w:hint="eastAsia" w:cs="Times New Roman"/>
                <w:color w:val="auto"/>
                <w:sz w:val="24"/>
                <w:szCs w:val="24"/>
                <w:highlight w:val="none"/>
                <w:lang w:val="en-US" w:eastAsia="zh-CN"/>
              </w:rPr>
              <w:t>清运</w:t>
            </w:r>
            <w:r>
              <w:rPr>
                <w:rFonts w:hint="default" w:ascii="Times New Roman" w:hAnsi="Times New Roman" w:cs="Times New Roman"/>
                <w:color w:val="auto"/>
                <w:sz w:val="24"/>
                <w:szCs w:val="24"/>
                <w:highlight w:val="none"/>
                <w:lang w:val="en-US" w:eastAsia="zh-CN"/>
              </w:rPr>
              <w:t>处置。</w:t>
            </w:r>
          </w:p>
          <w:p w14:paraId="0C5393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设备检修过程中会产生废弃的含油抹布，产生量约为0.1t/a，根据《国家危险废物名录（202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年版）》附录</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危险废物豁免管理清单</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，废物代码为900-041-49，废弃的含油抹布、劳保用品全过程不按危险废物管理。废弃的含油抹布随意丢弃会对环境造成影响，废弃的含油抹布由环卫部门定期清运、处理。</w:t>
            </w:r>
          </w:p>
          <w:p w14:paraId="5E8E4A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②危险废物</w:t>
            </w:r>
            <w:r>
              <w:rPr>
                <w:rFonts w:hint="eastAsia" w:cs="Times New Roman"/>
                <w:color w:val="auto"/>
                <w:sz w:val="24"/>
                <w:szCs w:val="24"/>
                <w:highlight w:val="none"/>
                <w:lang w:val="en-US" w:eastAsia="zh-CN"/>
              </w:rPr>
              <w:t>贮</w:t>
            </w:r>
            <w:r>
              <w:rPr>
                <w:rFonts w:hint="eastAsia" w:ascii="Times New Roman" w:hAnsi="Times New Roman" w:cs="Times New Roman"/>
                <w:color w:val="auto"/>
                <w:sz w:val="24"/>
                <w:szCs w:val="24"/>
                <w:highlight w:val="none"/>
                <w:lang w:val="en-US" w:eastAsia="zh-CN"/>
              </w:rPr>
              <w:t>存库依托可行性</w:t>
            </w:r>
          </w:p>
          <w:p w14:paraId="3C306E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color w:val="auto"/>
                <w:sz w:val="24"/>
                <w:szCs w:val="24"/>
                <w:highlight w:val="none"/>
                <w:lang w:val="en-US" w:eastAsia="zh-CN"/>
              </w:rPr>
              <w:t>本项目依托仙福公司已</w:t>
            </w:r>
            <w:r>
              <w:rPr>
                <w:rFonts w:hint="eastAsia" w:ascii="Times New Roman" w:hAnsi="Times New Roman" w:cs="Times New Roman"/>
                <w:color w:val="auto"/>
                <w:sz w:val="24"/>
                <w:szCs w:val="24"/>
                <w:highlight w:val="none"/>
                <w:lang w:val="en-US" w:eastAsia="zh-CN"/>
              </w:rPr>
              <w:t>建设</w:t>
            </w:r>
            <w:r>
              <w:rPr>
                <w:rFonts w:hint="default" w:ascii="Times New Roman" w:hAnsi="Times New Roman" w:cs="Times New Roman"/>
                <w:color w:val="auto"/>
                <w:sz w:val="24"/>
                <w:szCs w:val="24"/>
                <w:highlight w:val="none"/>
                <w:lang w:val="en-US" w:eastAsia="zh-CN"/>
              </w:rPr>
              <w:t>规范的</w:t>
            </w:r>
            <w:r>
              <w:rPr>
                <w:rFonts w:hint="eastAsia" w:cs="Times New Roman"/>
                <w:color w:val="auto"/>
                <w:sz w:val="24"/>
                <w:szCs w:val="24"/>
                <w:highlight w:val="none"/>
                <w:lang w:val="en-US" w:eastAsia="zh-CN"/>
              </w:rPr>
              <w:t>危险废物贮存库</w:t>
            </w:r>
            <w:r>
              <w:rPr>
                <w:rFonts w:hint="default" w:ascii="Times New Roman" w:hAnsi="Times New Roman" w:cs="Times New Roman"/>
                <w:color w:val="auto"/>
                <w:sz w:val="24"/>
                <w:szCs w:val="24"/>
                <w:highlight w:val="none"/>
                <w:lang w:val="en-US" w:eastAsia="zh-CN"/>
              </w:rPr>
              <w:t>，该</w:t>
            </w:r>
            <w:r>
              <w:rPr>
                <w:rFonts w:hint="eastAsia" w:cs="Times New Roman"/>
                <w:color w:val="auto"/>
                <w:sz w:val="24"/>
                <w:szCs w:val="24"/>
                <w:highlight w:val="none"/>
                <w:lang w:val="en-US" w:eastAsia="zh-CN"/>
              </w:rPr>
              <w:t>危险废物贮存库</w:t>
            </w:r>
            <w:r>
              <w:rPr>
                <w:rFonts w:hint="default" w:ascii="Times New Roman" w:hAnsi="Times New Roman" w:cs="Times New Roman"/>
                <w:color w:val="auto"/>
                <w:sz w:val="24"/>
                <w:szCs w:val="24"/>
                <w:highlight w:val="none"/>
                <w:lang w:val="en-US" w:eastAsia="zh-CN"/>
              </w:rPr>
              <w:t>属于</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云南玉溪仙福钢铁（集团）有限公司年</w:t>
            </w:r>
            <w:r>
              <w:rPr>
                <w:rFonts w:hint="default" w:ascii="Times New Roman" w:hAnsi="Times New Roman" w:eastAsia="宋体" w:cs="Times New Roman"/>
                <w:color w:val="000000"/>
                <w:kern w:val="0"/>
                <w:sz w:val="24"/>
                <w:szCs w:val="24"/>
                <w:lang w:val="en-US" w:eastAsia="zh-CN" w:bidi="ar"/>
              </w:rPr>
              <w:t>产260万吨/年铁钢材项目</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配套</w:t>
            </w:r>
            <w:r>
              <w:rPr>
                <w:rFonts w:hint="eastAsia" w:cs="Times New Roman"/>
                <w:color w:val="000000"/>
                <w:kern w:val="0"/>
                <w:sz w:val="24"/>
                <w:szCs w:val="24"/>
                <w:lang w:val="en-US" w:eastAsia="zh-CN" w:bidi="ar"/>
              </w:rPr>
              <w:t>工程</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占地面积为66m</w:t>
            </w:r>
            <w:r>
              <w:rPr>
                <w:rFonts w:hint="eastAsia" w:cs="Times New Roman"/>
                <w:color w:val="000000"/>
                <w:kern w:val="0"/>
                <w:sz w:val="24"/>
                <w:szCs w:val="24"/>
                <w:vertAlign w:val="superscript"/>
                <w:lang w:val="en-US" w:eastAsia="zh-CN" w:bidi="ar"/>
              </w:rPr>
              <w:t>2</w:t>
            </w:r>
            <w:r>
              <w:rPr>
                <w:rFonts w:hint="eastAsia" w:cs="Times New Roman"/>
                <w:color w:val="000000"/>
                <w:kern w:val="0"/>
                <w:sz w:val="24"/>
                <w:szCs w:val="24"/>
                <w:vertAlign w:val="baseline"/>
                <w:lang w:val="en-US" w:eastAsia="zh-CN" w:bidi="ar"/>
              </w:rPr>
              <w:t>，单次最大贮存能力为50t，，现阶段剩余贮存能力为5t；危险废物贮存库</w:t>
            </w:r>
            <w:r>
              <w:rPr>
                <w:rFonts w:hint="default" w:ascii="Times New Roman" w:hAnsi="Times New Roman" w:eastAsia="宋体" w:cs="Times New Roman"/>
                <w:color w:val="000000"/>
                <w:kern w:val="0"/>
                <w:sz w:val="24"/>
                <w:szCs w:val="24"/>
                <w:lang w:val="en-US" w:eastAsia="zh-CN" w:bidi="ar"/>
              </w:rPr>
              <w:t>已办理了环评、验收手续。现有</w:t>
            </w:r>
            <w:r>
              <w:rPr>
                <w:rFonts w:hint="eastAsia" w:cs="Times New Roman"/>
                <w:color w:val="000000"/>
                <w:kern w:val="0"/>
                <w:sz w:val="24"/>
                <w:szCs w:val="24"/>
                <w:lang w:val="en-US" w:eastAsia="zh-CN" w:bidi="ar"/>
              </w:rPr>
              <w:t>危险废物贮存库</w:t>
            </w:r>
            <w:r>
              <w:rPr>
                <w:rFonts w:hint="default" w:ascii="Times New Roman" w:hAnsi="Times New Roman" w:eastAsia="宋体" w:cs="Times New Roman"/>
                <w:color w:val="000000"/>
                <w:kern w:val="0"/>
                <w:sz w:val="24"/>
                <w:szCs w:val="24"/>
                <w:lang w:val="en-US" w:eastAsia="zh-CN" w:bidi="ar"/>
              </w:rPr>
              <w:t>内存放的危险废物主要是废机油，由带盖废机油桶密封收集暂存，并设置有危废管理台账和转移联单、标识标牌，</w:t>
            </w:r>
            <w:r>
              <w:rPr>
                <w:rFonts w:hint="eastAsia" w:cs="Times New Roman"/>
                <w:color w:val="auto"/>
                <w:sz w:val="24"/>
                <w:szCs w:val="24"/>
                <w:highlight w:val="none"/>
                <w:lang w:val="en-US" w:eastAsia="zh-CN"/>
              </w:rPr>
              <w:t>危险废物贮存库</w:t>
            </w:r>
            <w:r>
              <w:rPr>
                <w:rFonts w:hint="default" w:ascii="Times New Roman" w:hAnsi="Times New Roman" w:eastAsia="宋体" w:cs="Times New Roman"/>
                <w:color w:val="000000"/>
                <w:kern w:val="0"/>
                <w:sz w:val="24"/>
                <w:szCs w:val="24"/>
                <w:lang w:val="en-US" w:eastAsia="zh-CN" w:bidi="ar"/>
              </w:rPr>
              <w:t>已按要求进行重点防渗处理，地面与裙脚用坚固、耐腐蚀和防渗材料建造，表面未出现裂隙，建筑材料能够与危险废物相容；配备有液体泄漏收集装置和安全照明设施和观察窗口等；危废间外张贴有危险废物识别标志，车间内设置导流槽、集液池，车间外设置消防沙等，满足《危险废物贮存污染控制标准》（GB18597—2023）要求。</w:t>
            </w:r>
            <w:r>
              <w:rPr>
                <w:rFonts w:hint="eastAsia" w:cs="Times New Roman"/>
                <w:color w:val="000000"/>
                <w:kern w:val="0"/>
                <w:sz w:val="24"/>
                <w:szCs w:val="24"/>
                <w:lang w:val="en-US" w:eastAsia="zh-CN" w:bidi="ar"/>
              </w:rPr>
              <w:t>因此，本项目依托</w:t>
            </w:r>
            <w:r>
              <w:rPr>
                <w:rFonts w:hint="default" w:ascii="Times New Roman" w:hAnsi="Times New Roman" w:eastAsia="宋体" w:cs="Times New Roman"/>
                <w:color w:val="000000"/>
                <w:kern w:val="0"/>
                <w:sz w:val="24"/>
                <w:szCs w:val="24"/>
                <w:lang w:val="en-US" w:eastAsia="zh-CN" w:bidi="ar"/>
              </w:rPr>
              <w:t>云南玉溪仙福钢铁（集团）有限公司年产260万吨/年铁钢材项目</w:t>
            </w:r>
            <w:r>
              <w:rPr>
                <w:rFonts w:hint="eastAsia" w:cs="Times New Roman"/>
                <w:color w:val="000000"/>
                <w:kern w:val="0"/>
                <w:sz w:val="24"/>
                <w:szCs w:val="24"/>
                <w:lang w:val="en-US" w:eastAsia="zh-CN" w:bidi="ar"/>
              </w:rPr>
              <w:t>配套</w:t>
            </w:r>
            <w:r>
              <w:rPr>
                <w:rFonts w:hint="eastAsia" w:cs="Times New Roman"/>
                <w:color w:val="auto"/>
                <w:sz w:val="24"/>
                <w:szCs w:val="24"/>
                <w:highlight w:val="none"/>
                <w:lang w:val="en-US" w:eastAsia="zh-CN"/>
              </w:rPr>
              <w:t>危险废物贮存库</w:t>
            </w:r>
            <w:r>
              <w:rPr>
                <w:rFonts w:hint="eastAsia" w:cs="Times New Roman"/>
                <w:color w:val="000000"/>
                <w:kern w:val="0"/>
                <w:sz w:val="24"/>
                <w:szCs w:val="24"/>
                <w:lang w:val="en-US" w:eastAsia="zh-CN" w:bidi="ar"/>
              </w:rPr>
              <w:t>可行。</w:t>
            </w:r>
          </w:p>
          <w:p w14:paraId="5955300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2地下水、土壤环境影响分析</w:t>
            </w:r>
          </w:p>
          <w:p w14:paraId="72A0D1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本项目铁路专用线运输货物主要为钢材、铁矿山、煤、焦炭及辅助材料，不涉及危险废物运输，运营期大气主要特征污染物为粉尘；</w:t>
            </w:r>
            <w:r>
              <w:rPr>
                <w:rFonts w:hint="eastAsia" w:ascii="Times New Roman" w:hAnsi="Times New Roman" w:eastAsia="宋体" w:cs="Times New Roman"/>
                <w:color w:val="000000"/>
                <w:kern w:val="0"/>
                <w:sz w:val="24"/>
                <w:szCs w:val="24"/>
                <w:lang w:val="en-US" w:eastAsia="zh-CN" w:bidi="ar"/>
              </w:rPr>
              <w:t>运营期的生活污水经处理后</w:t>
            </w:r>
            <w:r>
              <w:rPr>
                <w:rFonts w:hint="eastAsia" w:cs="Times New Roman"/>
                <w:color w:val="000000"/>
                <w:kern w:val="0"/>
                <w:sz w:val="24"/>
                <w:szCs w:val="24"/>
                <w:lang w:val="en-US" w:eastAsia="zh-CN" w:bidi="ar"/>
              </w:rPr>
              <w:t>回用于厂区绿化或洒水降尘，不外排</w:t>
            </w:r>
            <w:r>
              <w:rPr>
                <w:rFonts w:hint="eastAsia" w:ascii="Times New Roman" w:hAnsi="Times New Roman" w:eastAsia="宋体" w:cs="Times New Roman"/>
                <w:color w:val="000000"/>
                <w:kern w:val="0"/>
                <w:sz w:val="24"/>
                <w:szCs w:val="24"/>
                <w:lang w:val="en-US" w:eastAsia="zh-CN" w:bidi="ar"/>
              </w:rPr>
              <w:t>，均得到妥善处置</w:t>
            </w:r>
            <w:r>
              <w:rPr>
                <w:rFonts w:hint="eastAsia" w:cs="Times New Roman"/>
                <w:color w:val="000000"/>
                <w:kern w:val="0"/>
                <w:sz w:val="24"/>
                <w:szCs w:val="24"/>
                <w:lang w:val="en-US" w:eastAsia="zh-CN" w:bidi="ar"/>
              </w:rPr>
              <w:t>，对地下水、土壤环境影响较小。</w:t>
            </w:r>
          </w:p>
          <w:p w14:paraId="54F29A8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3电磁</w:t>
            </w:r>
            <w:r>
              <w:rPr>
                <w:rFonts w:hint="default" w:ascii="Times New Roman" w:hAnsi="Times New Roman" w:eastAsia="宋体" w:cs="Times New Roman"/>
                <w:b/>
                <w:bCs/>
                <w:color w:val="000000"/>
                <w:kern w:val="0"/>
                <w:sz w:val="24"/>
                <w:szCs w:val="24"/>
                <w:lang w:val="en-US" w:eastAsia="zh-CN" w:bidi="ar"/>
              </w:rPr>
              <w:t>环境影响分析</w:t>
            </w:r>
          </w:p>
          <w:p w14:paraId="31DC9C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本项目仅采用</w:t>
            </w:r>
            <w:r>
              <w:rPr>
                <w:rFonts w:hint="default" w:ascii="Times New Roman" w:hAnsi="Times New Roman" w:eastAsia="宋体" w:cs="Times New Roman"/>
                <w:color w:val="000000"/>
                <w:kern w:val="0"/>
                <w:sz w:val="24"/>
                <w:szCs w:val="24"/>
                <w:lang w:val="en-US" w:eastAsia="zh-CN" w:bidi="ar"/>
              </w:rPr>
              <w:t>10kV</w:t>
            </w:r>
            <w:r>
              <w:rPr>
                <w:rFonts w:hint="eastAsia" w:ascii="Times New Roman" w:hAnsi="Times New Roman" w:eastAsia="宋体" w:cs="Times New Roman"/>
                <w:color w:val="000000"/>
                <w:kern w:val="0"/>
                <w:sz w:val="24"/>
                <w:szCs w:val="24"/>
                <w:lang w:val="en-US" w:eastAsia="zh-CN" w:bidi="ar"/>
              </w:rPr>
              <w:t>电压等级供电，按照《建设项目环境影响评价分类管理名录》的有关规定，本工程送电线路属于“豁免类”项目，无需编制电</w:t>
            </w:r>
            <w:r>
              <w:rPr>
                <w:rFonts w:hint="default" w:ascii="Times New Roman" w:hAnsi="Times New Roman" w:eastAsia="宋体" w:cs="Times New Roman"/>
                <w:color w:val="000000"/>
                <w:kern w:val="0"/>
                <w:sz w:val="24"/>
                <w:szCs w:val="24"/>
                <w:lang w:val="en-US" w:eastAsia="zh-CN" w:bidi="ar"/>
              </w:rPr>
              <w:t>磁辐射环境影响报告表。</w:t>
            </w:r>
          </w:p>
          <w:p w14:paraId="418255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本项目线路等级很低，产生的工频电场和工频磁感应强度均很小。</w:t>
            </w:r>
          </w:p>
          <w:p w14:paraId="64498E8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环境风险分析</w:t>
            </w:r>
          </w:p>
          <w:p w14:paraId="69ED35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1、内燃机车所需柴油运输、加油风险</w:t>
            </w:r>
          </w:p>
          <w:p w14:paraId="4197BA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调车机车的燃油供给利用社会资源采用油罐车上油方式，运营期建设单位应与加油站单位签订协议，加油站负责本项目所需柴油的供给及运输。</w:t>
            </w:r>
          </w:p>
          <w:p w14:paraId="2324C9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所用柴油在运输、加油过程可能发生泄漏、爆炸、火灾等风险，主要原因是储油车在运输的过程中发生交通事故或违规操作易引发泄漏、火灾、爆炸事故，在加油过程中也易发生静电和溢流事故，由于柴油属于易燃、易爆物品，一旦发生泄漏，容易引发火灾爆炸事故。</w:t>
            </w:r>
          </w:p>
          <w:p w14:paraId="2C37E3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2、柴油溢油风险防范措施</w:t>
            </w:r>
          </w:p>
          <w:p w14:paraId="775263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）柴油运输、加油风险防范措施</w:t>
            </w:r>
          </w:p>
          <w:p w14:paraId="291DE5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为了及时掌握危险源的情况，对突发环境事件做到早发现早处理，降低或避免危险事故造成的危害，应建立健全的危险源预防、监控体系，按照《关于印发&lt;企业事业单位突发环境事件应急预案备案管理办法（试行）&gt;的通知》（环发﹝</w:t>
            </w:r>
            <w:r>
              <w:rPr>
                <w:rFonts w:hint="default" w:ascii="Times New Roman" w:hAnsi="Times New Roman" w:eastAsia="宋体" w:cs="Times New Roman"/>
                <w:color w:val="000000"/>
                <w:kern w:val="0"/>
                <w:sz w:val="24"/>
                <w:szCs w:val="24"/>
                <w:lang w:val="en-US" w:eastAsia="zh-CN" w:bidi="ar"/>
              </w:rPr>
              <w:t>2015</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号）要求编制应急预案。</w:t>
            </w:r>
          </w:p>
          <w:p w14:paraId="25E66B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①项目燃料油运输委托有资质的运输公司油罐车进行。</w:t>
            </w:r>
          </w:p>
          <w:p w14:paraId="77C103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②加油车辆到指定位置后应熄火。</w:t>
            </w:r>
          </w:p>
          <w:p w14:paraId="4755F7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③闪电或雷击频繁时，应禁止加油作业。不得向塑料容器和橡胶容器加注汽油。</w:t>
            </w:r>
          </w:p>
          <w:p w14:paraId="74C0BE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④洒漏在地上的油品，要及时处理，不得用化纤织物擦拭。</w:t>
            </w:r>
          </w:p>
          <w:p w14:paraId="642BDF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⑤应建立火灾报警系统，制定救援方案，组织演习，使每个职工都会使用消防器材，有效地扑救初期火灾。</w:t>
            </w:r>
          </w:p>
          <w:p w14:paraId="04E5E2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）柴油运输、加油卸料及火灾应急措施</w:t>
            </w:r>
          </w:p>
          <w:p w14:paraId="42BC29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①发现柴油发生跑、冒油时，现场人员应大声呼救并向上级（应急总指挥）报告检查并消除附近的一切火源；在溢油处的上风向，布置消防器材。</w:t>
            </w:r>
          </w:p>
          <w:p w14:paraId="3AA4C3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②关闭油罐车加油阀门。</w:t>
            </w:r>
          </w:p>
          <w:p w14:paraId="0CBC73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③组织人员把油罐车推至安全区域。</w:t>
            </w:r>
          </w:p>
          <w:p w14:paraId="4092C5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④封堵车站厂区雨水总排口，防止事故废水排入外环境。</w:t>
            </w:r>
          </w:p>
          <w:p w14:paraId="7F3FB2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⑤应用吸油毯对现场的泄漏油品进行回收。</w:t>
            </w:r>
          </w:p>
          <w:p w14:paraId="679616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⑥发现加油工序起火，现场人员应大声呼救立即用现场消防器材扑救初期火灾，并向上级（应急总指挥）报告。上级（应急总指挥）视火情安排副总指挥向</w:t>
            </w:r>
            <w:r>
              <w:rPr>
                <w:rFonts w:hint="default" w:ascii="Times New Roman" w:hAnsi="Times New Roman" w:eastAsia="宋体" w:cs="Times New Roman"/>
                <w:color w:val="000000"/>
                <w:kern w:val="0"/>
                <w:sz w:val="24"/>
                <w:szCs w:val="24"/>
                <w:lang w:val="en-US" w:eastAsia="zh-CN" w:bidi="ar"/>
              </w:rPr>
              <w:t>119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120</w:t>
            </w:r>
            <w:r>
              <w:rPr>
                <w:rFonts w:hint="eastAsia" w:ascii="Times New Roman" w:hAnsi="Times New Roman" w:eastAsia="宋体" w:cs="Times New Roman"/>
                <w:color w:val="000000"/>
                <w:kern w:val="0"/>
                <w:sz w:val="24"/>
                <w:szCs w:val="24"/>
                <w:lang w:val="en-US" w:eastAsia="zh-CN" w:bidi="ar"/>
              </w:rPr>
              <w:t>报警，并向公司报告。</w:t>
            </w:r>
          </w:p>
          <w:p w14:paraId="4C1021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⑦用灭火毯对较小面积火灾进行覆盖或封堵，使其火灾窒息；较大面积火灾时，用灭火器由近及远进行扑救。</w:t>
            </w:r>
          </w:p>
          <w:p w14:paraId="3CD88E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⑧使用消防砂对场地内消防废水进行拦截和围挡。封堵车站雨水总排口，防止事故废水排入外环境。</w:t>
            </w:r>
          </w:p>
          <w:p w14:paraId="2C9071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⑨当内燃机车事故发生火灾或爆炸时，根据需要，切断着火设施上、下游易燃物料，防止发生连锁效应；在救火同时，迅速到达消防控制室启动消防喷淋，采用水幕或喷淋的方法，防止引发继发事故。</w:t>
            </w:r>
          </w:p>
          <w:p w14:paraId="6AB881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⑩根据事故级别疏散周围人群。</w:t>
            </w:r>
          </w:p>
          <w:p w14:paraId="7328AD3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5生态环境影响分析与评价</w:t>
            </w:r>
          </w:p>
          <w:p w14:paraId="7A487F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（1）工程运营期对生物量影响分析</w:t>
            </w:r>
          </w:p>
          <w:p w14:paraId="753DC5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运营期永久占地不可恢复，主要为铁路路基和集装站及道路用地，将会减少拟建地生物量，由于拟建场区现有植被主要为耐早、耐恶劣环境的灌木丛类和人工种植的沙柳、柠条等耐早植物，植被较稀疏，生物量较小，没有农田、森林等生物量较大的植被，因此，本项目建成后对区域生态环境质量不会造成明显的不利影响。工程通过路基和站场坡面绿化工程播草籽，栽植灌木，可对区域的生态恢复创造一定条件。</w:t>
            </w:r>
          </w:p>
          <w:p w14:paraId="69B27E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（2）工程运营期对野生动物的影响分析</w:t>
            </w:r>
          </w:p>
          <w:p w14:paraId="6BBFAF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前述分析，项目区域受人为干扰因素较大，评价区的陆生动物组成以哺乳类、爬行类、啮齿类、两栖类为主，均为常见动物，不涉及固定的动物迁徙路线。对评价区内的动物来讲，铁路由于相对封闭，对动物活动形成了一道屏障，使得动物的活动范围受到限制，生境破碎化，对其觅食、交偶的潜在影响是巨大的。运营期主要是对两栖和爬行动物的影响，对鸟类活动范围影响较小，主要表现为车流对穿越铁路的动物造成直接碾压而导致的伤亡。间接影响主要表现为列车经过时所产生的噪音、灯光扰乱等。工程占用地表面积较小，对两栖类动物影响的范围不大且影响时间较短，另外工程所经周边区域保存有相同或类似的适合栖息生境，受影响的物种能比较容易迁离另寻理想的栖息场所，工程建设对沿线动物活动的阻隔影响不明显。</w:t>
            </w:r>
          </w:p>
          <w:p w14:paraId="19B870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猛禽类飞行能力较强，活动范围较大，当食物来源不足或受到严重干扰时，猛禽可以迅速地迁移到其他更适宜的地方，鸡形目的鸟类对环境的适应能力很强，主动避让能力很强，画眉作为林鸟类，移动能力最强，生境适应能力最强，项目对其影响最小。</w:t>
            </w:r>
          </w:p>
          <w:p w14:paraId="3ED08B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营运期间，过往列车的噪音、振动和灯光对一些鸟类会产生持续影响，有些个体会转移栖息地，使一些鸟类的栖息地面积减少。在高空飞行，飞行高度远高于项目桥梁高度，且隼形目等鸟类视力超群，可轻易发现障碍物，通常不会误撞。</w:t>
            </w:r>
          </w:p>
          <w:p w14:paraId="0829D5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该区域人为活动的影响，对野生动物具有一定的趋避效应；因此，评价区域内鲜有野生动物出没，少量出没的野生动物以鸟类和爬行类为主。</w:t>
            </w:r>
          </w:p>
          <w:p w14:paraId="363846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因鸟类和爬行类的运营期铁路列车到达前，灯光及噪声会对区域动物产生一定的趋避效应，且项目附近的森林植被可为鸟类和爬行类提供庇护。</w:t>
            </w:r>
          </w:p>
          <w:p w14:paraId="1710A6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综上所述，对比同类铁路项目运营经验，项目运营期对野生动物产生的干扰影响有限，其带来的环境影响可接受。</w:t>
            </w:r>
          </w:p>
          <w:p w14:paraId="1179B4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（3）对景观的影响分析</w:t>
            </w:r>
          </w:p>
          <w:p w14:paraId="2680A1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景观是指由地貌和各种干扰作用（特别是人为作用）而形成的、具有特定的结构功能和动态特征的宏观系统。在认识上人们通过视觉、感觉（知觉）对景观产生印象、生理及心理反映。路基边坡、的设计、取土场和施工便道等临时工程的设置和防护，不考虑与周围景观的相互协调性和相容性时，引起原有地形坡度、植被的变化以及这些变化对周围景观产生的负面影响。本工程沿线区域景观环境质量现状较好，铁路与沿线景观较协调，本工程建设对沿线景观有轻度不良影响。如果场区能够按规划，有计划的实施植被恢复，种植灌草、经济果类等，并形成规模，将使场区形成一个结构合理、系统稳定的生态环境，不仅可以大大改变原有较脆弱、抗御自然灾害能力差的自然环境，而且可以起到以点代面、示范推广的作用，使人们不仅可以观赏到壮观的铁路风景，也可感受到半干早区园林式的生态美，激发人们保护自然环境的热情，促进当地经济与环境的协调发展。</w:t>
            </w:r>
          </w:p>
          <w:p w14:paraId="45F83D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综上，本工程运营后，植被逐渐恢复，对评价区生物量影响甚微；专用线路两侧通过采取地面硬化、边坡加固和绿化等措施，可使项目区内的水土流失逐步减少；铁路线路可以构成一个独特的人文景观，增加了景观的多样性，对区域景观不会造成明显不利影响。</w:t>
            </w:r>
          </w:p>
          <w:p w14:paraId="1681C7B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4.15</w:t>
            </w:r>
            <w:r>
              <w:rPr>
                <w:rFonts w:hint="default" w:ascii="Times New Roman" w:hAnsi="Times New Roman" w:eastAsia="宋体" w:cs="Times New Roman"/>
                <w:b/>
                <w:bCs/>
                <w:color w:val="000000"/>
                <w:kern w:val="0"/>
                <w:sz w:val="24"/>
                <w:szCs w:val="24"/>
                <w:lang w:val="en-US" w:eastAsia="zh-CN" w:bidi="ar"/>
              </w:rPr>
              <w:t>土壤环境影响分析与评价</w:t>
            </w:r>
          </w:p>
          <w:p w14:paraId="2D5AE3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根据《环境影响评价导则土壤环境（试行）》（HJ964-2018）附录A判定，本项目属于V类项目（“交通运输仓储邮政业”中的“其他”），可不开展土壤环境影响评价。</w:t>
            </w:r>
          </w:p>
        </w:tc>
      </w:tr>
      <w:tr w14:paraId="27C6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14:paraId="32EA73B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选址选线环境合理性分析</w:t>
            </w:r>
          </w:p>
        </w:tc>
        <w:tc>
          <w:tcPr>
            <w:tcW w:w="8101" w:type="dxa"/>
          </w:tcPr>
          <w:p w14:paraId="4A56AC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r>
              <w:rPr>
                <w:rFonts w:hint="default" w:ascii="Times New Roman" w:hAnsi="Times New Roman" w:eastAsia="宋体" w:cs="Times New Roman"/>
                <w:color w:val="auto"/>
                <w:kern w:val="0"/>
                <w:sz w:val="24"/>
                <w:szCs w:val="24"/>
              </w:rPr>
              <w:t>对照《产业结构调整指导目录（2024年本）》（中华人民共和国国家发展和改革委员会令第7号），本项目属于鼓励类（“二十三、铁路”中第1条</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既有铁路改扩建、铁路专用线建设</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），符合国家产业政策</w:t>
            </w:r>
            <w:r>
              <w:rPr>
                <w:rFonts w:hint="eastAsia" w:cs="Times New Roman"/>
                <w:color w:val="000000"/>
                <w:kern w:val="0"/>
                <w:sz w:val="24"/>
                <w:szCs w:val="24"/>
                <w:lang w:val="en-US" w:eastAsia="zh-CN" w:bidi="ar"/>
              </w:rPr>
              <w:t>。本项目的建设符合《云南省人民政府关于实施“三线一单”生态环境分区管控的意见》（云政发</w:t>
            </w:r>
            <w:r>
              <w:rPr>
                <w:rFonts w:hint="default" w:cs="Times New Roman"/>
                <w:color w:val="000000"/>
                <w:kern w:val="0"/>
                <w:sz w:val="24"/>
                <w:szCs w:val="24"/>
                <w:lang w:val="en-US" w:eastAsia="zh-CN" w:bidi="ar"/>
              </w:rPr>
              <w:t>[2020]29</w:t>
            </w:r>
            <w:r>
              <w:rPr>
                <w:rFonts w:hint="eastAsia" w:cs="Times New Roman"/>
                <w:color w:val="000000"/>
                <w:kern w:val="0"/>
                <w:sz w:val="24"/>
                <w:szCs w:val="24"/>
                <w:lang w:val="en-US" w:eastAsia="zh-CN" w:bidi="ar"/>
              </w:rPr>
              <w:t>号）、《“十四五”现代综合交通运输体系发展规划》、《“十四五”铁路发展规划》、《云南省“十四五”生态环境保护规划》、《云南省主体功能区规划》（云政发〔</w:t>
            </w:r>
            <w:r>
              <w:rPr>
                <w:rFonts w:hint="default" w:cs="Times New Roman"/>
                <w:color w:val="000000"/>
                <w:kern w:val="0"/>
                <w:sz w:val="24"/>
                <w:szCs w:val="24"/>
                <w:lang w:val="en-US" w:eastAsia="zh-CN" w:bidi="ar"/>
              </w:rPr>
              <w:t>2014</w:t>
            </w:r>
            <w:r>
              <w:rPr>
                <w:rFonts w:hint="eastAsia" w:cs="Times New Roman"/>
                <w:color w:val="000000"/>
                <w:kern w:val="0"/>
                <w:sz w:val="24"/>
                <w:szCs w:val="24"/>
                <w:lang w:val="en-US" w:eastAsia="zh-CN" w:bidi="ar"/>
              </w:rPr>
              <w:t>〕</w:t>
            </w:r>
            <w:r>
              <w:rPr>
                <w:rFonts w:hint="default" w:cs="Times New Roman"/>
                <w:color w:val="000000"/>
                <w:kern w:val="0"/>
                <w:sz w:val="24"/>
                <w:szCs w:val="24"/>
                <w:lang w:val="en-US" w:eastAsia="zh-CN" w:bidi="ar"/>
              </w:rPr>
              <w:t>1</w:t>
            </w:r>
            <w:r>
              <w:rPr>
                <w:rFonts w:hint="eastAsia" w:cs="Times New Roman"/>
                <w:color w:val="000000"/>
                <w:kern w:val="0"/>
                <w:sz w:val="24"/>
                <w:szCs w:val="24"/>
                <w:lang w:val="en-US" w:eastAsia="zh-CN" w:bidi="ar"/>
              </w:rPr>
              <w:t>号）、《玉溪市人民政府关于印发玉溪市“三线一单”生态环境分区管控实施意见的通知》（玉政发</w:t>
            </w:r>
            <w:r>
              <w:rPr>
                <w:rFonts w:hint="default" w:cs="Times New Roman"/>
                <w:color w:val="000000"/>
                <w:kern w:val="0"/>
                <w:sz w:val="24"/>
                <w:szCs w:val="24"/>
                <w:lang w:val="en-US" w:eastAsia="zh-CN" w:bidi="ar"/>
              </w:rPr>
              <w:t>[2021]15</w:t>
            </w:r>
            <w:r>
              <w:rPr>
                <w:rFonts w:hint="eastAsia" w:cs="Times New Roman"/>
                <w:color w:val="000000"/>
                <w:kern w:val="0"/>
                <w:sz w:val="24"/>
                <w:szCs w:val="24"/>
                <w:lang w:val="en-US" w:eastAsia="zh-CN" w:bidi="ar"/>
              </w:rPr>
              <w:t>号）等等多项规划要求；</w:t>
            </w:r>
            <w:r>
              <w:rPr>
                <w:rFonts w:hint="eastAsia" w:ascii="Times New Roman" w:hAnsi="Times New Roman" w:cs="Times New Roman"/>
                <w:sz w:val="24"/>
                <w:szCs w:val="24"/>
                <w:vertAlign w:val="baseline"/>
                <w:lang w:val="en-US" w:eastAsia="zh-CN"/>
              </w:rPr>
              <w:t>根据《云南新平产业园区总体规划修编（2021—2035）环境影响报告书》</w:t>
            </w:r>
            <w:r>
              <w:rPr>
                <w:rFonts w:hint="default" w:ascii="Times New Roman" w:hAnsi="Times New Roman" w:eastAsia="宋体" w:cs="Times New Roman"/>
                <w:sz w:val="24"/>
                <w:szCs w:val="24"/>
                <w:vertAlign w:val="baseline"/>
                <w:lang w:val="en-US" w:eastAsia="zh-CN"/>
              </w:rPr>
              <w:t>云南新平产业园区绿色钢城片区</w:t>
            </w:r>
            <w:r>
              <w:rPr>
                <w:rFonts w:hint="eastAsia" w:ascii="Times New Roman" w:hAnsi="Times New Roman" w:cs="Times New Roman"/>
                <w:sz w:val="24"/>
                <w:szCs w:val="24"/>
                <w:vertAlign w:val="baseline"/>
                <w:lang w:val="en-US" w:eastAsia="zh-CN"/>
              </w:rPr>
              <w:t>不涉及生态保护红线，</w:t>
            </w:r>
            <w:r>
              <w:rPr>
                <w:rFonts w:hint="eastAsia"/>
                <w:b w:val="0"/>
                <w:bCs w:val="0"/>
                <w:color w:val="auto"/>
                <w:sz w:val="24"/>
                <w:szCs w:val="24"/>
                <w:highlight w:val="none"/>
              </w:rPr>
              <w:t>不涉及自然保护地、饮用水水源保护区、重要湿地、基本草原、生态公益林、天然林等区域</w:t>
            </w:r>
            <w:r>
              <w:rPr>
                <w:rFonts w:hint="eastAsia" w:ascii="Times New Roman" w:hAnsi="Times New Roman" w:cs="Times New Roman"/>
                <w:sz w:val="24"/>
                <w:szCs w:val="24"/>
                <w:vertAlign w:val="baseline"/>
                <w:lang w:val="en-US" w:eastAsia="zh-CN"/>
              </w:rPr>
              <w:t>；根据本项目与新平产业园区规划范围叠图，本项目铁路专用线</w:t>
            </w:r>
            <w:r>
              <w:rPr>
                <w:rFonts w:hint="eastAsia" w:cs="Times New Roman"/>
                <w:sz w:val="24"/>
                <w:szCs w:val="24"/>
                <w:vertAlign w:val="baseline"/>
                <w:lang w:val="en-US" w:eastAsia="zh-CN"/>
              </w:rPr>
              <w:t>用地范围</w:t>
            </w:r>
            <w:r>
              <w:rPr>
                <w:rFonts w:hint="eastAsia" w:ascii="Times New Roman" w:hAnsi="Times New Roman" w:cs="Times New Roman"/>
                <w:sz w:val="24"/>
                <w:szCs w:val="24"/>
                <w:vertAlign w:val="baseline"/>
                <w:lang w:val="en-US" w:eastAsia="zh-CN"/>
              </w:rPr>
              <w:t>全部位于新平产业园区钢城片区内</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因此，本</w:t>
            </w:r>
            <w:r>
              <w:rPr>
                <w:rFonts w:hint="eastAsia" w:ascii="Times New Roman" w:hAnsi="Times New Roman" w:eastAsia="宋体" w:cs="Times New Roman"/>
                <w:sz w:val="24"/>
                <w:szCs w:val="24"/>
                <w:vertAlign w:val="baseline"/>
                <w:lang w:val="en-US" w:eastAsia="zh-CN"/>
              </w:rPr>
              <w:t>项目</w:t>
            </w:r>
            <w:r>
              <w:rPr>
                <w:rFonts w:hint="eastAsia"/>
                <w:b w:val="0"/>
                <w:bCs w:val="0"/>
                <w:color w:val="auto"/>
                <w:sz w:val="24"/>
                <w:szCs w:val="24"/>
                <w:highlight w:val="none"/>
              </w:rPr>
              <w:t>不涉及新平县生态保护红线</w:t>
            </w:r>
            <w:r>
              <w:rPr>
                <w:rFonts w:hint="eastAsia"/>
                <w:b w:val="0"/>
                <w:bCs w:val="0"/>
                <w:color w:val="auto"/>
                <w:sz w:val="24"/>
                <w:szCs w:val="24"/>
                <w:highlight w:val="none"/>
                <w:lang w:eastAsia="zh-CN"/>
              </w:rPr>
              <w:t>，</w:t>
            </w:r>
            <w:r>
              <w:rPr>
                <w:rFonts w:hint="eastAsia"/>
                <w:b w:val="0"/>
                <w:bCs w:val="0"/>
                <w:color w:val="auto"/>
                <w:sz w:val="24"/>
                <w:szCs w:val="24"/>
                <w:highlight w:val="none"/>
              </w:rPr>
              <w:t>不涉及自然保护地、饮用水水源保护区、重要湿地、基本草原、生态公益林、天然林等区域</w:t>
            </w:r>
            <w:r>
              <w:rPr>
                <w:rFonts w:hint="eastAsia"/>
                <w:b w:val="0"/>
                <w:bCs w:val="0"/>
                <w:color w:val="auto"/>
                <w:sz w:val="24"/>
                <w:szCs w:val="24"/>
                <w:highlight w:val="none"/>
                <w:lang w:eastAsia="zh-CN"/>
              </w:rPr>
              <w:t>。</w:t>
            </w:r>
          </w:p>
          <w:p w14:paraId="074A04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项目选址不涉及占用自然保护区、世界文化和自然遗产、风景名胜区、森林公园、湿地公园等特殊及重要生态敏感区，在采取必要的环保措施后，项目建设周边环境的影响较小，项目选址合理可行。</w:t>
            </w:r>
          </w:p>
          <w:p w14:paraId="460B9D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274A294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145792C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4189B6B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3EBEA58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30D78A9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12FA67E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1D896E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0BD292F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395DAAE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220E341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502B193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21BC4FE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072F568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4546C46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62A134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011FD3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31ECFB8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4423CD7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4F40FC0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3CBA3C5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highlight w:val="none"/>
                <w:lang w:val="en-US" w:eastAsia="zh-CN"/>
              </w:rPr>
            </w:pPr>
          </w:p>
          <w:p w14:paraId="65DE5FA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color w:val="auto"/>
                <w:highlight w:val="none"/>
                <w:lang w:val="en-US" w:eastAsia="zh-CN"/>
              </w:rPr>
            </w:pPr>
          </w:p>
        </w:tc>
      </w:tr>
    </w:tbl>
    <w:p w14:paraId="1F90E84B">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FAB8DB">
      <w:pPr>
        <w:pStyle w:val="4"/>
        <w:bidi w:val="0"/>
        <w:jc w:val="center"/>
        <w:rPr>
          <w:rFonts w:hint="eastAsia"/>
          <w:color w:val="auto"/>
          <w:highlight w:val="none"/>
          <w:lang w:val="en-US" w:eastAsia="zh-CN"/>
        </w:rPr>
      </w:pPr>
      <w:bookmarkStart w:id="20" w:name="_Toc10022"/>
      <w:bookmarkStart w:id="21" w:name="_Toc21535"/>
      <w:bookmarkStart w:id="22" w:name="_Toc14615"/>
      <w:r>
        <w:rPr>
          <w:rFonts w:hint="eastAsia"/>
          <w:color w:val="auto"/>
          <w:highlight w:val="none"/>
          <w:lang w:val="en-US" w:eastAsia="zh-CN"/>
        </w:rPr>
        <w:t>五、主要生态环境保护措施</w:t>
      </w:r>
      <w:bookmarkEnd w:id="20"/>
      <w:bookmarkEnd w:id="21"/>
      <w:bookmarkEnd w:id="22"/>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7853"/>
      </w:tblGrid>
      <w:tr w14:paraId="7BF5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944B9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施工期生态环境保护措施</w:t>
            </w:r>
          </w:p>
        </w:tc>
        <w:tc>
          <w:tcPr>
            <w:tcW w:w="7853" w:type="dxa"/>
          </w:tcPr>
          <w:p w14:paraId="73FB22A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5.1</w:t>
            </w:r>
            <w:r>
              <w:rPr>
                <w:rFonts w:hint="eastAsia" w:cs="Times New Roman"/>
                <w:b/>
                <w:bCs/>
                <w:sz w:val="24"/>
                <w:szCs w:val="24"/>
                <w:lang w:val="en-US" w:eastAsia="zh-CN"/>
              </w:rPr>
              <w:t>生态保护措施</w:t>
            </w:r>
          </w:p>
          <w:p w14:paraId="1636C7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①工程开挖采取</w:t>
            </w:r>
            <w:r>
              <w:rPr>
                <w:rFonts w:hint="default" w:ascii="Times New Roman" w:hAnsi="Times New Roman" w:eastAsia="宋体" w:cs="Times New Roman"/>
                <w:color w:val="000000"/>
                <w:kern w:val="0"/>
                <w:sz w:val="24"/>
                <w:szCs w:val="24"/>
                <w:lang w:val="en-US" w:eastAsia="zh-CN" w:bidi="ar"/>
              </w:rPr>
              <w:t>表土单独剥离、单独堆存</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并做好覆盖、拦挡等防护措施，待施工结束后用于植被恢复</w:t>
            </w:r>
            <w:r>
              <w:rPr>
                <w:rFonts w:hint="eastAsia" w:ascii="Times New Roman" w:hAnsi="Times New Roman" w:eastAsia="宋体" w:cs="Times New Roman"/>
                <w:color w:val="000000"/>
                <w:kern w:val="0"/>
                <w:sz w:val="24"/>
                <w:szCs w:val="24"/>
                <w:lang w:val="en-US" w:eastAsia="zh-CN" w:bidi="ar"/>
              </w:rPr>
              <w:t>，严禁随意堆放，并且及时利用弃土；</w:t>
            </w:r>
          </w:p>
          <w:p w14:paraId="4ED961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②项目施工应尽量集中在征地范围内，同时优化施工时序，尽量避开雨季施工；土料随挖随运、随填随压，减少裸土的暴露时间，避免受降雨的直接冲刷；</w:t>
            </w:r>
          </w:p>
          <w:p w14:paraId="634471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③施工期应先行建筑围墙和排水沟，减少噪声影响和地表径流侵蚀；</w:t>
            </w:r>
          </w:p>
          <w:p w14:paraId="201875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④施工结束后，应及时进行绿化，植被应选用当地易成活的物种；</w:t>
            </w:r>
          </w:p>
          <w:p w14:paraId="5E0597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⑤施工完成后及时做好施工迹地清理工作；</w:t>
            </w:r>
          </w:p>
          <w:p w14:paraId="378A87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⑥加强管理、教育，建设单位</w:t>
            </w:r>
            <w:r>
              <w:rPr>
                <w:rFonts w:hint="default" w:ascii="Times New Roman" w:hAnsi="Times New Roman" w:eastAsia="宋体" w:cs="Times New Roman"/>
                <w:color w:val="000000"/>
                <w:kern w:val="0"/>
                <w:sz w:val="24"/>
                <w:szCs w:val="24"/>
                <w:lang w:val="en-US" w:eastAsia="zh-CN" w:bidi="ar"/>
              </w:rPr>
              <w:t>应对施工人员进行环保宣传教育，提高施工人员的环境保护意识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严禁捕猎、捕食野生动物和随意砍伐、践踏植被</w:t>
            </w:r>
            <w:r>
              <w:rPr>
                <w:rFonts w:hint="eastAsia" w:ascii="Times New Roman" w:hAnsi="Times New Roman" w:eastAsia="宋体" w:cs="Times New Roman"/>
                <w:color w:val="000000"/>
                <w:kern w:val="0"/>
                <w:sz w:val="24"/>
                <w:szCs w:val="24"/>
                <w:lang w:val="en-US" w:eastAsia="zh-CN" w:bidi="ar"/>
              </w:rPr>
              <w:t>。</w:t>
            </w:r>
          </w:p>
          <w:p w14:paraId="04F27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采取以上措施后，可有效减缓项目建设带来的生态环境影响，措施可行。</w:t>
            </w:r>
          </w:p>
          <w:p w14:paraId="6E12A12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2施工期废气防治措施</w:t>
            </w:r>
          </w:p>
          <w:p w14:paraId="568291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施工废气主要为施工扬尘，主要来自施工场地、临时堆放场地及运输车辆扬尘等。为降低施工期环境空气污染，环评提出以下要求：</w:t>
            </w:r>
          </w:p>
          <w:p w14:paraId="342C2A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①施工期在厂界四周设置</w:t>
            </w:r>
            <w:r>
              <w:rPr>
                <w:rFonts w:hint="eastAsia" w:ascii="Times New Roman" w:hAnsi="Times New Roman" w:eastAsia="宋体" w:cs="Times New Roman"/>
                <w:color w:val="000000"/>
                <w:kern w:val="0"/>
                <w:sz w:val="24"/>
                <w:szCs w:val="24"/>
                <w:lang w:val="en-US" w:eastAsia="zh-CN" w:bidi="ar"/>
              </w:rPr>
              <w:t>不低于</w:t>
            </w:r>
            <w:r>
              <w:rPr>
                <w:rFonts w:hint="default" w:ascii="Times New Roman" w:hAnsi="Times New Roman" w:eastAsia="宋体" w:cs="Times New Roman"/>
                <w:color w:val="000000"/>
                <w:kern w:val="0"/>
                <w:sz w:val="24"/>
                <w:szCs w:val="24"/>
                <w:lang w:val="en-US" w:eastAsia="zh-CN" w:bidi="ar"/>
              </w:rPr>
              <w:t>2.5m围挡，实行围挡封闭施工</w:t>
            </w:r>
            <w:r>
              <w:rPr>
                <w:rFonts w:hint="eastAsia" w:ascii="Times New Roman" w:hAnsi="Times New Roman" w:eastAsia="宋体" w:cs="Times New Roman"/>
                <w:color w:val="000000"/>
                <w:kern w:val="0"/>
                <w:sz w:val="24"/>
                <w:szCs w:val="24"/>
                <w:lang w:val="en-US" w:eastAsia="zh-CN" w:bidi="ar"/>
              </w:rPr>
              <w:t>；</w:t>
            </w:r>
          </w:p>
          <w:p w14:paraId="3CBC02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②加强</w:t>
            </w:r>
            <w:r>
              <w:rPr>
                <w:rFonts w:hint="default" w:ascii="Times New Roman" w:hAnsi="Times New Roman" w:eastAsia="宋体" w:cs="Times New Roman"/>
                <w:color w:val="000000"/>
                <w:kern w:val="0"/>
                <w:sz w:val="24"/>
                <w:szCs w:val="24"/>
                <w:lang w:val="en-US" w:eastAsia="zh-CN" w:bidi="ar"/>
              </w:rPr>
              <w:t>运输车辆</w:t>
            </w:r>
            <w:r>
              <w:rPr>
                <w:rFonts w:hint="eastAsia" w:ascii="Times New Roman" w:hAnsi="Times New Roman" w:eastAsia="宋体" w:cs="Times New Roman"/>
                <w:color w:val="000000"/>
                <w:kern w:val="0"/>
                <w:sz w:val="24"/>
                <w:szCs w:val="24"/>
                <w:lang w:val="en-US" w:eastAsia="zh-CN" w:bidi="ar"/>
              </w:rPr>
              <w:t>管理，</w:t>
            </w:r>
            <w:r>
              <w:rPr>
                <w:rFonts w:hint="default" w:ascii="Times New Roman" w:hAnsi="Times New Roman" w:eastAsia="宋体" w:cs="Times New Roman"/>
                <w:color w:val="000000"/>
                <w:kern w:val="0"/>
                <w:sz w:val="24"/>
                <w:szCs w:val="24"/>
                <w:lang w:val="en-US" w:eastAsia="zh-CN" w:bidi="ar"/>
              </w:rPr>
              <w:t>建筑材料运输应采取封闭运输方式</w:t>
            </w:r>
            <w:r>
              <w:rPr>
                <w:rFonts w:hint="eastAsia" w:ascii="Times New Roman" w:hAnsi="Times New Roman" w:eastAsia="宋体" w:cs="Times New Roman"/>
                <w:color w:val="000000"/>
                <w:kern w:val="0"/>
                <w:sz w:val="24"/>
                <w:szCs w:val="24"/>
                <w:lang w:val="en-US" w:eastAsia="zh-CN" w:bidi="ar"/>
              </w:rPr>
              <w:t>或</w:t>
            </w:r>
            <w:r>
              <w:rPr>
                <w:rFonts w:hint="default" w:ascii="Times New Roman" w:hAnsi="Times New Roman" w:eastAsia="宋体" w:cs="Times New Roman"/>
                <w:color w:val="000000"/>
                <w:kern w:val="0"/>
                <w:sz w:val="24"/>
                <w:szCs w:val="24"/>
                <w:lang w:val="en-US" w:eastAsia="zh-CN" w:bidi="ar"/>
              </w:rPr>
              <w:t>车辆应覆盖蓬布</w:t>
            </w:r>
            <w:r>
              <w:rPr>
                <w:rFonts w:hint="eastAsia" w:ascii="Times New Roman" w:hAnsi="Times New Roman" w:eastAsia="宋体" w:cs="Times New Roman"/>
                <w:color w:val="000000"/>
                <w:kern w:val="0"/>
                <w:sz w:val="24"/>
                <w:szCs w:val="24"/>
                <w:lang w:val="en-US" w:eastAsia="zh-CN" w:bidi="ar"/>
              </w:rPr>
              <w:t>，保持车身清洁，防止</w:t>
            </w:r>
            <w:r>
              <w:rPr>
                <w:rFonts w:hint="default" w:ascii="Times New Roman" w:hAnsi="Times New Roman" w:eastAsia="宋体" w:cs="Times New Roman"/>
                <w:color w:val="000000"/>
                <w:kern w:val="0"/>
                <w:sz w:val="24"/>
                <w:szCs w:val="24"/>
                <w:lang w:val="en-US" w:eastAsia="zh-CN" w:bidi="ar"/>
              </w:rPr>
              <w:t>二次扬尘污染</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限制车速，严禁超高、超载运输</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对运输频率较高、较固定的线路采用洒水进行降尘处理</w:t>
            </w:r>
            <w:r>
              <w:rPr>
                <w:rFonts w:hint="eastAsia" w:ascii="Times New Roman" w:hAnsi="Times New Roman" w:eastAsia="宋体" w:cs="Times New Roman"/>
                <w:color w:val="000000"/>
                <w:kern w:val="0"/>
                <w:sz w:val="24"/>
                <w:szCs w:val="24"/>
                <w:lang w:val="en-US" w:eastAsia="zh-CN" w:bidi="ar"/>
              </w:rPr>
              <w:t>；</w:t>
            </w:r>
          </w:p>
          <w:p w14:paraId="764C07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③在严重扬尘</w:t>
            </w:r>
            <w:r>
              <w:rPr>
                <w:rFonts w:hint="eastAsia" w:ascii="Times New Roman" w:hAnsi="Times New Roman" w:eastAsia="宋体" w:cs="Times New Roman"/>
                <w:color w:val="000000"/>
                <w:kern w:val="0"/>
                <w:sz w:val="24"/>
                <w:szCs w:val="24"/>
                <w:lang w:val="en-US" w:eastAsia="zh-CN" w:bidi="ar"/>
              </w:rPr>
              <w:t>施工</w:t>
            </w:r>
            <w:r>
              <w:rPr>
                <w:rFonts w:hint="default" w:ascii="Times New Roman" w:hAnsi="Times New Roman" w:eastAsia="宋体" w:cs="Times New Roman"/>
                <w:color w:val="000000"/>
                <w:kern w:val="0"/>
                <w:sz w:val="24"/>
                <w:szCs w:val="24"/>
                <w:lang w:val="en-US" w:eastAsia="zh-CN" w:bidi="ar"/>
              </w:rPr>
              <w:t>点，采用水枪定期洒水降尘</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施工场地需适时洒水抑尘，大风或干燥天气应适当增加洒水次数</w:t>
            </w:r>
            <w:r>
              <w:rPr>
                <w:rFonts w:hint="eastAsia" w:ascii="Times New Roman" w:hAnsi="Times New Roman" w:eastAsia="宋体" w:cs="Times New Roman"/>
                <w:color w:val="000000"/>
                <w:kern w:val="0"/>
                <w:sz w:val="24"/>
                <w:szCs w:val="24"/>
                <w:lang w:val="en-US" w:eastAsia="zh-CN" w:bidi="ar"/>
              </w:rPr>
              <w:t>；</w:t>
            </w:r>
          </w:p>
          <w:p w14:paraId="5E28DC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④工地出入口设置车辆冲洗设施，运输车辆必须冲洗后出场</w:t>
            </w:r>
            <w:r>
              <w:rPr>
                <w:rFonts w:hint="eastAsia" w:ascii="Times New Roman" w:hAnsi="Times New Roman" w:eastAsia="宋体" w:cs="Times New Roman"/>
                <w:color w:val="000000"/>
                <w:kern w:val="0"/>
                <w:sz w:val="24"/>
                <w:szCs w:val="24"/>
                <w:lang w:val="en-US" w:eastAsia="zh-CN" w:bidi="ar"/>
              </w:rPr>
              <w:t>；</w:t>
            </w:r>
          </w:p>
          <w:p w14:paraId="34BE56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w:t>
            </w:r>
            <w:r>
              <w:rPr>
                <w:rFonts w:hint="default" w:ascii="Times New Roman" w:hAnsi="Times New Roman" w:eastAsia="宋体" w:cs="Times New Roman"/>
                <w:color w:val="000000"/>
                <w:kern w:val="0"/>
                <w:sz w:val="24"/>
                <w:szCs w:val="24"/>
                <w:lang w:val="en-US" w:eastAsia="zh-CN" w:bidi="ar"/>
              </w:rPr>
              <w:t>施工场地粉</w:t>
            </w:r>
            <w:r>
              <w:rPr>
                <w:rFonts w:hint="eastAsia" w:ascii="Times New Roman" w:hAnsi="Times New Roman" w:eastAsia="宋体" w:cs="Times New Roman"/>
                <w:color w:val="000000"/>
                <w:kern w:val="0"/>
                <w:sz w:val="24"/>
                <w:szCs w:val="24"/>
                <w:lang w:val="en-US" w:eastAsia="zh-CN" w:bidi="ar"/>
              </w:rPr>
              <w:t>（粒）</w:t>
            </w:r>
            <w:r>
              <w:rPr>
                <w:rFonts w:hint="default" w:ascii="Times New Roman" w:hAnsi="Times New Roman" w:eastAsia="宋体" w:cs="Times New Roman"/>
                <w:color w:val="000000"/>
                <w:kern w:val="0"/>
                <w:sz w:val="24"/>
                <w:szCs w:val="24"/>
                <w:lang w:val="en-US" w:eastAsia="zh-CN" w:bidi="ar"/>
              </w:rPr>
              <w:t>状料堆应尽量选在避风处，对其进行遮盖，防止大量扬尘产生</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粉状物料装卸时禁止凌空抛洒</w:t>
            </w:r>
            <w:r>
              <w:rPr>
                <w:rFonts w:hint="eastAsia" w:ascii="Times New Roman" w:hAnsi="Times New Roman" w:eastAsia="宋体" w:cs="Times New Roman"/>
                <w:color w:val="000000"/>
                <w:kern w:val="0"/>
                <w:sz w:val="24"/>
                <w:szCs w:val="24"/>
                <w:lang w:val="en-US" w:eastAsia="zh-CN" w:bidi="ar"/>
              </w:rPr>
              <w:t>；</w:t>
            </w:r>
          </w:p>
          <w:p w14:paraId="2F4C31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⑥</w:t>
            </w:r>
            <w:r>
              <w:rPr>
                <w:rFonts w:hint="default" w:ascii="Times New Roman" w:hAnsi="Times New Roman" w:eastAsia="宋体" w:cs="Times New Roman"/>
                <w:color w:val="000000"/>
                <w:kern w:val="0"/>
                <w:sz w:val="24"/>
                <w:szCs w:val="24"/>
                <w:lang w:val="en-US" w:eastAsia="zh-CN" w:bidi="ar"/>
              </w:rPr>
              <w:t>加强施工现场扬尘控制。严禁从建筑物高处向下倾倒建筑垃圾</w:t>
            </w:r>
            <w:r>
              <w:rPr>
                <w:rFonts w:hint="eastAsia" w:ascii="Times New Roman" w:hAnsi="Times New Roman" w:eastAsia="宋体" w:cs="Times New Roman"/>
                <w:color w:val="000000"/>
                <w:kern w:val="0"/>
                <w:sz w:val="24"/>
                <w:szCs w:val="24"/>
                <w:lang w:val="en-US" w:eastAsia="zh-CN" w:bidi="ar"/>
              </w:rPr>
              <w:t>；</w:t>
            </w:r>
          </w:p>
          <w:p w14:paraId="2C3511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⑦</w:t>
            </w:r>
            <w:r>
              <w:rPr>
                <w:rFonts w:hint="default" w:ascii="Times New Roman" w:hAnsi="Times New Roman" w:eastAsia="宋体" w:cs="Times New Roman"/>
                <w:color w:val="000000"/>
                <w:kern w:val="0"/>
                <w:sz w:val="24"/>
                <w:szCs w:val="24"/>
                <w:lang w:val="en-US" w:eastAsia="zh-CN" w:bidi="ar"/>
              </w:rPr>
              <w:t>项目使用应选用油耗低、效率高、废气排放达标的施工机械；加强管理，运输车辆必须尾气达标</w:t>
            </w:r>
            <w:r>
              <w:rPr>
                <w:rFonts w:hint="eastAsia" w:ascii="Times New Roman" w:hAnsi="Times New Roman" w:eastAsia="宋体" w:cs="Times New Roman"/>
                <w:color w:val="000000"/>
                <w:kern w:val="0"/>
                <w:sz w:val="24"/>
                <w:szCs w:val="24"/>
                <w:lang w:val="en-US" w:eastAsia="zh-CN" w:bidi="ar"/>
              </w:rPr>
              <w:t>；</w:t>
            </w:r>
          </w:p>
          <w:p w14:paraId="4C385F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⑧文明施工，</w:t>
            </w:r>
            <w:r>
              <w:rPr>
                <w:rFonts w:hint="default" w:ascii="Times New Roman" w:hAnsi="Times New Roman" w:eastAsia="宋体" w:cs="Times New Roman"/>
                <w:color w:val="000000"/>
                <w:kern w:val="0"/>
                <w:sz w:val="24"/>
                <w:szCs w:val="24"/>
                <w:lang w:val="en-US" w:eastAsia="zh-CN" w:bidi="ar"/>
              </w:rPr>
              <w:t>对建筑垃圾及弃土应及时处理、清运、以减少占地，防止粉尘污染</w:t>
            </w:r>
            <w:r>
              <w:rPr>
                <w:rFonts w:hint="eastAsia" w:ascii="Times New Roman" w:hAnsi="Times New Roman" w:eastAsia="宋体" w:cs="Times New Roman"/>
                <w:color w:val="000000"/>
                <w:kern w:val="0"/>
                <w:sz w:val="24"/>
                <w:szCs w:val="24"/>
                <w:lang w:val="en-US" w:eastAsia="zh-CN" w:bidi="ar"/>
              </w:rPr>
              <w:t>；</w:t>
            </w:r>
          </w:p>
          <w:p w14:paraId="49450A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⑨</w:t>
            </w:r>
            <w:r>
              <w:rPr>
                <w:rFonts w:hint="default" w:ascii="Times New Roman" w:hAnsi="Times New Roman" w:eastAsia="宋体" w:cs="Times New Roman"/>
                <w:color w:val="000000"/>
                <w:kern w:val="0"/>
                <w:sz w:val="24"/>
                <w:szCs w:val="24"/>
                <w:lang w:val="en-US" w:eastAsia="zh-CN" w:bidi="ar"/>
              </w:rPr>
              <w:t>专人负责施工场地和车辆的清洁打扫，保证施工场地和道路的清洁。</w:t>
            </w:r>
          </w:p>
          <w:p w14:paraId="59F733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施工期对大气环境的影响是暂时的，在施工结束后会逐渐消失，同时采取严格措施控制和减轻扬尘影响。通过采取一系列的环保措施，施工期对大气环境的影响会降低到很小的程度。</w:t>
            </w:r>
          </w:p>
          <w:p w14:paraId="40007C2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3施工期噪声防治措施</w:t>
            </w:r>
          </w:p>
          <w:p w14:paraId="5AD2F3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施工单位应按《中华人民共和国噪声污染防治法》、《建筑施工场界环境噪声排放标准》和地方的有关要求，制定相应的降噪措施。</w:t>
            </w:r>
          </w:p>
          <w:p w14:paraId="605B38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①合理安排施工场地，施工场地尽量远离居民区等敏感点；施工场界内合理安排施工机械，噪声大的施工机械布置在远离居民区等敏感点的一侧；</w:t>
            </w:r>
          </w:p>
          <w:p w14:paraId="703791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w:t>
            </w:r>
            <w:r>
              <w:rPr>
                <w:rFonts w:hint="default" w:ascii="Times New Roman" w:hAnsi="Times New Roman" w:eastAsia="宋体" w:cs="Times New Roman"/>
                <w:color w:val="000000"/>
                <w:kern w:val="0"/>
                <w:sz w:val="24"/>
                <w:szCs w:val="24"/>
                <w:lang w:val="en-US" w:eastAsia="zh-CN" w:bidi="ar"/>
              </w:rPr>
              <w:t>合理安排作业时间，噪声大的作业尽量安排在白天，夜间禁止打桩；</w:t>
            </w:r>
            <w:r>
              <w:rPr>
                <w:rFonts w:hint="eastAsia" w:ascii="Times New Roman" w:hAnsi="Times New Roman" w:eastAsia="宋体" w:cs="Times New Roman"/>
                <w:color w:val="000000"/>
                <w:kern w:val="0"/>
                <w:sz w:val="24"/>
                <w:szCs w:val="24"/>
                <w:lang w:val="en-US" w:eastAsia="zh-CN" w:bidi="ar"/>
              </w:rPr>
              <w:t>确需</w:t>
            </w:r>
            <w:r>
              <w:rPr>
                <w:rFonts w:hint="default" w:ascii="Times New Roman" w:hAnsi="Times New Roman" w:eastAsia="宋体" w:cs="Times New Roman"/>
                <w:color w:val="000000"/>
                <w:kern w:val="0"/>
                <w:sz w:val="24"/>
                <w:szCs w:val="24"/>
                <w:lang w:val="en-US" w:eastAsia="zh-CN" w:bidi="ar"/>
              </w:rPr>
              <w:t>夜间施工作业的</w:t>
            </w:r>
            <w:r>
              <w:rPr>
                <w:rFonts w:hint="eastAsia" w:ascii="Times New Roman" w:hAnsi="Times New Roman" w:eastAsia="宋体" w:cs="Times New Roman"/>
                <w:color w:val="000000"/>
                <w:kern w:val="0"/>
                <w:sz w:val="24"/>
                <w:szCs w:val="24"/>
                <w:lang w:val="en-US" w:eastAsia="zh-CN" w:bidi="ar"/>
              </w:rPr>
              <w:t>，应在周边关心点</w:t>
            </w:r>
            <w:r>
              <w:rPr>
                <w:rFonts w:hint="default" w:ascii="Times New Roman" w:hAnsi="Times New Roman" w:eastAsia="宋体" w:cs="Times New Roman"/>
                <w:color w:val="000000"/>
                <w:kern w:val="0"/>
                <w:sz w:val="24"/>
                <w:szCs w:val="24"/>
                <w:lang w:val="en-US" w:eastAsia="zh-CN" w:bidi="ar"/>
              </w:rPr>
              <w:t>张贴施工告示</w:t>
            </w:r>
            <w:r>
              <w:rPr>
                <w:rFonts w:hint="eastAsia" w:ascii="Times New Roman" w:hAnsi="Times New Roman" w:eastAsia="宋体" w:cs="Times New Roman"/>
                <w:color w:val="000000"/>
                <w:kern w:val="0"/>
                <w:sz w:val="24"/>
                <w:szCs w:val="24"/>
                <w:lang w:val="en-US" w:eastAsia="zh-CN" w:bidi="ar"/>
              </w:rPr>
              <w:t>，并到相关部门备案</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并</w:t>
            </w:r>
            <w:r>
              <w:rPr>
                <w:rFonts w:hint="default" w:ascii="Times New Roman" w:hAnsi="Times New Roman" w:eastAsia="宋体" w:cs="Times New Roman"/>
                <w:color w:val="000000"/>
                <w:kern w:val="0"/>
                <w:sz w:val="24"/>
                <w:szCs w:val="24"/>
                <w:lang w:val="en-US" w:eastAsia="zh-CN" w:bidi="ar"/>
              </w:rPr>
              <w:t>采取措施，最大限度减少施工噪声</w:t>
            </w:r>
            <w:r>
              <w:rPr>
                <w:rFonts w:hint="eastAsia" w:ascii="Times New Roman" w:hAnsi="Times New Roman" w:eastAsia="宋体" w:cs="Times New Roman"/>
                <w:color w:val="000000"/>
                <w:kern w:val="0"/>
                <w:sz w:val="24"/>
                <w:szCs w:val="24"/>
                <w:lang w:val="en-US" w:eastAsia="zh-CN" w:bidi="ar"/>
              </w:rPr>
              <w:t>；</w:t>
            </w:r>
          </w:p>
          <w:p w14:paraId="36E5AF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③加强管理，</w:t>
            </w:r>
            <w:r>
              <w:rPr>
                <w:rFonts w:hint="default" w:ascii="Times New Roman" w:hAnsi="Times New Roman" w:eastAsia="宋体" w:cs="Times New Roman"/>
                <w:color w:val="000000"/>
                <w:kern w:val="0"/>
                <w:sz w:val="24"/>
                <w:szCs w:val="24"/>
                <w:lang w:val="en-US" w:eastAsia="zh-CN" w:bidi="ar"/>
              </w:rPr>
              <w:t>对人为的施工噪声应有管理制度和降噪措施，并进行严格控制。承担夜间材料运输的车辆，进入施工现场严禁鸣笛，装卸材料应做到轻拿轻放，减少噪声扰民；</w:t>
            </w:r>
          </w:p>
          <w:p w14:paraId="06A167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④合理规划施工便道和载重车辆走行时间，尽量不穿村或远离村庄，减小运输噪声对居民的影响；</w:t>
            </w:r>
          </w:p>
          <w:p w14:paraId="667F0A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w:t>
            </w:r>
            <w:r>
              <w:rPr>
                <w:rFonts w:hint="default" w:ascii="Times New Roman" w:hAnsi="Times New Roman" w:eastAsia="宋体" w:cs="Times New Roman"/>
                <w:color w:val="000000"/>
                <w:kern w:val="0"/>
                <w:sz w:val="24"/>
                <w:szCs w:val="24"/>
                <w:lang w:val="en-US" w:eastAsia="zh-CN" w:bidi="ar"/>
              </w:rPr>
              <w:t>做好宣传工作，倡导科学管理和文明施工，降低人为因素造成的噪声污染；</w:t>
            </w:r>
          </w:p>
          <w:p w14:paraId="1DB401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⑥选用低噪声的施工机械及施工工艺，加强施工机械的保养，降低噪声；</w:t>
            </w:r>
          </w:p>
          <w:p w14:paraId="488A27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⑦施工场地四周设置临时隔声声障（如设置临时围墙等）；对位置相对固定的机械设备，能于棚内操作的尽量入操作间</w:t>
            </w:r>
            <w:r>
              <w:rPr>
                <w:rFonts w:hint="default" w:ascii="Times New Roman" w:hAnsi="Times New Roman" w:eastAsia="宋体" w:cs="Times New Roman"/>
                <w:color w:val="000000"/>
                <w:kern w:val="0"/>
                <w:sz w:val="24"/>
                <w:szCs w:val="24"/>
                <w:lang w:val="en-US" w:eastAsia="zh-CN" w:bidi="ar"/>
              </w:rPr>
              <w:t>。</w:t>
            </w:r>
          </w:p>
          <w:p w14:paraId="3D9E5C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在本项目施工建设过程中，各类施工机械设备产生的噪声不可避免地会对周围环境产生一定的影响，只要建设单位在施工期间采取合理有效的噪声污染防治措施和实施有效的环境监理，对工程施工方案进行合理设计，可将项目施工期施工机械噪声对周围环境的影响降至最低。项目施工噪声不会对周边环境产生长期影响，随着项目施工结束，施工噪声污染将随之消失，因此项目施工噪声对周边环境产生的影响是可以接受的。</w:t>
            </w:r>
          </w:p>
          <w:p w14:paraId="69F728E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4施工期地表水环境污染防治措施</w:t>
            </w:r>
          </w:p>
          <w:p w14:paraId="7A551F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vertAlign w:val="baseline"/>
                <w:lang w:val="en-US" w:eastAsia="zh-CN" w:bidi="ar"/>
              </w:rPr>
            </w:pPr>
            <w:r>
              <w:rPr>
                <w:rFonts w:hint="eastAsia" w:cs="Times New Roman"/>
                <w:color w:val="000000"/>
                <w:kern w:val="0"/>
                <w:sz w:val="24"/>
                <w:szCs w:val="24"/>
                <w:lang w:val="en-US" w:eastAsia="zh-CN" w:bidi="ar"/>
              </w:rPr>
              <w:t>施工期在项目区设置1个容积为15m</w:t>
            </w:r>
            <w:r>
              <w:rPr>
                <w:rFonts w:hint="eastAsia" w:cs="Times New Roman"/>
                <w:color w:val="000000"/>
                <w:kern w:val="0"/>
                <w:sz w:val="24"/>
                <w:szCs w:val="24"/>
                <w:vertAlign w:val="superscript"/>
                <w:lang w:val="en-US" w:eastAsia="zh-CN" w:bidi="ar"/>
              </w:rPr>
              <w:t>3</w:t>
            </w:r>
            <w:r>
              <w:rPr>
                <w:rFonts w:hint="eastAsia" w:cs="Times New Roman"/>
                <w:color w:val="000000"/>
                <w:kern w:val="0"/>
                <w:sz w:val="24"/>
                <w:szCs w:val="24"/>
                <w:vertAlign w:val="baseline"/>
                <w:lang w:val="en-US" w:eastAsia="zh-CN" w:bidi="ar"/>
              </w:rPr>
              <w:t>的沉淀池，用于收集建筑施工废水、雨天地表径流以及施工人员生活污水，收集沉淀后回用于厂区洒水降尘或建筑养护，不外排。</w:t>
            </w:r>
          </w:p>
          <w:p w14:paraId="655B22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（1）施工废水</w:t>
            </w:r>
          </w:p>
          <w:p w14:paraId="04486C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施工废水主要为施工机械和施工车辆清洗用水，经沉淀池收集处理后回用于厂区洒水降尘，不外排，池内沉淀物定期清掏。</w:t>
            </w:r>
          </w:p>
          <w:p w14:paraId="0B301F7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（2）雨天地表径流</w:t>
            </w:r>
          </w:p>
          <w:p w14:paraId="42BB19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本项目采取规范临时占地、裸露地表和物料遮盖的措施，可减少雨水冲刷泥沙量。在雨水径流量较大时，通过临时排水沟排入沉淀池处理后，回用于场内洒水抑尘、建筑养护用水等。</w:t>
            </w:r>
          </w:p>
          <w:p w14:paraId="79880DE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b/>
                <w:bCs/>
                <w:color w:val="000000"/>
                <w:kern w:val="0"/>
                <w:sz w:val="24"/>
                <w:szCs w:val="24"/>
                <w:lang w:val="en-US" w:eastAsia="zh-CN" w:bidi="ar"/>
              </w:rPr>
              <w:t>（3）施工人员</w:t>
            </w:r>
            <w:r>
              <w:rPr>
                <w:rFonts w:hint="eastAsia" w:cs="Times New Roman"/>
                <w:b/>
                <w:bCs/>
                <w:color w:val="000000"/>
                <w:kern w:val="0"/>
                <w:sz w:val="24"/>
                <w:szCs w:val="24"/>
                <w:lang w:val="en-US" w:eastAsia="zh-CN" w:bidi="ar"/>
              </w:rPr>
              <w:t>生活污水</w:t>
            </w:r>
          </w:p>
          <w:p w14:paraId="3A81D9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施工人员不在项目区内食宿</w:t>
            </w:r>
            <w:r>
              <w:rPr>
                <w:rFonts w:hint="eastAsia" w:cs="Times New Roman"/>
                <w:color w:val="000000"/>
                <w:kern w:val="0"/>
                <w:sz w:val="24"/>
                <w:szCs w:val="24"/>
                <w:lang w:val="en-US" w:eastAsia="zh-CN" w:bidi="ar"/>
              </w:rPr>
              <w:t>，</w:t>
            </w:r>
            <w:r>
              <w:rPr>
                <w:rFonts w:hint="eastAsia" w:cs="Times New Roman"/>
                <w:sz w:val="24"/>
                <w:szCs w:val="24"/>
                <w:lang w:val="en-US" w:eastAsia="zh-CN"/>
              </w:rPr>
              <w:t>施工期间生活污水主要为办公废水和施工人员洗手废水，经沉淀池收集处理后用于厂区洒水降尘，不外排</w:t>
            </w:r>
            <w:r>
              <w:rPr>
                <w:rFonts w:hint="default" w:ascii="Times New Roman" w:hAnsi="Times New Roman" w:eastAsia="宋体" w:cs="Times New Roman"/>
                <w:color w:val="000000"/>
                <w:kern w:val="0"/>
                <w:sz w:val="24"/>
                <w:szCs w:val="24"/>
                <w:lang w:val="en-US" w:eastAsia="zh-CN" w:bidi="ar"/>
              </w:rPr>
              <w:t>。</w:t>
            </w:r>
          </w:p>
          <w:p w14:paraId="67E3C88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5施工期固体废物防治措施</w:t>
            </w:r>
          </w:p>
          <w:p w14:paraId="68D7B8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①施工过程中，工程开挖产生的土石方全部用于回填，不产生废弃土石方；</w:t>
            </w:r>
          </w:p>
          <w:p w14:paraId="0C31BC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②建筑垃圾分类集中堆存、回收利用，不能利用的集中收集后清运至当地政府指定的堆放场所堆放处置，禁止随意丢弃；</w:t>
            </w:r>
          </w:p>
          <w:p w14:paraId="420DD0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ascii="Times New Roman" w:hAnsi="Times New Roman" w:eastAsia="宋体" w:cs="Times New Roman"/>
                <w:color w:val="000000"/>
                <w:kern w:val="0"/>
                <w:sz w:val="24"/>
                <w:szCs w:val="24"/>
                <w:lang w:val="en-US" w:eastAsia="zh-CN" w:bidi="ar"/>
              </w:rPr>
              <w:t>③施工期生活垃圾设施垃圾桶进行统一收集，委托园区环卫部门清运处置，禁止随意丢弃。</w:t>
            </w:r>
          </w:p>
        </w:tc>
      </w:tr>
      <w:tr w14:paraId="5A0A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77DC9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运营期生态环境保护措施</w:t>
            </w:r>
          </w:p>
        </w:tc>
        <w:tc>
          <w:tcPr>
            <w:tcW w:w="7853" w:type="dxa"/>
          </w:tcPr>
          <w:p w14:paraId="239AE62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6运营期生态环境保护措施</w:t>
            </w:r>
          </w:p>
          <w:p w14:paraId="491D700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eastAsia" w:cs="Times New Roman"/>
                <w:b/>
                <w:bCs/>
                <w:sz w:val="24"/>
                <w:szCs w:val="24"/>
                <w:lang w:val="en-US" w:eastAsia="zh-CN"/>
              </w:rPr>
              <w:t>1、管理措施</w:t>
            </w:r>
          </w:p>
          <w:p w14:paraId="3ECC86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①加强对工作人员的环保意识教育，做到爱护环境、保护植被。</w:t>
            </w:r>
          </w:p>
          <w:p w14:paraId="2FD44B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②建设单位应设置专门的生态环境监管机构，负责生态环境保护和生态环境恢复重建的监督管理工作。</w:t>
            </w:r>
          </w:p>
          <w:p w14:paraId="640040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③施工结束后，应立即对破坏的植被进行恢复，施工临时用地应在工程内容结束后立即拆除并恢复，缩短工程施工的破坏时间，减少扰动土壤的裸露时间，从时间角度降低工程对环境的破坏程度。</w:t>
            </w:r>
          </w:p>
          <w:p w14:paraId="4F3130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④路基边坡坡面采用</w:t>
            </w:r>
            <w:r>
              <w:rPr>
                <w:rFonts w:hint="eastAsia" w:ascii="Times New Roman" w:hAnsi="Times New Roman" w:eastAsia="宋体" w:cs="Times New Roman"/>
                <w:color w:val="000000"/>
                <w:kern w:val="0"/>
                <w:sz w:val="24"/>
                <w:szCs w:val="24"/>
                <w:lang w:val="en-US" w:eastAsia="zh-CN" w:bidi="ar"/>
              </w:rPr>
              <w:t>种植当地树种</w:t>
            </w:r>
            <w:r>
              <w:rPr>
                <w:rFonts w:hint="default" w:ascii="Times New Roman" w:hAnsi="Times New Roman" w:eastAsia="宋体" w:cs="Times New Roman"/>
                <w:color w:val="000000"/>
                <w:kern w:val="0"/>
                <w:sz w:val="24"/>
                <w:szCs w:val="24"/>
                <w:lang w:val="en-US" w:eastAsia="zh-CN" w:bidi="ar"/>
              </w:rPr>
              <w:t>的方式进行防护，路基防护可以加强路基的稳固性，以防暴雨天气，引发路堤坍塌，产生水土流失。</w:t>
            </w:r>
          </w:p>
          <w:p w14:paraId="08F7B5D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植被保护措施</w:t>
            </w:r>
          </w:p>
          <w:p w14:paraId="537A94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落实绿化经费，加强复耕、绿化措施，保证对植被的日常养护，遵循因地制宜的原则开展种树种草工作，选择适宜本地生长及适于生存的植被进行合理绿化。</w:t>
            </w:r>
          </w:p>
          <w:p w14:paraId="448B68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3.动物的保护措施</w:t>
            </w:r>
          </w:p>
          <w:p w14:paraId="288588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提高施工及工作人员的保护意识，在场地设置警示牌，以提醒运行期管理及养护人员加强对麻雀等小型动物的保护意识，禁止人为伤害。</w:t>
            </w:r>
          </w:p>
          <w:p w14:paraId="10B35C3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7运营期大气污染防治措施</w:t>
            </w:r>
          </w:p>
          <w:p w14:paraId="71FEE9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w:t>
            </w:r>
            <w:r>
              <w:rPr>
                <w:rFonts w:hint="default" w:ascii="Times New Roman" w:hAnsi="Times New Roman" w:eastAsia="宋体" w:cs="Times New Roman"/>
                <w:color w:val="000000"/>
                <w:kern w:val="0"/>
                <w:sz w:val="24"/>
                <w:szCs w:val="24"/>
                <w:lang w:val="en-US" w:eastAsia="zh-CN" w:bidi="ar"/>
              </w:rPr>
              <w:t>加强对设备及车辆的维护，使之处于良好运行状态；做好作业区绿化工作，消除裸露空地</w:t>
            </w:r>
            <w:r>
              <w:rPr>
                <w:rFonts w:hint="eastAsia" w:ascii="Times New Roman" w:hAnsi="Times New Roman" w:eastAsia="宋体" w:cs="Times New Roman"/>
                <w:color w:val="000000"/>
                <w:kern w:val="0"/>
                <w:sz w:val="24"/>
                <w:szCs w:val="24"/>
                <w:lang w:val="en-US" w:eastAsia="zh-CN" w:bidi="ar"/>
              </w:rPr>
              <w:t>；</w:t>
            </w:r>
          </w:p>
          <w:p w14:paraId="147C32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②使用合格的设备，定期维护，避免设备尾气排放超标；</w:t>
            </w:r>
          </w:p>
          <w:p w14:paraId="345B80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③装卸过程中，喷雾降尘，对于易起尘的物料，堆放过程中，采用篷布遮盖。</w:t>
            </w:r>
          </w:p>
          <w:p w14:paraId="7B28302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8运营期声环境保护措施</w:t>
            </w:r>
          </w:p>
          <w:p w14:paraId="4BFACA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项目建成后，对声环境主要影响的为列车噪声，仓储区域主要噪声为对汽车出入、地面停车场、直通车辆出入时的噪声。</w:t>
            </w:r>
          </w:p>
          <w:p w14:paraId="6B9AF6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①选用低噪声车辆及轨道结构，从声源上控制铁路噪声污染；</w:t>
            </w:r>
          </w:p>
          <w:p w14:paraId="534E79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②优化运输计划，加强日常运营管理；</w:t>
            </w:r>
          </w:p>
          <w:p w14:paraId="6BACBE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w:t>
            </w:r>
            <w:r>
              <w:rPr>
                <w:rFonts w:hint="eastAsia" w:ascii="Times New Roman" w:hAnsi="Times New Roman" w:eastAsia="宋体" w:cs="Times New Roman"/>
                <w:color w:val="000000"/>
                <w:kern w:val="0"/>
                <w:sz w:val="24"/>
                <w:szCs w:val="24"/>
                <w:lang w:val="en-US" w:eastAsia="zh-CN" w:bidi="ar"/>
              </w:rPr>
              <w:t>加强监测，运营期对铁路边界</w:t>
            </w:r>
            <w:r>
              <w:rPr>
                <w:rFonts w:hint="default" w:ascii="Times New Roman" w:hAnsi="Times New Roman" w:eastAsia="宋体" w:cs="Times New Roman"/>
                <w:color w:val="000000"/>
                <w:kern w:val="0"/>
                <w:sz w:val="24"/>
                <w:szCs w:val="24"/>
                <w:lang w:val="en-US" w:eastAsia="zh-CN" w:bidi="ar"/>
              </w:rPr>
              <w:t>30m</w:t>
            </w:r>
            <w:r>
              <w:rPr>
                <w:rFonts w:hint="eastAsia" w:ascii="Times New Roman" w:hAnsi="Times New Roman" w:eastAsia="宋体" w:cs="Times New Roman"/>
                <w:color w:val="000000"/>
                <w:kern w:val="0"/>
                <w:sz w:val="24"/>
                <w:szCs w:val="24"/>
                <w:lang w:val="en-US" w:eastAsia="zh-CN" w:bidi="ar"/>
              </w:rPr>
              <w:t>处及各段受铁路噪声影响较大的敏感点实施噪声跟踪监测；</w:t>
            </w:r>
          </w:p>
          <w:p w14:paraId="72FD4B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④加强监管，禁止在铁路中心线距离</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Times New Roman"/>
                <w:color w:val="000000"/>
                <w:kern w:val="0"/>
                <w:sz w:val="24"/>
                <w:szCs w:val="24"/>
                <w:lang w:val="en-US" w:eastAsia="zh-CN" w:bidi="ar"/>
              </w:rPr>
              <w:t>范围内划建设医院、学校、居民区等对噪声敏感的建筑物；</w:t>
            </w:r>
          </w:p>
          <w:p w14:paraId="767480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⑤采取定期检查与养护轨道、控制列车速度及禁止鸣笛等措施。</w:t>
            </w:r>
          </w:p>
          <w:p w14:paraId="5D5A143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9运营期振动污染防治措施</w:t>
            </w:r>
          </w:p>
          <w:p w14:paraId="380459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定期对钢轨进行打磨等，保持钢轨顶面平顺、光滑；对车轮定期进行铣、镟，减少车轮与钢轨撞击出现扁疤等。可使各项设备处于良好的工作状态，有效地增大振动传播途径的阻力，增强振动传播过程的阻尼作用，降低受振点振级值。</w:t>
            </w:r>
          </w:p>
          <w:p w14:paraId="6D31F48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11运营期地表水环境污染防治措施</w:t>
            </w:r>
          </w:p>
          <w:p w14:paraId="48B413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w:t>
            </w:r>
            <w:r>
              <w:rPr>
                <w:rFonts w:hint="eastAsia" w:cs="Times New Roman"/>
                <w:color w:val="000000"/>
                <w:kern w:val="0"/>
                <w:sz w:val="24"/>
                <w:szCs w:val="24"/>
                <w:lang w:val="en-US" w:eastAsia="zh-CN" w:bidi="ar"/>
              </w:rPr>
              <w:t>运营期废水主要为生活污水，通过化粪池预处理后，排入新建的一体化污水处理设施</w:t>
            </w:r>
            <w:r>
              <w:rPr>
                <w:rFonts w:hint="eastAsia"/>
                <w:sz w:val="24"/>
                <w:szCs w:val="24"/>
                <w:vertAlign w:val="baseline"/>
                <w:lang w:val="en-US" w:eastAsia="zh-CN"/>
              </w:rPr>
              <w:t>，处理能力为10m</w:t>
            </w:r>
            <w:r>
              <w:rPr>
                <w:rFonts w:hint="eastAsia"/>
                <w:sz w:val="24"/>
                <w:szCs w:val="24"/>
                <w:vertAlign w:val="superscript"/>
                <w:lang w:val="en-US" w:eastAsia="zh-CN"/>
              </w:rPr>
              <w:t>3</w:t>
            </w:r>
            <w:r>
              <w:rPr>
                <w:rFonts w:hint="eastAsia"/>
                <w:sz w:val="24"/>
                <w:szCs w:val="24"/>
                <w:vertAlign w:val="baseline"/>
                <w:lang w:val="en-US" w:eastAsia="zh-CN"/>
              </w:rPr>
              <w:t>/d，处理达标后回用于厂区绿化或洒水降尘，不外排。</w:t>
            </w:r>
          </w:p>
          <w:p w14:paraId="0BE3CB4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b/>
                <w:bCs/>
                <w:sz w:val="24"/>
                <w:szCs w:val="24"/>
                <w:lang w:val="en-US" w:eastAsia="zh-CN"/>
              </w:rPr>
              <w:t>5.</w:t>
            </w:r>
            <w:r>
              <w:rPr>
                <w:rFonts w:hint="eastAsia" w:cs="Times New Roman"/>
                <w:b/>
                <w:bCs/>
                <w:sz w:val="24"/>
                <w:szCs w:val="24"/>
                <w:lang w:val="en-US" w:eastAsia="zh-CN"/>
              </w:rPr>
              <w:t>11运营期固体废物污染防治措施</w:t>
            </w:r>
          </w:p>
          <w:p w14:paraId="53F1B0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项目营运期间产生的固体废物主要为包装废物、办公生活产生的生活垃圾</w:t>
            </w:r>
            <w:r>
              <w:rPr>
                <w:rFonts w:hint="eastAsia" w:ascii="Times New Roman" w:hAnsi="Times New Roman" w:eastAsia="宋体" w:cs="Times New Roman"/>
                <w:color w:val="000000"/>
                <w:kern w:val="0"/>
                <w:sz w:val="24"/>
                <w:szCs w:val="24"/>
                <w:lang w:val="en-US" w:eastAsia="zh-CN" w:bidi="ar"/>
              </w:rPr>
              <w:t>以及</w:t>
            </w:r>
            <w:r>
              <w:rPr>
                <w:rFonts w:hint="default" w:ascii="Times New Roman" w:hAnsi="Times New Roman" w:eastAsia="宋体" w:cs="Times New Roman"/>
                <w:color w:val="000000"/>
                <w:kern w:val="0"/>
                <w:sz w:val="24"/>
                <w:szCs w:val="24"/>
                <w:lang w:val="en-US" w:eastAsia="zh-CN" w:bidi="ar"/>
              </w:rPr>
              <w:t>化粪池污泥等。</w:t>
            </w:r>
          </w:p>
          <w:p w14:paraId="18BA04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（1）生活垃圾</w:t>
            </w:r>
          </w:p>
          <w:p w14:paraId="0B4E9B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分类收集、分类堆存，对能够回收利用的部分应联系回收单位进行回用。生活垃圾、仓库垃圾和办公垃圾中，纸张、纸板、塑料、玻璃等可回收利用的成份比例很高，通过回收利用，不但可以实现垃圾资源化，还可以创造一定的经济效益；</w:t>
            </w:r>
          </w:p>
          <w:p w14:paraId="5A3447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②垃圾收集设施应进行适当封闭，以防止雨水进入造成二次污染，杜绝蚊虫鼠害和恶臭异味影响。</w:t>
            </w:r>
          </w:p>
          <w:p w14:paraId="3B0413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（2）包装废物</w:t>
            </w:r>
          </w:p>
          <w:p w14:paraId="367622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项目仓储包装、分拣包装会产生一定量的废弃包装物，废弃包装物分类收集后由相关包装品回收单位回收处理。</w:t>
            </w:r>
          </w:p>
          <w:p w14:paraId="38210C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）污泥：化粪池产生的污泥委托环卫部门直接利用吸粪车抽走</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项目投入营运后建设单位应与环卫部门签订合同，定期清运污泥，防止污染周边环境。</w:t>
            </w:r>
          </w:p>
          <w:p w14:paraId="248FD3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000000"/>
                <w:kern w:val="0"/>
                <w:sz w:val="24"/>
                <w:szCs w:val="24"/>
                <w:lang w:val="en-US" w:eastAsia="zh-CN" w:bidi="ar"/>
              </w:rPr>
              <w:t>（4）废机油</w:t>
            </w:r>
            <w:r>
              <w:rPr>
                <w:rFonts w:hint="default" w:ascii="Times New Roman" w:hAnsi="Times New Roman" w:cs="Times New Roman"/>
                <w:color w:val="auto"/>
                <w:sz w:val="24"/>
                <w:szCs w:val="24"/>
                <w:highlight w:val="none"/>
                <w:lang w:val="en-US" w:eastAsia="zh-CN"/>
              </w:rPr>
              <w:t>经专用容器收集后暂存于</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云南玉溪仙福钢铁（集团）有限公司年</w:t>
            </w:r>
            <w:r>
              <w:rPr>
                <w:rFonts w:hint="default" w:ascii="Times New Roman" w:hAnsi="Times New Roman" w:eastAsia="宋体" w:cs="Times New Roman"/>
                <w:color w:val="000000"/>
                <w:kern w:val="0"/>
                <w:sz w:val="24"/>
                <w:szCs w:val="24"/>
                <w:lang w:val="en-US" w:eastAsia="zh-CN" w:bidi="ar"/>
              </w:rPr>
              <w:t>产260万吨/年铁钢材项目</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配套</w:t>
            </w:r>
            <w:r>
              <w:rPr>
                <w:rFonts w:hint="eastAsia" w:ascii="Times New Roman" w:hAnsi="Times New Roman" w:cs="Times New Roman"/>
                <w:color w:val="auto"/>
                <w:sz w:val="24"/>
                <w:szCs w:val="24"/>
                <w:highlight w:val="none"/>
                <w:lang w:val="en-US" w:eastAsia="zh-CN"/>
              </w:rPr>
              <w:t>危险废物</w:t>
            </w:r>
            <w:r>
              <w:rPr>
                <w:rFonts w:hint="eastAsia" w:cs="Times New Roman"/>
                <w:color w:val="auto"/>
                <w:sz w:val="24"/>
                <w:szCs w:val="24"/>
                <w:highlight w:val="none"/>
                <w:lang w:val="en-US" w:eastAsia="zh-CN"/>
              </w:rPr>
              <w:t>贮</w:t>
            </w:r>
            <w:r>
              <w:rPr>
                <w:rFonts w:hint="eastAsia" w:ascii="Times New Roman" w:hAnsi="Times New Roman" w:cs="Times New Roman"/>
                <w:color w:val="auto"/>
                <w:sz w:val="24"/>
                <w:szCs w:val="24"/>
                <w:highlight w:val="none"/>
                <w:lang w:val="en-US" w:eastAsia="zh-CN"/>
              </w:rPr>
              <w:t>存库</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云南绿力环保科技有限公司</w:t>
            </w:r>
            <w:r>
              <w:rPr>
                <w:rFonts w:hint="default" w:ascii="Times New Roman" w:hAnsi="Times New Roman" w:cs="Times New Roman"/>
                <w:color w:val="auto"/>
                <w:sz w:val="24"/>
                <w:szCs w:val="24"/>
                <w:highlight w:val="none"/>
                <w:lang w:val="en-US" w:eastAsia="zh-CN"/>
              </w:rPr>
              <w:t>定期</w:t>
            </w:r>
            <w:r>
              <w:rPr>
                <w:rFonts w:hint="eastAsia" w:cs="Times New Roman"/>
                <w:color w:val="auto"/>
                <w:sz w:val="24"/>
                <w:szCs w:val="24"/>
                <w:highlight w:val="none"/>
                <w:lang w:val="en-US" w:eastAsia="zh-CN"/>
              </w:rPr>
              <w:t>清运</w:t>
            </w:r>
            <w:r>
              <w:rPr>
                <w:rFonts w:hint="default" w:ascii="Times New Roman" w:hAnsi="Times New Roman" w:cs="Times New Roman"/>
                <w:color w:val="auto"/>
                <w:sz w:val="24"/>
                <w:szCs w:val="24"/>
                <w:highlight w:val="none"/>
                <w:lang w:val="en-US" w:eastAsia="zh-CN"/>
              </w:rPr>
              <w:t>处置。废弃的含油抹布、劳保用品全过程不按危险废物管理。废弃的含油抹布随意丢弃会对环境造成影响，废弃的含油抹布由环卫部门定期清运、处理。</w:t>
            </w:r>
          </w:p>
          <w:p w14:paraId="0658F7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bCs/>
                <w:sz w:val="24"/>
                <w:szCs w:val="24"/>
                <w:lang w:val="en-US" w:eastAsia="zh-CN"/>
              </w:rPr>
            </w:pPr>
            <w:r>
              <w:rPr>
                <w:rFonts w:hint="eastAsia" w:ascii="Times New Roman" w:hAnsi="Times New Roman" w:eastAsia="宋体" w:cs="Times New Roman"/>
                <w:color w:val="000000"/>
                <w:kern w:val="0"/>
                <w:sz w:val="24"/>
                <w:szCs w:val="24"/>
                <w:lang w:val="en-US" w:eastAsia="zh-CN" w:bidi="ar"/>
              </w:rPr>
              <w:t>建设项目需强化固体废物产生、收集、贮运各环节的管理，做好固体废物在站内的收集和储存相关防护工作，收集后进行有效处置或者回用。建立完善的规章制度，以降低固体废物散落对周围环境的影响。</w:t>
            </w:r>
          </w:p>
        </w:tc>
      </w:tr>
      <w:tr w14:paraId="7CF9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69" w:type="dxa"/>
            <w:vAlign w:val="center"/>
          </w:tcPr>
          <w:p w14:paraId="11539E1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其他</w:t>
            </w:r>
          </w:p>
        </w:tc>
        <w:tc>
          <w:tcPr>
            <w:tcW w:w="7853" w:type="dxa"/>
          </w:tcPr>
          <w:p w14:paraId="7B28D00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一、环境管理及监测计划</w:t>
            </w:r>
          </w:p>
          <w:p w14:paraId="096ACC4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（一）环境管理</w:t>
            </w:r>
          </w:p>
          <w:p w14:paraId="750FA2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有效地进行环境管理工作，加强对各项环境保护措施的监理、检查和验收，建设单位或施工单位应设至少1名兼职的环保工作人员。并着重做好环境管理工作，加强环保法规教育和技术培训，提高各级领导及广大职工的环保意识，组织落实各项环境监测计划、各项环境保护措施，积累环境资料，规范各项环境管理制度。按照环境行政管理部门要求开展环境监察工作，环境监察主要工作内容如</w:t>
            </w:r>
            <w:r>
              <w:rPr>
                <w:rFonts w:hint="eastAsia" w:ascii="Times New Roman" w:hAnsi="Times New Roman" w:eastAsia="宋体" w:cs="Times New Roman"/>
                <w:sz w:val="24"/>
                <w:szCs w:val="24"/>
                <w:lang w:val="en-US" w:eastAsia="zh-CN"/>
              </w:rPr>
              <w:t>下</w:t>
            </w:r>
            <w:r>
              <w:rPr>
                <w:rFonts w:hint="default" w:ascii="Times New Roman" w:hAnsi="Times New Roman" w:eastAsia="宋体" w:cs="Times New Roman"/>
                <w:sz w:val="24"/>
                <w:szCs w:val="24"/>
                <w:lang w:val="en-US" w:eastAsia="zh-CN"/>
              </w:rPr>
              <w:t>表所示。</w:t>
            </w:r>
          </w:p>
          <w:p w14:paraId="547E328D">
            <w:pPr>
              <w:pStyle w:val="2"/>
              <w:ind w:left="0" w:leftChars="0" w:firstLine="0" w:firstLineChars="0"/>
              <w:jc w:val="center"/>
              <w:rPr>
                <w:rFonts w:hint="default" w:ascii="Times New Roman" w:hAnsi="Times New Roman" w:eastAsia="黑体" w:cs="Times New Roman"/>
                <w:color w:val="auto"/>
                <w:sz w:val="21"/>
                <w:szCs w:val="18"/>
                <w:highlight w:val="none"/>
                <w:vertAlign w:val="baseline"/>
                <w:lang w:val="en-US" w:eastAsia="zh-CN"/>
              </w:rPr>
            </w:pPr>
            <w:r>
              <w:rPr>
                <w:rFonts w:hint="default" w:ascii="Times New Roman" w:hAnsi="Times New Roman" w:eastAsia="黑体" w:cs="Times New Roman"/>
                <w:color w:val="auto"/>
                <w:sz w:val="21"/>
                <w:szCs w:val="18"/>
                <w:highlight w:val="none"/>
                <w:vertAlign w:val="baseline"/>
                <w:lang w:val="en-US" w:eastAsia="zh-CN"/>
              </w:rPr>
              <w:t>表</w:t>
            </w:r>
            <w:r>
              <w:rPr>
                <w:rFonts w:hint="eastAsia" w:ascii="Times New Roman" w:hAnsi="Times New Roman" w:eastAsia="黑体" w:cs="Times New Roman"/>
                <w:color w:val="auto"/>
                <w:sz w:val="21"/>
                <w:szCs w:val="18"/>
                <w:highlight w:val="none"/>
                <w:vertAlign w:val="baseline"/>
                <w:lang w:val="en-US" w:eastAsia="zh-CN"/>
              </w:rPr>
              <w:t>5</w:t>
            </w:r>
            <w:r>
              <w:rPr>
                <w:rFonts w:hint="default" w:ascii="Times New Roman" w:hAnsi="Times New Roman" w:eastAsia="黑体" w:cs="Times New Roman"/>
                <w:color w:val="auto"/>
                <w:sz w:val="21"/>
                <w:szCs w:val="18"/>
                <w:highlight w:val="none"/>
                <w:vertAlign w:val="baseline"/>
                <w:lang w:val="en-US" w:eastAsia="zh-CN"/>
              </w:rPr>
              <w:t>-1  环境监察一览表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718"/>
              <w:gridCol w:w="3133"/>
              <w:gridCol w:w="1529"/>
            </w:tblGrid>
            <w:tr w14:paraId="0CC415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tcBorders>
                    <w:tl2br w:val="nil"/>
                    <w:tr2bl w:val="nil"/>
                  </w:tcBorders>
                  <w:vAlign w:val="center"/>
                </w:tcPr>
                <w:p w14:paraId="2B628BFA">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时期</w:t>
                  </w:r>
                </w:p>
              </w:tc>
              <w:tc>
                <w:tcPr>
                  <w:tcW w:w="1125" w:type="pct"/>
                  <w:tcBorders>
                    <w:tl2br w:val="nil"/>
                    <w:tr2bl w:val="nil"/>
                  </w:tcBorders>
                  <w:vAlign w:val="center"/>
                </w:tcPr>
                <w:p w14:paraId="58688F0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环境问题</w:t>
                  </w:r>
                </w:p>
              </w:tc>
              <w:tc>
                <w:tcPr>
                  <w:tcW w:w="2051" w:type="pct"/>
                  <w:tcBorders>
                    <w:tl2br w:val="nil"/>
                    <w:tr2bl w:val="nil"/>
                  </w:tcBorders>
                  <w:vAlign w:val="center"/>
                </w:tcPr>
                <w:p w14:paraId="793F518F">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环境保护措施</w:t>
                  </w:r>
                </w:p>
              </w:tc>
              <w:tc>
                <w:tcPr>
                  <w:tcW w:w="1001" w:type="pct"/>
                  <w:tcBorders>
                    <w:tl2br w:val="nil"/>
                    <w:tr2bl w:val="nil"/>
                  </w:tcBorders>
                  <w:vAlign w:val="center"/>
                </w:tcPr>
                <w:p w14:paraId="1CF3029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负责部门</w:t>
                  </w:r>
                </w:p>
              </w:tc>
            </w:tr>
            <w:tr w14:paraId="79405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tcBorders>
                    <w:tl2br w:val="nil"/>
                    <w:tr2bl w:val="nil"/>
                  </w:tcBorders>
                  <w:vAlign w:val="center"/>
                </w:tcPr>
                <w:p w14:paraId="3DE3AC0F">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环保验收</w:t>
                  </w:r>
                </w:p>
              </w:tc>
              <w:tc>
                <w:tcPr>
                  <w:tcW w:w="1125" w:type="pct"/>
                  <w:tcBorders>
                    <w:tl2br w:val="nil"/>
                    <w:tr2bl w:val="nil"/>
                  </w:tcBorders>
                  <w:vAlign w:val="center"/>
                </w:tcPr>
                <w:p w14:paraId="34A1726B">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检查环保设施及效果</w:t>
                  </w:r>
                </w:p>
              </w:tc>
              <w:tc>
                <w:tcPr>
                  <w:tcW w:w="2051" w:type="pct"/>
                  <w:tcBorders>
                    <w:tl2br w:val="nil"/>
                    <w:tr2bl w:val="nil"/>
                  </w:tcBorders>
                  <w:vAlign w:val="center"/>
                </w:tcPr>
                <w:p w14:paraId="4992BE08">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按照环境影响报告表及批复进行监测或调查</w:t>
                  </w:r>
                </w:p>
              </w:tc>
              <w:tc>
                <w:tcPr>
                  <w:tcW w:w="1001" w:type="pct"/>
                  <w:tcBorders>
                    <w:tl2br w:val="nil"/>
                    <w:tr2bl w:val="nil"/>
                  </w:tcBorders>
                  <w:vAlign w:val="center"/>
                </w:tcPr>
                <w:p w14:paraId="63D348EA">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建设单位</w:t>
                  </w:r>
                </w:p>
              </w:tc>
            </w:tr>
          </w:tbl>
          <w:p w14:paraId="146C5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环保工作人员负责</w:t>
            </w:r>
            <w:r>
              <w:rPr>
                <w:rFonts w:hint="eastAsia" w:cs="Times New Roman"/>
                <w:kern w:val="2"/>
                <w:sz w:val="24"/>
                <w:szCs w:val="24"/>
                <w:lang w:val="en-US" w:eastAsia="zh-CN" w:bidi="ar-SA"/>
              </w:rPr>
              <w:t>铁路专用线</w:t>
            </w:r>
            <w:r>
              <w:rPr>
                <w:rFonts w:hint="eastAsia" w:ascii="Times New Roman" w:hAnsi="Times New Roman" w:eastAsia="宋体" w:cs="Times New Roman"/>
                <w:kern w:val="2"/>
                <w:sz w:val="24"/>
                <w:szCs w:val="24"/>
                <w:lang w:val="en-US" w:eastAsia="zh-CN" w:bidi="ar-SA"/>
              </w:rPr>
              <w:t>运营中环保工作的监督、检查、环保设备运转、维护与检修的监督管理，定期对化粪池进行清掏；保证各环保设施正常运行，实现各污染源的达标排放；并对环保设备运转情况进行监督和检查，负责做好环保设施运营台帐和污染物处理和转移台账，落实好建设项目“三同时”原则。</w:t>
            </w:r>
          </w:p>
          <w:p w14:paraId="307F967D">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（二）监测计划</w:t>
            </w:r>
          </w:p>
          <w:p w14:paraId="1E597B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本项目的环境监测主要指项目竣工验收在正常运行工况下的</w:t>
            </w:r>
            <w:r>
              <w:rPr>
                <w:rFonts w:hint="eastAsia" w:cs="Times New Roman"/>
                <w:kern w:val="2"/>
                <w:sz w:val="24"/>
                <w:szCs w:val="24"/>
                <w:lang w:val="en-US" w:eastAsia="zh-CN" w:bidi="ar-SA"/>
              </w:rPr>
              <w:t>噪声和振动</w:t>
            </w:r>
            <w:r>
              <w:rPr>
                <w:rFonts w:hint="default" w:ascii="Times New Roman" w:hAnsi="Times New Roman" w:eastAsia="宋体" w:cs="Times New Roman"/>
                <w:kern w:val="2"/>
                <w:sz w:val="24"/>
                <w:szCs w:val="24"/>
                <w:lang w:val="en-US" w:eastAsia="zh-CN" w:bidi="ar-SA"/>
              </w:rPr>
              <w:t>的监测，按国家环境保护局编制的《</w:t>
            </w:r>
            <w:r>
              <w:rPr>
                <w:rFonts w:hint="eastAsia" w:cs="Times New Roman"/>
                <w:kern w:val="2"/>
                <w:sz w:val="24"/>
                <w:szCs w:val="24"/>
                <w:lang w:val="en-US" w:eastAsia="zh-CN" w:bidi="ar-SA"/>
              </w:rPr>
              <w:t>环境噪声监测技术规范</w:t>
            </w:r>
            <w:r>
              <w:rPr>
                <w:rFonts w:hint="default"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（HJ640-2012）、《环境振动监测技术规范》（HJ918-2017）</w:t>
            </w:r>
            <w:r>
              <w:rPr>
                <w:rFonts w:hint="default" w:ascii="Times New Roman" w:hAnsi="Times New Roman" w:eastAsia="宋体" w:cs="Times New Roman"/>
                <w:kern w:val="2"/>
                <w:sz w:val="24"/>
                <w:szCs w:val="24"/>
                <w:lang w:val="en-US" w:eastAsia="zh-CN" w:bidi="ar-SA"/>
              </w:rPr>
              <w:t>的有关规定开展监测及分析工作，</w:t>
            </w:r>
            <w:r>
              <w:rPr>
                <w:rFonts w:hint="eastAsia" w:ascii="Times New Roman" w:hAnsi="Times New Roman" w:eastAsia="宋体" w:cs="Times New Roman"/>
                <w:kern w:val="2"/>
                <w:sz w:val="24"/>
                <w:szCs w:val="24"/>
                <w:lang w:val="en-US" w:eastAsia="zh-CN" w:bidi="ar-SA"/>
              </w:rPr>
              <w:t>监测计划详见下表</w:t>
            </w:r>
            <w:r>
              <w:rPr>
                <w:rFonts w:hint="default" w:ascii="Times New Roman" w:hAnsi="Times New Roman" w:eastAsia="宋体" w:cs="Times New Roman"/>
                <w:kern w:val="2"/>
                <w:sz w:val="24"/>
                <w:szCs w:val="24"/>
                <w:lang w:val="en-US" w:eastAsia="zh-CN" w:bidi="ar-SA"/>
              </w:rPr>
              <w:t>。</w:t>
            </w:r>
          </w:p>
          <w:p w14:paraId="192DC71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表5-2运营期环境监测计划</w:t>
            </w:r>
          </w:p>
          <w:tbl>
            <w:tblPr>
              <w:tblStyle w:val="23"/>
              <w:tblW w:w="76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11"/>
              <w:gridCol w:w="1015"/>
              <w:gridCol w:w="918"/>
              <w:gridCol w:w="3557"/>
            </w:tblGrid>
            <w:tr w14:paraId="247440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14:paraId="142BB4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监测要素</w:t>
                  </w:r>
                </w:p>
              </w:tc>
              <w:tc>
                <w:tcPr>
                  <w:tcW w:w="1411" w:type="dxa"/>
                  <w:tcBorders>
                    <w:tl2br w:val="nil"/>
                    <w:tr2bl w:val="nil"/>
                  </w:tcBorders>
                  <w:vAlign w:val="center"/>
                </w:tcPr>
                <w:p w14:paraId="1C623F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监测点</w:t>
                  </w:r>
                </w:p>
              </w:tc>
              <w:tc>
                <w:tcPr>
                  <w:tcW w:w="1015" w:type="dxa"/>
                  <w:tcBorders>
                    <w:tl2br w:val="nil"/>
                    <w:tr2bl w:val="nil"/>
                  </w:tcBorders>
                  <w:vAlign w:val="center"/>
                </w:tcPr>
                <w:p w14:paraId="54A527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监测参数</w:t>
                  </w:r>
                </w:p>
              </w:tc>
              <w:tc>
                <w:tcPr>
                  <w:tcW w:w="918" w:type="dxa"/>
                  <w:tcBorders>
                    <w:tl2br w:val="nil"/>
                    <w:tr2bl w:val="nil"/>
                  </w:tcBorders>
                  <w:vAlign w:val="center"/>
                </w:tcPr>
                <w:p w14:paraId="7AD290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监测频率</w:t>
                  </w:r>
                </w:p>
              </w:tc>
              <w:tc>
                <w:tcPr>
                  <w:tcW w:w="3557" w:type="dxa"/>
                  <w:tcBorders>
                    <w:tl2br w:val="nil"/>
                    <w:tr2bl w:val="nil"/>
                  </w:tcBorders>
                  <w:vAlign w:val="center"/>
                </w:tcPr>
                <w:p w14:paraId="5AF8C9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执行标准</w:t>
                  </w:r>
                </w:p>
              </w:tc>
            </w:tr>
            <w:tr w14:paraId="2CEBE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14:paraId="354DD1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噪声</w:t>
                  </w:r>
                </w:p>
              </w:tc>
              <w:tc>
                <w:tcPr>
                  <w:tcW w:w="1411" w:type="dxa"/>
                  <w:tcBorders>
                    <w:tl2br w:val="nil"/>
                    <w:tr2bl w:val="nil"/>
                  </w:tcBorders>
                  <w:vAlign w:val="center"/>
                </w:tcPr>
                <w:p w14:paraId="65A94EC1">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铁路边界</w:t>
                  </w:r>
                </w:p>
              </w:tc>
              <w:tc>
                <w:tcPr>
                  <w:tcW w:w="1015" w:type="dxa"/>
                  <w:tcBorders>
                    <w:tl2br w:val="nil"/>
                    <w:tr2bl w:val="nil"/>
                  </w:tcBorders>
                  <w:vAlign w:val="center"/>
                </w:tcPr>
                <w:p w14:paraId="22B4DFCB">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等效连续A声级</w:t>
                  </w:r>
                </w:p>
              </w:tc>
              <w:tc>
                <w:tcPr>
                  <w:tcW w:w="918" w:type="dxa"/>
                  <w:tcBorders>
                    <w:tl2br w:val="nil"/>
                    <w:tr2bl w:val="nil"/>
                  </w:tcBorders>
                  <w:vAlign w:val="center"/>
                </w:tcPr>
                <w:p w14:paraId="7B55026A">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1次/年</w:t>
                  </w:r>
                  <w:r>
                    <w:rPr>
                      <w:rFonts w:hint="eastAsia" w:cs="Times New Roman"/>
                      <w:color w:val="000000"/>
                      <w:kern w:val="0"/>
                      <w:sz w:val="18"/>
                      <w:szCs w:val="18"/>
                      <w:lang w:val="en-US" w:eastAsia="zh-CN" w:bidi="ar"/>
                    </w:rPr>
                    <w:t>，每次连续监测两天</w:t>
                  </w:r>
                </w:p>
              </w:tc>
              <w:tc>
                <w:tcPr>
                  <w:tcW w:w="3557" w:type="dxa"/>
                  <w:tcBorders>
                    <w:tl2br w:val="nil"/>
                    <w:tr2bl w:val="nil"/>
                  </w:tcBorders>
                  <w:vAlign w:val="center"/>
                </w:tcPr>
                <w:p w14:paraId="624C1771">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《工业企业厂界环境噪声排放标准》（GB12348-2008）3类标准、《铁路边界噪声限值及其测量方法》（GB12525-90）修改方案中表2限值</w:t>
                  </w:r>
                </w:p>
              </w:tc>
            </w:tr>
            <w:tr w14:paraId="5E4E9A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l2br w:val="nil"/>
                    <w:tr2bl w:val="nil"/>
                  </w:tcBorders>
                  <w:vAlign w:val="center"/>
                </w:tcPr>
                <w:p w14:paraId="4CED3D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b w:val="0"/>
                      <w:bCs w:val="0"/>
                      <w:color w:val="000000"/>
                      <w:kern w:val="0"/>
                      <w:sz w:val="18"/>
                      <w:szCs w:val="18"/>
                      <w:vertAlign w:val="baseline"/>
                      <w:lang w:val="en-US" w:eastAsia="zh-CN" w:bidi="ar"/>
                    </w:rPr>
                    <w:t>振动</w:t>
                  </w:r>
                </w:p>
              </w:tc>
              <w:tc>
                <w:tcPr>
                  <w:tcW w:w="1411" w:type="dxa"/>
                  <w:tcBorders>
                    <w:tl2br w:val="nil"/>
                    <w:tr2bl w:val="nil"/>
                  </w:tcBorders>
                  <w:vAlign w:val="center"/>
                </w:tcPr>
                <w:p w14:paraId="1FF66B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铁路边界</w:t>
                  </w:r>
                </w:p>
              </w:tc>
              <w:tc>
                <w:tcPr>
                  <w:tcW w:w="1015" w:type="dxa"/>
                  <w:tcBorders>
                    <w:tl2br w:val="nil"/>
                    <w:tr2bl w:val="nil"/>
                  </w:tcBorders>
                  <w:vAlign w:val="center"/>
                </w:tcPr>
                <w:p w14:paraId="56DAEA8C">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VLzeq</w:t>
                  </w:r>
                </w:p>
              </w:tc>
              <w:tc>
                <w:tcPr>
                  <w:tcW w:w="918" w:type="dxa"/>
                  <w:tcBorders>
                    <w:tl2br w:val="nil"/>
                    <w:tr2bl w:val="nil"/>
                  </w:tcBorders>
                  <w:vAlign w:val="center"/>
                </w:tcPr>
                <w:p w14:paraId="78DB3F0A">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1次/年</w:t>
                  </w:r>
                  <w:r>
                    <w:rPr>
                      <w:rFonts w:hint="eastAsia" w:cs="Times New Roman"/>
                      <w:color w:val="000000"/>
                      <w:kern w:val="0"/>
                      <w:sz w:val="18"/>
                      <w:szCs w:val="18"/>
                      <w:lang w:val="en-US" w:eastAsia="zh-CN" w:bidi="ar"/>
                    </w:rPr>
                    <w:t>，每次连续监测两天</w:t>
                  </w:r>
                </w:p>
              </w:tc>
              <w:tc>
                <w:tcPr>
                  <w:tcW w:w="3557" w:type="dxa"/>
                  <w:tcBorders>
                    <w:tl2br w:val="nil"/>
                    <w:tr2bl w:val="nil"/>
                  </w:tcBorders>
                  <w:vAlign w:val="center"/>
                </w:tcPr>
                <w:p w14:paraId="0F97CFC0">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lang w:val="en-US" w:eastAsia="zh-CN" w:bidi="ar"/>
                    </w:rPr>
                    <w:t>《城市区域环境振动标准》（GB10070-88）</w:t>
                  </w:r>
                </w:p>
              </w:tc>
            </w:tr>
          </w:tbl>
          <w:p w14:paraId="2E731D9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二、建设项目竣工环境保护验收</w:t>
            </w:r>
          </w:p>
          <w:p w14:paraId="3F5E1597">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国务院关于修改&lt;建设项目环境保护管理条例&gt;的决定》（国务院682号令），工程建设执行污染治理设施与主体工程同时设计、同时施工、同时投产使用的“三同时”制度。项目投入运行后，建设单位应当按照国务院环境保护行政主管部门规定的标准和程序，自行对配套建设的环境保护设施进行验收，编制验收报告，并依法向社会公开验收报告。</w:t>
            </w:r>
          </w:p>
          <w:p w14:paraId="4F55BC7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建设单位根据《建设项目环境保护管理条例》及《建设项目竣工环境保护验收暂行办法》有关规定应进行环境保护竣工验收，项目环保措施竣工验收一览表详见下表。</w:t>
            </w:r>
          </w:p>
          <w:p w14:paraId="2A7C3ACD">
            <w:pPr>
              <w:pStyle w:val="2"/>
              <w:ind w:left="0" w:leftChars="0" w:firstLine="0" w:firstLineChars="0"/>
              <w:jc w:val="center"/>
              <w:rPr>
                <w:rFonts w:hint="default" w:ascii="Times New Roman" w:hAnsi="Times New Roman" w:eastAsia="黑体" w:cs="Times New Roman"/>
                <w:color w:val="auto"/>
                <w:sz w:val="21"/>
                <w:szCs w:val="18"/>
                <w:highlight w:val="none"/>
                <w:vertAlign w:val="baseline"/>
                <w:lang w:val="en-US" w:eastAsia="zh-CN"/>
              </w:rPr>
            </w:pPr>
            <w:r>
              <w:rPr>
                <w:rFonts w:hint="default" w:ascii="Times New Roman" w:hAnsi="Times New Roman" w:eastAsia="黑体" w:cs="Times New Roman"/>
                <w:color w:val="auto"/>
                <w:sz w:val="21"/>
                <w:szCs w:val="18"/>
                <w:highlight w:val="none"/>
                <w:vertAlign w:val="baseline"/>
                <w:lang w:val="en-US" w:eastAsia="zh-CN"/>
              </w:rPr>
              <w:t>表</w:t>
            </w:r>
            <w:r>
              <w:rPr>
                <w:rFonts w:hint="eastAsia" w:ascii="Times New Roman" w:hAnsi="Times New Roman" w:eastAsia="黑体" w:cs="Times New Roman"/>
                <w:color w:val="auto"/>
                <w:sz w:val="21"/>
                <w:szCs w:val="18"/>
                <w:highlight w:val="none"/>
                <w:vertAlign w:val="baseline"/>
                <w:lang w:val="en-US" w:eastAsia="zh-CN"/>
              </w:rPr>
              <w:t>5</w:t>
            </w:r>
            <w:r>
              <w:rPr>
                <w:rFonts w:hint="default" w:ascii="Times New Roman" w:hAnsi="Times New Roman" w:eastAsia="黑体" w:cs="Times New Roman"/>
                <w:color w:val="auto"/>
                <w:sz w:val="21"/>
                <w:szCs w:val="18"/>
                <w:highlight w:val="none"/>
                <w:vertAlign w:val="baseline"/>
                <w:lang w:val="en-US" w:eastAsia="zh-CN"/>
              </w:rPr>
              <w:t>-3  项目竣工环境保护验收一览表</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1023"/>
              <w:gridCol w:w="2787"/>
              <w:gridCol w:w="1696"/>
              <w:gridCol w:w="1486"/>
            </w:tblGrid>
            <w:tr w14:paraId="72FF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left w:val="nil"/>
                  </w:tcBorders>
                  <w:vAlign w:val="center"/>
                </w:tcPr>
                <w:p w14:paraId="7FD24C8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环境要素</w:t>
                  </w:r>
                </w:p>
              </w:tc>
              <w:tc>
                <w:tcPr>
                  <w:tcW w:w="1023" w:type="dxa"/>
                  <w:vAlign w:val="center"/>
                </w:tcPr>
                <w:p w14:paraId="25D3392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工程内容</w:t>
                  </w:r>
                </w:p>
              </w:tc>
              <w:tc>
                <w:tcPr>
                  <w:tcW w:w="2787" w:type="dxa"/>
                  <w:vAlign w:val="center"/>
                </w:tcPr>
                <w:p w14:paraId="0B3CC76C">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工程措施</w:t>
                  </w:r>
                </w:p>
              </w:tc>
              <w:tc>
                <w:tcPr>
                  <w:tcW w:w="1696" w:type="dxa"/>
                  <w:vAlign w:val="center"/>
                </w:tcPr>
                <w:p w14:paraId="25BAD93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预期效果</w:t>
                  </w:r>
                </w:p>
              </w:tc>
              <w:tc>
                <w:tcPr>
                  <w:tcW w:w="1486" w:type="dxa"/>
                  <w:tcBorders>
                    <w:right w:val="nil"/>
                  </w:tcBorders>
                  <w:vAlign w:val="center"/>
                </w:tcPr>
                <w:p w14:paraId="121E135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检查注意事项</w:t>
                  </w:r>
                </w:p>
              </w:tc>
            </w:tr>
            <w:tr w14:paraId="4F90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left w:val="nil"/>
                  </w:tcBorders>
                  <w:vAlign w:val="center"/>
                </w:tcPr>
                <w:p w14:paraId="3B7A668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生态环境</w:t>
                  </w:r>
                </w:p>
              </w:tc>
              <w:tc>
                <w:tcPr>
                  <w:tcW w:w="1023" w:type="dxa"/>
                  <w:vAlign w:val="center"/>
                </w:tcPr>
                <w:p w14:paraId="5E0CB73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水土保持设施</w:t>
                  </w:r>
                </w:p>
              </w:tc>
              <w:tc>
                <w:tcPr>
                  <w:tcW w:w="2787" w:type="dxa"/>
                  <w:vAlign w:val="center"/>
                </w:tcPr>
                <w:p w14:paraId="08CFE6C2">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表土剥离与防护、边坡骨架护坡、边沟、侧沟、天沟、挡渣墙、场地整理、植草绿化和复耕等</w:t>
                  </w:r>
                </w:p>
              </w:tc>
              <w:tc>
                <w:tcPr>
                  <w:tcW w:w="1696" w:type="dxa"/>
                  <w:vAlign w:val="center"/>
                </w:tcPr>
                <w:p w14:paraId="23F2C42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水土流失得到治理，生态植被得到恢复</w:t>
                  </w:r>
                </w:p>
              </w:tc>
              <w:tc>
                <w:tcPr>
                  <w:tcW w:w="1486" w:type="dxa"/>
                  <w:tcBorders>
                    <w:right w:val="nil"/>
                  </w:tcBorders>
                  <w:vAlign w:val="center"/>
                </w:tcPr>
                <w:p w14:paraId="220E2510">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施工场地边坡防护、排水措施是否落实，林草植被恢复和复耕措施情况。</w:t>
                  </w:r>
                </w:p>
              </w:tc>
            </w:tr>
            <w:tr w14:paraId="14F8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restart"/>
                  <w:tcBorders>
                    <w:left w:val="nil"/>
                  </w:tcBorders>
                  <w:vAlign w:val="center"/>
                </w:tcPr>
                <w:p w14:paraId="3D56212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环境噪声</w:t>
                  </w:r>
                </w:p>
              </w:tc>
              <w:tc>
                <w:tcPr>
                  <w:tcW w:w="1023" w:type="dxa"/>
                  <w:vMerge w:val="restart"/>
                  <w:vAlign w:val="center"/>
                </w:tcPr>
                <w:p w14:paraId="4EA8509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噪声污染防治</w:t>
                  </w:r>
                </w:p>
              </w:tc>
              <w:tc>
                <w:tcPr>
                  <w:tcW w:w="2787" w:type="dxa"/>
                  <w:vAlign w:val="center"/>
                </w:tcPr>
                <w:p w14:paraId="42B56360">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施工期临时挡板、加强施工机械维护。</w:t>
                  </w:r>
                </w:p>
              </w:tc>
              <w:tc>
                <w:tcPr>
                  <w:tcW w:w="1696" w:type="dxa"/>
                  <w:vAlign w:val="center"/>
                </w:tcPr>
                <w:p w14:paraId="5AD28B10">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达标排放</w:t>
                  </w:r>
                </w:p>
              </w:tc>
              <w:tc>
                <w:tcPr>
                  <w:tcW w:w="1486" w:type="dxa"/>
                  <w:tcBorders>
                    <w:right w:val="nil"/>
                  </w:tcBorders>
                  <w:vAlign w:val="center"/>
                </w:tcPr>
                <w:p w14:paraId="2A28CB7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73D1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Borders>
                    <w:left w:val="nil"/>
                  </w:tcBorders>
                  <w:vAlign w:val="center"/>
                </w:tcPr>
                <w:p w14:paraId="4B5F7B2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023" w:type="dxa"/>
                  <w:vMerge w:val="continue"/>
                  <w:vAlign w:val="center"/>
                </w:tcPr>
                <w:p w14:paraId="7263FC2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2787" w:type="dxa"/>
                  <w:vAlign w:val="center"/>
                </w:tcPr>
                <w:p w14:paraId="15B4616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施工期采用低噪声设备</w:t>
                  </w:r>
                </w:p>
              </w:tc>
              <w:tc>
                <w:tcPr>
                  <w:tcW w:w="1696" w:type="dxa"/>
                  <w:vAlign w:val="center"/>
                </w:tcPr>
                <w:p w14:paraId="13186E5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达标排放</w:t>
                  </w:r>
                </w:p>
              </w:tc>
              <w:tc>
                <w:tcPr>
                  <w:tcW w:w="1486" w:type="dxa"/>
                  <w:tcBorders>
                    <w:right w:val="nil"/>
                  </w:tcBorders>
                  <w:vAlign w:val="center"/>
                </w:tcPr>
                <w:p w14:paraId="64A8CDC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269E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Borders>
                    <w:left w:val="nil"/>
                  </w:tcBorders>
                  <w:vAlign w:val="center"/>
                </w:tcPr>
                <w:p w14:paraId="764794C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023" w:type="dxa"/>
                  <w:vAlign w:val="center"/>
                </w:tcPr>
                <w:p w14:paraId="7040C85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声屏障措施</w:t>
                  </w:r>
                </w:p>
              </w:tc>
              <w:tc>
                <w:tcPr>
                  <w:tcW w:w="2787" w:type="dxa"/>
                  <w:vAlign w:val="center"/>
                </w:tcPr>
                <w:p w14:paraId="7A00060C">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设置声屏障措施，确保噪声达标排放</w:t>
                  </w:r>
                </w:p>
              </w:tc>
              <w:tc>
                <w:tcPr>
                  <w:tcW w:w="1696" w:type="dxa"/>
                  <w:vAlign w:val="center"/>
                </w:tcPr>
                <w:p w14:paraId="4F3D015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标准铁路边界噪声满足《铁路边界噪声限值及其测量方法》及修改方案（GB 12525-90）标准；</w:t>
                  </w:r>
                </w:p>
              </w:tc>
              <w:tc>
                <w:tcPr>
                  <w:tcW w:w="1486" w:type="dxa"/>
                  <w:tcBorders>
                    <w:right w:val="nil"/>
                  </w:tcBorders>
                  <w:vAlign w:val="center"/>
                </w:tcPr>
                <w:p w14:paraId="3BBAD49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检查措施是否落实到位。</w:t>
                  </w:r>
                </w:p>
              </w:tc>
            </w:tr>
            <w:tr w14:paraId="0A8B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left w:val="nil"/>
                  </w:tcBorders>
                  <w:vAlign w:val="center"/>
                </w:tcPr>
                <w:p w14:paraId="0F6280F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环境振动</w:t>
                  </w:r>
                </w:p>
              </w:tc>
              <w:tc>
                <w:tcPr>
                  <w:tcW w:w="1023" w:type="dxa"/>
                  <w:vAlign w:val="center"/>
                </w:tcPr>
                <w:p w14:paraId="044EE37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减振措施</w:t>
                  </w:r>
                </w:p>
              </w:tc>
              <w:tc>
                <w:tcPr>
                  <w:tcW w:w="2787" w:type="dxa"/>
                  <w:vAlign w:val="center"/>
                </w:tcPr>
                <w:p w14:paraId="4C7835B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定期对钢轨进行打磨等，保持钢轨顶面平顺、光滑；对车轮定期进行铣、镟，减少车轮与钢轨撞击出现扁疤</w:t>
                  </w:r>
                </w:p>
              </w:tc>
              <w:tc>
                <w:tcPr>
                  <w:tcW w:w="1696" w:type="dxa"/>
                  <w:shd w:val="clear" w:color="auto" w:fill="auto"/>
                  <w:vAlign w:val="center"/>
                </w:tcPr>
                <w:p w14:paraId="650DBFBA">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000000"/>
                      <w:kern w:val="0"/>
                      <w:sz w:val="18"/>
                      <w:szCs w:val="18"/>
                      <w:lang w:val="en-US" w:eastAsia="zh-CN" w:bidi="ar"/>
                    </w:rPr>
                    <w:t>厂界振动满足</w:t>
                  </w:r>
                  <w:r>
                    <w:rPr>
                      <w:rFonts w:hint="default" w:ascii="Times New Roman" w:hAnsi="Times New Roman" w:eastAsia="宋体" w:cs="Times New Roman"/>
                      <w:color w:val="000000"/>
                      <w:kern w:val="0"/>
                      <w:sz w:val="18"/>
                      <w:szCs w:val="18"/>
                      <w:lang w:val="en-US" w:eastAsia="zh-CN" w:bidi="ar"/>
                    </w:rPr>
                    <w:t>《城市区域环境振动标准》（GB10070-88）</w:t>
                  </w:r>
                  <w:r>
                    <w:rPr>
                      <w:rFonts w:hint="eastAsia" w:ascii="Times New Roman" w:hAnsi="Times New Roman" w:cs="Times New Roman"/>
                      <w:color w:val="000000"/>
                      <w:kern w:val="0"/>
                      <w:sz w:val="18"/>
                      <w:szCs w:val="18"/>
                      <w:lang w:val="en-US" w:eastAsia="zh-CN" w:bidi="ar"/>
                    </w:rPr>
                    <w:t>标准要求。</w:t>
                  </w:r>
                </w:p>
              </w:tc>
              <w:tc>
                <w:tcPr>
                  <w:tcW w:w="1486" w:type="dxa"/>
                  <w:tcBorders>
                    <w:right w:val="nil"/>
                  </w:tcBorders>
                  <w:vAlign w:val="center"/>
                </w:tcPr>
                <w:p w14:paraId="665F700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厂界振动是否满足标准</w:t>
                  </w:r>
                </w:p>
              </w:tc>
            </w:tr>
            <w:tr w14:paraId="3DC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restart"/>
                  <w:tcBorders>
                    <w:left w:val="nil"/>
                  </w:tcBorders>
                  <w:vAlign w:val="center"/>
                </w:tcPr>
                <w:p w14:paraId="1A5831C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环境空气</w:t>
                  </w:r>
                </w:p>
              </w:tc>
              <w:tc>
                <w:tcPr>
                  <w:tcW w:w="1023" w:type="dxa"/>
                  <w:vMerge w:val="restart"/>
                  <w:vAlign w:val="center"/>
                </w:tcPr>
                <w:p w14:paraId="135EE38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防治措施</w:t>
                  </w:r>
                </w:p>
              </w:tc>
              <w:tc>
                <w:tcPr>
                  <w:tcW w:w="2787" w:type="dxa"/>
                  <w:vAlign w:val="center"/>
                </w:tcPr>
                <w:p w14:paraId="5ACB0E9B">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施工期洒水降尘、运输车辆覆盖篷布、车辆进出施工营地经洗车平台清洗。</w:t>
                  </w:r>
                </w:p>
              </w:tc>
              <w:tc>
                <w:tcPr>
                  <w:tcW w:w="1696" w:type="dxa"/>
                  <w:vAlign w:val="center"/>
                </w:tcPr>
                <w:p w14:paraId="436BC25B">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调查施工期扬尘采取的环保措施；本次评价要求采取洒水降尘</w:t>
                  </w:r>
                  <w:r>
                    <w:rPr>
                      <w:rFonts w:hint="eastAsia" w:ascii="Times New Roman" w:hAnsi="Times New Roman" w:eastAsia="宋体" w:cs="Times New Roman"/>
                      <w:color w:val="auto"/>
                      <w:sz w:val="18"/>
                      <w:szCs w:val="18"/>
                      <w:highlight w:val="none"/>
                      <w:vertAlign w:val="baseline"/>
                      <w:lang w:val="en-US" w:eastAsia="zh-CN"/>
                    </w:rPr>
                    <w:t>等保护措施</w:t>
                  </w:r>
                  <w:r>
                    <w:rPr>
                      <w:rFonts w:hint="eastAsia" w:ascii="Times New Roman" w:hAnsi="Times New Roman" w:cs="Times New Roman"/>
                      <w:color w:val="auto"/>
                      <w:sz w:val="18"/>
                      <w:szCs w:val="18"/>
                      <w:highlight w:val="none"/>
                      <w:vertAlign w:val="baseline"/>
                      <w:lang w:val="en-US" w:eastAsia="zh-CN"/>
                    </w:rPr>
                    <w:t>。</w:t>
                  </w:r>
                </w:p>
              </w:tc>
              <w:tc>
                <w:tcPr>
                  <w:tcW w:w="1486" w:type="dxa"/>
                  <w:tcBorders>
                    <w:right w:val="nil"/>
                  </w:tcBorders>
                  <w:vAlign w:val="center"/>
                </w:tcPr>
                <w:p w14:paraId="7470D1D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4E63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Borders>
                    <w:left w:val="nil"/>
                  </w:tcBorders>
                  <w:vAlign w:val="center"/>
                </w:tcPr>
                <w:p w14:paraId="531A352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023" w:type="dxa"/>
                  <w:vMerge w:val="continue"/>
                  <w:vAlign w:val="center"/>
                </w:tcPr>
                <w:p w14:paraId="23FBD54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2787" w:type="dxa"/>
                  <w:vAlign w:val="center"/>
                </w:tcPr>
                <w:p w14:paraId="2F0748F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使用合格的内燃机，定期维护，避免设备尾气排放超标。装卸过程中，喷雾降尘，对于易起尘的物料，堆放过程中，采用篷布遮盖</w:t>
                  </w:r>
                </w:p>
              </w:tc>
              <w:tc>
                <w:tcPr>
                  <w:tcW w:w="1696" w:type="dxa"/>
                  <w:vAlign w:val="center"/>
                </w:tcPr>
                <w:p w14:paraId="6A79E76B">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厂界满足《大气污染物综合排放标准》（GB16297-1996）表2的相关要求</w:t>
                  </w:r>
                </w:p>
              </w:tc>
              <w:tc>
                <w:tcPr>
                  <w:tcW w:w="1486" w:type="dxa"/>
                  <w:tcBorders>
                    <w:right w:val="nil"/>
                  </w:tcBorders>
                  <w:vAlign w:val="center"/>
                </w:tcPr>
                <w:p w14:paraId="7FD9FE22">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达标排放</w:t>
                  </w:r>
                </w:p>
              </w:tc>
            </w:tr>
            <w:tr w14:paraId="4C1A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restart"/>
                  <w:tcBorders>
                    <w:left w:val="nil"/>
                  </w:tcBorders>
                  <w:vAlign w:val="center"/>
                </w:tcPr>
                <w:p w14:paraId="575310EC">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水环境</w:t>
                  </w:r>
                </w:p>
              </w:tc>
              <w:tc>
                <w:tcPr>
                  <w:tcW w:w="1023" w:type="dxa"/>
                  <w:vMerge w:val="restart"/>
                  <w:vAlign w:val="center"/>
                </w:tcPr>
                <w:p w14:paraId="65FDE2B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防治措施</w:t>
                  </w:r>
                </w:p>
              </w:tc>
              <w:tc>
                <w:tcPr>
                  <w:tcW w:w="2787" w:type="dxa"/>
                  <w:vAlign w:val="center"/>
                </w:tcPr>
                <w:p w14:paraId="7E0ED5D4">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施工人员</w:t>
                  </w:r>
                  <w:r>
                    <w:rPr>
                      <w:rFonts w:hint="eastAsia" w:ascii="Times New Roman" w:hAnsi="Times New Roman" w:eastAsia="宋体" w:cs="Times New Roman"/>
                      <w:color w:val="auto"/>
                      <w:sz w:val="18"/>
                      <w:szCs w:val="18"/>
                      <w:highlight w:val="none"/>
                      <w:vertAlign w:val="baseline"/>
                      <w:lang w:val="en-US" w:eastAsia="zh-CN"/>
                    </w:rPr>
                    <w:t>清洗废水、</w:t>
                  </w:r>
                  <w:r>
                    <w:rPr>
                      <w:rFonts w:hint="default" w:ascii="Times New Roman" w:hAnsi="Times New Roman" w:eastAsia="宋体" w:cs="Times New Roman"/>
                      <w:color w:val="auto"/>
                      <w:sz w:val="18"/>
                      <w:szCs w:val="18"/>
                      <w:highlight w:val="none"/>
                      <w:vertAlign w:val="baseline"/>
                      <w:lang w:val="en-US" w:eastAsia="zh-CN"/>
                    </w:rPr>
                    <w:t>施工废水经临时沉淀池</w:t>
                  </w:r>
                  <w:r>
                    <w:rPr>
                      <w:rFonts w:hint="eastAsia" w:ascii="Times New Roman" w:hAnsi="Times New Roman" w:eastAsia="宋体" w:cs="Times New Roman"/>
                      <w:color w:val="auto"/>
                      <w:sz w:val="18"/>
                      <w:szCs w:val="18"/>
                      <w:highlight w:val="none"/>
                      <w:vertAlign w:val="baseline"/>
                      <w:lang w:val="en-US" w:eastAsia="zh-CN"/>
                    </w:rPr>
                    <w:t>处理</w:t>
                  </w:r>
                  <w:r>
                    <w:rPr>
                      <w:rFonts w:hint="default" w:ascii="Times New Roman" w:hAnsi="Times New Roman" w:eastAsia="宋体" w:cs="Times New Roman"/>
                      <w:color w:val="auto"/>
                      <w:sz w:val="18"/>
                      <w:szCs w:val="18"/>
                      <w:highlight w:val="none"/>
                      <w:vertAlign w:val="baseline"/>
                      <w:lang w:val="en-US" w:eastAsia="zh-CN"/>
                    </w:rPr>
                    <w:t>后回用于</w:t>
                  </w:r>
                  <w:r>
                    <w:rPr>
                      <w:rFonts w:hint="eastAsia" w:ascii="Times New Roman" w:hAnsi="Times New Roman" w:eastAsia="宋体" w:cs="Times New Roman"/>
                      <w:color w:val="auto"/>
                      <w:sz w:val="18"/>
                      <w:szCs w:val="18"/>
                      <w:highlight w:val="none"/>
                      <w:vertAlign w:val="baseline"/>
                      <w:lang w:val="en-US" w:eastAsia="zh-CN"/>
                    </w:rPr>
                    <w:t>项目施工及道路浇洒</w:t>
                  </w:r>
                  <w:r>
                    <w:rPr>
                      <w:rFonts w:hint="default" w:ascii="Times New Roman" w:hAnsi="Times New Roman" w:eastAsia="宋体" w:cs="Times New Roman"/>
                      <w:color w:val="auto"/>
                      <w:sz w:val="18"/>
                      <w:szCs w:val="18"/>
                      <w:highlight w:val="none"/>
                      <w:vertAlign w:val="baseline"/>
                      <w:lang w:val="en-US" w:eastAsia="zh-CN"/>
                    </w:rPr>
                    <w:t>，不外排</w:t>
                  </w:r>
                  <w:r>
                    <w:rPr>
                      <w:rFonts w:hint="eastAsia" w:ascii="Times New Roman" w:hAnsi="Times New Roman" w:cs="Times New Roman"/>
                      <w:color w:val="auto"/>
                      <w:sz w:val="18"/>
                      <w:szCs w:val="18"/>
                      <w:highlight w:val="none"/>
                      <w:vertAlign w:val="baseline"/>
                      <w:lang w:val="en-US" w:eastAsia="zh-CN"/>
                    </w:rPr>
                    <w:t>。</w:t>
                  </w:r>
                </w:p>
              </w:tc>
              <w:tc>
                <w:tcPr>
                  <w:tcW w:w="1696" w:type="dxa"/>
                  <w:vAlign w:val="center"/>
                </w:tcPr>
                <w:p w14:paraId="239EA16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废水回用，不外排。</w:t>
                  </w:r>
                </w:p>
              </w:tc>
              <w:tc>
                <w:tcPr>
                  <w:tcW w:w="1486" w:type="dxa"/>
                  <w:tcBorders>
                    <w:right w:val="nil"/>
                  </w:tcBorders>
                  <w:vAlign w:val="center"/>
                </w:tcPr>
                <w:p w14:paraId="2AEF772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5408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Borders>
                    <w:left w:val="nil"/>
                  </w:tcBorders>
                  <w:vAlign w:val="center"/>
                </w:tcPr>
                <w:p w14:paraId="133135F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c>
                <w:tcPr>
                  <w:tcW w:w="1023" w:type="dxa"/>
                  <w:vMerge w:val="continue"/>
                  <w:vAlign w:val="center"/>
                </w:tcPr>
                <w:p w14:paraId="7AEDCCA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c>
                <w:tcPr>
                  <w:tcW w:w="2787" w:type="dxa"/>
                  <w:vAlign w:val="center"/>
                </w:tcPr>
                <w:p w14:paraId="725E2B5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sz w:val="18"/>
                      <w:szCs w:val="18"/>
                      <w:vertAlign w:val="baseline"/>
                      <w:lang w:val="en-US" w:eastAsia="zh-CN"/>
                    </w:rPr>
                    <w:t>生</w:t>
                  </w:r>
                  <w:r>
                    <w:rPr>
                      <w:rFonts w:hint="default" w:ascii="Times New Roman" w:hAnsi="Times New Roman" w:cs="Times New Roman"/>
                      <w:sz w:val="18"/>
                      <w:szCs w:val="18"/>
                      <w:vertAlign w:val="baseline"/>
                      <w:lang w:val="en-US" w:eastAsia="zh-CN"/>
                    </w:rPr>
                    <w:t>活污水</w:t>
                  </w:r>
                  <w:r>
                    <w:rPr>
                      <w:rFonts w:hint="eastAsia" w:ascii="Times New Roman" w:hAnsi="Times New Roman" w:cs="Times New Roman"/>
                      <w:sz w:val="18"/>
                      <w:szCs w:val="18"/>
                      <w:vertAlign w:val="baseline"/>
                      <w:lang w:val="en-US" w:eastAsia="zh-CN"/>
                    </w:rPr>
                    <w:t>通过化粪池处理后，排入新建的一体化污水处理设施</w:t>
                  </w:r>
                  <w:r>
                    <w:rPr>
                      <w:rFonts w:hint="default" w:ascii="Times New Roman" w:hAnsi="Times New Roman" w:cs="Times New Roman"/>
                      <w:sz w:val="18"/>
                      <w:szCs w:val="18"/>
                      <w:vertAlign w:val="baseline"/>
                      <w:lang w:val="en-US" w:eastAsia="zh-CN"/>
                    </w:rPr>
                    <w:t>，处理能力为10m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d</w:t>
                  </w:r>
                  <w:r>
                    <w:rPr>
                      <w:rFonts w:hint="default" w:ascii="Times New Roman" w:hAnsi="Times New Roman" w:cs="Times New Roman"/>
                      <w:sz w:val="18"/>
                      <w:szCs w:val="18"/>
                      <w:vertAlign w:val="baseline"/>
                      <w:lang w:val="en-US" w:eastAsia="zh-CN"/>
                    </w:rPr>
                    <w:t>，处理</w:t>
                  </w:r>
                  <w:r>
                    <w:rPr>
                      <w:rFonts w:hint="eastAsia" w:ascii="Times New Roman" w:hAnsi="Times New Roman" w:cs="Times New Roman"/>
                      <w:sz w:val="18"/>
                      <w:szCs w:val="18"/>
                      <w:vertAlign w:val="baseline"/>
                      <w:lang w:val="en-US" w:eastAsia="zh-CN"/>
                    </w:rPr>
                    <w:t>达标</w:t>
                  </w:r>
                  <w:r>
                    <w:rPr>
                      <w:rFonts w:hint="default" w:ascii="Times New Roman" w:hAnsi="Times New Roman" w:cs="Times New Roman"/>
                      <w:sz w:val="18"/>
                      <w:szCs w:val="18"/>
                      <w:vertAlign w:val="baseline"/>
                      <w:lang w:val="en-US" w:eastAsia="zh-CN"/>
                    </w:rPr>
                    <w:t>后回用于厂区绿化</w:t>
                  </w:r>
                  <w:r>
                    <w:rPr>
                      <w:rFonts w:hint="eastAsia" w:ascii="Times New Roman" w:hAnsi="Times New Roman" w:cs="Times New Roman"/>
                      <w:sz w:val="18"/>
                      <w:szCs w:val="18"/>
                      <w:vertAlign w:val="baseline"/>
                      <w:lang w:val="en-US" w:eastAsia="zh-CN"/>
                    </w:rPr>
                    <w:t>或洒水降尘</w:t>
                  </w:r>
                  <w:r>
                    <w:rPr>
                      <w:rFonts w:hint="default" w:ascii="Times New Roman" w:hAnsi="Times New Roman" w:cs="Times New Roman"/>
                      <w:sz w:val="18"/>
                      <w:szCs w:val="18"/>
                      <w:vertAlign w:val="baseline"/>
                      <w:lang w:val="en-US" w:eastAsia="zh-CN"/>
                    </w:rPr>
                    <w:t>，不外排。</w:t>
                  </w:r>
                </w:p>
              </w:tc>
              <w:tc>
                <w:tcPr>
                  <w:tcW w:w="1696" w:type="dxa"/>
                  <w:vAlign w:val="center"/>
                </w:tcPr>
                <w:p w14:paraId="511325B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废水处理后回用，不外排。</w:t>
                  </w:r>
                </w:p>
              </w:tc>
              <w:tc>
                <w:tcPr>
                  <w:tcW w:w="1486" w:type="dxa"/>
                  <w:tcBorders>
                    <w:right w:val="nil"/>
                  </w:tcBorders>
                  <w:vAlign w:val="center"/>
                </w:tcPr>
                <w:p w14:paraId="0F471CD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0D34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restart"/>
                  <w:tcBorders>
                    <w:left w:val="nil"/>
                  </w:tcBorders>
                  <w:vAlign w:val="center"/>
                </w:tcPr>
                <w:p w14:paraId="3732A82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固体废物</w:t>
                  </w:r>
                </w:p>
              </w:tc>
              <w:tc>
                <w:tcPr>
                  <w:tcW w:w="1023" w:type="dxa"/>
                  <w:vMerge w:val="restart"/>
                  <w:vAlign w:val="center"/>
                </w:tcPr>
                <w:p w14:paraId="2DA9D604">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固体废物处置措施</w:t>
                  </w:r>
                </w:p>
              </w:tc>
              <w:tc>
                <w:tcPr>
                  <w:tcW w:w="2787" w:type="dxa"/>
                  <w:vAlign w:val="center"/>
                </w:tcPr>
                <w:p w14:paraId="08006AB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（1）施工过程中，工程开挖产生的土石方应及时进行回填，做到项目施工挖、填平衡，不产生废弃土石方。</w:t>
                  </w:r>
                </w:p>
                <w:p w14:paraId="21EABBD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（2）建筑垃圾分类集中堆存、回收利用，不能利用的集中收集后清运至当地政府指定的堆放场所堆放处置，禁止随意丢弃。</w:t>
                  </w:r>
                </w:p>
                <w:p w14:paraId="2AC81E5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sz w:val="18"/>
                      <w:szCs w:val="18"/>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（3）施工期生活垃圾设置垃圾桶进行统一收集，委托环卫部门清运处置，禁止随意丢弃。</w:t>
                  </w:r>
                </w:p>
              </w:tc>
              <w:tc>
                <w:tcPr>
                  <w:tcW w:w="1696" w:type="dxa"/>
                  <w:vAlign w:val="center"/>
                </w:tcPr>
                <w:p w14:paraId="037D3A1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对周围环境影响较小。</w:t>
                  </w:r>
                </w:p>
              </w:tc>
              <w:tc>
                <w:tcPr>
                  <w:tcW w:w="1486" w:type="dxa"/>
                  <w:tcBorders>
                    <w:right w:val="nil"/>
                  </w:tcBorders>
                  <w:vAlign w:val="center"/>
                </w:tcPr>
                <w:p w14:paraId="591754AC">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4A3C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Borders>
                    <w:left w:val="nil"/>
                  </w:tcBorders>
                  <w:vAlign w:val="center"/>
                </w:tcPr>
                <w:p w14:paraId="04F3DFB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c>
                <w:tcPr>
                  <w:tcW w:w="1023" w:type="dxa"/>
                  <w:vMerge w:val="continue"/>
                  <w:vAlign w:val="center"/>
                </w:tcPr>
                <w:p w14:paraId="02D20622">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c>
                <w:tcPr>
                  <w:tcW w:w="2787" w:type="dxa"/>
                  <w:vAlign w:val="center"/>
                </w:tcPr>
                <w:p w14:paraId="36AC663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eastAsia" w:ascii="Times New Roman" w:hAnsi="Times New Roman" w:cs="Times New Roman"/>
                      <w:color w:val="auto"/>
                      <w:sz w:val="18"/>
                      <w:szCs w:val="18"/>
                      <w:highlight w:val="none"/>
                      <w:vertAlign w:val="baseline"/>
                      <w:lang w:val="en-US" w:eastAsia="zh-CN"/>
                    </w:rPr>
                  </w:pPr>
                  <w:r>
                    <w:rPr>
                      <w:rFonts w:hint="eastAsia"/>
                      <w:sz w:val="18"/>
                      <w:szCs w:val="18"/>
                      <w:vertAlign w:val="baseline"/>
                      <w:lang w:val="en-US" w:eastAsia="zh-CN"/>
                    </w:rPr>
                    <w:t>生活垃圾：</w:t>
                  </w:r>
                  <w:r>
                    <w:rPr>
                      <w:rFonts w:hint="eastAsia" w:ascii="Times New Roman" w:hAnsi="Times New Roman" w:eastAsia="宋体" w:cs="Times New Roman"/>
                      <w:color w:val="auto"/>
                      <w:sz w:val="18"/>
                      <w:szCs w:val="18"/>
                      <w:highlight w:val="none"/>
                      <w:vertAlign w:val="baseline"/>
                      <w:lang w:val="en-US" w:eastAsia="zh-CN"/>
                    </w:rPr>
                    <w:t>经生活垃圾收集桶收集后由当地环卫部门统一进行清运处置</w:t>
                  </w:r>
                  <w:r>
                    <w:rPr>
                      <w:rFonts w:hint="eastAsia" w:ascii="Times New Roman" w:hAnsi="Times New Roman" w:cs="Times New Roman"/>
                      <w:color w:val="auto"/>
                      <w:sz w:val="18"/>
                      <w:szCs w:val="18"/>
                      <w:highlight w:val="none"/>
                      <w:vertAlign w:val="baseline"/>
                      <w:lang w:val="en-US" w:eastAsia="zh-CN"/>
                    </w:rPr>
                    <w:t>。</w:t>
                  </w:r>
                </w:p>
                <w:p w14:paraId="5D4983E5">
                  <w:pPr>
                    <w:rPr>
                      <w:rFonts w:hint="default"/>
                      <w:lang w:val="en-US" w:eastAsia="zh-CN"/>
                    </w:rPr>
                  </w:pPr>
                  <w:r>
                    <w:rPr>
                      <w:rFonts w:hint="eastAsia" w:cs="Times New Roman"/>
                      <w:color w:val="auto"/>
                      <w:sz w:val="18"/>
                      <w:szCs w:val="18"/>
                      <w:highlight w:val="none"/>
                      <w:vertAlign w:val="baseline"/>
                      <w:lang w:val="en-US" w:eastAsia="zh-CN"/>
                    </w:rPr>
                    <w:t>污泥：</w:t>
                  </w:r>
                  <w:r>
                    <w:rPr>
                      <w:rFonts w:hint="eastAsia" w:ascii="Times New Roman" w:hAnsi="Times New Roman" w:cs="Times New Roman"/>
                      <w:color w:val="auto"/>
                      <w:sz w:val="18"/>
                      <w:szCs w:val="18"/>
                      <w:highlight w:val="none"/>
                      <w:vertAlign w:val="baseline"/>
                      <w:lang w:val="en-US" w:eastAsia="zh-CN"/>
                    </w:rPr>
                    <w:t>委托环卫部门定期清运。</w:t>
                  </w:r>
                </w:p>
              </w:tc>
              <w:tc>
                <w:tcPr>
                  <w:tcW w:w="1696" w:type="dxa"/>
                  <w:vAlign w:val="center"/>
                </w:tcPr>
                <w:p w14:paraId="48565FB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对周围环境影响较小。</w:t>
                  </w:r>
                </w:p>
              </w:tc>
              <w:tc>
                <w:tcPr>
                  <w:tcW w:w="1486" w:type="dxa"/>
                  <w:tcBorders>
                    <w:right w:val="nil"/>
                  </w:tcBorders>
                  <w:vAlign w:val="center"/>
                </w:tcPr>
                <w:p w14:paraId="496965F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r>
            <w:tr w14:paraId="40EA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dxa"/>
                  <w:gridSpan w:val="2"/>
                  <w:tcBorders>
                    <w:left w:val="nil"/>
                  </w:tcBorders>
                  <w:vAlign w:val="center"/>
                </w:tcPr>
                <w:p w14:paraId="37D663E2">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施工现场调查</w:t>
                  </w:r>
                </w:p>
              </w:tc>
              <w:tc>
                <w:tcPr>
                  <w:tcW w:w="5969" w:type="dxa"/>
                  <w:gridSpan w:val="3"/>
                  <w:tcBorders>
                    <w:right w:val="nil"/>
                  </w:tcBorders>
                  <w:vAlign w:val="top"/>
                </w:tcPr>
                <w:p w14:paraId="46CFE5D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（1）施工场地生活垃圾、建筑垃圾及土石方处置方式，是否有遗留；</w:t>
                  </w:r>
                </w:p>
                <w:p w14:paraId="4FE0E699">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（2）工程施工遗迹、临时施工场地是否进行清理、平整及恢复。</w:t>
                  </w:r>
                </w:p>
              </w:tc>
            </w:tr>
            <w:tr w14:paraId="1C91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dxa"/>
                  <w:gridSpan w:val="2"/>
                  <w:tcBorders>
                    <w:left w:val="nil"/>
                  </w:tcBorders>
                  <w:vAlign w:val="center"/>
                </w:tcPr>
                <w:p w14:paraId="55CB3580">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环保手续履行情况</w:t>
                  </w:r>
                </w:p>
              </w:tc>
              <w:tc>
                <w:tcPr>
                  <w:tcW w:w="5969" w:type="dxa"/>
                  <w:gridSpan w:val="3"/>
                  <w:tcBorders>
                    <w:right w:val="nil"/>
                  </w:tcBorders>
                  <w:vAlign w:val="center"/>
                </w:tcPr>
                <w:p w14:paraId="512B1A8E">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项目环评批复文件是否齐备，环境保护档案是否齐全。</w:t>
                  </w:r>
                </w:p>
              </w:tc>
            </w:tr>
            <w:tr w14:paraId="7DBF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dxa"/>
                  <w:gridSpan w:val="2"/>
                  <w:tcBorders>
                    <w:left w:val="nil"/>
                  </w:tcBorders>
                  <w:vAlign w:val="center"/>
                </w:tcPr>
                <w:p w14:paraId="28DEE9C8">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实际工程内容与本《报告表》评价内容情况</w:t>
                  </w:r>
                </w:p>
              </w:tc>
              <w:tc>
                <w:tcPr>
                  <w:tcW w:w="5969" w:type="dxa"/>
                  <w:gridSpan w:val="3"/>
                  <w:tcBorders>
                    <w:right w:val="nil"/>
                  </w:tcBorders>
                  <w:vAlign w:val="center"/>
                </w:tcPr>
                <w:p w14:paraId="2AAAB25C">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核查实际工程内容与本《报告表》评价内容变更情况，核实是否有重大变动</w:t>
                  </w:r>
                  <w:r>
                    <w:rPr>
                      <w:rFonts w:hint="eastAsia" w:ascii="Times New Roman" w:hAnsi="Times New Roman" w:eastAsia="宋体" w:cs="Times New Roman"/>
                      <w:color w:val="auto"/>
                      <w:sz w:val="18"/>
                      <w:szCs w:val="18"/>
                      <w:highlight w:val="none"/>
                      <w:vertAlign w:val="baseline"/>
                      <w:lang w:val="en-US" w:eastAsia="zh-CN"/>
                    </w:rPr>
                    <w:t>。</w:t>
                  </w:r>
                </w:p>
              </w:tc>
            </w:tr>
            <w:tr w14:paraId="62C0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dxa"/>
                  <w:gridSpan w:val="2"/>
                  <w:tcBorders>
                    <w:left w:val="nil"/>
                  </w:tcBorders>
                  <w:vAlign w:val="center"/>
                </w:tcPr>
                <w:p w14:paraId="5BAC277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环境保护目标基本情况</w:t>
                  </w:r>
                </w:p>
              </w:tc>
              <w:tc>
                <w:tcPr>
                  <w:tcW w:w="5969" w:type="dxa"/>
                  <w:gridSpan w:val="3"/>
                  <w:tcBorders>
                    <w:right w:val="nil"/>
                  </w:tcBorders>
                  <w:vAlign w:val="center"/>
                </w:tcPr>
                <w:p w14:paraId="6AF1AC9A">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核查环境保护目标基本情况及变更情况。</w:t>
                  </w:r>
                </w:p>
              </w:tc>
            </w:tr>
          </w:tbl>
          <w:p w14:paraId="430E8FCF">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kern w:val="2"/>
                <w:sz w:val="24"/>
                <w:szCs w:val="24"/>
                <w:lang w:val="en-US" w:eastAsia="zh-CN" w:bidi="ar-SA"/>
              </w:rPr>
            </w:pPr>
          </w:p>
        </w:tc>
      </w:tr>
      <w:tr w14:paraId="0BB9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69" w:type="dxa"/>
            <w:vAlign w:val="center"/>
          </w:tcPr>
          <w:p w14:paraId="2CC2B0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highlight w:val="none"/>
                <w:vertAlign w:val="baseline"/>
                <w:lang w:val="en-US" w:eastAsia="zh-CN"/>
              </w:rPr>
            </w:pPr>
            <w:r>
              <w:rPr>
                <w:rFonts w:hint="eastAsia"/>
                <w:b/>
                <w:bCs/>
                <w:color w:val="auto"/>
                <w:highlight w:val="none"/>
                <w:vertAlign w:val="baseline"/>
                <w:lang w:val="en-US" w:eastAsia="zh-CN"/>
              </w:rPr>
              <w:t>环保投资</w:t>
            </w:r>
          </w:p>
        </w:tc>
        <w:tc>
          <w:tcPr>
            <w:tcW w:w="7853" w:type="dxa"/>
          </w:tcPr>
          <w:p w14:paraId="44B493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本项目总投资为</w:t>
            </w:r>
            <w:r>
              <w:rPr>
                <w:rFonts w:hint="eastAsia" w:cs="Times New Roman"/>
                <w:i w:val="0"/>
                <w:iCs w:val="0"/>
                <w:color w:val="auto"/>
                <w:sz w:val="24"/>
                <w:szCs w:val="24"/>
                <w:highlight w:val="none"/>
                <w:u w:val="none"/>
                <w:lang w:val="en-US" w:eastAsia="zh-CN"/>
              </w:rPr>
              <w:t>31301.35</w:t>
            </w:r>
            <w:r>
              <w:rPr>
                <w:rFonts w:hint="default" w:ascii="Times New Roman" w:hAnsi="Times New Roman" w:eastAsia="宋体" w:cs="Times New Roman"/>
                <w:color w:val="000000"/>
                <w:kern w:val="0"/>
                <w:sz w:val="24"/>
                <w:szCs w:val="24"/>
                <w:lang w:val="en-US" w:eastAsia="zh-CN" w:bidi="ar"/>
              </w:rPr>
              <w:t>万元，其中环保投资</w:t>
            </w:r>
            <w:r>
              <w:rPr>
                <w:rFonts w:hint="eastAsia" w:cs="Times New Roman"/>
                <w:color w:val="000000"/>
                <w:kern w:val="0"/>
                <w:sz w:val="24"/>
                <w:szCs w:val="24"/>
                <w:lang w:val="en-US" w:eastAsia="zh-CN" w:bidi="ar"/>
              </w:rPr>
              <w:t>134.5</w:t>
            </w:r>
            <w:r>
              <w:rPr>
                <w:rFonts w:hint="default" w:ascii="Times New Roman" w:hAnsi="Times New Roman" w:eastAsia="宋体" w:cs="Times New Roman"/>
                <w:color w:val="000000"/>
                <w:kern w:val="0"/>
                <w:sz w:val="24"/>
                <w:szCs w:val="24"/>
                <w:lang w:val="en-US" w:eastAsia="zh-CN" w:bidi="ar"/>
              </w:rPr>
              <w:t>万元，占工程总投资的</w:t>
            </w:r>
            <w:r>
              <w:rPr>
                <w:rFonts w:hint="eastAsia"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43</w:t>
            </w:r>
            <w:r>
              <w:rPr>
                <w:rFonts w:hint="default" w:ascii="Times New Roman" w:hAnsi="Times New Roman" w:eastAsia="宋体" w:cs="Times New Roman"/>
                <w:color w:val="000000"/>
                <w:kern w:val="0"/>
                <w:sz w:val="24"/>
                <w:szCs w:val="24"/>
                <w:lang w:val="en-US" w:eastAsia="zh-CN" w:bidi="ar"/>
              </w:rPr>
              <w:t>%，项目环保投资构成见</w:t>
            </w:r>
            <w:r>
              <w:rPr>
                <w:rFonts w:hint="eastAsia" w:ascii="Times New Roman" w:hAnsi="Times New Roman" w:eastAsia="宋体" w:cs="Times New Roman"/>
                <w:color w:val="000000"/>
                <w:kern w:val="0"/>
                <w:sz w:val="24"/>
                <w:szCs w:val="24"/>
                <w:lang w:val="en-US" w:eastAsia="zh-CN" w:bidi="ar"/>
              </w:rPr>
              <w:t>下</w:t>
            </w:r>
            <w:r>
              <w:rPr>
                <w:rFonts w:hint="default" w:ascii="Times New Roman" w:hAnsi="Times New Roman" w:eastAsia="宋体" w:cs="Times New Roman"/>
                <w:color w:val="000000"/>
                <w:kern w:val="0"/>
                <w:sz w:val="24"/>
                <w:szCs w:val="24"/>
                <w:lang w:val="en-US" w:eastAsia="zh-CN" w:bidi="ar"/>
              </w:rPr>
              <w:t>表。</w:t>
            </w:r>
          </w:p>
          <w:p w14:paraId="18AB4D62">
            <w:pPr>
              <w:pStyle w:val="2"/>
              <w:ind w:left="0" w:leftChars="0" w:firstLine="0" w:firstLineChars="0"/>
              <w:jc w:val="center"/>
              <w:rPr>
                <w:rFonts w:hint="eastAsia" w:ascii="Times New Roman" w:hAnsi="Times New Roman" w:eastAsia="黑体" w:cs="Times New Roman"/>
                <w:color w:val="auto"/>
                <w:sz w:val="21"/>
                <w:szCs w:val="18"/>
                <w:highlight w:val="none"/>
                <w:vertAlign w:val="baseline"/>
                <w:lang w:val="en-US" w:eastAsia="zh-CN"/>
              </w:rPr>
            </w:pPr>
            <w:r>
              <w:rPr>
                <w:rFonts w:hint="default" w:ascii="Times New Roman" w:hAnsi="Times New Roman" w:eastAsia="黑体" w:cs="Times New Roman"/>
                <w:color w:val="auto"/>
                <w:sz w:val="21"/>
                <w:szCs w:val="18"/>
                <w:highlight w:val="none"/>
                <w:vertAlign w:val="baseline"/>
                <w:lang w:val="en-US" w:eastAsia="zh-CN"/>
              </w:rPr>
              <w:t>表</w:t>
            </w:r>
            <w:r>
              <w:rPr>
                <w:rFonts w:hint="eastAsia" w:ascii="Times New Roman" w:hAnsi="Times New Roman" w:eastAsia="黑体" w:cs="Times New Roman"/>
                <w:color w:val="auto"/>
                <w:sz w:val="21"/>
                <w:szCs w:val="18"/>
                <w:highlight w:val="none"/>
                <w:vertAlign w:val="baseline"/>
                <w:lang w:val="en-US" w:eastAsia="zh-CN"/>
              </w:rPr>
              <w:t>5</w:t>
            </w:r>
            <w:r>
              <w:rPr>
                <w:rFonts w:hint="default" w:ascii="Times New Roman" w:hAnsi="Times New Roman" w:eastAsia="黑体" w:cs="Times New Roman"/>
                <w:color w:val="auto"/>
                <w:sz w:val="21"/>
                <w:szCs w:val="18"/>
                <w:highlight w:val="none"/>
                <w:vertAlign w:val="baseline"/>
                <w:lang w:val="en-US" w:eastAsia="zh-CN"/>
              </w:rPr>
              <w:t>-</w:t>
            </w:r>
            <w:r>
              <w:rPr>
                <w:rFonts w:hint="eastAsia" w:ascii="Times New Roman" w:hAnsi="Times New Roman" w:eastAsia="黑体" w:cs="Times New Roman"/>
                <w:color w:val="auto"/>
                <w:sz w:val="21"/>
                <w:szCs w:val="18"/>
                <w:highlight w:val="none"/>
                <w:vertAlign w:val="baseline"/>
                <w:lang w:val="en-US" w:eastAsia="zh-CN"/>
              </w:rPr>
              <w:t>4</w:t>
            </w:r>
            <w:r>
              <w:rPr>
                <w:rFonts w:hint="default" w:ascii="Times New Roman" w:hAnsi="Times New Roman" w:eastAsia="黑体" w:cs="Times New Roman"/>
                <w:color w:val="auto"/>
                <w:sz w:val="21"/>
                <w:szCs w:val="18"/>
                <w:highlight w:val="none"/>
                <w:vertAlign w:val="baseline"/>
                <w:lang w:val="en-US" w:eastAsia="zh-CN"/>
              </w:rPr>
              <w:t xml:space="preserve">  </w:t>
            </w:r>
            <w:r>
              <w:rPr>
                <w:rFonts w:hint="eastAsia" w:ascii="Times New Roman" w:hAnsi="Times New Roman" w:eastAsia="黑体" w:cs="Times New Roman"/>
                <w:color w:val="auto"/>
                <w:sz w:val="21"/>
                <w:szCs w:val="18"/>
                <w:highlight w:val="none"/>
                <w:vertAlign w:val="baseline"/>
                <w:lang w:val="en-US" w:eastAsia="zh-CN"/>
              </w:rPr>
              <w:t>项目环保投资估算一览表</w:t>
            </w:r>
          </w:p>
          <w:tbl>
            <w:tblPr>
              <w:tblStyle w:val="23"/>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944"/>
              <w:gridCol w:w="2220"/>
              <w:gridCol w:w="1270"/>
              <w:gridCol w:w="1690"/>
              <w:gridCol w:w="852"/>
            </w:tblGrid>
            <w:tr w14:paraId="4F6A1F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28981CB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序号</w:t>
                  </w:r>
                </w:p>
              </w:tc>
              <w:tc>
                <w:tcPr>
                  <w:tcW w:w="944" w:type="dxa"/>
                  <w:tcBorders>
                    <w:tl2br w:val="nil"/>
                    <w:tr2bl w:val="nil"/>
                  </w:tcBorders>
                  <w:vAlign w:val="center"/>
                </w:tcPr>
                <w:p w14:paraId="27128282">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类别</w:t>
                  </w:r>
                </w:p>
              </w:tc>
              <w:tc>
                <w:tcPr>
                  <w:tcW w:w="2220" w:type="dxa"/>
                  <w:tcBorders>
                    <w:tl2br w:val="nil"/>
                    <w:tr2bl w:val="nil"/>
                  </w:tcBorders>
                  <w:vAlign w:val="center"/>
                </w:tcPr>
                <w:p w14:paraId="7563397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环保措施</w:t>
                  </w:r>
                </w:p>
              </w:tc>
              <w:tc>
                <w:tcPr>
                  <w:tcW w:w="1270" w:type="dxa"/>
                  <w:tcBorders>
                    <w:tl2br w:val="nil"/>
                    <w:tr2bl w:val="nil"/>
                  </w:tcBorders>
                  <w:vAlign w:val="center"/>
                </w:tcPr>
                <w:p w14:paraId="3D051AA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数量或规模</w:t>
                  </w:r>
                </w:p>
              </w:tc>
              <w:tc>
                <w:tcPr>
                  <w:tcW w:w="1690" w:type="dxa"/>
                  <w:tcBorders>
                    <w:tl2br w:val="nil"/>
                    <w:tr2bl w:val="nil"/>
                  </w:tcBorders>
                  <w:vAlign w:val="center"/>
                </w:tcPr>
                <w:p w14:paraId="417B6744">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投资金额（万元）</w:t>
                  </w:r>
                </w:p>
              </w:tc>
              <w:tc>
                <w:tcPr>
                  <w:tcW w:w="852" w:type="dxa"/>
                  <w:tcBorders>
                    <w:tl2br w:val="nil"/>
                    <w:tr2bl w:val="nil"/>
                  </w:tcBorders>
                  <w:vAlign w:val="center"/>
                </w:tcPr>
                <w:p w14:paraId="42935CF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备注</w:t>
                  </w:r>
                </w:p>
              </w:tc>
            </w:tr>
            <w:tr w14:paraId="079B42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2" w:type="dxa"/>
                  <w:gridSpan w:val="6"/>
                  <w:tcBorders>
                    <w:tl2br w:val="nil"/>
                    <w:tr2bl w:val="nil"/>
                  </w:tcBorders>
                  <w:vAlign w:val="center"/>
                </w:tcPr>
                <w:p w14:paraId="4795778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施工期</w:t>
                  </w:r>
                </w:p>
              </w:tc>
            </w:tr>
            <w:tr w14:paraId="0123DA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6D3FB2B4">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w:t>
                  </w:r>
                </w:p>
              </w:tc>
              <w:tc>
                <w:tcPr>
                  <w:tcW w:w="944" w:type="dxa"/>
                  <w:tcBorders>
                    <w:tl2br w:val="nil"/>
                    <w:tr2bl w:val="nil"/>
                  </w:tcBorders>
                  <w:vAlign w:val="center"/>
                </w:tcPr>
                <w:p w14:paraId="753258E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施工扬尘</w:t>
                  </w:r>
                </w:p>
              </w:tc>
              <w:tc>
                <w:tcPr>
                  <w:tcW w:w="2220" w:type="dxa"/>
                  <w:tcBorders>
                    <w:tl2br w:val="nil"/>
                    <w:tr2bl w:val="nil"/>
                  </w:tcBorders>
                  <w:vAlign w:val="center"/>
                </w:tcPr>
                <w:p w14:paraId="76DAABBC">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设置洒水车，定期对施工场地及道路洒水抑尘，</w:t>
                  </w:r>
                </w:p>
                <w:p w14:paraId="760A952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设施工隔离围挡、散装物料运输加盖苫布、堆存</w:t>
                  </w:r>
                </w:p>
                <w:p w14:paraId="7C7C2DF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设棚式贮存或遮盖抑尘</w:t>
                  </w:r>
                </w:p>
              </w:tc>
              <w:tc>
                <w:tcPr>
                  <w:tcW w:w="1270" w:type="dxa"/>
                  <w:tcBorders>
                    <w:tl2br w:val="nil"/>
                    <w:tr2bl w:val="nil"/>
                  </w:tcBorders>
                  <w:vAlign w:val="center"/>
                </w:tcPr>
                <w:p w14:paraId="2CA5689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0CC208A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10</w:t>
                  </w:r>
                </w:p>
              </w:tc>
              <w:tc>
                <w:tcPr>
                  <w:tcW w:w="852" w:type="dxa"/>
                  <w:tcBorders>
                    <w:tl2br w:val="nil"/>
                    <w:tr2bl w:val="nil"/>
                  </w:tcBorders>
                  <w:vAlign w:val="center"/>
                </w:tcPr>
                <w:p w14:paraId="1130640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66D58A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2F8BE44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w:t>
                  </w:r>
                </w:p>
              </w:tc>
              <w:tc>
                <w:tcPr>
                  <w:tcW w:w="944" w:type="dxa"/>
                  <w:tcBorders>
                    <w:tl2br w:val="nil"/>
                    <w:tr2bl w:val="nil"/>
                  </w:tcBorders>
                  <w:vAlign w:val="center"/>
                </w:tcPr>
                <w:p w14:paraId="2DEB67B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噪声</w:t>
                  </w:r>
                </w:p>
              </w:tc>
              <w:tc>
                <w:tcPr>
                  <w:tcW w:w="2220" w:type="dxa"/>
                  <w:tcBorders>
                    <w:tl2br w:val="nil"/>
                    <w:tr2bl w:val="nil"/>
                  </w:tcBorders>
                  <w:vAlign w:val="center"/>
                </w:tcPr>
                <w:p w14:paraId="0A85700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施工营地内选用低噪施工机械、高噪声设置基础减震，施工期噪声防护声围挡，施工场地交通调度和警示标志及公告</w:t>
                  </w:r>
                </w:p>
              </w:tc>
              <w:tc>
                <w:tcPr>
                  <w:tcW w:w="1270" w:type="dxa"/>
                  <w:tcBorders>
                    <w:tl2br w:val="nil"/>
                    <w:tr2bl w:val="nil"/>
                  </w:tcBorders>
                  <w:vAlign w:val="center"/>
                </w:tcPr>
                <w:p w14:paraId="5514009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0337393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12</w:t>
                  </w:r>
                </w:p>
              </w:tc>
              <w:tc>
                <w:tcPr>
                  <w:tcW w:w="852" w:type="dxa"/>
                  <w:tcBorders>
                    <w:tl2br w:val="nil"/>
                    <w:tr2bl w:val="nil"/>
                  </w:tcBorders>
                  <w:vAlign w:val="center"/>
                </w:tcPr>
                <w:p w14:paraId="36641952">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4D6BD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46" w:type="dxa"/>
                  <w:tcBorders>
                    <w:tl2br w:val="nil"/>
                    <w:tr2bl w:val="nil"/>
                  </w:tcBorders>
                  <w:vAlign w:val="center"/>
                </w:tcPr>
                <w:p w14:paraId="7A532C1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w:t>
                  </w:r>
                </w:p>
              </w:tc>
              <w:tc>
                <w:tcPr>
                  <w:tcW w:w="944" w:type="dxa"/>
                  <w:tcBorders>
                    <w:tl2br w:val="nil"/>
                    <w:tr2bl w:val="nil"/>
                  </w:tcBorders>
                  <w:vAlign w:val="center"/>
                </w:tcPr>
                <w:p w14:paraId="15EED21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固废</w:t>
                  </w:r>
                </w:p>
              </w:tc>
              <w:tc>
                <w:tcPr>
                  <w:tcW w:w="2220" w:type="dxa"/>
                  <w:tcBorders>
                    <w:tl2br w:val="nil"/>
                    <w:tr2bl w:val="nil"/>
                  </w:tcBorders>
                  <w:vAlign w:val="center"/>
                </w:tcPr>
                <w:p w14:paraId="227168C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施工垃圾清运</w:t>
                  </w:r>
                </w:p>
              </w:tc>
              <w:tc>
                <w:tcPr>
                  <w:tcW w:w="1270" w:type="dxa"/>
                  <w:tcBorders>
                    <w:tl2br w:val="nil"/>
                    <w:tr2bl w:val="nil"/>
                  </w:tcBorders>
                  <w:vAlign w:val="center"/>
                </w:tcPr>
                <w:p w14:paraId="2A021D9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0712FFD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w:t>
                  </w:r>
                </w:p>
              </w:tc>
              <w:tc>
                <w:tcPr>
                  <w:tcW w:w="852" w:type="dxa"/>
                  <w:tcBorders>
                    <w:tl2br w:val="nil"/>
                    <w:tr2bl w:val="nil"/>
                  </w:tcBorders>
                  <w:vAlign w:val="center"/>
                </w:tcPr>
                <w:p w14:paraId="0B9025E4">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30EE37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28C5882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w:t>
                  </w:r>
                </w:p>
              </w:tc>
              <w:tc>
                <w:tcPr>
                  <w:tcW w:w="944" w:type="dxa"/>
                  <w:tcBorders>
                    <w:tl2br w:val="nil"/>
                    <w:tr2bl w:val="nil"/>
                  </w:tcBorders>
                  <w:vAlign w:val="center"/>
                </w:tcPr>
                <w:p w14:paraId="3BE54BA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废水</w:t>
                  </w:r>
                </w:p>
              </w:tc>
              <w:tc>
                <w:tcPr>
                  <w:tcW w:w="2220" w:type="dxa"/>
                  <w:tcBorders>
                    <w:tl2br w:val="nil"/>
                    <w:tr2bl w:val="nil"/>
                  </w:tcBorders>
                  <w:vAlign w:val="center"/>
                </w:tcPr>
                <w:p w14:paraId="5C4F373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沉淀池</w:t>
                  </w:r>
                </w:p>
              </w:tc>
              <w:tc>
                <w:tcPr>
                  <w:tcW w:w="1270" w:type="dxa"/>
                  <w:tcBorders>
                    <w:tl2br w:val="nil"/>
                    <w:tr2bl w:val="nil"/>
                  </w:tcBorders>
                  <w:vAlign w:val="center"/>
                </w:tcPr>
                <w:p w14:paraId="33F40D3B">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5816BF4E">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3.5</w:t>
                  </w:r>
                </w:p>
              </w:tc>
              <w:tc>
                <w:tcPr>
                  <w:tcW w:w="852" w:type="dxa"/>
                  <w:tcBorders>
                    <w:tl2br w:val="nil"/>
                    <w:tr2bl w:val="nil"/>
                  </w:tcBorders>
                  <w:vAlign w:val="center"/>
                </w:tcPr>
                <w:p w14:paraId="5BFA332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57914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01414A7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w:t>
                  </w:r>
                </w:p>
              </w:tc>
              <w:tc>
                <w:tcPr>
                  <w:tcW w:w="944" w:type="dxa"/>
                  <w:tcBorders>
                    <w:tl2br w:val="nil"/>
                    <w:tr2bl w:val="nil"/>
                  </w:tcBorders>
                  <w:vAlign w:val="center"/>
                </w:tcPr>
                <w:p w14:paraId="752A59C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生态环境</w:t>
                  </w:r>
                </w:p>
              </w:tc>
              <w:tc>
                <w:tcPr>
                  <w:tcW w:w="2220" w:type="dxa"/>
                  <w:tcBorders>
                    <w:tl2br w:val="nil"/>
                    <w:tr2bl w:val="nil"/>
                  </w:tcBorders>
                  <w:vAlign w:val="center"/>
                </w:tcPr>
                <w:p w14:paraId="7548644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落实路基边坡防护、临时工程的植被恢复、绿化、水土保持等措施</w:t>
                  </w:r>
                </w:p>
              </w:tc>
              <w:tc>
                <w:tcPr>
                  <w:tcW w:w="1270" w:type="dxa"/>
                  <w:tcBorders>
                    <w:tl2br w:val="nil"/>
                    <w:tr2bl w:val="nil"/>
                  </w:tcBorders>
                  <w:vAlign w:val="center"/>
                </w:tcPr>
                <w:p w14:paraId="0EDB305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743E4E8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25</w:t>
                  </w:r>
                </w:p>
              </w:tc>
              <w:tc>
                <w:tcPr>
                  <w:tcW w:w="852" w:type="dxa"/>
                  <w:tcBorders>
                    <w:tl2br w:val="nil"/>
                    <w:tr2bl w:val="nil"/>
                  </w:tcBorders>
                  <w:vAlign w:val="center"/>
                </w:tcPr>
                <w:p w14:paraId="661BE35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14:paraId="42BA88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2" w:type="dxa"/>
                  <w:gridSpan w:val="6"/>
                  <w:tcBorders>
                    <w:tl2br w:val="nil"/>
                    <w:tr2bl w:val="nil"/>
                  </w:tcBorders>
                  <w:vAlign w:val="center"/>
                </w:tcPr>
                <w:p w14:paraId="34E2309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运营期</w:t>
                  </w:r>
                </w:p>
              </w:tc>
            </w:tr>
            <w:tr w14:paraId="29EB2A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vMerge w:val="restart"/>
                  <w:tcBorders>
                    <w:tl2br w:val="nil"/>
                    <w:tr2bl w:val="nil"/>
                  </w:tcBorders>
                  <w:vAlign w:val="center"/>
                </w:tcPr>
                <w:p w14:paraId="2B21E2F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w:t>
                  </w:r>
                </w:p>
              </w:tc>
              <w:tc>
                <w:tcPr>
                  <w:tcW w:w="944" w:type="dxa"/>
                  <w:vMerge w:val="restart"/>
                  <w:tcBorders>
                    <w:tl2br w:val="nil"/>
                    <w:tr2bl w:val="nil"/>
                  </w:tcBorders>
                  <w:vAlign w:val="center"/>
                </w:tcPr>
                <w:p w14:paraId="00FA6DB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废水</w:t>
                  </w:r>
                </w:p>
              </w:tc>
              <w:tc>
                <w:tcPr>
                  <w:tcW w:w="2220" w:type="dxa"/>
                  <w:tcBorders>
                    <w:tl2br w:val="nil"/>
                    <w:tr2bl w:val="nil"/>
                  </w:tcBorders>
                  <w:vAlign w:val="center"/>
                </w:tcPr>
                <w:p w14:paraId="7573FA4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雨污管网</w:t>
                  </w:r>
                </w:p>
              </w:tc>
              <w:tc>
                <w:tcPr>
                  <w:tcW w:w="1270" w:type="dxa"/>
                  <w:tcBorders>
                    <w:tl2br w:val="nil"/>
                    <w:tr2bl w:val="nil"/>
                  </w:tcBorders>
                  <w:vAlign w:val="center"/>
                </w:tcPr>
                <w:p w14:paraId="70692CA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5BFF177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16</w:t>
                  </w:r>
                </w:p>
              </w:tc>
              <w:tc>
                <w:tcPr>
                  <w:tcW w:w="852" w:type="dxa"/>
                  <w:tcBorders>
                    <w:tl2br w:val="nil"/>
                    <w:tr2bl w:val="nil"/>
                  </w:tcBorders>
                  <w:vAlign w:val="center"/>
                </w:tcPr>
                <w:p w14:paraId="6A88A01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r w14:paraId="3C2E7B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vMerge w:val="continue"/>
                  <w:tcBorders>
                    <w:tl2br w:val="nil"/>
                    <w:tr2bl w:val="nil"/>
                  </w:tcBorders>
                  <w:vAlign w:val="center"/>
                </w:tcPr>
                <w:p w14:paraId="398E03EF">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944" w:type="dxa"/>
                  <w:vMerge w:val="continue"/>
                  <w:tcBorders>
                    <w:tl2br w:val="nil"/>
                    <w:tr2bl w:val="nil"/>
                  </w:tcBorders>
                  <w:vAlign w:val="center"/>
                </w:tcPr>
                <w:p w14:paraId="76D7F4D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c>
                <w:tcPr>
                  <w:tcW w:w="2220" w:type="dxa"/>
                  <w:tcBorders>
                    <w:tl2br w:val="nil"/>
                    <w:tr2bl w:val="nil"/>
                  </w:tcBorders>
                  <w:vAlign w:val="center"/>
                </w:tcPr>
                <w:p w14:paraId="416C8DFC">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化粪池</w:t>
                  </w:r>
                </w:p>
              </w:tc>
              <w:tc>
                <w:tcPr>
                  <w:tcW w:w="1270" w:type="dxa"/>
                  <w:tcBorders>
                    <w:tl2br w:val="nil"/>
                    <w:tr2bl w:val="nil"/>
                  </w:tcBorders>
                  <w:vAlign w:val="center"/>
                </w:tcPr>
                <w:p w14:paraId="5CA4B0B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w:t>
                  </w:r>
                </w:p>
              </w:tc>
              <w:tc>
                <w:tcPr>
                  <w:tcW w:w="1690" w:type="dxa"/>
                  <w:tcBorders>
                    <w:tl2br w:val="nil"/>
                    <w:tr2bl w:val="nil"/>
                  </w:tcBorders>
                  <w:vAlign w:val="center"/>
                </w:tcPr>
                <w:p w14:paraId="037C7119">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w:t>
                  </w:r>
                </w:p>
              </w:tc>
              <w:tc>
                <w:tcPr>
                  <w:tcW w:w="852" w:type="dxa"/>
                  <w:tcBorders>
                    <w:tl2br w:val="nil"/>
                    <w:tr2bl w:val="nil"/>
                  </w:tcBorders>
                  <w:vAlign w:val="center"/>
                </w:tcPr>
                <w:p w14:paraId="3C36F4B7">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r w14:paraId="430841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33641D30">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w:t>
                  </w:r>
                </w:p>
              </w:tc>
              <w:tc>
                <w:tcPr>
                  <w:tcW w:w="944" w:type="dxa"/>
                  <w:tcBorders>
                    <w:tl2br w:val="nil"/>
                    <w:tr2bl w:val="nil"/>
                  </w:tcBorders>
                  <w:vAlign w:val="center"/>
                </w:tcPr>
                <w:p w14:paraId="06D042B0">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振动、噪声</w:t>
                  </w:r>
                </w:p>
              </w:tc>
              <w:tc>
                <w:tcPr>
                  <w:tcW w:w="2220" w:type="dxa"/>
                  <w:tcBorders>
                    <w:tl2br w:val="nil"/>
                    <w:tr2bl w:val="nil"/>
                  </w:tcBorders>
                  <w:vAlign w:val="center"/>
                </w:tcPr>
                <w:p w14:paraId="60BB3A3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定期打磨钢轨，增加钢轨的平顺度；针对偶发噪声，采用指向性强的风笛</w:t>
                  </w:r>
                </w:p>
              </w:tc>
              <w:tc>
                <w:tcPr>
                  <w:tcW w:w="1270" w:type="dxa"/>
                  <w:tcBorders>
                    <w:tl2br w:val="nil"/>
                    <w:tr2bl w:val="nil"/>
                  </w:tcBorders>
                  <w:vAlign w:val="center"/>
                </w:tcPr>
                <w:p w14:paraId="54A2A424">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4995694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13</w:t>
                  </w:r>
                </w:p>
              </w:tc>
              <w:tc>
                <w:tcPr>
                  <w:tcW w:w="852" w:type="dxa"/>
                  <w:tcBorders>
                    <w:tl2br w:val="nil"/>
                    <w:tr2bl w:val="nil"/>
                  </w:tcBorders>
                  <w:vAlign w:val="center"/>
                </w:tcPr>
                <w:p w14:paraId="2F0AD94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r w14:paraId="779916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291981C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w:t>
                  </w:r>
                </w:p>
              </w:tc>
              <w:tc>
                <w:tcPr>
                  <w:tcW w:w="944" w:type="dxa"/>
                  <w:tcBorders>
                    <w:tl2br w:val="nil"/>
                    <w:tr2bl w:val="nil"/>
                  </w:tcBorders>
                  <w:vAlign w:val="center"/>
                </w:tcPr>
                <w:p w14:paraId="075097B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固废</w:t>
                  </w:r>
                </w:p>
              </w:tc>
              <w:tc>
                <w:tcPr>
                  <w:tcW w:w="2220" w:type="dxa"/>
                  <w:tcBorders>
                    <w:tl2br w:val="nil"/>
                    <w:tr2bl w:val="nil"/>
                  </w:tcBorders>
                  <w:vAlign w:val="center"/>
                </w:tcPr>
                <w:p w14:paraId="149ACC5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生活垃圾及化粪池污泥定期清运</w:t>
                  </w:r>
                </w:p>
              </w:tc>
              <w:tc>
                <w:tcPr>
                  <w:tcW w:w="1270" w:type="dxa"/>
                  <w:tcBorders>
                    <w:tl2br w:val="nil"/>
                    <w:tr2bl w:val="nil"/>
                  </w:tcBorders>
                  <w:vAlign w:val="center"/>
                </w:tcPr>
                <w:p w14:paraId="19292A0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0EA30F7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w:t>
                  </w:r>
                </w:p>
              </w:tc>
              <w:tc>
                <w:tcPr>
                  <w:tcW w:w="852" w:type="dxa"/>
                  <w:tcBorders>
                    <w:tl2br w:val="nil"/>
                    <w:tr2bl w:val="nil"/>
                  </w:tcBorders>
                  <w:vAlign w:val="center"/>
                </w:tcPr>
                <w:p w14:paraId="33307A0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r w14:paraId="2AD4B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1C7AF3A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4</w:t>
                  </w:r>
                </w:p>
              </w:tc>
              <w:tc>
                <w:tcPr>
                  <w:tcW w:w="944" w:type="dxa"/>
                  <w:tcBorders>
                    <w:tl2br w:val="nil"/>
                    <w:tr2bl w:val="nil"/>
                  </w:tcBorders>
                  <w:vAlign w:val="center"/>
                </w:tcPr>
                <w:p w14:paraId="78BD79B5">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生态环境</w:t>
                  </w:r>
                </w:p>
              </w:tc>
              <w:tc>
                <w:tcPr>
                  <w:tcW w:w="2220" w:type="dxa"/>
                  <w:tcBorders>
                    <w:tl2br w:val="nil"/>
                    <w:tr2bl w:val="nil"/>
                  </w:tcBorders>
                  <w:vAlign w:val="center"/>
                </w:tcPr>
                <w:p w14:paraId="451BEFB0">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铁路两侧边坡防护</w:t>
                  </w:r>
                </w:p>
              </w:tc>
              <w:tc>
                <w:tcPr>
                  <w:tcW w:w="1270" w:type="dxa"/>
                  <w:tcBorders>
                    <w:tl2br w:val="nil"/>
                    <w:tr2bl w:val="nil"/>
                  </w:tcBorders>
                  <w:vAlign w:val="center"/>
                </w:tcPr>
                <w:p w14:paraId="1A08875B">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06EAFD2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13</w:t>
                  </w:r>
                </w:p>
              </w:tc>
              <w:tc>
                <w:tcPr>
                  <w:tcW w:w="852" w:type="dxa"/>
                  <w:tcBorders>
                    <w:tl2br w:val="nil"/>
                    <w:tr2bl w:val="nil"/>
                  </w:tcBorders>
                  <w:vAlign w:val="center"/>
                </w:tcPr>
                <w:p w14:paraId="609C52BB">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r w14:paraId="20393A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14:paraId="693A670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5</w:t>
                  </w:r>
                </w:p>
              </w:tc>
              <w:tc>
                <w:tcPr>
                  <w:tcW w:w="944" w:type="dxa"/>
                  <w:tcBorders>
                    <w:tl2br w:val="nil"/>
                    <w:tr2bl w:val="nil"/>
                  </w:tcBorders>
                  <w:vAlign w:val="center"/>
                </w:tcPr>
                <w:p w14:paraId="45A6E21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环境监测</w:t>
                  </w:r>
                </w:p>
              </w:tc>
              <w:tc>
                <w:tcPr>
                  <w:tcW w:w="2220" w:type="dxa"/>
                  <w:tcBorders>
                    <w:tl2br w:val="nil"/>
                    <w:tr2bl w:val="nil"/>
                  </w:tcBorders>
                  <w:vAlign w:val="center"/>
                </w:tcPr>
                <w:p w14:paraId="50D6D00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噪声、振动监测</w:t>
                  </w:r>
                </w:p>
              </w:tc>
              <w:tc>
                <w:tcPr>
                  <w:tcW w:w="1270" w:type="dxa"/>
                  <w:tcBorders>
                    <w:tl2br w:val="nil"/>
                    <w:tr2bl w:val="nil"/>
                  </w:tcBorders>
                  <w:vAlign w:val="center"/>
                </w:tcPr>
                <w:p w14:paraId="61BD130A">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w:t>
                  </w:r>
                </w:p>
              </w:tc>
              <w:tc>
                <w:tcPr>
                  <w:tcW w:w="1690" w:type="dxa"/>
                  <w:tcBorders>
                    <w:tl2br w:val="nil"/>
                    <w:tr2bl w:val="nil"/>
                  </w:tcBorders>
                  <w:vAlign w:val="center"/>
                </w:tcPr>
                <w:p w14:paraId="4F2C2C98">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30</w:t>
                  </w:r>
                </w:p>
              </w:tc>
              <w:tc>
                <w:tcPr>
                  <w:tcW w:w="852" w:type="dxa"/>
                  <w:tcBorders>
                    <w:tl2br w:val="nil"/>
                    <w:tr2bl w:val="nil"/>
                  </w:tcBorders>
                  <w:vAlign w:val="center"/>
                </w:tcPr>
                <w:p w14:paraId="0E70F07D">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r w14:paraId="479E43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0" w:type="dxa"/>
                  <w:gridSpan w:val="4"/>
                  <w:tcBorders>
                    <w:tl2br w:val="nil"/>
                    <w:tr2bl w:val="nil"/>
                  </w:tcBorders>
                  <w:vAlign w:val="center"/>
                </w:tcPr>
                <w:p w14:paraId="29EB65B3">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合计</w:t>
                  </w:r>
                </w:p>
              </w:tc>
              <w:tc>
                <w:tcPr>
                  <w:tcW w:w="1690" w:type="dxa"/>
                  <w:tcBorders>
                    <w:tl2br w:val="nil"/>
                    <w:tr2bl w:val="nil"/>
                  </w:tcBorders>
                  <w:vAlign w:val="center"/>
                </w:tcPr>
                <w:p w14:paraId="47A8EA51">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134.5</w:t>
                  </w:r>
                </w:p>
              </w:tc>
              <w:tc>
                <w:tcPr>
                  <w:tcW w:w="852" w:type="dxa"/>
                  <w:tcBorders>
                    <w:tl2br w:val="nil"/>
                    <w:tr2bl w:val="nil"/>
                  </w:tcBorders>
                  <w:vAlign w:val="center"/>
                </w:tcPr>
                <w:p w14:paraId="6E1EBF36">
                  <w:pPr>
                    <w:pStyle w:val="2"/>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cs="Times New Roman"/>
                      <w:color w:val="auto"/>
                      <w:sz w:val="18"/>
                      <w:szCs w:val="18"/>
                      <w:highlight w:val="none"/>
                      <w:vertAlign w:val="baseline"/>
                      <w:lang w:val="en-US" w:eastAsia="zh-CN"/>
                    </w:rPr>
                  </w:pPr>
                </w:p>
              </w:tc>
            </w:tr>
          </w:tbl>
          <w:p w14:paraId="67D8B81A">
            <w:pPr>
              <w:rPr>
                <w:rFonts w:hint="default"/>
                <w:lang w:val="en-US" w:eastAsia="zh-CN"/>
              </w:rPr>
            </w:pPr>
          </w:p>
          <w:p w14:paraId="03E94E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rPr>
            </w:pPr>
          </w:p>
          <w:p w14:paraId="30BC757E">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3BAE729F">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5EA99B55">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204824CF">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50CD3848">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09678DF4">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1BA20C9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Times New Roman"/>
                <w:kern w:val="2"/>
                <w:sz w:val="24"/>
                <w:szCs w:val="24"/>
                <w:lang w:val="en-US" w:eastAsia="zh-CN" w:bidi="ar-SA"/>
              </w:rPr>
            </w:pPr>
          </w:p>
          <w:p w14:paraId="20ABA679">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kern w:val="2"/>
                <w:sz w:val="24"/>
                <w:szCs w:val="24"/>
                <w:lang w:val="en-US" w:eastAsia="zh-CN" w:bidi="ar-SA"/>
              </w:rPr>
            </w:pPr>
          </w:p>
        </w:tc>
      </w:tr>
    </w:tbl>
    <w:p w14:paraId="378D8C92">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F52F47">
      <w:pPr>
        <w:pStyle w:val="4"/>
        <w:bidi w:val="0"/>
        <w:jc w:val="center"/>
        <w:rPr>
          <w:rFonts w:hint="eastAsia"/>
          <w:color w:val="auto"/>
          <w:highlight w:val="none"/>
          <w:lang w:val="en-US" w:eastAsia="zh-CN"/>
        </w:rPr>
      </w:pPr>
      <w:bookmarkStart w:id="23" w:name="_Toc19026"/>
      <w:bookmarkStart w:id="24" w:name="_Toc15221"/>
      <w:bookmarkStart w:id="25" w:name="_Toc17067"/>
      <w:r>
        <w:rPr>
          <w:rFonts w:hint="eastAsia"/>
          <w:color w:val="auto"/>
          <w:highlight w:val="none"/>
          <w:lang w:val="en-US" w:eastAsia="zh-CN"/>
        </w:rPr>
        <w:t>六、生态环境保护措施监督检查清单</w:t>
      </w:r>
      <w:bookmarkEnd w:id="23"/>
      <w:bookmarkEnd w:id="24"/>
      <w:bookmarkEnd w:id="25"/>
    </w:p>
    <w:tbl>
      <w:tblPr>
        <w:tblStyle w:val="23"/>
        <w:tblW w:w="13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3934"/>
        <w:gridCol w:w="1271"/>
        <w:gridCol w:w="4478"/>
        <w:gridCol w:w="2936"/>
      </w:tblGrid>
      <w:tr w14:paraId="3288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Merge w:val="restart"/>
            <w:tcBorders>
              <w:tl2br w:val="single" w:color="auto" w:sz="4" w:space="0"/>
            </w:tcBorders>
          </w:tcPr>
          <w:p w14:paraId="2210E5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内容</w:t>
            </w:r>
          </w:p>
          <w:p w14:paraId="6586917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要素</w:t>
            </w:r>
          </w:p>
        </w:tc>
        <w:tc>
          <w:tcPr>
            <w:tcW w:w="5205" w:type="dxa"/>
            <w:gridSpan w:val="2"/>
            <w:vAlign w:val="center"/>
          </w:tcPr>
          <w:p w14:paraId="63CA43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施工期</w:t>
            </w:r>
          </w:p>
        </w:tc>
        <w:tc>
          <w:tcPr>
            <w:tcW w:w="7414" w:type="dxa"/>
            <w:gridSpan w:val="2"/>
            <w:vAlign w:val="center"/>
          </w:tcPr>
          <w:p w14:paraId="69BA1D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运营期</w:t>
            </w:r>
          </w:p>
        </w:tc>
      </w:tr>
      <w:tr w14:paraId="3779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Merge w:val="continue"/>
          </w:tcPr>
          <w:p w14:paraId="1C48C5E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vertAlign w:val="baseline"/>
              </w:rPr>
            </w:pPr>
          </w:p>
        </w:tc>
        <w:tc>
          <w:tcPr>
            <w:tcW w:w="3934" w:type="dxa"/>
            <w:vAlign w:val="center"/>
          </w:tcPr>
          <w:p w14:paraId="6BBBB2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环境保护措施</w:t>
            </w:r>
          </w:p>
        </w:tc>
        <w:tc>
          <w:tcPr>
            <w:tcW w:w="1271" w:type="dxa"/>
            <w:vAlign w:val="center"/>
          </w:tcPr>
          <w:p w14:paraId="62CB70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验收要求</w:t>
            </w:r>
          </w:p>
        </w:tc>
        <w:tc>
          <w:tcPr>
            <w:tcW w:w="4478" w:type="dxa"/>
            <w:vAlign w:val="center"/>
          </w:tcPr>
          <w:p w14:paraId="41DCD0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环境保护措施</w:t>
            </w:r>
          </w:p>
        </w:tc>
        <w:tc>
          <w:tcPr>
            <w:tcW w:w="2936" w:type="dxa"/>
            <w:vAlign w:val="center"/>
          </w:tcPr>
          <w:p w14:paraId="766E58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验收要求</w:t>
            </w:r>
          </w:p>
        </w:tc>
      </w:tr>
      <w:tr w14:paraId="2B60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67A03F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陆生生态</w:t>
            </w:r>
          </w:p>
        </w:tc>
        <w:tc>
          <w:tcPr>
            <w:tcW w:w="3934" w:type="dxa"/>
            <w:vAlign w:val="center"/>
          </w:tcPr>
          <w:p w14:paraId="0DE0F3A2">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①工程开挖采取</w:t>
            </w:r>
            <w:r>
              <w:rPr>
                <w:rFonts w:hint="default" w:ascii="Times New Roman" w:hAnsi="Times New Roman" w:eastAsia="宋体" w:cs="Times New Roman"/>
                <w:color w:val="000000"/>
                <w:kern w:val="0"/>
                <w:sz w:val="18"/>
                <w:szCs w:val="18"/>
                <w:lang w:val="en-US" w:eastAsia="zh-CN" w:bidi="ar"/>
              </w:rPr>
              <w:t>表土单独剥离、单独堆存</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并做好覆盖、拦挡等防护措施，待施工结束后用于植被恢复</w:t>
            </w:r>
            <w:r>
              <w:rPr>
                <w:rFonts w:hint="eastAsia" w:ascii="Times New Roman" w:hAnsi="Times New Roman" w:eastAsia="宋体" w:cs="Times New Roman"/>
                <w:color w:val="000000"/>
                <w:kern w:val="0"/>
                <w:sz w:val="18"/>
                <w:szCs w:val="18"/>
                <w:lang w:val="en-US" w:eastAsia="zh-CN" w:bidi="ar"/>
              </w:rPr>
              <w:t>，严禁随意堆放，并且及时利用弃土。②项目施工应尽量集中在征地范围内，同时优化施工时序，尽量避开雨季施工；土料随挖随运、随填随压，减少裸土的暴露时间，避免受降雨的直接冲刷。③施工期应先行建筑围墙和排水沟，减少噪声影响和地表径流侵蚀。④施工结束后，应及时进行绿化，植被应选用当地易成活的物种。⑤施工完成后及时做好施工迹地清理工作。⑥加强管理、教育，建设单位</w:t>
            </w:r>
            <w:r>
              <w:rPr>
                <w:rFonts w:hint="default" w:ascii="Times New Roman" w:hAnsi="Times New Roman" w:eastAsia="宋体" w:cs="Times New Roman"/>
                <w:color w:val="000000"/>
                <w:kern w:val="0"/>
                <w:sz w:val="18"/>
                <w:szCs w:val="18"/>
                <w:lang w:val="en-US" w:eastAsia="zh-CN" w:bidi="ar"/>
              </w:rPr>
              <w:t>应对施工人员进行环保宣传教育，提高施工人员的环境保护意识</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严禁捕猎、捕食野生动物和随意砍伐、践踏植被</w:t>
            </w:r>
            <w:r>
              <w:rPr>
                <w:rFonts w:hint="eastAsia" w:ascii="Times New Roman" w:hAnsi="Times New Roman" w:eastAsia="宋体" w:cs="Times New Roman"/>
                <w:color w:val="000000"/>
                <w:kern w:val="0"/>
                <w:sz w:val="18"/>
                <w:szCs w:val="18"/>
                <w:lang w:val="en-US" w:eastAsia="zh-CN" w:bidi="ar"/>
              </w:rPr>
              <w:t>。</w:t>
            </w:r>
          </w:p>
        </w:tc>
        <w:tc>
          <w:tcPr>
            <w:tcW w:w="1271" w:type="dxa"/>
            <w:vAlign w:val="center"/>
          </w:tcPr>
          <w:p w14:paraId="2E32E626">
            <w:pPr>
              <w:keepNext w:val="0"/>
              <w:keepLines w:val="0"/>
              <w:widowControl/>
              <w:suppressLineNumbers w:val="0"/>
              <w:jc w:val="both"/>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1.生态环境保护措施得到落实。</w:t>
            </w:r>
          </w:p>
          <w:p w14:paraId="20A4F46B">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2.施工场地迹地清理工作完成。</w:t>
            </w:r>
          </w:p>
        </w:tc>
        <w:tc>
          <w:tcPr>
            <w:tcW w:w="4478" w:type="dxa"/>
            <w:vAlign w:val="center"/>
          </w:tcPr>
          <w:p w14:paraId="3CD630CF">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①加强对工作人员的环保意识教育，做到爱护环境、保护植被。</w:t>
            </w:r>
          </w:p>
          <w:p w14:paraId="30C03DEB">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②建设单位应设置专门的生态环境监管机构，负责生态环境保护和生态环境恢复重建的监督管理工作。</w:t>
            </w:r>
          </w:p>
          <w:p w14:paraId="1C5D447A">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③施工结束后，应立即对破坏的植被进行恢复，施工临时用地应在工程内容结束后立即拆除并恢复，缩短工程施工的破坏时间，减少扰动土壤的裸露时间，从时间角度降低工程对环境的破坏程度。</w:t>
            </w:r>
          </w:p>
          <w:p w14:paraId="76F469E7">
            <w:pPr>
              <w:keepNext w:val="0"/>
              <w:keepLines w:val="0"/>
              <w:widowControl/>
              <w:suppressLineNumbers w:val="0"/>
              <w:jc w:val="both"/>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④路基边坡坡面采用</w:t>
            </w:r>
            <w:r>
              <w:rPr>
                <w:rFonts w:hint="eastAsia" w:ascii="Times New Roman" w:hAnsi="Times New Roman" w:eastAsia="宋体" w:cs="Times New Roman"/>
                <w:color w:val="000000"/>
                <w:kern w:val="0"/>
                <w:sz w:val="18"/>
                <w:szCs w:val="18"/>
                <w:lang w:val="en-US" w:eastAsia="zh-CN" w:bidi="ar"/>
              </w:rPr>
              <w:t>种植当地树种</w:t>
            </w:r>
            <w:r>
              <w:rPr>
                <w:rFonts w:hint="default" w:ascii="Times New Roman" w:hAnsi="Times New Roman" w:eastAsia="宋体" w:cs="Times New Roman"/>
                <w:color w:val="000000"/>
                <w:kern w:val="0"/>
                <w:sz w:val="18"/>
                <w:szCs w:val="18"/>
                <w:lang w:val="en-US" w:eastAsia="zh-CN" w:bidi="ar"/>
              </w:rPr>
              <w:t>的方式进行防护，路基防护可以加强路基的稳固性，以防暴雨天气，引发路堤坍塌，产生水土流失。</w:t>
            </w:r>
          </w:p>
        </w:tc>
        <w:tc>
          <w:tcPr>
            <w:tcW w:w="2936" w:type="dxa"/>
            <w:vAlign w:val="center"/>
          </w:tcPr>
          <w:p w14:paraId="7039174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落实绿化措施</w:t>
            </w:r>
          </w:p>
        </w:tc>
      </w:tr>
      <w:tr w14:paraId="74CF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7298E6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水生生态</w:t>
            </w:r>
          </w:p>
        </w:tc>
        <w:tc>
          <w:tcPr>
            <w:tcW w:w="3934" w:type="dxa"/>
            <w:vAlign w:val="center"/>
          </w:tcPr>
          <w:p w14:paraId="690D098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271" w:type="dxa"/>
            <w:vAlign w:val="center"/>
          </w:tcPr>
          <w:p w14:paraId="10B434D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4478" w:type="dxa"/>
            <w:vAlign w:val="center"/>
          </w:tcPr>
          <w:p w14:paraId="5FB39DFA">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w:t>
            </w:r>
          </w:p>
        </w:tc>
        <w:tc>
          <w:tcPr>
            <w:tcW w:w="2936" w:type="dxa"/>
            <w:vAlign w:val="center"/>
          </w:tcPr>
          <w:p w14:paraId="5F6D8AB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w:t>
            </w:r>
          </w:p>
        </w:tc>
      </w:tr>
      <w:tr w14:paraId="15E3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2BD188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地表水环境</w:t>
            </w:r>
          </w:p>
        </w:tc>
        <w:tc>
          <w:tcPr>
            <w:tcW w:w="3934" w:type="dxa"/>
            <w:vAlign w:val="center"/>
          </w:tcPr>
          <w:p w14:paraId="5F586EFD">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①施工废水经临时沉淀池澄清后回用于洒水抑尘，不外排；②施工人员生活污水设置临时沉淀池，收集沉淀后用于厂区洒水降尘，不外排；</w:t>
            </w:r>
            <w:r>
              <w:rPr>
                <w:rFonts w:hint="default" w:ascii="Times New Roman" w:hAnsi="Times New Roman" w:eastAsia="宋体" w:cs="Times New Roman"/>
                <w:color w:val="000000"/>
                <w:kern w:val="0"/>
                <w:sz w:val="18"/>
                <w:szCs w:val="18"/>
                <w:lang w:val="en-US" w:eastAsia="zh-CN" w:bidi="ar"/>
              </w:rPr>
              <w:t>③</w:t>
            </w:r>
            <w:r>
              <w:rPr>
                <w:rFonts w:hint="eastAsia" w:ascii="Times New Roman" w:hAnsi="Times New Roman" w:eastAsia="宋体" w:cs="Times New Roman"/>
                <w:color w:val="000000"/>
                <w:kern w:val="0"/>
                <w:sz w:val="18"/>
                <w:szCs w:val="18"/>
                <w:lang w:val="en-US" w:eastAsia="zh-CN" w:bidi="ar"/>
              </w:rPr>
              <w:t>地表径流设计收集池，收集后回用于设备清洗或洒水降尘，不外排。</w:t>
            </w:r>
          </w:p>
        </w:tc>
        <w:tc>
          <w:tcPr>
            <w:tcW w:w="1271" w:type="dxa"/>
            <w:vAlign w:val="center"/>
          </w:tcPr>
          <w:p w14:paraId="2FB2EA7E">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w:t>
            </w:r>
            <w:r>
              <w:rPr>
                <w:rFonts w:hint="eastAsia" w:ascii="Times New Roman" w:hAnsi="Times New Roman" w:eastAsia="宋体" w:cs="Times New Roman"/>
                <w:color w:val="000000"/>
                <w:kern w:val="0"/>
                <w:sz w:val="18"/>
                <w:szCs w:val="18"/>
                <w:lang w:val="en-US" w:eastAsia="zh-CN" w:bidi="ar"/>
              </w:rPr>
              <w:t>项目施工期间废水防治措施得到落实</w:t>
            </w:r>
            <w:r>
              <w:rPr>
                <w:rFonts w:hint="eastAsia" w:cs="Times New Roman"/>
                <w:color w:val="000000"/>
                <w:kern w:val="0"/>
                <w:sz w:val="18"/>
                <w:szCs w:val="18"/>
                <w:lang w:val="en-US" w:eastAsia="zh-CN" w:bidi="ar"/>
              </w:rPr>
              <w:t>，废水全部回用，不外排</w:t>
            </w:r>
            <w:r>
              <w:rPr>
                <w:rFonts w:hint="eastAsia" w:ascii="Times New Roman" w:hAnsi="Times New Roman" w:eastAsia="宋体" w:cs="Times New Roman"/>
                <w:color w:val="000000"/>
                <w:kern w:val="0"/>
                <w:sz w:val="18"/>
                <w:szCs w:val="18"/>
                <w:lang w:val="en-US" w:eastAsia="zh-CN" w:bidi="ar"/>
              </w:rPr>
              <w:t>。</w:t>
            </w:r>
          </w:p>
          <w:p w14:paraId="5EAD5E82">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2.施工期间无水污染事故发生。</w:t>
            </w:r>
          </w:p>
        </w:tc>
        <w:tc>
          <w:tcPr>
            <w:tcW w:w="4478" w:type="dxa"/>
            <w:vAlign w:val="center"/>
          </w:tcPr>
          <w:p w14:paraId="1EEF47E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生活污水</w:t>
            </w:r>
            <w:r>
              <w:rPr>
                <w:rFonts w:hint="eastAsia" w:cs="Times New Roman"/>
                <w:color w:val="000000"/>
                <w:kern w:val="0"/>
                <w:sz w:val="18"/>
                <w:szCs w:val="18"/>
                <w:lang w:val="en-US" w:eastAsia="zh-CN" w:bidi="ar"/>
              </w:rPr>
              <w:t>通过化粪池预处理后，排入新建的一体化污水处理设施</w:t>
            </w:r>
            <w:r>
              <w:rPr>
                <w:rFonts w:hint="default" w:ascii="Times New Roman" w:hAnsi="Times New Roman" w:eastAsia="宋体" w:cs="Times New Roman"/>
                <w:color w:val="000000"/>
                <w:kern w:val="0"/>
                <w:sz w:val="18"/>
                <w:szCs w:val="18"/>
                <w:lang w:val="en-US" w:eastAsia="zh-CN" w:bidi="ar"/>
              </w:rPr>
              <w:t>，处理能力为10m3/</w:t>
            </w:r>
            <w:r>
              <w:rPr>
                <w:rFonts w:hint="eastAsia" w:cs="Times New Roman"/>
                <w:color w:val="000000"/>
                <w:kern w:val="0"/>
                <w:sz w:val="18"/>
                <w:szCs w:val="18"/>
                <w:lang w:val="en-US" w:eastAsia="zh-CN" w:bidi="ar"/>
              </w:rPr>
              <w:t>d</w:t>
            </w:r>
            <w:r>
              <w:rPr>
                <w:rFonts w:hint="default" w:ascii="Times New Roman" w:hAnsi="Times New Roman" w:eastAsia="宋体" w:cs="Times New Roman"/>
                <w:color w:val="000000"/>
                <w:kern w:val="0"/>
                <w:sz w:val="18"/>
                <w:szCs w:val="18"/>
                <w:lang w:val="en-US" w:eastAsia="zh-CN" w:bidi="ar"/>
              </w:rPr>
              <w:t>，处理</w:t>
            </w:r>
            <w:r>
              <w:rPr>
                <w:rFonts w:hint="eastAsia" w:cs="Times New Roman"/>
                <w:color w:val="000000"/>
                <w:kern w:val="0"/>
                <w:sz w:val="18"/>
                <w:szCs w:val="18"/>
                <w:lang w:val="en-US" w:eastAsia="zh-CN" w:bidi="ar"/>
              </w:rPr>
              <w:t>达标</w:t>
            </w:r>
            <w:r>
              <w:rPr>
                <w:rFonts w:hint="default" w:ascii="Times New Roman" w:hAnsi="Times New Roman" w:eastAsia="宋体" w:cs="Times New Roman"/>
                <w:color w:val="000000"/>
                <w:kern w:val="0"/>
                <w:sz w:val="18"/>
                <w:szCs w:val="18"/>
                <w:lang w:val="en-US" w:eastAsia="zh-CN" w:bidi="ar"/>
              </w:rPr>
              <w:t>后回用于厂区绿化</w:t>
            </w:r>
            <w:r>
              <w:rPr>
                <w:rFonts w:hint="eastAsia" w:cs="Times New Roman"/>
                <w:color w:val="000000"/>
                <w:kern w:val="0"/>
                <w:sz w:val="18"/>
                <w:szCs w:val="18"/>
                <w:lang w:val="en-US" w:eastAsia="zh-CN" w:bidi="ar"/>
              </w:rPr>
              <w:t>或洒水降尘</w:t>
            </w:r>
            <w:r>
              <w:rPr>
                <w:rFonts w:hint="default" w:ascii="Times New Roman" w:hAnsi="Times New Roman" w:eastAsia="宋体" w:cs="Times New Roman"/>
                <w:color w:val="000000"/>
                <w:kern w:val="0"/>
                <w:sz w:val="18"/>
                <w:szCs w:val="18"/>
                <w:lang w:val="en-US" w:eastAsia="zh-CN" w:bidi="ar"/>
              </w:rPr>
              <w:t>，不外排</w:t>
            </w:r>
            <w:r>
              <w:rPr>
                <w:rFonts w:hint="eastAsia" w:ascii="Times New Roman" w:hAnsi="Times New Roman" w:eastAsia="宋体" w:cs="Times New Roman"/>
                <w:color w:val="000000"/>
                <w:kern w:val="0"/>
                <w:sz w:val="18"/>
                <w:szCs w:val="18"/>
                <w:lang w:val="en-US" w:eastAsia="zh-CN" w:bidi="ar"/>
              </w:rPr>
              <w:t>；站场初期雨水</w:t>
            </w:r>
            <w:r>
              <w:rPr>
                <w:rFonts w:hint="default" w:ascii="Times New Roman" w:hAnsi="Times New Roman" w:eastAsia="宋体" w:cs="Times New Roman"/>
                <w:color w:val="000000"/>
                <w:kern w:val="0"/>
                <w:sz w:val="18"/>
                <w:szCs w:val="18"/>
                <w:lang w:val="en-US" w:eastAsia="zh-CN" w:bidi="ar"/>
              </w:rPr>
              <w:t>经过收集</w:t>
            </w:r>
            <w:r>
              <w:rPr>
                <w:rFonts w:hint="eastAsia" w:eastAsia="宋体" w:cs="Times New Roman"/>
                <w:color w:val="000000"/>
                <w:kern w:val="0"/>
                <w:sz w:val="18"/>
                <w:szCs w:val="18"/>
                <w:lang w:val="en-US" w:eastAsia="zh-CN" w:bidi="ar"/>
              </w:rPr>
              <w:t>沉淀后回用于场地洒水降尘</w:t>
            </w:r>
            <w:r>
              <w:rPr>
                <w:rFonts w:hint="default" w:ascii="Times New Roman" w:hAnsi="Times New Roman" w:eastAsia="宋体" w:cs="Times New Roman"/>
                <w:color w:val="000000"/>
                <w:kern w:val="0"/>
                <w:sz w:val="18"/>
                <w:szCs w:val="18"/>
                <w:lang w:val="en-US" w:eastAsia="zh-CN" w:bidi="ar"/>
              </w:rPr>
              <w:t>，不外排。</w:t>
            </w:r>
          </w:p>
        </w:tc>
        <w:tc>
          <w:tcPr>
            <w:tcW w:w="2936" w:type="dxa"/>
            <w:vAlign w:val="center"/>
          </w:tcPr>
          <w:p w14:paraId="04B20085">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cs="Times New Roman"/>
                <w:sz w:val="18"/>
                <w:szCs w:val="18"/>
                <w:vertAlign w:val="baseline"/>
                <w:lang w:val="en-US" w:eastAsia="zh-CN"/>
              </w:rPr>
              <w:t>处理后达《城市污水再生利用城市杂用水水质》（</w:t>
            </w:r>
            <w:r>
              <w:rPr>
                <w:rFonts w:hint="default" w:ascii="Times New Roman" w:hAnsi="Times New Roman" w:cs="Times New Roman"/>
                <w:sz w:val="18"/>
                <w:szCs w:val="18"/>
                <w:vertAlign w:val="baseline"/>
                <w:lang w:val="en-US" w:eastAsia="zh-CN"/>
              </w:rPr>
              <w:t>GB/T18920-2020</w:t>
            </w:r>
            <w:r>
              <w:rPr>
                <w:rFonts w:hint="eastAsia" w:ascii="Times New Roman" w:hAnsi="Times New Roman" w:cs="Times New Roman"/>
                <w:sz w:val="18"/>
                <w:szCs w:val="18"/>
                <w:vertAlign w:val="baseline"/>
                <w:lang w:val="en-US" w:eastAsia="zh-CN"/>
              </w:rPr>
              <w:t>）</w:t>
            </w:r>
            <w:r>
              <w:rPr>
                <w:rFonts w:hint="eastAsia" w:cs="Times New Roman"/>
                <w:sz w:val="18"/>
                <w:szCs w:val="18"/>
                <w:vertAlign w:val="baseline"/>
                <w:lang w:val="en-US" w:eastAsia="zh-CN"/>
              </w:rPr>
              <w:t>标准回用于厂区绿化，不外排。</w:t>
            </w:r>
          </w:p>
        </w:tc>
      </w:tr>
      <w:tr w14:paraId="6CF6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17C1D7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地下水及土壤环境</w:t>
            </w:r>
          </w:p>
        </w:tc>
        <w:tc>
          <w:tcPr>
            <w:tcW w:w="3934" w:type="dxa"/>
            <w:vAlign w:val="center"/>
          </w:tcPr>
          <w:p w14:paraId="2B0DA84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w:t>
            </w:r>
          </w:p>
        </w:tc>
        <w:tc>
          <w:tcPr>
            <w:tcW w:w="1271" w:type="dxa"/>
            <w:vAlign w:val="center"/>
          </w:tcPr>
          <w:p w14:paraId="4A973AC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w:t>
            </w:r>
          </w:p>
        </w:tc>
        <w:tc>
          <w:tcPr>
            <w:tcW w:w="4478" w:type="dxa"/>
            <w:vAlign w:val="center"/>
          </w:tcPr>
          <w:p w14:paraId="0D8B75F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2936" w:type="dxa"/>
            <w:vAlign w:val="center"/>
          </w:tcPr>
          <w:p w14:paraId="3548274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r>
      <w:tr w14:paraId="1066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250739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声环境</w:t>
            </w:r>
          </w:p>
        </w:tc>
        <w:tc>
          <w:tcPr>
            <w:tcW w:w="3934" w:type="dxa"/>
            <w:vAlign w:val="center"/>
          </w:tcPr>
          <w:p w14:paraId="0195D42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①合理安排施工场地，施工场地尽量远离居民区等敏感点；施工场界内合理安排施工机械，噪声大的施工机械布置在远离居民区等敏感点的一侧；</w:t>
            </w:r>
            <w:r>
              <w:rPr>
                <w:rFonts w:hint="eastAsia" w:ascii="Times New Roman" w:hAnsi="Times New Roman" w:eastAsia="宋体" w:cs="Times New Roman"/>
                <w:color w:val="000000"/>
                <w:kern w:val="0"/>
                <w:sz w:val="18"/>
                <w:szCs w:val="18"/>
                <w:lang w:val="en-US" w:eastAsia="zh-CN" w:bidi="ar"/>
              </w:rPr>
              <w:t>②</w:t>
            </w:r>
            <w:r>
              <w:rPr>
                <w:rFonts w:hint="default" w:ascii="Times New Roman" w:hAnsi="Times New Roman" w:eastAsia="宋体" w:cs="Times New Roman"/>
                <w:color w:val="000000"/>
                <w:kern w:val="0"/>
                <w:sz w:val="18"/>
                <w:szCs w:val="18"/>
                <w:lang w:val="en-US" w:eastAsia="zh-CN" w:bidi="ar"/>
              </w:rPr>
              <w:t>合理安排作业时间，噪声大的作业尽量安排在白天，夜间禁止打桩；</w:t>
            </w:r>
            <w:r>
              <w:rPr>
                <w:rFonts w:hint="eastAsia" w:ascii="Times New Roman" w:hAnsi="Times New Roman" w:eastAsia="宋体" w:cs="Times New Roman"/>
                <w:color w:val="000000"/>
                <w:kern w:val="0"/>
                <w:sz w:val="18"/>
                <w:szCs w:val="18"/>
                <w:lang w:val="en-US" w:eastAsia="zh-CN" w:bidi="ar"/>
              </w:rPr>
              <w:t>确需</w:t>
            </w:r>
            <w:r>
              <w:rPr>
                <w:rFonts w:hint="default" w:ascii="Times New Roman" w:hAnsi="Times New Roman" w:eastAsia="宋体" w:cs="Times New Roman"/>
                <w:color w:val="000000"/>
                <w:kern w:val="0"/>
                <w:sz w:val="18"/>
                <w:szCs w:val="18"/>
                <w:lang w:val="en-US" w:eastAsia="zh-CN" w:bidi="ar"/>
              </w:rPr>
              <w:t>夜间施工作业的</w:t>
            </w:r>
            <w:r>
              <w:rPr>
                <w:rFonts w:hint="eastAsia" w:ascii="Times New Roman" w:hAnsi="Times New Roman" w:eastAsia="宋体" w:cs="Times New Roman"/>
                <w:color w:val="000000"/>
                <w:kern w:val="0"/>
                <w:sz w:val="18"/>
                <w:szCs w:val="18"/>
                <w:lang w:val="en-US" w:eastAsia="zh-CN" w:bidi="ar"/>
              </w:rPr>
              <w:t>，应在周边关心点</w:t>
            </w:r>
            <w:r>
              <w:rPr>
                <w:rFonts w:hint="default" w:ascii="Times New Roman" w:hAnsi="Times New Roman" w:eastAsia="宋体" w:cs="Times New Roman"/>
                <w:color w:val="000000"/>
                <w:kern w:val="0"/>
                <w:sz w:val="18"/>
                <w:szCs w:val="18"/>
                <w:lang w:val="en-US" w:eastAsia="zh-CN" w:bidi="ar"/>
              </w:rPr>
              <w:t>张贴施工告示</w:t>
            </w:r>
            <w:r>
              <w:rPr>
                <w:rFonts w:hint="eastAsia" w:ascii="Times New Roman" w:hAnsi="Times New Roman" w:eastAsia="宋体" w:cs="Times New Roman"/>
                <w:color w:val="000000"/>
                <w:kern w:val="0"/>
                <w:sz w:val="18"/>
                <w:szCs w:val="18"/>
                <w:lang w:val="en-US" w:eastAsia="zh-CN" w:bidi="ar"/>
              </w:rPr>
              <w:t>，并到相关部门备案</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Times New Roman"/>
                <w:color w:val="000000"/>
                <w:kern w:val="0"/>
                <w:sz w:val="18"/>
                <w:szCs w:val="18"/>
                <w:lang w:val="en-US" w:eastAsia="zh-CN" w:bidi="ar"/>
              </w:rPr>
              <w:t>并</w:t>
            </w:r>
            <w:r>
              <w:rPr>
                <w:rFonts w:hint="default" w:ascii="Times New Roman" w:hAnsi="Times New Roman" w:eastAsia="宋体" w:cs="Times New Roman"/>
                <w:color w:val="000000"/>
                <w:kern w:val="0"/>
                <w:sz w:val="18"/>
                <w:szCs w:val="18"/>
                <w:lang w:val="en-US" w:eastAsia="zh-CN" w:bidi="ar"/>
              </w:rPr>
              <w:t>采取措施，最大限度减少施工噪声。</w:t>
            </w:r>
            <w:r>
              <w:rPr>
                <w:rFonts w:hint="eastAsia" w:ascii="Times New Roman" w:hAnsi="Times New Roman" w:eastAsia="宋体" w:cs="Times New Roman"/>
                <w:color w:val="000000"/>
                <w:kern w:val="0"/>
                <w:sz w:val="18"/>
                <w:szCs w:val="18"/>
                <w:lang w:val="en-US" w:eastAsia="zh-CN" w:bidi="ar"/>
              </w:rPr>
              <w:t>③加强管理，</w:t>
            </w:r>
            <w:r>
              <w:rPr>
                <w:rFonts w:hint="default" w:ascii="Times New Roman" w:hAnsi="Times New Roman" w:eastAsia="宋体" w:cs="Times New Roman"/>
                <w:color w:val="000000"/>
                <w:kern w:val="0"/>
                <w:sz w:val="18"/>
                <w:szCs w:val="18"/>
                <w:lang w:val="en-US" w:eastAsia="zh-CN" w:bidi="ar"/>
              </w:rPr>
              <w:t>对人为的施工噪声应有管理制度和降噪措施，并进行严格控制。承担夜间材料运输的车辆，进入施工现场严禁鸣笛，装卸材料应做到轻拿轻放，减少噪声扰民；④合理规划施工便道和载重车辆走行时间，尽量不穿村或远离村庄，减小运输噪声对居民的影响；</w:t>
            </w:r>
            <w:r>
              <w:rPr>
                <w:rFonts w:hint="eastAsia" w:ascii="Times New Roman" w:hAnsi="Times New Roman" w:eastAsia="宋体" w:cs="Times New Roman"/>
                <w:color w:val="000000"/>
                <w:kern w:val="0"/>
                <w:sz w:val="18"/>
                <w:szCs w:val="18"/>
                <w:lang w:val="en-US" w:eastAsia="zh-CN" w:bidi="ar"/>
              </w:rPr>
              <w:t>⑤</w:t>
            </w:r>
            <w:r>
              <w:rPr>
                <w:rFonts w:hint="default" w:ascii="Times New Roman" w:hAnsi="Times New Roman" w:eastAsia="宋体" w:cs="Times New Roman"/>
                <w:color w:val="000000"/>
                <w:kern w:val="0"/>
                <w:sz w:val="18"/>
                <w:szCs w:val="18"/>
                <w:lang w:val="en-US" w:eastAsia="zh-CN" w:bidi="ar"/>
              </w:rPr>
              <w:t>做好宣传工作，倡导科学管理和文明施工，降低人为因素造成的噪声污染；</w:t>
            </w:r>
            <w:r>
              <w:rPr>
                <w:rFonts w:hint="eastAsia" w:ascii="Times New Roman" w:hAnsi="Times New Roman" w:eastAsia="宋体" w:cs="Times New Roman"/>
                <w:color w:val="000000"/>
                <w:kern w:val="0"/>
                <w:sz w:val="18"/>
                <w:szCs w:val="18"/>
                <w:lang w:val="en-US" w:eastAsia="zh-CN" w:bidi="ar"/>
              </w:rPr>
              <w:t>⑥选用低噪声的施工机械及施工工艺，加强施工机械的保养，降低噪声；⑦施工场地四周设置临时隔声声障（如设置临时围墙等）；对位置相对固定的机械设备，能于棚内操作的尽量入操作间</w:t>
            </w:r>
            <w:r>
              <w:rPr>
                <w:rFonts w:hint="default" w:ascii="Times New Roman" w:hAnsi="Times New Roman" w:eastAsia="宋体" w:cs="Times New Roman"/>
                <w:color w:val="000000"/>
                <w:kern w:val="0"/>
                <w:sz w:val="18"/>
                <w:szCs w:val="18"/>
                <w:lang w:val="en-US" w:eastAsia="zh-CN" w:bidi="ar"/>
              </w:rPr>
              <w:t>。</w:t>
            </w:r>
          </w:p>
          <w:p w14:paraId="18D3ED3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p>
        </w:tc>
        <w:tc>
          <w:tcPr>
            <w:tcW w:w="1271" w:type="dxa"/>
            <w:vAlign w:val="center"/>
          </w:tcPr>
          <w:p w14:paraId="199CC3C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满足</w:t>
            </w:r>
            <w:r>
              <w:rPr>
                <w:rFonts w:hint="eastAsia" w:ascii="Times New Roman" w:hAnsi="Times New Roman" w:eastAsia="宋体" w:cs="Times New Roman"/>
                <w:color w:val="000000"/>
                <w:kern w:val="0"/>
                <w:sz w:val="18"/>
                <w:szCs w:val="18"/>
                <w:lang w:val="en-US" w:eastAsia="zh-CN" w:bidi="ar"/>
              </w:rPr>
              <w:t>《建筑施工厂界环境噪声排放标准》</w:t>
            </w:r>
            <w:r>
              <w:rPr>
                <w:rFonts w:hint="eastAsia" w:cs="Times New Roman"/>
                <w:color w:val="000000"/>
                <w:kern w:val="0"/>
                <w:sz w:val="18"/>
                <w:szCs w:val="18"/>
                <w:lang w:val="en-US" w:eastAsia="zh-CN" w:bidi="ar"/>
              </w:rPr>
              <w:t>限值要求</w:t>
            </w:r>
          </w:p>
        </w:tc>
        <w:tc>
          <w:tcPr>
            <w:tcW w:w="4478" w:type="dxa"/>
            <w:vAlign w:val="center"/>
          </w:tcPr>
          <w:p w14:paraId="0BCEA11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①选用低噪声车辆及轨道结构，从声源上控制铁路噪声污染；②优化运输计划，加强日常运营管理；</w:t>
            </w:r>
            <w:r>
              <w:rPr>
                <w:rFonts w:hint="default" w:ascii="Times New Roman" w:hAnsi="Times New Roman" w:eastAsia="宋体" w:cs="Times New Roman"/>
                <w:color w:val="000000"/>
                <w:kern w:val="0"/>
                <w:sz w:val="18"/>
                <w:szCs w:val="18"/>
                <w:lang w:val="en-US" w:eastAsia="zh-CN" w:bidi="ar"/>
              </w:rPr>
              <w:t>③</w:t>
            </w:r>
            <w:r>
              <w:rPr>
                <w:rFonts w:hint="eastAsia" w:ascii="Times New Roman" w:hAnsi="Times New Roman" w:eastAsia="宋体" w:cs="Times New Roman"/>
                <w:color w:val="000000"/>
                <w:kern w:val="0"/>
                <w:sz w:val="18"/>
                <w:szCs w:val="18"/>
                <w:lang w:val="en-US" w:eastAsia="zh-CN" w:bidi="ar"/>
              </w:rPr>
              <w:t>加强监测，运营期对铁路边界</w:t>
            </w:r>
            <w:r>
              <w:rPr>
                <w:rFonts w:hint="default" w:ascii="Times New Roman" w:hAnsi="Times New Roman" w:eastAsia="宋体" w:cs="Times New Roman"/>
                <w:color w:val="000000"/>
                <w:kern w:val="0"/>
                <w:sz w:val="18"/>
                <w:szCs w:val="18"/>
                <w:lang w:val="en-US" w:eastAsia="zh-CN" w:bidi="ar"/>
              </w:rPr>
              <w:t>30m</w:t>
            </w:r>
            <w:r>
              <w:rPr>
                <w:rFonts w:hint="eastAsia" w:ascii="Times New Roman" w:hAnsi="Times New Roman" w:eastAsia="宋体" w:cs="Times New Roman"/>
                <w:color w:val="000000"/>
                <w:kern w:val="0"/>
                <w:sz w:val="18"/>
                <w:szCs w:val="18"/>
                <w:lang w:val="en-US" w:eastAsia="zh-CN" w:bidi="ar"/>
              </w:rPr>
              <w:t>处及各段受铁路噪声影响较大的敏感点实施噪声跟踪监测；④加强监管，禁止在铁路中心线距离</w:t>
            </w:r>
            <w:r>
              <w:rPr>
                <w:rFonts w:hint="default" w:ascii="Times New Roman" w:hAnsi="Times New Roman" w:eastAsia="宋体" w:cs="Times New Roman"/>
                <w:color w:val="000000"/>
                <w:kern w:val="0"/>
                <w:sz w:val="18"/>
                <w:szCs w:val="18"/>
                <w:lang w:val="en-US" w:eastAsia="zh-CN" w:bidi="ar"/>
              </w:rPr>
              <w:t>50m</w:t>
            </w:r>
            <w:r>
              <w:rPr>
                <w:rFonts w:hint="eastAsia" w:ascii="Times New Roman" w:hAnsi="Times New Roman" w:eastAsia="宋体" w:cs="Times New Roman"/>
                <w:color w:val="000000"/>
                <w:kern w:val="0"/>
                <w:sz w:val="18"/>
                <w:szCs w:val="18"/>
                <w:lang w:val="en-US" w:eastAsia="zh-CN" w:bidi="ar"/>
              </w:rPr>
              <w:t>范围内划建设医院、学校、居民区等对噪声敏感的建筑物；⑤采取定期检查与养护轨道、控制列车速度及禁止鸣笛等措施。</w:t>
            </w:r>
          </w:p>
        </w:tc>
        <w:tc>
          <w:tcPr>
            <w:tcW w:w="2936" w:type="dxa"/>
            <w:vAlign w:val="center"/>
          </w:tcPr>
          <w:p w14:paraId="146E7082">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1.站场满足《工业企业厂界环境噪声排放标准》（GB12348-2008）3类限值要求；</w:t>
            </w:r>
          </w:p>
          <w:p w14:paraId="2E2D8A50">
            <w:pPr>
              <w:keepNext w:val="0"/>
              <w:keepLines w:val="0"/>
              <w:widowControl/>
              <w:suppressLineNumbers w:val="0"/>
              <w:ind w:left="0" w:leftChars="0" w:right="0" w:rightChars="0" w:firstLine="0" w:firstLineChars="0"/>
              <w:jc w:val="center"/>
              <w:rPr>
                <w:rFonts w:hint="default"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2.铁路外侧轨道中心线</w:t>
            </w:r>
            <w:r>
              <w:rPr>
                <w:rFonts w:hint="default" w:ascii="Times New Roman" w:hAnsi="Times New Roman" w:eastAsia="宋体" w:cs="Times New Roman"/>
                <w:color w:val="000000"/>
                <w:kern w:val="0"/>
                <w:sz w:val="18"/>
                <w:szCs w:val="18"/>
                <w:lang w:val="en-US" w:eastAsia="zh-CN" w:bidi="ar"/>
              </w:rPr>
              <w:t>30m</w:t>
            </w:r>
            <w:r>
              <w:rPr>
                <w:rFonts w:hint="eastAsia" w:ascii="Times New Roman" w:hAnsi="Times New Roman" w:eastAsia="宋体" w:cs="Times New Roman"/>
                <w:color w:val="000000"/>
                <w:kern w:val="0"/>
                <w:sz w:val="18"/>
                <w:szCs w:val="18"/>
                <w:lang w:val="en-US" w:eastAsia="zh-CN" w:bidi="ar"/>
              </w:rPr>
              <w:t>处满足《铁路边界噪声限值及其测量方法》（GB12525-90）及2008年修改方案要求。</w:t>
            </w:r>
          </w:p>
        </w:tc>
      </w:tr>
      <w:tr w14:paraId="3247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4C3B90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振动</w:t>
            </w:r>
          </w:p>
        </w:tc>
        <w:tc>
          <w:tcPr>
            <w:tcW w:w="3934" w:type="dxa"/>
            <w:vAlign w:val="center"/>
          </w:tcPr>
          <w:p w14:paraId="098B3049">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1271" w:type="dxa"/>
            <w:vAlign w:val="center"/>
          </w:tcPr>
          <w:p w14:paraId="605912B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4478" w:type="dxa"/>
            <w:vAlign w:val="center"/>
          </w:tcPr>
          <w:p w14:paraId="510E5733">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定期对钢轨进行打磨等，保持钢轨顶面平顺、光滑；对车轮定期进行铣、镟，减少车轮与钢轨撞击出现扁疤等。可使各项设备处于良好的工作状态，有效地增大振动传播途径的阻力，增强振动传播过程的阻尼作用，降低受振点振级值。</w:t>
            </w:r>
          </w:p>
        </w:tc>
        <w:tc>
          <w:tcPr>
            <w:tcW w:w="2936" w:type="dxa"/>
            <w:vAlign w:val="center"/>
          </w:tcPr>
          <w:p w14:paraId="4934F2B1">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满足《城</w:t>
            </w:r>
            <w:r>
              <w:rPr>
                <w:rFonts w:hint="default" w:ascii="Times New Roman" w:hAnsi="Times New Roman" w:eastAsia="宋体" w:cs="Times New Roman"/>
                <w:color w:val="000000"/>
                <w:kern w:val="0"/>
                <w:sz w:val="18"/>
                <w:szCs w:val="18"/>
                <w:lang w:val="en-US" w:eastAsia="zh-CN" w:bidi="ar"/>
              </w:rPr>
              <w:t>市区域环境振动标准》（GB10070-88）中工业集中区标准</w:t>
            </w:r>
          </w:p>
        </w:tc>
      </w:tr>
      <w:tr w14:paraId="68F7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0D3264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大气环境</w:t>
            </w:r>
          </w:p>
        </w:tc>
        <w:tc>
          <w:tcPr>
            <w:tcW w:w="3934" w:type="dxa"/>
            <w:vAlign w:val="center"/>
          </w:tcPr>
          <w:p w14:paraId="73E6A350">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①施工期在厂界四周设置</w:t>
            </w:r>
            <w:r>
              <w:rPr>
                <w:rFonts w:hint="eastAsia" w:ascii="Times New Roman" w:hAnsi="Times New Roman" w:eastAsia="宋体" w:cs="Times New Roman"/>
                <w:color w:val="000000"/>
                <w:kern w:val="0"/>
                <w:sz w:val="18"/>
                <w:szCs w:val="18"/>
                <w:lang w:val="en-US" w:eastAsia="zh-CN" w:bidi="ar"/>
              </w:rPr>
              <w:t>不低于</w:t>
            </w:r>
            <w:r>
              <w:rPr>
                <w:rFonts w:hint="default" w:ascii="Times New Roman" w:hAnsi="Times New Roman" w:eastAsia="宋体" w:cs="Times New Roman"/>
                <w:color w:val="000000"/>
                <w:kern w:val="0"/>
                <w:sz w:val="18"/>
                <w:szCs w:val="18"/>
                <w:lang w:val="en-US" w:eastAsia="zh-CN" w:bidi="ar"/>
              </w:rPr>
              <w:t>2.5m围挡，实行围挡封闭施工</w:t>
            </w:r>
            <w:r>
              <w:rPr>
                <w:rFonts w:hint="eastAsia" w:ascii="Times New Roman" w:hAnsi="Times New Roman" w:eastAsia="宋体" w:cs="Times New Roman"/>
                <w:color w:val="000000"/>
                <w:kern w:val="0"/>
                <w:sz w:val="18"/>
                <w:szCs w:val="18"/>
                <w:lang w:val="en-US" w:eastAsia="zh-CN" w:bidi="ar"/>
              </w:rPr>
              <w:t>；②加强</w:t>
            </w:r>
            <w:r>
              <w:rPr>
                <w:rFonts w:hint="default" w:ascii="Times New Roman" w:hAnsi="Times New Roman" w:eastAsia="宋体" w:cs="Times New Roman"/>
                <w:color w:val="000000"/>
                <w:kern w:val="0"/>
                <w:sz w:val="18"/>
                <w:szCs w:val="18"/>
                <w:lang w:val="en-US" w:eastAsia="zh-CN" w:bidi="ar"/>
              </w:rPr>
              <w:t>运输车辆</w:t>
            </w:r>
            <w:r>
              <w:rPr>
                <w:rFonts w:hint="eastAsia" w:ascii="Times New Roman" w:hAnsi="Times New Roman" w:eastAsia="宋体" w:cs="Times New Roman"/>
                <w:color w:val="000000"/>
                <w:kern w:val="0"/>
                <w:sz w:val="18"/>
                <w:szCs w:val="18"/>
                <w:lang w:val="en-US" w:eastAsia="zh-CN" w:bidi="ar"/>
              </w:rPr>
              <w:t>管理，</w:t>
            </w:r>
            <w:r>
              <w:rPr>
                <w:rFonts w:hint="default" w:ascii="Times New Roman" w:hAnsi="Times New Roman" w:eastAsia="宋体" w:cs="Times New Roman"/>
                <w:color w:val="000000"/>
                <w:kern w:val="0"/>
                <w:sz w:val="18"/>
                <w:szCs w:val="18"/>
                <w:lang w:val="en-US" w:eastAsia="zh-CN" w:bidi="ar"/>
              </w:rPr>
              <w:t>建筑材料运输应采取封闭运输方式</w:t>
            </w:r>
            <w:r>
              <w:rPr>
                <w:rFonts w:hint="eastAsia" w:ascii="Times New Roman" w:hAnsi="Times New Roman" w:eastAsia="宋体" w:cs="Times New Roman"/>
                <w:color w:val="000000"/>
                <w:kern w:val="0"/>
                <w:sz w:val="18"/>
                <w:szCs w:val="18"/>
                <w:lang w:val="en-US" w:eastAsia="zh-CN" w:bidi="ar"/>
              </w:rPr>
              <w:t>或</w:t>
            </w:r>
            <w:r>
              <w:rPr>
                <w:rFonts w:hint="default" w:ascii="Times New Roman" w:hAnsi="Times New Roman" w:eastAsia="宋体" w:cs="Times New Roman"/>
                <w:color w:val="000000"/>
                <w:kern w:val="0"/>
                <w:sz w:val="18"/>
                <w:szCs w:val="18"/>
                <w:lang w:val="en-US" w:eastAsia="zh-CN" w:bidi="ar"/>
              </w:rPr>
              <w:t>车辆应覆盖蓬布</w:t>
            </w:r>
            <w:r>
              <w:rPr>
                <w:rFonts w:hint="eastAsia" w:ascii="Times New Roman" w:hAnsi="Times New Roman" w:eastAsia="宋体" w:cs="Times New Roman"/>
                <w:color w:val="000000"/>
                <w:kern w:val="0"/>
                <w:sz w:val="18"/>
                <w:szCs w:val="18"/>
                <w:lang w:val="en-US" w:eastAsia="zh-CN" w:bidi="ar"/>
              </w:rPr>
              <w:t>，保持车身清洁，防止</w:t>
            </w:r>
            <w:r>
              <w:rPr>
                <w:rFonts w:hint="default" w:ascii="Times New Roman" w:hAnsi="Times New Roman" w:eastAsia="宋体" w:cs="Times New Roman"/>
                <w:color w:val="000000"/>
                <w:kern w:val="0"/>
                <w:sz w:val="18"/>
                <w:szCs w:val="18"/>
                <w:lang w:val="en-US" w:eastAsia="zh-CN" w:bidi="ar"/>
              </w:rPr>
              <w:t>二次扬尘污染</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限制车速，严禁超高、超载运输</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对运输频率较高、较固定的线路采用洒水进行降尘处理</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③在严重扬尘</w:t>
            </w:r>
            <w:r>
              <w:rPr>
                <w:rFonts w:hint="eastAsia" w:ascii="Times New Roman" w:hAnsi="Times New Roman" w:eastAsia="宋体" w:cs="Times New Roman"/>
                <w:color w:val="000000"/>
                <w:kern w:val="0"/>
                <w:sz w:val="18"/>
                <w:szCs w:val="18"/>
                <w:lang w:val="en-US" w:eastAsia="zh-CN" w:bidi="ar"/>
              </w:rPr>
              <w:t>施工</w:t>
            </w:r>
            <w:r>
              <w:rPr>
                <w:rFonts w:hint="default" w:ascii="Times New Roman" w:hAnsi="Times New Roman" w:eastAsia="宋体" w:cs="Times New Roman"/>
                <w:color w:val="000000"/>
                <w:kern w:val="0"/>
                <w:sz w:val="18"/>
                <w:szCs w:val="18"/>
                <w:lang w:val="en-US" w:eastAsia="zh-CN" w:bidi="ar"/>
              </w:rPr>
              <w:t>点，采用水枪定期洒水降尘</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施工场地需适时洒水抑尘，大风或干燥天气应适当增加洒水次数</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④工地出入口设置车辆冲洗设施，运输车辆必须冲洗后出场</w:t>
            </w:r>
            <w:r>
              <w:rPr>
                <w:rFonts w:hint="eastAsia" w:ascii="Times New Roman" w:hAnsi="Times New Roman" w:eastAsia="宋体" w:cs="Times New Roman"/>
                <w:color w:val="000000"/>
                <w:kern w:val="0"/>
                <w:sz w:val="18"/>
                <w:szCs w:val="18"/>
                <w:lang w:val="en-US" w:eastAsia="zh-CN" w:bidi="ar"/>
              </w:rPr>
              <w:t>；⑤</w:t>
            </w:r>
            <w:r>
              <w:rPr>
                <w:rFonts w:hint="default" w:ascii="Times New Roman" w:hAnsi="Times New Roman" w:eastAsia="宋体" w:cs="Times New Roman"/>
                <w:color w:val="000000"/>
                <w:kern w:val="0"/>
                <w:sz w:val="18"/>
                <w:szCs w:val="18"/>
                <w:lang w:val="en-US" w:eastAsia="zh-CN" w:bidi="ar"/>
              </w:rPr>
              <w:t>施工场地粉</w:t>
            </w:r>
            <w:r>
              <w:rPr>
                <w:rFonts w:hint="eastAsia" w:ascii="Times New Roman" w:hAnsi="Times New Roman" w:eastAsia="宋体" w:cs="Times New Roman"/>
                <w:color w:val="000000"/>
                <w:kern w:val="0"/>
                <w:sz w:val="18"/>
                <w:szCs w:val="18"/>
                <w:lang w:val="en-US" w:eastAsia="zh-CN" w:bidi="ar"/>
              </w:rPr>
              <w:t>（粒）</w:t>
            </w:r>
            <w:r>
              <w:rPr>
                <w:rFonts w:hint="default" w:ascii="Times New Roman" w:hAnsi="Times New Roman" w:eastAsia="宋体" w:cs="Times New Roman"/>
                <w:color w:val="000000"/>
                <w:kern w:val="0"/>
                <w:sz w:val="18"/>
                <w:szCs w:val="18"/>
                <w:lang w:val="en-US" w:eastAsia="zh-CN" w:bidi="ar"/>
              </w:rPr>
              <w:t>状料堆应尽量选在避风处，对其进行遮盖，防止大量扬尘产生</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粉状物料装卸时禁止凌空抛洒</w:t>
            </w:r>
            <w:r>
              <w:rPr>
                <w:rFonts w:hint="eastAsia" w:ascii="Times New Roman" w:hAnsi="Times New Roman" w:eastAsia="宋体" w:cs="Times New Roman"/>
                <w:color w:val="000000"/>
                <w:kern w:val="0"/>
                <w:sz w:val="18"/>
                <w:szCs w:val="18"/>
                <w:lang w:val="en-US" w:eastAsia="zh-CN" w:bidi="ar"/>
              </w:rPr>
              <w:t>。⑥</w:t>
            </w:r>
            <w:r>
              <w:rPr>
                <w:rFonts w:hint="default" w:ascii="Times New Roman" w:hAnsi="Times New Roman" w:eastAsia="宋体" w:cs="Times New Roman"/>
                <w:color w:val="000000"/>
                <w:kern w:val="0"/>
                <w:sz w:val="18"/>
                <w:szCs w:val="18"/>
                <w:lang w:val="en-US" w:eastAsia="zh-CN" w:bidi="ar"/>
              </w:rPr>
              <w:t>加强施工现场扬尘控制。严禁从建筑物高处向下倾倒建筑垃圾</w:t>
            </w:r>
            <w:r>
              <w:rPr>
                <w:rFonts w:hint="eastAsia" w:ascii="Times New Roman" w:hAnsi="Times New Roman" w:eastAsia="宋体" w:cs="Times New Roman"/>
                <w:color w:val="000000"/>
                <w:kern w:val="0"/>
                <w:sz w:val="18"/>
                <w:szCs w:val="18"/>
                <w:lang w:val="en-US" w:eastAsia="zh-CN" w:bidi="ar"/>
              </w:rPr>
              <w:t>；⑦</w:t>
            </w:r>
            <w:r>
              <w:rPr>
                <w:rFonts w:hint="default" w:ascii="Times New Roman" w:hAnsi="Times New Roman" w:eastAsia="宋体" w:cs="Times New Roman"/>
                <w:color w:val="000000"/>
                <w:kern w:val="0"/>
                <w:sz w:val="18"/>
                <w:szCs w:val="18"/>
                <w:lang w:val="en-US" w:eastAsia="zh-CN" w:bidi="ar"/>
              </w:rPr>
              <w:t>项目使用应选用油耗低、效率高、废气排放达标的施工机械；加强管理，运输车辆必须尾气达标</w:t>
            </w:r>
            <w:r>
              <w:rPr>
                <w:rFonts w:hint="eastAsia" w:ascii="Times New Roman" w:hAnsi="Times New Roman" w:eastAsia="宋体" w:cs="Times New Roman"/>
                <w:color w:val="000000"/>
                <w:kern w:val="0"/>
                <w:sz w:val="18"/>
                <w:szCs w:val="18"/>
                <w:lang w:val="en-US" w:eastAsia="zh-CN" w:bidi="ar"/>
              </w:rPr>
              <w:t>；⑧文明施工，</w:t>
            </w:r>
            <w:r>
              <w:rPr>
                <w:rFonts w:hint="default" w:ascii="Times New Roman" w:hAnsi="Times New Roman" w:eastAsia="宋体" w:cs="Times New Roman"/>
                <w:color w:val="000000"/>
                <w:kern w:val="0"/>
                <w:sz w:val="18"/>
                <w:szCs w:val="18"/>
                <w:lang w:val="en-US" w:eastAsia="zh-CN" w:bidi="ar"/>
              </w:rPr>
              <w:t>对建筑垃圾及弃土应及时处理、清运、以减少占地，防止粉尘污染</w:t>
            </w:r>
            <w:r>
              <w:rPr>
                <w:rFonts w:hint="eastAsia" w:ascii="Times New Roman" w:hAnsi="Times New Roman" w:eastAsia="宋体" w:cs="Times New Roman"/>
                <w:color w:val="000000"/>
                <w:kern w:val="0"/>
                <w:sz w:val="18"/>
                <w:szCs w:val="18"/>
                <w:lang w:val="en-US" w:eastAsia="zh-CN" w:bidi="ar"/>
              </w:rPr>
              <w:t>；⑨</w:t>
            </w:r>
            <w:r>
              <w:rPr>
                <w:rFonts w:hint="default" w:ascii="Times New Roman" w:hAnsi="Times New Roman" w:eastAsia="宋体" w:cs="Times New Roman"/>
                <w:color w:val="000000"/>
                <w:kern w:val="0"/>
                <w:sz w:val="18"/>
                <w:szCs w:val="18"/>
                <w:lang w:val="en-US" w:eastAsia="zh-CN" w:bidi="ar"/>
              </w:rPr>
              <w:t>专人负责施工场地和车辆的清洁打扫，保证施工场地和道路的清洁。</w:t>
            </w:r>
          </w:p>
        </w:tc>
        <w:tc>
          <w:tcPr>
            <w:tcW w:w="1271" w:type="dxa"/>
            <w:vAlign w:val="center"/>
          </w:tcPr>
          <w:p w14:paraId="456B4DBF">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施工场界颗粒物满足《大气污染物综合排放标准》（GB16297-1996）</w:t>
            </w:r>
          </w:p>
        </w:tc>
        <w:tc>
          <w:tcPr>
            <w:tcW w:w="4478" w:type="dxa"/>
            <w:vAlign w:val="center"/>
          </w:tcPr>
          <w:p w14:paraId="38C31F7D">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①</w:t>
            </w:r>
            <w:r>
              <w:rPr>
                <w:rFonts w:hint="default" w:ascii="Times New Roman" w:hAnsi="Times New Roman" w:eastAsia="宋体" w:cs="Times New Roman"/>
                <w:color w:val="000000"/>
                <w:kern w:val="0"/>
                <w:sz w:val="18"/>
                <w:szCs w:val="18"/>
                <w:lang w:val="en-US" w:eastAsia="zh-CN" w:bidi="ar"/>
              </w:rPr>
              <w:t>加强对设备及车辆的维护，使之处于良好运行状态；做好作业区绿化工作，消除裸露空地</w:t>
            </w:r>
            <w:r>
              <w:rPr>
                <w:rFonts w:hint="eastAsia" w:ascii="Times New Roman" w:hAnsi="Times New Roman" w:eastAsia="宋体" w:cs="Times New Roman"/>
                <w:color w:val="000000"/>
                <w:kern w:val="0"/>
                <w:sz w:val="18"/>
                <w:szCs w:val="18"/>
                <w:lang w:val="en-US" w:eastAsia="zh-CN" w:bidi="ar"/>
              </w:rPr>
              <w:t>；②使用合格的设备，定期维护，避免设备尾气排放超标；③装卸过程中，喷雾降尘，对于易起尘的物料，堆放过程中，采用篷布遮盖。</w:t>
            </w:r>
          </w:p>
        </w:tc>
        <w:tc>
          <w:tcPr>
            <w:tcW w:w="2936" w:type="dxa"/>
            <w:vAlign w:val="center"/>
          </w:tcPr>
          <w:p w14:paraId="3BAC00E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auto"/>
                <w:sz w:val="18"/>
                <w:szCs w:val="18"/>
              </w:rPr>
              <w:t>《大气污染物综合排放标准》（GB16297-1996）</w:t>
            </w:r>
            <w:r>
              <w:rPr>
                <w:rFonts w:hint="default" w:ascii="Times New Roman" w:hAnsi="Times New Roman" w:eastAsia="宋体" w:cs="Times New Roman"/>
                <w:color w:val="auto"/>
                <w:sz w:val="18"/>
                <w:szCs w:val="18"/>
                <w:lang w:val="en-US" w:eastAsia="zh-CN"/>
              </w:rPr>
              <w:t>的无组织控制要求（即≤1.0mg/m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w:t>
            </w:r>
          </w:p>
        </w:tc>
      </w:tr>
      <w:tr w14:paraId="23B2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410F7B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固体废物</w:t>
            </w:r>
          </w:p>
        </w:tc>
        <w:tc>
          <w:tcPr>
            <w:tcW w:w="3934" w:type="dxa"/>
            <w:vAlign w:val="center"/>
          </w:tcPr>
          <w:p w14:paraId="25A57178">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①施工过程中，工程开挖产生的土石方全部用于回填，不产生废弃土石方。②建筑垃圾分类集中堆存、回收利用，不能利用的集中收集后清运至当地政府指定的堆放场所堆放处置，禁止随意丢弃。③施工期生活垃圾设施垃圾桶进行统一收集，委托园区环卫部门清运处置，禁止随意丢弃。</w:t>
            </w:r>
          </w:p>
        </w:tc>
        <w:tc>
          <w:tcPr>
            <w:tcW w:w="1271" w:type="dxa"/>
            <w:vAlign w:val="center"/>
          </w:tcPr>
          <w:p w14:paraId="035A758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合理收集处置</w:t>
            </w:r>
          </w:p>
        </w:tc>
        <w:tc>
          <w:tcPr>
            <w:tcW w:w="4478" w:type="dxa"/>
            <w:vAlign w:val="top"/>
          </w:tcPr>
          <w:p w14:paraId="33EC1714">
            <w:pPr>
              <w:keepNext w:val="0"/>
              <w:keepLines w:val="0"/>
              <w:widowControl/>
              <w:suppressLineNumbers w:val="0"/>
              <w:jc w:val="both"/>
              <w:rPr>
                <w:rFonts w:hint="default" w:cs="Times New Roman"/>
                <w:color w:val="000000"/>
                <w:kern w:val="0"/>
                <w:sz w:val="18"/>
                <w:szCs w:val="18"/>
                <w:lang w:val="en-US" w:eastAsia="zh-CN" w:bidi="ar"/>
              </w:rPr>
            </w:pPr>
            <w:r>
              <w:rPr>
                <w:rFonts w:hint="eastAsia" w:cs="Times New Roman"/>
                <w:color w:val="000000"/>
                <w:kern w:val="0"/>
                <w:sz w:val="18"/>
                <w:szCs w:val="18"/>
                <w:lang w:val="en-US" w:eastAsia="zh-CN" w:bidi="ar"/>
              </w:rPr>
              <w:t>1.</w:t>
            </w:r>
            <w:r>
              <w:rPr>
                <w:rFonts w:hint="default" w:cs="Times New Roman"/>
                <w:color w:val="000000"/>
                <w:kern w:val="0"/>
                <w:sz w:val="18"/>
                <w:szCs w:val="18"/>
                <w:lang w:val="en-US" w:eastAsia="zh-CN" w:bidi="ar"/>
              </w:rPr>
              <w:t>生活垃圾</w:t>
            </w:r>
          </w:p>
          <w:p w14:paraId="57792611">
            <w:pPr>
              <w:keepNext w:val="0"/>
              <w:keepLines w:val="0"/>
              <w:widowControl/>
              <w:suppressLineNumbers w:val="0"/>
              <w:jc w:val="both"/>
              <w:rPr>
                <w:rFonts w:hint="default" w:cs="Times New Roman"/>
                <w:color w:val="000000"/>
                <w:kern w:val="0"/>
                <w:sz w:val="18"/>
                <w:szCs w:val="18"/>
                <w:lang w:val="en-US" w:eastAsia="zh-CN" w:bidi="ar"/>
              </w:rPr>
            </w:pPr>
            <w:r>
              <w:rPr>
                <w:rFonts w:hint="default" w:cs="Times New Roman"/>
                <w:color w:val="000000"/>
                <w:kern w:val="0"/>
                <w:sz w:val="18"/>
                <w:szCs w:val="18"/>
                <w:lang w:val="en-US" w:eastAsia="zh-CN" w:bidi="ar"/>
              </w:rPr>
              <w:t>①分类收集、分类堆存，对能够回收利用的部分应联系回收单位进行回用。生活垃圾、仓库垃圾和办公垃圾中，纸张、纸板、塑料、玻璃等可回收利用的成份比例很高，通过回收利用，不但可以实现垃圾资源化，还可以创造一定的经济效益；</w:t>
            </w:r>
          </w:p>
          <w:p w14:paraId="3B34EC9B">
            <w:pPr>
              <w:keepNext w:val="0"/>
              <w:keepLines w:val="0"/>
              <w:widowControl/>
              <w:suppressLineNumbers w:val="0"/>
              <w:jc w:val="both"/>
              <w:rPr>
                <w:rFonts w:hint="default" w:cs="Times New Roman"/>
                <w:color w:val="000000"/>
                <w:kern w:val="0"/>
                <w:sz w:val="18"/>
                <w:szCs w:val="18"/>
                <w:lang w:val="en-US" w:eastAsia="zh-CN" w:bidi="ar"/>
              </w:rPr>
            </w:pPr>
            <w:r>
              <w:rPr>
                <w:rFonts w:hint="default" w:cs="Times New Roman"/>
                <w:color w:val="000000"/>
                <w:kern w:val="0"/>
                <w:sz w:val="18"/>
                <w:szCs w:val="18"/>
                <w:lang w:val="en-US" w:eastAsia="zh-CN" w:bidi="ar"/>
              </w:rPr>
              <w:t>②垃圾收集设施应进行适当封闭，以防止雨水进入造成二次污染，杜绝蚊虫鼠害和恶臭异味影响。</w:t>
            </w:r>
          </w:p>
          <w:p w14:paraId="7847EB8A">
            <w:pPr>
              <w:keepNext w:val="0"/>
              <w:keepLines w:val="0"/>
              <w:widowControl/>
              <w:suppressLineNumbers w:val="0"/>
              <w:jc w:val="both"/>
              <w:rPr>
                <w:rFonts w:hint="default" w:cs="Times New Roman"/>
                <w:color w:val="000000"/>
                <w:kern w:val="0"/>
                <w:sz w:val="18"/>
                <w:szCs w:val="18"/>
                <w:lang w:val="en-US" w:eastAsia="zh-CN" w:bidi="ar"/>
              </w:rPr>
            </w:pPr>
            <w:r>
              <w:rPr>
                <w:rFonts w:hint="eastAsia" w:cs="Times New Roman"/>
                <w:color w:val="000000"/>
                <w:kern w:val="0"/>
                <w:sz w:val="18"/>
                <w:szCs w:val="18"/>
                <w:lang w:val="en-US" w:eastAsia="zh-CN" w:bidi="ar"/>
              </w:rPr>
              <w:t>2.</w:t>
            </w:r>
            <w:r>
              <w:rPr>
                <w:rFonts w:hint="default" w:cs="Times New Roman"/>
                <w:color w:val="000000"/>
                <w:kern w:val="0"/>
                <w:sz w:val="18"/>
                <w:szCs w:val="18"/>
                <w:lang w:val="en-US" w:eastAsia="zh-CN" w:bidi="ar"/>
              </w:rPr>
              <w:t>包装废物</w:t>
            </w:r>
          </w:p>
          <w:p w14:paraId="233B7543">
            <w:pPr>
              <w:keepNext w:val="0"/>
              <w:keepLines w:val="0"/>
              <w:widowControl/>
              <w:suppressLineNumbers w:val="0"/>
              <w:jc w:val="both"/>
              <w:rPr>
                <w:rFonts w:hint="default" w:cs="Times New Roman"/>
                <w:color w:val="000000"/>
                <w:kern w:val="0"/>
                <w:sz w:val="18"/>
                <w:szCs w:val="18"/>
                <w:lang w:val="en-US" w:eastAsia="zh-CN" w:bidi="ar"/>
              </w:rPr>
            </w:pPr>
            <w:r>
              <w:rPr>
                <w:rFonts w:hint="default" w:cs="Times New Roman"/>
                <w:color w:val="000000"/>
                <w:kern w:val="0"/>
                <w:sz w:val="18"/>
                <w:szCs w:val="18"/>
                <w:lang w:val="en-US" w:eastAsia="zh-CN" w:bidi="ar"/>
              </w:rPr>
              <w:t>项目仓储包装、分拣包装会产生一定量的废弃包装物，废弃包装物分类收集后</w:t>
            </w:r>
            <w:r>
              <w:rPr>
                <w:rFonts w:hint="eastAsia" w:cs="Times New Roman"/>
                <w:color w:val="000000"/>
                <w:kern w:val="0"/>
                <w:sz w:val="18"/>
                <w:szCs w:val="18"/>
                <w:lang w:val="en-US" w:eastAsia="zh-CN" w:bidi="ar"/>
              </w:rPr>
              <w:t>，能回收利用的回收利用，不能回收利用的清运至指定地点处置</w:t>
            </w:r>
            <w:r>
              <w:rPr>
                <w:rFonts w:hint="default" w:cs="Times New Roman"/>
                <w:color w:val="000000"/>
                <w:kern w:val="0"/>
                <w:sz w:val="18"/>
                <w:szCs w:val="18"/>
                <w:lang w:val="en-US" w:eastAsia="zh-CN" w:bidi="ar"/>
              </w:rPr>
              <w:t>。</w:t>
            </w:r>
          </w:p>
          <w:p w14:paraId="5D6595BA">
            <w:pPr>
              <w:keepNext w:val="0"/>
              <w:keepLines w:val="0"/>
              <w:widowControl/>
              <w:suppressLineNumbers w:val="0"/>
              <w:jc w:val="both"/>
              <w:rPr>
                <w:rFonts w:hint="default" w:cs="Times New Roman"/>
                <w:color w:val="000000"/>
                <w:kern w:val="0"/>
                <w:sz w:val="18"/>
                <w:szCs w:val="18"/>
                <w:lang w:val="en-US" w:eastAsia="zh-CN" w:bidi="ar"/>
              </w:rPr>
            </w:pPr>
            <w:r>
              <w:rPr>
                <w:rFonts w:hint="eastAsia" w:cs="Times New Roman"/>
                <w:color w:val="000000"/>
                <w:kern w:val="0"/>
                <w:sz w:val="18"/>
                <w:szCs w:val="18"/>
                <w:lang w:val="en-US" w:eastAsia="zh-CN" w:bidi="ar"/>
              </w:rPr>
              <w:t>3.</w:t>
            </w:r>
            <w:r>
              <w:rPr>
                <w:rFonts w:hint="default" w:cs="Times New Roman"/>
                <w:color w:val="000000"/>
                <w:kern w:val="0"/>
                <w:sz w:val="18"/>
                <w:szCs w:val="18"/>
                <w:lang w:val="en-US" w:eastAsia="zh-CN" w:bidi="ar"/>
              </w:rPr>
              <w:t>污泥：化粪池产生的污泥委托环卫部门直接利用吸粪车抽走</w:t>
            </w:r>
            <w:r>
              <w:rPr>
                <w:rFonts w:hint="eastAsia" w:cs="Times New Roman"/>
                <w:color w:val="000000"/>
                <w:kern w:val="0"/>
                <w:sz w:val="18"/>
                <w:szCs w:val="18"/>
                <w:lang w:val="en-US" w:eastAsia="zh-CN" w:bidi="ar"/>
              </w:rPr>
              <w:t>，</w:t>
            </w:r>
            <w:r>
              <w:rPr>
                <w:rFonts w:hint="default" w:cs="Times New Roman"/>
                <w:color w:val="000000"/>
                <w:kern w:val="0"/>
                <w:sz w:val="18"/>
                <w:szCs w:val="18"/>
                <w:lang w:val="en-US" w:eastAsia="zh-CN" w:bidi="ar"/>
              </w:rPr>
              <w:t>项目投入营运后建设单位应与环卫部门签订合同，定期清运污泥，防止污染周边环境。</w:t>
            </w:r>
          </w:p>
          <w:p w14:paraId="1A8A3412">
            <w:pPr>
              <w:pStyle w:val="2"/>
              <w:rPr>
                <w:rFonts w:hint="default"/>
                <w:lang w:val="en-US" w:eastAsia="zh-CN"/>
              </w:rPr>
            </w:pPr>
            <w:r>
              <w:rPr>
                <w:rFonts w:hint="eastAsia" w:cs="Times New Roman"/>
                <w:color w:val="000000"/>
                <w:kern w:val="0"/>
                <w:sz w:val="18"/>
                <w:szCs w:val="18"/>
                <w:lang w:val="en-US" w:eastAsia="zh-CN" w:bidi="ar"/>
              </w:rPr>
              <w:t>4.含油抹布和手套：统一收集后委托环卫部门定期清运、处理。</w:t>
            </w:r>
          </w:p>
          <w:p w14:paraId="12DE52D0">
            <w:pPr>
              <w:pStyle w:val="2"/>
              <w:rPr>
                <w:rFonts w:hint="default"/>
                <w:lang w:val="en-US" w:eastAsia="zh-CN"/>
              </w:rPr>
            </w:pPr>
            <w:r>
              <w:rPr>
                <w:rFonts w:hint="eastAsia" w:cs="Times New Roman"/>
                <w:color w:val="000000"/>
                <w:kern w:val="0"/>
                <w:sz w:val="18"/>
                <w:szCs w:val="18"/>
                <w:lang w:val="en-US" w:eastAsia="zh-CN" w:bidi="ar"/>
              </w:rPr>
              <w:t>4.废机油：</w:t>
            </w:r>
            <w:r>
              <w:rPr>
                <w:rFonts w:hint="eastAsia" w:cs="Times New Roman"/>
                <w:i w:val="0"/>
                <w:iCs w:val="0"/>
                <w:color w:val="auto"/>
                <w:sz w:val="18"/>
                <w:szCs w:val="18"/>
                <w:highlight w:val="none"/>
                <w:u w:val="none"/>
                <w:lang w:val="en-US" w:eastAsia="zh-CN"/>
              </w:rPr>
              <w:t>收集后暂存于“</w:t>
            </w:r>
            <w:r>
              <w:rPr>
                <w:rFonts w:hint="default" w:cs="Times New Roman"/>
                <w:i w:val="0"/>
                <w:iCs w:val="0"/>
                <w:color w:val="auto"/>
                <w:sz w:val="18"/>
                <w:szCs w:val="18"/>
                <w:highlight w:val="none"/>
                <w:u w:val="none"/>
                <w:lang w:val="en-US" w:eastAsia="zh-CN"/>
              </w:rPr>
              <w:t>云南玉溪仙福钢铁（集团）有限公司年产260万吨/年铁钢材项目</w:t>
            </w:r>
            <w:r>
              <w:rPr>
                <w:rFonts w:hint="eastAsia" w:cs="Times New Roman"/>
                <w:i w:val="0"/>
                <w:iCs w:val="0"/>
                <w:color w:val="auto"/>
                <w:sz w:val="18"/>
                <w:szCs w:val="18"/>
                <w:highlight w:val="none"/>
                <w:u w:val="none"/>
                <w:lang w:val="en-US" w:eastAsia="zh-CN"/>
              </w:rPr>
              <w:t>”配套的危险废物贮存库，委托云南绿力环保科技有限公司清运处置。</w:t>
            </w:r>
          </w:p>
        </w:tc>
        <w:tc>
          <w:tcPr>
            <w:tcW w:w="2936" w:type="dxa"/>
            <w:vAlign w:val="center"/>
          </w:tcPr>
          <w:p w14:paraId="2F978388">
            <w:pPr>
              <w:keepNext w:val="0"/>
              <w:keepLines w:val="0"/>
              <w:widowControl/>
              <w:suppressLineNumbers w:val="0"/>
              <w:jc w:val="both"/>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《一般工业固体废物贮存和填埋污染控制标准》（</w:t>
            </w:r>
            <w:r>
              <w:rPr>
                <w:rFonts w:hint="default" w:ascii="Times New Roman" w:hAnsi="Times New Roman" w:eastAsia="宋体" w:cs="Times New Roman"/>
                <w:color w:val="000000"/>
                <w:kern w:val="0"/>
                <w:sz w:val="18"/>
                <w:szCs w:val="18"/>
                <w:lang w:val="en-US" w:eastAsia="zh-CN" w:bidi="ar"/>
              </w:rPr>
              <w:t>GB18599-2020</w:t>
            </w:r>
            <w:r>
              <w:rPr>
                <w:rFonts w:hint="eastAsia" w:ascii="Times New Roman" w:hAnsi="Times New Roman" w:eastAsia="宋体" w:cs="Times New Roman"/>
                <w:color w:val="000000"/>
                <w:kern w:val="0"/>
                <w:sz w:val="18"/>
                <w:szCs w:val="18"/>
                <w:lang w:val="en-US" w:eastAsia="zh-CN" w:bidi="ar"/>
              </w:rPr>
              <w:t>）；</w:t>
            </w:r>
          </w:p>
          <w:p w14:paraId="39D8FFD6">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暂存、管理贮存执行《危险废物贮存污染控制标准》（GB18597-2023）</w:t>
            </w:r>
            <w:r>
              <w:rPr>
                <w:rFonts w:hint="eastAsia" w:ascii="Times New Roman" w:hAnsi="Times New Roman" w:eastAsia="宋体" w:cs="Times New Roman"/>
                <w:color w:val="000000"/>
                <w:kern w:val="0"/>
                <w:sz w:val="18"/>
                <w:szCs w:val="18"/>
                <w:lang w:val="en-US" w:eastAsia="zh-CN" w:bidi="ar"/>
              </w:rPr>
              <w:t>。</w:t>
            </w:r>
          </w:p>
        </w:tc>
      </w:tr>
      <w:tr w14:paraId="2758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5B2BC0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电磁环境</w:t>
            </w:r>
          </w:p>
        </w:tc>
        <w:tc>
          <w:tcPr>
            <w:tcW w:w="3934" w:type="dxa"/>
            <w:vAlign w:val="center"/>
          </w:tcPr>
          <w:p w14:paraId="211A450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1271" w:type="dxa"/>
            <w:vAlign w:val="center"/>
          </w:tcPr>
          <w:p w14:paraId="6E736CB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4478" w:type="dxa"/>
            <w:vAlign w:val="center"/>
          </w:tcPr>
          <w:p w14:paraId="4646C8AA">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2936" w:type="dxa"/>
            <w:vAlign w:val="center"/>
          </w:tcPr>
          <w:p w14:paraId="3EC40CBD">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r>
      <w:tr w14:paraId="102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6AEF5F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环境风险</w:t>
            </w:r>
          </w:p>
        </w:tc>
        <w:tc>
          <w:tcPr>
            <w:tcW w:w="3934" w:type="dxa"/>
            <w:vAlign w:val="center"/>
          </w:tcPr>
          <w:p w14:paraId="34FD445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1271" w:type="dxa"/>
            <w:vAlign w:val="center"/>
          </w:tcPr>
          <w:p w14:paraId="4C7CDCB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4478" w:type="dxa"/>
            <w:vAlign w:val="center"/>
          </w:tcPr>
          <w:p w14:paraId="4BA458C5">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2936" w:type="dxa"/>
            <w:vAlign w:val="center"/>
          </w:tcPr>
          <w:p w14:paraId="573CFF4F">
            <w:pPr>
              <w:keepNext w:val="0"/>
              <w:keepLines w:val="0"/>
              <w:widowControl/>
              <w:suppressLineNumbers w:val="0"/>
              <w:jc w:val="both"/>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r>
      <w:tr w14:paraId="1113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26F125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环境监测</w:t>
            </w:r>
          </w:p>
        </w:tc>
        <w:tc>
          <w:tcPr>
            <w:tcW w:w="3934" w:type="dxa"/>
            <w:vAlign w:val="center"/>
          </w:tcPr>
          <w:p w14:paraId="2ED4182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1271" w:type="dxa"/>
            <w:vAlign w:val="center"/>
          </w:tcPr>
          <w:p w14:paraId="07D2B32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c>
          <w:tcPr>
            <w:tcW w:w="4478" w:type="dxa"/>
            <w:vAlign w:val="center"/>
          </w:tcPr>
          <w:p w14:paraId="3D928F4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噪声、振动自行监测</w:t>
            </w:r>
          </w:p>
        </w:tc>
        <w:tc>
          <w:tcPr>
            <w:tcW w:w="2936" w:type="dxa"/>
            <w:vAlign w:val="center"/>
          </w:tcPr>
          <w:p w14:paraId="09FC9F0C">
            <w:pPr>
              <w:keepNext w:val="0"/>
              <w:keepLines w:val="0"/>
              <w:widowControl/>
              <w:suppressLineNumbers w:val="0"/>
              <w:jc w:val="both"/>
              <w:rPr>
                <w:rFonts w:hint="default" w:cs="Times New Roman"/>
                <w:color w:val="000000"/>
                <w:kern w:val="0"/>
                <w:sz w:val="18"/>
                <w:szCs w:val="18"/>
                <w:lang w:val="en-US" w:eastAsia="zh-CN" w:bidi="ar"/>
              </w:rPr>
            </w:pPr>
            <w:r>
              <w:rPr>
                <w:rFonts w:hint="eastAsia" w:cs="Times New Roman"/>
                <w:color w:val="000000"/>
                <w:kern w:val="0"/>
                <w:sz w:val="18"/>
                <w:szCs w:val="18"/>
                <w:lang w:val="en-US" w:eastAsia="zh-CN" w:bidi="ar"/>
              </w:rPr>
              <w:t>《工业企业厂界环境噪声排放标准》（GB12348-2008）3类标准、《铁路边界噪声限值及其测量方法》（GB12525-90）修改方案、《城市区域环境振动标准》（</w:t>
            </w:r>
            <w:r>
              <w:rPr>
                <w:rFonts w:hint="default" w:cs="Times New Roman"/>
                <w:color w:val="000000"/>
                <w:kern w:val="0"/>
                <w:sz w:val="18"/>
                <w:szCs w:val="18"/>
                <w:lang w:val="en-US" w:eastAsia="zh-CN" w:bidi="ar"/>
              </w:rPr>
              <w:t>GB10070-88</w:t>
            </w:r>
            <w:r>
              <w:rPr>
                <w:rFonts w:hint="eastAsia" w:cs="Times New Roman"/>
                <w:color w:val="000000"/>
                <w:kern w:val="0"/>
                <w:sz w:val="18"/>
                <w:szCs w:val="18"/>
                <w:lang w:val="en-US" w:eastAsia="zh-CN" w:bidi="ar"/>
              </w:rPr>
              <w:t>）。</w:t>
            </w:r>
          </w:p>
        </w:tc>
      </w:tr>
      <w:tr w14:paraId="6E2D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Align w:val="center"/>
          </w:tcPr>
          <w:p w14:paraId="47AE67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其他</w:t>
            </w:r>
          </w:p>
        </w:tc>
        <w:tc>
          <w:tcPr>
            <w:tcW w:w="12619" w:type="dxa"/>
            <w:gridSpan w:val="4"/>
            <w:vAlign w:val="center"/>
          </w:tcPr>
          <w:p w14:paraId="7212DEBC">
            <w:pPr>
              <w:keepNext w:val="0"/>
              <w:keepLines w:val="0"/>
              <w:widowControl/>
              <w:suppressLineNumbers w:val="0"/>
              <w:ind w:left="0" w:leftChars="0" w:right="0" w:rightChars="0" w:firstLine="0" w:firstLineChars="0"/>
              <w:jc w:val="center"/>
              <w:rPr>
                <w:rFonts w:hint="default" w:cs="Times New Roman"/>
                <w:color w:val="000000"/>
                <w:kern w:val="0"/>
                <w:sz w:val="18"/>
                <w:szCs w:val="18"/>
                <w:lang w:val="en-US" w:eastAsia="zh-CN" w:bidi="ar"/>
              </w:rPr>
            </w:pPr>
            <w:r>
              <w:rPr>
                <w:rFonts w:hint="eastAsia" w:cs="Times New Roman"/>
                <w:color w:val="000000"/>
                <w:kern w:val="0"/>
                <w:sz w:val="18"/>
                <w:szCs w:val="18"/>
                <w:lang w:val="en-US" w:eastAsia="zh-CN" w:bidi="ar"/>
              </w:rPr>
              <w:t>/</w:t>
            </w:r>
          </w:p>
        </w:tc>
      </w:tr>
    </w:tbl>
    <w:p w14:paraId="7EB5A115">
      <w:pPr>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3462FA">
      <w:pPr>
        <w:pStyle w:val="4"/>
        <w:numPr>
          <w:ilvl w:val="0"/>
          <w:numId w:val="0"/>
        </w:numPr>
        <w:bidi w:val="0"/>
        <w:jc w:val="center"/>
        <w:rPr>
          <w:rFonts w:hint="eastAsia"/>
          <w:color w:val="auto"/>
          <w:highlight w:val="none"/>
          <w:lang w:val="en-US" w:eastAsia="zh-CN"/>
        </w:rPr>
      </w:pPr>
      <w:bookmarkStart w:id="26" w:name="_Toc27748"/>
      <w:bookmarkStart w:id="27" w:name="_Toc17171"/>
      <w:bookmarkStart w:id="28" w:name="_Toc15642"/>
      <w:r>
        <w:rPr>
          <w:rFonts w:hint="eastAsia"/>
          <w:color w:val="auto"/>
          <w:highlight w:val="none"/>
          <w:lang w:val="en-US" w:eastAsia="zh-CN"/>
        </w:rPr>
        <w:t>七、结论</w:t>
      </w:r>
      <w:bookmarkEnd w:id="26"/>
      <w:bookmarkEnd w:id="27"/>
      <w:bookmarkEnd w:id="28"/>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D49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9" w:hRule="atLeast"/>
        </w:trPr>
        <w:tc>
          <w:tcPr>
            <w:tcW w:w="8522" w:type="dxa"/>
          </w:tcPr>
          <w:p w14:paraId="663EF4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项目建设符合国家产业政策，项目建设不涉及自然保护区、风景名胜区、水源保护区和文物古迹等，</w:t>
            </w:r>
            <w:r>
              <w:rPr>
                <w:rFonts w:hint="eastAsia" w:ascii="宋体" w:hAnsi="宋体" w:cs="宋体"/>
                <w:color w:val="000000"/>
                <w:kern w:val="0"/>
                <w:sz w:val="24"/>
                <w:szCs w:val="24"/>
                <w:lang w:val="en-US" w:eastAsia="zh-CN" w:bidi="ar"/>
              </w:rPr>
              <w:t>玉溪市大化产业园区仙福钢铁厂铁路专用线项目</w:t>
            </w:r>
            <w:r>
              <w:rPr>
                <w:rFonts w:hint="eastAsia" w:ascii="宋体" w:hAnsi="宋体" w:eastAsia="宋体" w:cs="宋体"/>
                <w:color w:val="000000"/>
                <w:kern w:val="0"/>
                <w:sz w:val="24"/>
                <w:szCs w:val="24"/>
                <w:lang w:val="en-US" w:eastAsia="zh-CN" w:bidi="ar"/>
              </w:rPr>
              <w:t>选址合理、符合相关规划。工程建设及运营对区域声环境、振动、废气等产生一定的不利影响。</w:t>
            </w:r>
            <w:r>
              <w:rPr>
                <w:rFonts w:hint="eastAsia" w:ascii="宋体" w:hAnsi="宋体" w:cs="宋体"/>
                <w:color w:val="000000"/>
                <w:kern w:val="0"/>
                <w:sz w:val="24"/>
                <w:szCs w:val="24"/>
                <w:lang w:val="en-US" w:eastAsia="zh-CN" w:bidi="ar"/>
              </w:rPr>
              <w:t>建设单位</w:t>
            </w:r>
            <w:r>
              <w:rPr>
                <w:rFonts w:hint="eastAsia" w:ascii="宋体" w:hAnsi="宋体" w:eastAsia="宋体" w:cs="宋体"/>
                <w:color w:val="000000"/>
                <w:kern w:val="0"/>
                <w:sz w:val="24"/>
                <w:szCs w:val="24"/>
                <w:lang w:val="en-US" w:eastAsia="zh-CN" w:bidi="ar"/>
              </w:rPr>
              <w:t>在运营过程中全面认真执行本评价提出的各项环保措施，确保各项污染物达标排放，在此前提下，该项目的实施是可行的，环境风险可控。从环境保护角度看，本项目的建设是可行的。</w:t>
            </w:r>
          </w:p>
          <w:p w14:paraId="1FABC2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p>
          <w:p w14:paraId="1B375019">
            <w:pPr>
              <w:bidi w:val="0"/>
              <w:rPr>
                <w:rFonts w:hint="eastAsia"/>
                <w:color w:val="0000FF"/>
                <w:highlight w:val="none"/>
                <w:lang w:val="en-US" w:eastAsia="zh-CN"/>
              </w:rPr>
            </w:pPr>
          </w:p>
          <w:p w14:paraId="4730ABDF">
            <w:pPr>
              <w:pStyle w:val="20"/>
              <w:ind w:left="0" w:leftChars="0" w:firstLine="0" w:firstLineChars="0"/>
              <w:jc w:val="both"/>
              <w:rPr>
                <w:rFonts w:hint="eastAsia"/>
                <w:color w:val="auto"/>
                <w:highlight w:val="none"/>
                <w:lang w:val="en-US" w:eastAsia="zh-CN"/>
              </w:rPr>
            </w:pPr>
          </w:p>
          <w:p w14:paraId="3674EDA5">
            <w:pPr>
              <w:rPr>
                <w:rFonts w:hint="eastAsia"/>
                <w:color w:val="auto"/>
                <w:highlight w:val="none"/>
                <w:lang w:val="en-US" w:eastAsia="zh-CN"/>
              </w:rPr>
            </w:pPr>
          </w:p>
          <w:p w14:paraId="1EB4CADA">
            <w:pPr>
              <w:pStyle w:val="21"/>
              <w:ind w:left="0" w:leftChars="0" w:firstLine="0" w:firstLineChars="0"/>
              <w:rPr>
                <w:rFonts w:hint="eastAsia"/>
                <w:color w:val="auto"/>
                <w:highlight w:val="none"/>
                <w:lang w:val="en-US" w:eastAsia="zh-CN"/>
              </w:rPr>
            </w:pPr>
          </w:p>
          <w:p w14:paraId="67217EFD">
            <w:pPr>
              <w:pStyle w:val="20"/>
              <w:ind w:left="0" w:leftChars="0" w:firstLine="0" w:firstLineChars="0"/>
              <w:jc w:val="both"/>
              <w:rPr>
                <w:rFonts w:hint="eastAsia"/>
                <w:color w:val="auto"/>
                <w:highlight w:val="none"/>
                <w:lang w:val="en-US" w:eastAsia="zh-CN"/>
              </w:rPr>
            </w:pPr>
          </w:p>
          <w:p w14:paraId="7D9E7912">
            <w:pPr>
              <w:rPr>
                <w:rFonts w:hint="eastAsia"/>
                <w:color w:val="auto"/>
                <w:highlight w:val="none"/>
                <w:lang w:val="en-US" w:eastAsia="zh-CN"/>
              </w:rPr>
            </w:pPr>
          </w:p>
          <w:p w14:paraId="541156A1">
            <w:pPr>
              <w:pStyle w:val="21"/>
              <w:ind w:left="0" w:leftChars="0" w:firstLine="0" w:firstLineChars="0"/>
              <w:rPr>
                <w:rFonts w:hint="eastAsia"/>
                <w:color w:val="auto"/>
                <w:highlight w:val="none"/>
                <w:lang w:val="en-US" w:eastAsia="zh-CN"/>
              </w:rPr>
            </w:pPr>
          </w:p>
          <w:p w14:paraId="6E38213A">
            <w:pPr>
              <w:pStyle w:val="21"/>
              <w:ind w:left="0" w:leftChars="0" w:firstLine="0" w:firstLineChars="0"/>
              <w:rPr>
                <w:rFonts w:hint="eastAsia"/>
                <w:color w:val="auto"/>
                <w:highlight w:val="none"/>
                <w:lang w:val="en-US" w:eastAsia="zh-CN"/>
              </w:rPr>
            </w:pPr>
          </w:p>
          <w:p w14:paraId="54946413">
            <w:pPr>
              <w:pStyle w:val="21"/>
              <w:ind w:left="0" w:leftChars="0" w:firstLine="0" w:firstLineChars="0"/>
              <w:rPr>
                <w:rFonts w:hint="eastAsia"/>
                <w:color w:val="auto"/>
                <w:highlight w:val="none"/>
                <w:lang w:val="en-US" w:eastAsia="zh-CN"/>
              </w:rPr>
            </w:pPr>
          </w:p>
          <w:p w14:paraId="18B7EA1E">
            <w:pPr>
              <w:pStyle w:val="21"/>
              <w:ind w:left="0" w:leftChars="0" w:firstLine="0" w:firstLineChars="0"/>
              <w:rPr>
                <w:rFonts w:hint="eastAsia"/>
                <w:color w:val="auto"/>
                <w:highlight w:val="none"/>
                <w:lang w:val="en-US" w:eastAsia="zh-CN"/>
              </w:rPr>
            </w:pPr>
          </w:p>
          <w:p w14:paraId="468A8762">
            <w:pPr>
              <w:pStyle w:val="21"/>
              <w:ind w:left="0" w:leftChars="0" w:firstLine="0" w:firstLineChars="0"/>
              <w:rPr>
                <w:rFonts w:hint="eastAsia"/>
                <w:color w:val="auto"/>
                <w:highlight w:val="none"/>
                <w:lang w:val="en-US" w:eastAsia="zh-CN"/>
              </w:rPr>
            </w:pPr>
          </w:p>
          <w:p w14:paraId="5C8F243A">
            <w:pPr>
              <w:pStyle w:val="21"/>
              <w:ind w:left="0" w:leftChars="0" w:firstLine="0" w:firstLineChars="0"/>
              <w:rPr>
                <w:rFonts w:hint="eastAsia"/>
                <w:color w:val="auto"/>
                <w:highlight w:val="none"/>
                <w:lang w:val="en-US" w:eastAsia="zh-CN"/>
              </w:rPr>
            </w:pPr>
          </w:p>
          <w:p w14:paraId="126D087E">
            <w:pPr>
              <w:pStyle w:val="21"/>
              <w:ind w:left="0" w:leftChars="0" w:firstLine="0" w:firstLineChars="0"/>
              <w:rPr>
                <w:rFonts w:hint="eastAsia"/>
                <w:color w:val="auto"/>
                <w:highlight w:val="none"/>
                <w:lang w:val="en-US" w:eastAsia="zh-CN"/>
              </w:rPr>
            </w:pPr>
          </w:p>
          <w:p w14:paraId="3B1AC614">
            <w:pPr>
              <w:pStyle w:val="21"/>
              <w:ind w:left="0" w:leftChars="0" w:firstLine="0" w:firstLineChars="0"/>
              <w:rPr>
                <w:rFonts w:hint="eastAsia"/>
                <w:color w:val="auto"/>
                <w:highlight w:val="none"/>
                <w:lang w:val="en-US" w:eastAsia="zh-CN"/>
              </w:rPr>
            </w:pPr>
          </w:p>
          <w:p w14:paraId="5D4BCB13">
            <w:pPr>
              <w:pStyle w:val="21"/>
              <w:ind w:left="0" w:leftChars="0" w:firstLine="0" w:firstLineChars="0"/>
              <w:rPr>
                <w:rFonts w:hint="eastAsia"/>
                <w:color w:val="auto"/>
                <w:highlight w:val="none"/>
                <w:lang w:val="en-US" w:eastAsia="zh-CN"/>
              </w:rPr>
            </w:pPr>
          </w:p>
          <w:p w14:paraId="26307593">
            <w:pPr>
              <w:pStyle w:val="21"/>
              <w:ind w:left="0" w:leftChars="0" w:firstLine="0" w:firstLineChars="0"/>
              <w:rPr>
                <w:rFonts w:hint="eastAsia"/>
                <w:color w:val="auto"/>
                <w:highlight w:val="none"/>
                <w:lang w:val="en-US" w:eastAsia="zh-CN"/>
              </w:rPr>
            </w:pPr>
          </w:p>
          <w:p w14:paraId="2C4764A5">
            <w:pPr>
              <w:pStyle w:val="21"/>
              <w:ind w:left="0" w:leftChars="0" w:firstLine="0" w:firstLineChars="0"/>
              <w:rPr>
                <w:rFonts w:hint="eastAsia"/>
                <w:color w:val="auto"/>
                <w:highlight w:val="none"/>
                <w:lang w:val="en-US" w:eastAsia="zh-CN"/>
              </w:rPr>
            </w:pPr>
          </w:p>
          <w:p w14:paraId="29A8CCFB">
            <w:pPr>
              <w:pStyle w:val="21"/>
              <w:ind w:left="0" w:leftChars="0" w:firstLine="0" w:firstLineChars="0"/>
              <w:rPr>
                <w:rFonts w:hint="eastAsia"/>
                <w:color w:val="auto"/>
                <w:highlight w:val="none"/>
                <w:lang w:val="en-US" w:eastAsia="zh-CN"/>
              </w:rPr>
            </w:pPr>
          </w:p>
          <w:p w14:paraId="013956BE">
            <w:pPr>
              <w:pStyle w:val="21"/>
              <w:ind w:left="0" w:leftChars="0" w:firstLine="0" w:firstLineChars="0"/>
              <w:rPr>
                <w:rFonts w:hint="eastAsia"/>
                <w:color w:val="auto"/>
                <w:highlight w:val="none"/>
                <w:lang w:val="en-US" w:eastAsia="zh-CN"/>
              </w:rPr>
            </w:pPr>
          </w:p>
          <w:p w14:paraId="1A420C3D">
            <w:pPr>
              <w:pStyle w:val="21"/>
              <w:ind w:left="0" w:leftChars="0" w:firstLine="0" w:firstLineChars="0"/>
              <w:rPr>
                <w:rFonts w:hint="eastAsia"/>
                <w:color w:val="auto"/>
                <w:highlight w:val="none"/>
                <w:lang w:val="en-US" w:eastAsia="zh-CN"/>
              </w:rPr>
            </w:pPr>
          </w:p>
          <w:p w14:paraId="0128BAEA">
            <w:pPr>
              <w:pStyle w:val="21"/>
              <w:ind w:left="0" w:leftChars="0" w:firstLine="0" w:firstLineChars="0"/>
              <w:rPr>
                <w:rFonts w:hint="eastAsia"/>
                <w:color w:val="auto"/>
                <w:highlight w:val="none"/>
                <w:lang w:val="en-US" w:eastAsia="zh-CN"/>
              </w:rPr>
            </w:pPr>
          </w:p>
          <w:p w14:paraId="0427C3E5">
            <w:pPr>
              <w:pStyle w:val="21"/>
              <w:ind w:left="0" w:leftChars="0" w:firstLine="0" w:firstLineChars="0"/>
              <w:rPr>
                <w:rFonts w:hint="eastAsia"/>
                <w:color w:val="auto"/>
                <w:highlight w:val="none"/>
                <w:lang w:val="en-US" w:eastAsia="zh-CN"/>
              </w:rPr>
            </w:pPr>
          </w:p>
          <w:p w14:paraId="2BD93476">
            <w:pPr>
              <w:pStyle w:val="21"/>
              <w:ind w:left="0" w:leftChars="0" w:firstLine="0" w:firstLineChars="0"/>
              <w:rPr>
                <w:rFonts w:hint="eastAsia"/>
                <w:color w:val="auto"/>
                <w:highlight w:val="none"/>
                <w:lang w:val="en-US" w:eastAsia="zh-CN"/>
              </w:rPr>
            </w:pPr>
          </w:p>
        </w:tc>
      </w:tr>
    </w:tbl>
    <w:p w14:paraId="5BC267C6">
      <w:pPr>
        <w:rPr>
          <w:rFonts w:hint="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F226">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E7E24">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29B83">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D629B83">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562B6">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638F">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5DD76">
    <w:pPr>
      <w:pStyle w:val="17"/>
      <w:pBdr>
        <w:bottom w:val="single" w:color="auto" w:sz="4" w:space="1"/>
      </w:pBdr>
      <w:rPr>
        <w:rFonts w:hint="default" w:eastAsia="宋体"/>
        <w:lang w:val="en-US" w:eastAsia="zh-CN"/>
      </w:rPr>
    </w:pPr>
    <w:r>
      <w:rPr>
        <w:rFonts w:hint="eastAsia"/>
        <w:lang w:val="en-US" w:eastAsia="zh-CN"/>
      </w:rPr>
      <w:t>玉溪市大化产业园区仙福钢铁厂铁路专用线项目                                    环境影响报告表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EF254C"/>
    <w:rsid w:val="00101AE9"/>
    <w:rsid w:val="00137D80"/>
    <w:rsid w:val="00150EAD"/>
    <w:rsid w:val="0075194C"/>
    <w:rsid w:val="00D03026"/>
    <w:rsid w:val="014D0B1B"/>
    <w:rsid w:val="015E6884"/>
    <w:rsid w:val="01814321"/>
    <w:rsid w:val="018A58CB"/>
    <w:rsid w:val="02070CCA"/>
    <w:rsid w:val="02535CBD"/>
    <w:rsid w:val="02571C51"/>
    <w:rsid w:val="032B6C3A"/>
    <w:rsid w:val="03E017D2"/>
    <w:rsid w:val="03E05C76"/>
    <w:rsid w:val="040E6340"/>
    <w:rsid w:val="046B19E4"/>
    <w:rsid w:val="04CC7F3A"/>
    <w:rsid w:val="04EF254C"/>
    <w:rsid w:val="050B287F"/>
    <w:rsid w:val="052B68E2"/>
    <w:rsid w:val="05412745"/>
    <w:rsid w:val="054162A1"/>
    <w:rsid w:val="055A7363"/>
    <w:rsid w:val="05676ED9"/>
    <w:rsid w:val="056C5A14"/>
    <w:rsid w:val="060F639F"/>
    <w:rsid w:val="06450013"/>
    <w:rsid w:val="07140111"/>
    <w:rsid w:val="07267E44"/>
    <w:rsid w:val="073F4A62"/>
    <w:rsid w:val="0754675F"/>
    <w:rsid w:val="07BE007D"/>
    <w:rsid w:val="0898267C"/>
    <w:rsid w:val="08D538D0"/>
    <w:rsid w:val="08FB2C0B"/>
    <w:rsid w:val="090E293E"/>
    <w:rsid w:val="092E2FE0"/>
    <w:rsid w:val="0992531D"/>
    <w:rsid w:val="09BE4364"/>
    <w:rsid w:val="0A424F95"/>
    <w:rsid w:val="0A93759F"/>
    <w:rsid w:val="0AC77248"/>
    <w:rsid w:val="0AEA1189"/>
    <w:rsid w:val="0B536D2E"/>
    <w:rsid w:val="0BAB6B6A"/>
    <w:rsid w:val="0BBA6DAD"/>
    <w:rsid w:val="0C1666D9"/>
    <w:rsid w:val="0C3923C8"/>
    <w:rsid w:val="0C62191E"/>
    <w:rsid w:val="0C8C24F7"/>
    <w:rsid w:val="0CA35A93"/>
    <w:rsid w:val="0CAF61E6"/>
    <w:rsid w:val="0CFB767D"/>
    <w:rsid w:val="0D35493D"/>
    <w:rsid w:val="0D5A43A4"/>
    <w:rsid w:val="0D9B3C00"/>
    <w:rsid w:val="0DB25D4E"/>
    <w:rsid w:val="0DDF2AFB"/>
    <w:rsid w:val="0EE04D7C"/>
    <w:rsid w:val="0EE77EB9"/>
    <w:rsid w:val="0F124079"/>
    <w:rsid w:val="0FA4224E"/>
    <w:rsid w:val="0FE26CA4"/>
    <w:rsid w:val="10945E1E"/>
    <w:rsid w:val="10D97CD5"/>
    <w:rsid w:val="113E3FDC"/>
    <w:rsid w:val="11690789"/>
    <w:rsid w:val="11B83D97"/>
    <w:rsid w:val="12745F08"/>
    <w:rsid w:val="12940358"/>
    <w:rsid w:val="132B6D16"/>
    <w:rsid w:val="14123C2A"/>
    <w:rsid w:val="143040B0"/>
    <w:rsid w:val="14531B4D"/>
    <w:rsid w:val="14726477"/>
    <w:rsid w:val="15115C90"/>
    <w:rsid w:val="151412DC"/>
    <w:rsid w:val="15155054"/>
    <w:rsid w:val="151C4634"/>
    <w:rsid w:val="152C0D1B"/>
    <w:rsid w:val="155872D3"/>
    <w:rsid w:val="15604521"/>
    <w:rsid w:val="15910B7E"/>
    <w:rsid w:val="159A3ED7"/>
    <w:rsid w:val="16175528"/>
    <w:rsid w:val="165003F0"/>
    <w:rsid w:val="17005FBC"/>
    <w:rsid w:val="170830C2"/>
    <w:rsid w:val="17263C3B"/>
    <w:rsid w:val="176D73C9"/>
    <w:rsid w:val="17716EB9"/>
    <w:rsid w:val="17977873"/>
    <w:rsid w:val="17982698"/>
    <w:rsid w:val="18550589"/>
    <w:rsid w:val="18891FE1"/>
    <w:rsid w:val="18C82B09"/>
    <w:rsid w:val="1A1A55E6"/>
    <w:rsid w:val="1ABA0B77"/>
    <w:rsid w:val="1AF73E06"/>
    <w:rsid w:val="1AFA5418"/>
    <w:rsid w:val="1B8A054A"/>
    <w:rsid w:val="1BE237CD"/>
    <w:rsid w:val="1C183DA8"/>
    <w:rsid w:val="1C185B56"/>
    <w:rsid w:val="1C316C17"/>
    <w:rsid w:val="1C4A5F2B"/>
    <w:rsid w:val="1C735482"/>
    <w:rsid w:val="1C8A6328"/>
    <w:rsid w:val="1CD81789"/>
    <w:rsid w:val="1CED6FE2"/>
    <w:rsid w:val="1CFA525B"/>
    <w:rsid w:val="1D0B56BA"/>
    <w:rsid w:val="1D3C5874"/>
    <w:rsid w:val="1DA10095"/>
    <w:rsid w:val="1E262080"/>
    <w:rsid w:val="1EF26B32"/>
    <w:rsid w:val="1FBA5176"/>
    <w:rsid w:val="20895DCF"/>
    <w:rsid w:val="20CC6F0F"/>
    <w:rsid w:val="20DB35F6"/>
    <w:rsid w:val="21787096"/>
    <w:rsid w:val="2217065D"/>
    <w:rsid w:val="227635D6"/>
    <w:rsid w:val="22CA5507"/>
    <w:rsid w:val="22D84291"/>
    <w:rsid w:val="22EC1AEA"/>
    <w:rsid w:val="23DF164F"/>
    <w:rsid w:val="23F21382"/>
    <w:rsid w:val="24207C9D"/>
    <w:rsid w:val="2452597D"/>
    <w:rsid w:val="24D46CDA"/>
    <w:rsid w:val="24D92444"/>
    <w:rsid w:val="25311A36"/>
    <w:rsid w:val="2556149D"/>
    <w:rsid w:val="256E58F7"/>
    <w:rsid w:val="25973F8F"/>
    <w:rsid w:val="25AB3597"/>
    <w:rsid w:val="25D845A8"/>
    <w:rsid w:val="261455E0"/>
    <w:rsid w:val="26265313"/>
    <w:rsid w:val="26995AE5"/>
    <w:rsid w:val="269B690F"/>
    <w:rsid w:val="26DD1544"/>
    <w:rsid w:val="274E2D73"/>
    <w:rsid w:val="27B16E5E"/>
    <w:rsid w:val="282D2989"/>
    <w:rsid w:val="28C11323"/>
    <w:rsid w:val="290C6A42"/>
    <w:rsid w:val="2A3C5105"/>
    <w:rsid w:val="2B065713"/>
    <w:rsid w:val="2B177920"/>
    <w:rsid w:val="2B1C2579"/>
    <w:rsid w:val="2B465B0F"/>
    <w:rsid w:val="2B620B9B"/>
    <w:rsid w:val="2BD870AF"/>
    <w:rsid w:val="2C8E59C0"/>
    <w:rsid w:val="2CD258AD"/>
    <w:rsid w:val="2E76495E"/>
    <w:rsid w:val="2F1F6DA3"/>
    <w:rsid w:val="2F2A1380"/>
    <w:rsid w:val="2F4405B8"/>
    <w:rsid w:val="2F6173BC"/>
    <w:rsid w:val="2FB80944"/>
    <w:rsid w:val="2FE84AF4"/>
    <w:rsid w:val="30283E05"/>
    <w:rsid w:val="306727B0"/>
    <w:rsid w:val="30A25EDE"/>
    <w:rsid w:val="30DE7A24"/>
    <w:rsid w:val="31197F4E"/>
    <w:rsid w:val="316B4522"/>
    <w:rsid w:val="3175714F"/>
    <w:rsid w:val="31F44517"/>
    <w:rsid w:val="3240775C"/>
    <w:rsid w:val="32496611"/>
    <w:rsid w:val="32FA2096"/>
    <w:rsid w:val="32FF13C6"/>
    <w:rsid w:val="33BF2903"/>
    <w:rsid w:val="33D068BE"/>
    <w:rsid w:val="354D466A"/>
    <w:rsid w:val="36147CAD"/>
    <w:rsid w:val="368340BC"/>
    <w:rsid w:val="36941E25"/>
    <w:rsid w:val="36965B9D"/>
    <w:rsid w:val="37623CD1"/>
    <w:rsid w:val="37661A13"/>
    <w:rsid w:val="377C1237"/>
    <w:rsid w:val="37C900B1"/>
    <w:rsid w:val="38A02D03"/>
    <w:rsid w:val="38F4304F"/>
    <w:rsid w:val="39445D84"/>
    <w:rsid w:val="39897C3B"/>
    <w:rsid w:val="39C173D5"/>
    <w:rsid w:val="3A053765"/>
    <w:rsid w:val="3A064DE8"/>
    <w:rsid w:val="3A103EB8"/>
    <w:rsid w:val="3AFD61EB"/>
    <w:rsid w:val="3B3D6F2F"/>
    <w:rsid w:val="3B424545"/>
    <w:rsid w:val="3B5D312D"/>
    <w:rsid w:val="3BF05D4F"/>
    <w:rsid w:val="3BFF41E4"/>
    <w:rsid w:val="3C575DCE"/>
    <w:rsid w:val="3C8B3CCA"/>
    <w:rsid w:val="3DEA67CE"/>
    <w:rsid w:val="3E7013C9"/>
    <w:rsid w:val="3F00274D"/>
    <w:rsid w:val="3F626F64"/>
    <w:rsid w:val="401A783F"/>
    <w:rsid w:val="41C31810"/>
    <w:rsid w:val="41E579D9"/>
    <w:rsid w:val="41EE2D31"/>
    <w:rsid w:val="41F61BE6"/>
    <w:rsid w:val="42B20202"/>
    <w:rsid w:val="42E859D2"/>
    <w:rsid w:val="42F33883"/>
    <w:rsid w:val="43095949"/>
    <w:rsid w:val="43C26223"/>
    <w:rsid w:val="43E91A02"/>
    <w:rsid w:val="44004F9E"/>
    <w:rsid w:val="442B201A"/>
    <w:rsid w:val="44B738AE"/>
    <w:rsid w:val="44B87626"/>
    <w:rsid w:val="44BC2C73"/>
    <w:rsid w:val="46001285"/>
    <w:rsid w:val="4665733A"/>
    <w:rsid w:val="4726106B"/>
    <w:rsid w:val="47741A0D"/>
    <w:rsid w:val="47B642F1"/>
    <w:rsid w:val="481710C1"/>
    <w:rsid w:val="483B65A4"/>
    <w:rsid w:val="48967C7F"/>
    <w:rsid w:val="48A85732"/>
    <w:rsid w:val="48DB38E3"/>
    <w:rsid w:val="48EE1869"/>
    <w:rsid w:val="49331971"/>
    <w:rsid w:val="497004D0"/>
    <w:rsid w:val="49B54134"/>
    <w:rsid w:val="49C56A6D"/>
    <w:rsid w:val="4A08695A"/>
    <w:rsid w:val="4A534079"/>
    <w:rsid w:val="4A7A7858"/>
    <w:rsid w:val="4A802994"/>
    <w:rsid w:val="4BC66ACD"/>
    <w:rsid w:val="4BEB208F"/>
    <w:rsid w:val="4C0B44E0"/>
    <w:rsid w:val="4C883D82"/>
    <w:rsid w:val="4CAA5AA7"/>
    <w:rsid w:val="4CCB2472"/>
    <w:rsid w:val="4D671BE9"/>
    <w:rsid w:val="4D8B1D7C"/>
    <w:rsid w:val="4DBA440F"/>
    <w:rsid w:val="4E192EE4"/>
    <w:rsid w:val="4EA74993"/>
    <w:rsid w:val="4ED96B17"/>
    <w:rsid w:val="4F754A92"/>
    <w:rsid w:val="4F8E16AF"/>
    <w:rsid w:val="4F8E5B53"/>
    <w:rsid w:val="4FD23C92"/>
    <w:rsid w:val="4FEB08B0"/>
    <w:rsid w:val="500656EA"/>
    <w:rsid w:val="50772144"/>
    <w:rsid w:val="50A3118B"/>
    <w:rsid w:val="50C35389"/>
    <w:rsid w:val="51112598"/>
    <w:rsid w:val="51167BAE"/>
    <w:rsid w:val="512A5408"/>
    <w:rsid w:val="516923D4"/>
    <w:rsid w:val="51B178D7"/>
    <w:rsid w:val="529A65BD"/>
    <w:rsid w:val="535B3F9E"/>
    <w:rsid w:val="53A616BE"/>
    <w:rsid w:val="53D14261"/>
    <w:rsid w:val="54A51975"/>
    <w:rsid w:val="54AC5AC5"/>
    <w:rsid w:val="54AF45A2"/>
    <w:rsid w:val="54E81862"/>
    <w:rsid w:val="54EA7388"/>
    <w:rsid w:val="54F621D1"/>
    <w:rsid w:val="551408A9"/>
    <w:rsid w:val="55452810"/>
    <w:rsid w:val="56815ACA"/>
    <w:rsid w:val="57437223"/>
    <w:rsid w:val="57776ECD"/>
    <w:rsid w:val="57B7551B"/>
    <w:rsid w:val="5847689F"/>
    <w:rsid w:val="585F1E3B"/>
    <w:rsid w:val="58931AE5"/>
    <w:rsid w:val="58EF7663"/>
    <w:rsid w:val="59372DB8"/>
    <w:rsid w:val="594F3C5E"/>
    <w:rsid w:val="59D6437F"/>
    <w:rsid w:val="5A2C21F1"/>
    <w:rsid w:val="5A3A2B60"/>
    <w:rsid w:val="5ADC59C5"/>
    <w:rsid w:val="5B24736C"/>
    <w:rsid w:val="5B280C0A"/>
    <w:rsid w:val="5C3435DF"/>
    <w:rsid w:val="5C761E49"/>
    <w:rsid w:val="5CA50038"/>
    <w:rsid w:val="5CC2508E"/>
    <w:rsid w:val="5CC74453"/>
    <w:rsid w:val="5CD1707F"/>
    <w:rsid w:val="5D096819"/>
    <w:rsid w:val="5D5E0913"/>
    <w:rsid w:val="5DC50992"/>
    <w:rsid w:val="5E6A153A"/>
    <w:rsid w:val="5F7D704B"/>
    <w:rsid w:val="5FB07420"/>
    <w:rsid w:val="5FDC3F8A"/>
    <w:rsid w:val="60CA4511"/>
    <w:rsid w:val="617F354E"/>
    <w:rsid w:val="6186668A"/>
    <w:rsid w:val="61923281"/>
    <w:rsid w:val="622C34F7"/>
    <w:rsid w:val="626B05BE"/>
    <w:rsid w:val="62D82F16"/>
    <w:rsid w:val="632A25CF"/>
    <w:rsid w:val="635602DE"/>
    <w:rsid w:val="63957059"/>
    <w:rsid w:val="64373C6C"/>
    <w:rsid w:val="64BD6867"/>
    <w:rsid w:val="64D8544F"/>
    <w:rsid w:val="652A37D1"/>
    <w:rsid w:val="657A6506"/>
    <w:rsid w:val="65BA4B55"/>
    <w:rsid w:val="65C634F9"/>
    <w:rsid w:val="66383CCB"/>
    <w:rsid w:val="678E44EB"/>
    <w:rsid w:val="68784853"/>
    <w:rsid w:val="688B4586"/>
    <w:rsid w:val="68930CAA"/>
    <w:rsid w:val="68D73C6F"/>
    <w:rsid w:val="69561038"/>
    <w:rsid w:val="69912070"/>
    <w:rsid w:val="6A0665BA"/>
    <w:rsid w:val="6A440E91"/>
    <w:rsid w:val="6A9F256B"/>
    <w:rsid w:val="6AED1528"/>
    <w:rsid w:val="6B1E5B86"/>
    <w:rsid w:val="6B347157"/>
    <w:rsid w:val="6B4C44A1"/>
    <w:rsid w:val="6B60619E"/>
    <w:rsid w:val="6BAE0CB8"/>
    <w:rsid w:val="6BD10E4A"/>
    <w:rsid w:val="6C44786E"/>
    <w:rsid w:val="6C757A27"/>
    <w:rsid w:val="6C7D068A"/>
    <w:rsid w:val="6CD81D64"/>
    <w:rsid w:val="6D231231"/>
    <w:rsid w:val="6D392803"/>
    <w:rsid w:val="6DC060C6"/>
    <w:rsid w:val="6DC5678C"/>
    <w:rsid w:val="6E1D3ED3"/>
    <w:rsid w:val="6E46167B"/>
    <w:rsid w:val="6FB235A4"/>
    <w:rsid w:val="705067E1"/>
    <w:rsid w:val="70666005"/>
    <w:rsid w:val="71015D2D"/>
    <w:rsid w:val="716360A0"/>
    <w:rsid w:val="72456E2F"/>
    <w:rsid w:val="726A16B0"/>
    <w:rsid w:val="72AB5F51"/>
    <w:rsid w:val="72CB4446"/>
    <w:rsid w:val="72E15E16"/>
    <w:rsid w:val="73351CBE"/>
    <w:rsid w:val="733A1083"/>
    <w:rsid w:val="735F6D3B"/>
    <w:rsid w:val="73D45982"/>
    <w:rsid w:val="74980757"/>
    <w:rsid w:val="74FC0CE6"/>
    <w:rsid w:val="75BA62DF"/>
    <w:rsid w:val="762F6E99"/>
    <w:rsid w:val="76996E28"/>
    <w:rsid w:val="769F401E"/>
    <w:rsid w:val="76E00193"/>
    <w:rsid w:val="773F4EBA"/>
    <w:rsid w:val="778B00FF"/>
    <w:rsid w:val="77D9530E"/>
    <w:rsid w:val="78411105"/>
    <w:rsid w:val="78811502"/>
    <w:rsid w:val="78DE0702"/>
    <w:rsid w:val="791073F6"/>
    <w:rsid w:val="79652BD2"/>
    <w:rsid w:val="799A0ACD"/>
    <w:rsid w:val="799B65F3"/>
    <w:rsid w:val="799E680F"/>
    <w:rsid w:val="79B31B8F"/>
    <w:rsid w:val="79C30024"/>
    <w:rsid w:val="7A462A03"/>
    <w:rsid w:val="7A572DAF"/>
    <w:rsid w:val="7A911ED0"/>
    <w:rsid w:val="7AD149C3"/>
    <w:rsid w:val="7AFB1A0E"/>
    <w:rsid w:val="7B234AF2"/>
    <w:rsid w:val="7BD007D6"/>
    <w:rsid w:val="7C72188D"/>
    <w:rsid w:val="7CD73DE6"/>
    <w:rsid w:val="7D050B8E"/>
    <w:rsid w:val="7D126BCC"/>
    <w:rsid w:val="7D8555F0"/>
    <w:rsid w:val="7DFA4230"/>
    <w:rsid w:val="7E1D3A7B"/>
    <w:rsid w:val="7E374B3D"/>
    <w:rsid w:val="7E7044F2"/>
    <w:rsid w:val="7EAF0B77"/>
    <w:rsid w:val="7F60643F"/>
    <w:rsid w:val="7F845B13"/>
    <w:rsid w:val="7FA2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Autospacing="0" w:afterAutospacing="0" w:line="360" w:lineRule="auto"/>
      <w:ind w:firstLine="0" w:firstLineChars="0"/>
      <w:jc w:val="center"/>
      <w:outlineLvl w:val="0"/>
    </w:pPr>
    <w:rPr>
      <w:rFonts w:hint="eastAsia" w:ascii="Times New Roman" w:hAnsi="Times New Roman" w:eastAsia="黑体"/>
      <w:kern w:val="44"/>
      <w:sz w:val="32"/>
      <w:szCs w:val="32"/>
      <w:lang w:bidi="ar"/>
    </w:rPr>
  </w:style>
  <w:style w:type="paragraph" w:styleId="5">
    <w:name w:val="heading 2"/>
    <w:basedOn w:val="1"/>
    <w:next w:val="1"/>
    <w:qFormat/>
    <w:uiPriority w:val="0"/>
    <w:pPr>
      <w:keepNext/>
      <w:keepLines/>
      <w:adjustRightInd w:val="0"/>
      <w:snapToGrid w:val="0"/>
      <w:spacing w:before="156" w:line="360" w:lineRule="auto"/>
      <w:outlineLvl w:val="1"/>
    </w:pPr>
    <w:rPr>
      <w:b/>
      <w:sz w:val="24"/>
    </w:rPr>
  </w:style>
  <w:style w:type="paragraph" w:styleId="6">
    <w:name w:val="heading 3"/>
    <w:basedOn w:val="1"/>
    <w:next w:val="1"/>
    <w:unhideWhenUsed/>
    <w:qFormat/>
    <w:uiPriority w:val="0"/>
    <w:pPr>
      <w:spacing w:beforeAutospacing="0" w:after="0" w:afterAutospacing="0" w:line="360" w:lineRule="auto"/>
      <w:ind w:firstLine="663" w:firstLineChars="150"/>
      <w:jc w:val="left"/>
      <w:outlineLvl w:val="2"/>
    </w:pPr>
    <w:rPr>
      <w:rFonts w:hint="eastAsia" w:ascii="Times New Roman" w:hAnsi="Times New Roman" w:eastAsia="宋体"/>
      <w:b/>
      <w:bCs/>
      <w:sz w:val="24"/>
      <w:lang w:bidi="ar"/>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cs="Courier New"/>
      <w:szCs w:val="21"/>
    </w:r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left="60" w:leftChars="25" w:right="60" w:rightChars="25"/>
      <w:jc w:val="center"/>
    </w:pPr>
    <w:rPr>
      <w:rFonts w:ascii="Courier New" w:hAnsi="Courier New" w:eastAsia="宋体" w:cs="Courier New"/>
      <w:kern w:val="2"/>
      <w:sz w:val="21"/>
      <w:szCs w:val="24"/>
      <w:lang w:val="en-US" w:eastAsia="zh-CN" w:bidi="ar-SA"/>
    </w:rPr>
  </w:style>
  <w:style w:type="paragraph" w:styleId="7">
    <w:name w:val="Normal Indent"/>
    <w:basedOn w:val="1"/>
    <w:next w:val="1"/>
    <w:qFormat/>
    <w:uiPriority w:val="0"/>
    <w:pPr>
      <w:ind w:firstLine="420" w:firstLineChars="200"/>
    </w:pPr>
  </w:style>
  <w:style w:type="paragraph" w:styleId="8">
    <w:name w:val="toa heading"/>
    <w:basedOn w:val="1"/>
    <w:next w:val="1"/>
    <w:unhideWhenUsed/>
    <w:qFormat/>
    <w:uiPriority w:val="99"/>
    <w:pPr>
      <w:spacing w:before="120"/>
    </w:pPr>
    <w:rPr>
      <w:rFonts w:ascii="Cambria" w:hAnsi="Cambria" w:eastAsia="宋体" w:cs="Times New Roman"/>
      <w:sz w:val="24"/>
      <w:szCs w:val="24"/>
    </w:rPr>
  </w:style>
  <w:style w:type="paragraph" w:styleId="9">
    <w:name w:val="annotation text"/>
    <w:basedOn w:val="1"/>
    <w:qFormat/>
    <w:uiPriority w:val="0"/>
    <w:pPr>
      <w:jc w:val="left"/>
    </w:pPr>
  </w:style>
  <w:style w:type="paragraph" w:styleId="10">
    <w:name w:val="Body Text"/>
    <w:basedOn w:val="1"/>
    <w:next w:val="1"/>
    <w:qFormat/>
    <w:uiPriority w:val="0"/>
    <w:pPr>
      <w:spacing w:after="120"/>
    </w:pPr>
  </w:style>
  <w:style w:type="paragraph" w:styleId="11">
    <w:name w:val="Body Text Indent"/>
    <w:basedOn w:val="1"/>
    <w:next w:val="12"/>
    <w:qFormat/>
    <w:uiPriority w:val="0"/>
    <w:pPr>
      <w:spacing w:after="120" w:afterLines="0" w:afterAutospacing="0"/>
      <w:ind w:left="420" w:leftChars="200"/>
    </w:pPr>
  </w:style>
  <w:style w:type="paragraph" w:customStyle="1" w:styleId="12">
    <w:name w:val="Default"/>
    <w:basedOn w:val="13"/>
    <w:next w:val="14"/>
    <w:qFormat/>
    <w:uiPriority w:val="0"/>
    <w:pPr>
      <w:widowControl w:val="0"/>
      <w:autoSpaceDE w:val="0"/>
      <w:autoSpaceDN w:val="0"/>
      <w:adjustRightInd w:val="0"/>
    </w:pPr>
    <w:rPr>
      <w:rFonts w:hint="eastAsia" w:ascii="宋体" w:hAnsi="Times New Roman" w:eastAsia="宋体" w:cs="Times New Roman"/>
      <w:lang w:val="en-US" w:eastAsia="zh-CN" w:bidi="ar-SA"/>
    </w:rPr>
  </w:style>
  <w:style w:type="paragraph" w:customStyle="1" w:styleId="13">
    <w:name w:val="纯文本1"/>
    <w:basedOn w:val="1"/>
    <w:qFormat/>
    <w:uiPriority w:val="0"/>
    <w:pPr>
      <w:spacing w:line="240" w:lineRule="auto"/>
      <w:ind w:firstLine="0" w:firstLineChars="0"/>
    </w:pPr>
    <w:rPr>
      <w:rFonts w:hAnsi="Courier New" w:cs="Courier New"/>
      <w:bCs/>
    </w:rPr>
  </w:style>
  <w:style w:type="paragraph" w:styleId="14">
    <w:name w:val="List"/>
    <w:basedOn w:val="1"/>
    <w:next w:val="1"/>
    <w:qFormat/>
    <w:uiPriority w:val="0"/>
    <w:pPr>
      <w:ind w:left="200" w:hanging="200" w:hangingChars="200"/>
    </w:pPr>
  </w:style>
  <w:style w:type="paragraph" w:styleId="15">
    <w:name w:val="Body Text Indent 2"/>
    <w:basedOn w:val="1"/>
    <w:unhideWhenUsed/>
    <w:qFormat/>
    <w:uiPriority w:val="0"/>
    <w:pPr>
      <w:ind w:firstLine="720"/>
    </w:pPr>
    <w:rPr>
      <w:rFonts w:hint="eastAsia"/>
      <w:spacing w:val="20"/>
      <w:sz w:val="28"/>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next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0"/>
    <w:next w:val="1"/>
    <w:qFormat/>
    <w:uiPriority w:val="0"/>
    <w:pPr>
      <w:ind w:firstLine="420" w:firstLineChars="100"/>
    </w:pPr>
    <w:rPr>
      <w:sz w:val="24"/>
    </w:rPr>
  </w:style>
  <w:style w:type="paragraph" w:styleId="21">
    <w:name w:val="Body Text First Indent 2"/>
    <w:basedOn w:val="11"/>
    <w:next w:val="20"/>
    <w:qFormat/>
    <w:uiPriority w:val="0"/>
    <w:pPr>
      <w:ind w:firstLine="420" w:firstLineChars="2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paragraph" w:customStyle="1" w:styleId="26">
    <w:name w:val="表头"/>
    <w:basedOn w:val="27"/>
    <w:next w:val="1"/>
    <w:autoRedefine/>
    <w:qFormat/>
    <w:uiPriority w:val="0"/>
    <w:pPr>
      <w:spacing w:line="240" w:lineRule="auto"/>
      <w:ind w:firstLine="0" w:firstLineChars="0"/>
      <w:jc w:val="center"/>
    </w:pPr>
    <w:rPr>
      <w:rFonts w:ascii="Times New Roman" w:hAnsi="Times New Roman" w:eastAsia="宋体"/>
      <w:b/>
      <w:bCs/>
      <w:sz w:val="21"/>
      <w:szCs w:val="21"/>
    </w:rPr>
  </w:style>
  <w:style w:type="paragraph" w:customStyle="1" w:styleId="27">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8">
    <w:name w:val="明显引用1"/>
    <w:next w:val="1"/>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29">
    <w:name w:val="样式 标题 1 + 四号 段前: 0 磅 段后: 0 磅 行距: 1.5 倍行距"/>
    <w:basedOn w:val="30"/>
    <w:next w:val="31"/>
    <w:autoRedefine/>
    <w:qFormat/>
    <w:uiPriority w:val="0"/>
    <w:pPr>
      <w:spacing w:line="360" w:lineRule="auto"/>
      <w:jc w:val="center"/>
    </w:pPr>
  </w:style>
  <w:style w:type="paragraph" w:customStyle="1" w:styleId="30">
    <w:name w:val="报告表正文"/>
    <w:basedOn w:val="1"/>
    <w:autoRedefine/>
    <w:qFormat/>
    <w:uiPriority w:val="0"/>
    <w:pPr>
      <w:keepNext/>
      <w:wordWrap w:val="0"/>
      <w:topLinePunct/>
      <w:adjustRightInd w:val="0"/>
      <w:snapToGrid w:val="0"/>
      <w:spacing w:line="360" w:lineRule="auto"/>
      <w:ind w:firstLine="883" w:firstLineChars="200"/>
      <w:jc w:val="left"/>
    </w:pPr>
    <w:rPr>
      <w:sz w:val="24"/>
    </w:rPr>
  </w:style>
  <w:style w:type="paragraph" w:customStyle="1" w:styleId="31">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32">
    <w:name w:val="BC-表名"/>
    <w:basedOn w:val="1"/>
    <w:qFormat/>
    <w:uiPriority w:val="0"/>
    <w:pPr>
      <w:spacing w:line="240" w:lineRule="auto"/>
      <w:ind w:firstLine="0" w:firstLineChars="0"/>
      <w:jc w:val="center"/>
    </w:pPr>
    <w:rPr>
      <w:b/>
      <w:kern w:val="10"/>
      <w:sz w:val="21"/>
    </w:rPr>
  </w:style>
  <w:style w:type="paragraph" w:customStyle="1" w:styleId="33">
    <w:name w:val="BC-表格文字"/>
    <w:basedOn w:val="1"/>
    <w:next w:val="1"/>
    <w:qFormat/>
    <w:uiPriority w:val="0"/>
    <w:pPr>
      <w:adjustRightInd w:val="0"/>
      <w:snapToGrid w:val="0"/>
      <w:spacing w:line="240" w:lineRule="auto"/>
      <w:ind w:firstLine="0" w:firstLineChars="0"/>
      <w:jc w:val="center"/>
    </w:pPr>
    <w:rPr>
      <w:rFonts w:ascii="Times New Roman" w:hAnsi="Times New Roman" w:eastAsia="宋体" w:cs="Times New Roman"/>
      <w:sz w:val="21"/>
      <w:szCs w:val="21"/>
    </w:rPr>
  </w:style>
  <w:style w:type="paragraph" w:customStyle="1" w:styleId="34">
    <w:name w:val="表格中内容"/>
    <w:basedOn w:val="1"/>
    <w:qFormat/>
    <w:uiPriority w:val="0"/>
    <w:pPr>
      <w:widowControl/>
      <w:tabs>
        <w:tab w:val="left" w:pos="-2400"/>
        <w:tab w:val="left" w:pos="1320"/>
        <w:tab w:val="left" w:pos="3878"/>
        <w:tab w:val="left" w:pos="6080"/>
        <w:tab w:val="left" w:pos="6580"/>
        <w:tab w:val="left" w:pos="8137"/>
      </w:tabs>
      <w:adjustRightInd w:val="0"/>
      <w:spacing w:line="240" w:lineRule="auto"/>
      <w:ind w:firstLine="0" w:firstLineChars="0"/>
      <w:jc w:val="center"/>
    </w:pPr>
    <w:rPr>
      <w:kern w:val="0"/>
      <w:sz w:val="21"/>
      <w:szCs w:val="21"/>
    </w:rPr>
  </w:style>
  <w:style w:type="paragraph" w:customStyle="1" w:styleId="35">
    <w:name w:val="Table Text"/>
    <w:basedOn w:val="1"/>
    <w:semiHidden/>
    <w:qFormat/>
    <w:uiPriority w:val="0"/>
    <w:rPr>
      <w:rFonts w:ascii="宋体" w:hAnsi="宋体" w:eastAsia="宋体" w:cs="宋体"/>
      <w:sz w:val="24"/>
      <w:szCs w:val="24"/>
    </w:rPr>
  </w:style>
  <w:style w:type="paragraph" w:customStyle="1" w:styleId="36">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character" w:customStyle="1" w:styleId="37">
    <w:name w:val="font81"/>
    <w:basedOn w:val="24"/>
    <w:qFormat/>
    <w:uiPriority w:val="0"/>
    <w:rPr>
      <w:rFonts w:hint="eastAsia" w:ascii="宋体" w:hAnsi="宋体" w:eastAsia="宋体" w:cs="宋体"/>
      <w:color w:val="000000"/>
      <w:sz w:val="20"/>
      <w:szCs w:val="20"/>
      <w:u w:val="none"/>
    </w:rPr>
  </w:style>
  <w:style w:type="character" w:customStyle="1" w:styleId="38">
    <w:name w:val="font71"/>
    <w:basedOn w:val="24"/>
    <w:qFormat/>
    <w:uiPriority w:val="0"/>
    <w:rPr>
      <w:rFonts w:hint="default" w:ascii="Times New Roman" w:hAnsi="Times New Roman" w:cs="Times New Roman"/>
      <w:color w:val="000000"/>
      <w:sz w:val="20"/>
      <w:szCs w:val="20"/>
      <w:u w:val="none"/>
    </w:rPr>
  </w:style>
  <w:style w:type="paragraph" w:customStyle="1" w:styleId="39">
    <w:name w:val="表格修改"/>
    <w:basedOn w:val="1"/>
    <w:autoRedefine/>
    <w:qFormat/>
    <w:uiPriority w:val="0"/>
    <w:pPr>
      <w:spacing w:line="240" w:lineRule="auto"/>
      <w:ind w:firstLine="0" w:firstLineChars="0"/>
      <w:jc w:val="center"/>
    </w:pPr>
    <w:rPr>
      <w:rFonts w:hint="eastAsia" w:ascii="Times New Roman" w:hAnsi="Times New Roman" w:eastAsia="宋体"/>
      <w:color w:val="0000FF"/>
      <w:sz w:val="18"/>
      <w:szCs w:val="28"/>
    </w:rPr>
  </w:style>
  <w:style w:type="paragraph" w:customStyle="1" w:styleId="40">
    <w:name w:val="表格内容"/>
    <w:basedOn w:val="1"/>
    <w:next w:val="1"/>
    <w:autoRedefine/>
    <w:qFormat/>
    <w:uiPriority w:val="0"/>
    <w:pPr>
      <w:adjustRightInd w:val="0"/>
      <w:snapToGrid w:val="0"/>
      <w:jc w:val="center"/>
    </w:pPr>
    <w:rPr>
      <w:szCs w:val="21"/>
    </w:rPr>
  </w:style>
  <w:style w:type="paragraph" w:customStyle="1" w:styleId="41">
    <w:name w:val="样式 宋体 加粗 首行缩进:  0.99 厘米 行距: 1.5 倍行距"/>
    <w:basedOn w:val="1"/>
    <w:qFormat/>
    <w:uiPriority w:val="0"/>
    <w:pPr>
      <w:adjustRightInd w:val="0"/>
      <w:snapToGrid w:val="0"/>
      <w:spacing w:line="360" w:lineRule="auto"/>
      <w:ind w:firstLine="480" w:firstLineChars="200"/>
    </w:pPr>
    <w:rPr>
      <w:rFonts w:ascii="宋体" w:hAnsi="宋体" w:cs="宋体"/>
      <w:b/>
      <w:bCs/>
      <w:sz w:val="24"/>
      <w:szCs w:val="24"/>
    </w:rPr>
  </w:style>
  <w:style w:type="paragraph" w:customStyle="1" w:styleId="42">
    <w:name w:val="Normal Indent1"/>
    <w:basedOn w:val="1"/>
    <w:qFormat/>
    <w:uiPriority w:val="0"/>
    <w:pPr>
      <w:ind w:firstLine="420" w:firstLineChars="200"/>
    </w:pPr>
  </w:style>
  <w:style w:type="paragraph" w:customStyle="1" w:styleId="43">
    <w:name w:val="表格"/>
    <w:basedOn w:val="7"/>
    <w:next w:val="1"/>
    <w:qFormat/>
    <w:uiPriority w:val="0"/>
    <w:pPr>
      <w:adjustRightInd w:val="0"/>
      <w:snapToGrid w:val="0"/>
      <w:spacing w:line="240" w:lineRule="auto"/>
      <w:ind w:firstLine="0" w:firstLineChars="0"/>
      <w:jc w:val="center"/>
    </w:pPr>
    <w:rPr>
      <w:color w:val="auto"/>
      <w:sz w:val="18"/>
    </w:rPr>
  </w:style>
  <w:style w:type="paragraph" w:customStyle="1" w:styleId="44">
    <w:name w:val="正文修改"/>
    <w:basedOn w:val="1"/>
    <w:qFormat/>
    <w:uiPriority w:val="0"/>
    <w:rPr>
      <w:rFonts w:hint="eastAsia" w:ascii="Times New Roman" w:hAnsi="Times New Roman"/>
      <w:color w:val="0000FF"/>
    </w:rPr>
  </w:style>
  <w:style w:type="paragraph" w:customStyle="1" w:styleId="45">
    <w:name w:val="文本"/>
    <w:basedOn w:val="1"/>
    <w:qFormat/>
    <w:uiPriority w:val="7"/>
    <w:pPr>
      <w:ind w:firstLine="480" w:firstLineChars="200"/>
      <w:jc w:val="center"/>
    </w:pPr>
    <w:rPr>
      <w:rFonts w:ascii="Times New Roman" w:hAnsi="Times New Roman"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oleObject" Target="embeddings/oleObject4.bin"/><Relationship Id="rId21" Type="http://schemas.openxmlformats.org/officeDocument/2006/relationships/image" Target="media/image10.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2.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28991</Words>
  <Characters>30007</Characters>
  <Lines>0</Lines>
  <Paragraphs>0</Paragraphs>
  <TotalTime>11</TotalTime>
  <ScaleCrop>false</ScaleCrop>
  <LinksUpToDate>false</LinksUpToDate>
  <CharactersWithSpaces>30187</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2025-12-19T01:33:00Z</dcterms:created>
  <dc:creator>木木</dc:creator>
  <cp:lastModifiedBy>王振华</cp:lastModifiedBy>
  <dcterms:modified xsi:type="dcterms:W3CDTF">2026-04-23T01:37:40Z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59AF476C9BBA49B89E5E610D045DA365_13</vt:lpwstr>
  </property>
  <property fmtid="{D5CDD505-2E9C-101B-9397-08002B2CF9AE}" pid="4" name="KSOTemplateDocerSaveRecord">
    <vt:lpwstr>eyJoZGlkIjoiMDE2MDg0NTg3NDMzODVkZWQxMjM2NGEwNmQxZTU2NDMiLCJ1c2VySWQiOiIxNzcxODI0MzQxIn0=</vt:lpwstr>
  </property>
</Properties>
</file>